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D5E39A" w14:textId="500B0C20" w:rsidR="00B422EC" w:rsidRPr="00921C0C" w:rsidRDefault="00E810D3" w:rsidP="00081692">
      <w:pPr>
        <w:pStyle w:val="MonthDayYear"/>
        <w:tabs>
          <w:tab w:val="left" w:pos="7371"/>
        </w:tabs>
        <w:jc w:val="left"/>
      </w:pPr>
      <w:r w:rsidRPr="00921C0C">
        <w:rPr>
          <w:lang w:bidi="hr-HR"/>
        </w:rPr>
        <w:tab/>
        <w:t>11. ožujka 2026.</w:t>
      </w:r>
    </w:p>
    <w:p w14:paraId="166A9534" w14:textId="7378506C" w:rsidR="00497D5E" w:rsidRPr="009D61DC" w:rsidRDefault="009D61DC" w:rsidP="00790993">
      <w:pPr>
        <w:pStyle w:val="Topline"/>
        <w:spacing w:after="240"/>
        <w:rPr>
          <w:rFonts w:asciiTheme="majorHAnsi" w:hAnsiTheme="majorHAnsi" w:cstheme="majorHAnsi"/>
        </w:rPr>
      </w:pPr>
      <w:bookmarkStart w:id="0" w:name="_Hlk190695874"/>
      <w:r w:rsidRPr="009D61DC">
        <w:rPr>
          <w:lang w:bidi="hr-HR"/>
        </w:rPr>
        <w:t>Henkel predstavlja godišnje rezultate za 2025.: dividenda će se dodatno povećati</w:t>
      </w:r>
    </w:p>
    <w:bookmarkEnd w:id="0"/>
    <w:p w14:paraId="3FE075DA" w14:textId="692D8516" w:rsidR="00633B49" w:rsidRPr="00A81C0A" w:rsidRDefault="0012714C" w:rsidP="00C208E2">
      <w:pPr>
        <w:jc w:val="left"/>
        <w:rPr>
          <w:rStyle w:val="Headline"/>
          <w:rFonts w:asciiTheme="majorHAnsi" w:hAnsiTheme="majorHAnsi" w:cstheme="majorHAnsi"/>
        </w:rPr>
      </w:pPr>
      <w:r w:rsidRPr="00A81C0A">
        <w:rPr>
          <w:rStyle w:val="Headline"/>
          <w:lang w:bidi="hr-HR"/>
        </w:rPr>
        <w:t>Henkel je ostvario organski rast u 2025. godini i povećao profitabilnost kroz inovacije i veću učinkovitost</w:t>
      </w:r>
    </w:p>
    <w:p w14:paraId="5E22EDC4" w14:textId="77777777" w:rsidR="00A54C2A" w:rsidRPr="00A81C0A" w:rsidRDefault="00A54C2A" w:rsidP="00C65957">
      <w:pPr>
        <w:spacing w:line="240" w:lineRule="auto"/>
        <w:jc w:val="left"/>
        <w:rPr>
          <w:sz w:val="16"/>
          <w:szCs w:val="16"/>
        </w:rPr>
      </w:pPr>
    </w:p>
    <w:p w14:paraId="37685367" w14:textId="5957EB6B" w:rsidR="00645A5C" w:rsidRPr="009D61DC" w:rsidRDefault="008B6086" w:rsidP="00AF7097">
      <w:pPr>
        <w:pStyle w:val="ListParagraph"/>
        <w:numPr>
          <w:ilvl w:val="0"/>
          <w:numId w:val="7"/>
        </w:numPr>
        <w:spacing w:after="80"/>
        <w:ind w:left="357" w:right="-108" w:hanging="357"/>
        <w:contextualSpacing w:val="0"/>
        <w:jc w:val="left"/>
        <w:rPr>
          <w:rFonts w:asciiTheme="majorHAnsi" w:hAnsiTheme="majorHAnsi" w:cstheme="majorHAnsi"/>
          <w:b/>
          <w:szCs w:val="22"/>
        </w:rPr>
      </w:pPr>
      <w:bookmarkStart w:id="1" w:name="_Hlk64363173"/>
      <w:bookmarkStart w:id="2" w:name="_Hlk43712519"/>
      <w:r w:rsidRPr="009D61DC">
        <w:rPr>
          <w:b/>
          <w:lang w:bidi="hr-HR"/>
        </w:rPr>
        <w:t>Dobri poslovni rezultati u poslovnoj godini 2025.</w:t>
      </w:r>
    </w:p>
    <w:bookmarkEnd w:id="1"/>
    <w:p w14:paraId="50631AFC" w14:textId="19CDE425" w:rsidR="00635616" w:rsidRPr="009D61DC" w:rsidRDefault="009D61DC" w:rsidP="009D61DC">
      <w:pPr>
        <w:pStyle w:val="ListParagraph"/>
        <w:numPr>
          <w:ilvl w:val="1"/>
          <w:numId w:val="7"/>
        </w:numPr>
        <w:spacing w:after="80" w:line="266" w:lineRule="auto"/>
        <w:ind w:left="709" w:right="-108" w:hanging="283"/>
        <w:contextualSpacing w:val="0"/>
        <w:jc w:val="left"/>
        <w:rPr>
          <w:rFonts w:asciiTheme="majorHAnsi" w:hAnsiTheme="majorHAnsi" w:cstheme="majorHAnsi"/>
          <w:b/>
          <w:szCs w:val="22"/>
        </w:rPr>
      </w:pPr>
      <w:r w:rsidRPr="009D61DC">
        <w:rPr>
          <w:b/>
          <w:lang w:bidi="hr-HR"/>
        </w:rPr>
        <w:t>Prodaja: 20,5 milijardi eura, organski rast od 0,9 posto</w:t>
      </w:r>
      <w:bookmarkEnd w:id="2"/>
    </w:p>
    <w:p w14:paraId="6851D1BA" w14:textId="612764D3" w:rsidR="00E86D6E" w:rsidRPr="00EA7720" w:rsidRDefault="009D61DC" w:rsidP="003D2EAA">
      <w:pPr>
        <w:pStyle w:val="ListParagraph"/>
        <w:numPr>
          <w:ilvl w:val="1"/>
          <w:numId w:val="7"/>
        </w:numPr>
        <w:spacing w:after="80" w:line="266" w:lineRule="auto"/>
        <w:ind w:left="709" w:right="-108" w:hanging="283"/>
        <w:contextualSpacing w:val="0"/>
        <w:jc w:val="left"/>
        <w:rPr>
          <w:rFonts w:asciiTheme="majorHAnsi" w:hAnsiTheme="majorHAnsi" w:cstheme="majorHAnsi"/>
          <w:b/>
          <w:szCs w:val="22"/>
        </w:rPr>
      </w:pPr>
      <w:r w:rsidRPr="009D61DC">
        <w:rPr>
          <w:b/>
          <w:lang w:bidi="hr-HR"/>
        </w:rPr>
        <w:t xml:space="preserve">Operativna dobit (EBIT)*: 3,0 milijarde eura, nešto manje od prethodne godine </w:t>
      </w:r>
      <w:r w:rsidRPr="009D61DC">
        <w:rPr>
          <w:b/>
          <w:lang w:bidi="hr-HR"/>
        </w:rPr>
        <w:br/>
        <w:t>zbog vrlo negativnih deviznih učinaka</w:t>
      </w:r>
    </w:p>
    <w:p w14:paraId="74237D27" w14:textId="30793A58" w:rsidR="00256174" w:rsidRPr="00A81C0A" w:rsidRDefault="0007275A" w:rsidP="00A81C0A">
      <w:pPr>
        <w:pStyle w:val="ListParagraph"/>
        <w:numPr>
          <w:ilvl w:val="1"/>
          <w:numId w:val="7"/>
        </w:numPr>
        <w:spacing w:after="80" w:line="266" w:lineRule="auto"/>
        <w:ind w:left="709" w:right="-108" w:hanging="283"/>
        <w:contextualSpacing w:val="0"/>
        <w:jc w:val="left"/>
        <w:rPr>
          <w:rFonts w:asciiTheme="majorHAnsi" w:hAnsiTheme="majorHAnsi" w:cstheme="majorHAnsi"/>
          <w:b/>
          <w:szCs w:val="22"/>
        </w:rPr>
      </w:pPr>
      <w:r w:rsidRPr="00A81C0A">
        <w:rPr>
          <w:b/>
          <w:lang w:bidi="hr-HR"/>
        </w:rPr>
        <w:t>Operativna marža*: 14,8 posto, poboljšanje od 50 baznih bodova</w:t>
      </w:r>
    </w:p>
    <w:p w14:paraId="291880FC" w14:textId="63EE903E" w:rsidR="00A81C0A" w:rsidRPr="00A81C0A" w:rsidRDefault="00A81C0A" w:rsidP="00240179">
      <w:pPr>
        <w:pStyle w:val="ListParagraph"/>
        <w:numPr>
          <w:ilvl w:val="1"/>
          <w:numId w:val="7"/>
        </w:numPr>
        <w:spacing w:after="80" w:line="266" w:lineRule="auto"/>
        <w:ind w:left="709" w:right="-108" w:hanging="283"/>
        <w:contextualSpacing w:val="0"/>
        <w:jc w:val="left"/>
        <w:rPr>
          <w:rFonts w:asciiTheme="majorHAnsi" w:hAnsiTheme="majorHAnsi" w:cstheme="majorHAnsi"/>
          <w:b/>
          <w:szCs w:val="22"/>
        </w:rPr>
      </w:pPr>
      <w:r w:rsidRPr="00A81C0A">
        <w:rPr>
          <w:b/>
          <w:lang w:bidi="hr-HR"/>
        </w:rPr>
        <w:t>Zarada po povlaštenoj dionici (EPS)*: 5,33 posto, +4,7 posto (pri stalnim tečajevima)</w:t>
      </w:r>
    </w:p>
    <w:p w14:paraId="303431FE" w14:textId="35770041" w:rsidR="000F333E" w:rsidRPr="009D61DC" w:rsidRDefault="009D61DC" w:rsidP="0092358D">
      <w:pPr>
        <w:pStyle w:val="ListParagraph"/>
        <w:numPr>
          <w:ilvl w:val="1"/>
          <w:numId w:val="7"/>
        </w:numPr>
        <w:spacing w:after="80" w:line="266" w:lineRule="auto"/>
        <w:ind w:left="709" w:right="-108" w:hanging="283"/>
        <w:contextualSpacing w:val="0"/>
        <w:jc w:val="left"/>
        <w:rPr>
          <w:rFonts w:asciiTheme="majorHAnsi" w:hAnsiTheme="majorHAnsi" w:cstheme="majorHAnsi"/>
          <w:b/>
          <w:szCs w:val="22"/>
        </w:rPr>
      </w:pPr>
      <w:r w:rsidRPr="009D61DC">
        <w:rPr>
          <w:b/>
          <w:lang w:bidi="hr-HR"/>
        </w:rPr>
        <w:t>Jak slobodni novčani tok od oko 1,9 milijardi eura</w:t>
      </w:r>
    </w:p>
    <w:p w14:paraId="0A57BFFB" w14:textId="4198F623" w:rsidR="00420F5B" w:rsidRPr="00A81C0A" w:rsidRDefault="00A81C0A" w:rsidP="00A81C0A">
      <w:pPr>
        <w:numPr>
          <w:ilvl w:val="0"/>
          <w:numId w:val="7"/>
        </w:numPr>
        <w:spacing w:after="80"/>
        <w:ind w:left="357" w:right="-108" w:hanging="357"/>
        <w:jc w:val="left"/>
        <w:rPr>
          <w:rFonts w:asciiTheme="majorHAnsi" w:hAnsiTheme="majorHAnsi" w:cstheme="majorHAnsi"/>
          <w:b/>
          <w:szCs w:val="22"/>
        </w:rPr>
      </w:pPr>
      <w:r w:rsidRPr="00A81C0A">
        <w:rPr>
          <w:b/>
          <w:lang w:bidi="hr-HR"/>
        </w:rPr>
        <w:t>Povećanje dividende za 1,5 posto na 2,07 eura predloženo po povlaštenoj dionici</w:t>
      </w:r>
    </w:p>
    <w:p w14:paraId="718ADD21" w14:textId="1EC15802" w:rsidR="003B0BD0" w:rsidRPr="00B2292F" w:rsidRDefault="00A81C0A" w:rsidP="00B2292F">
      <w:pPr>
        <w:numPr>
          <w:ilvl w:val="0"/>
          <w:numId w:val="7"/>
        </w:numPr>
        <w:spacing w:after="80"/>
        <w:ind w:left="357" w:right="-108" w:hanging="357"/>
        <w:jc w:val="left"/>
        <w:rPr>
          <w:rFonts w:asciiTheme="majorHAnsi" w:hAnsiTheme="majorHAnsi" w:cstheme="majorHAnsi"/>
          <w:b/>
          <w:szCs w:val="22"/>
        </w:rPr>
      </w:pPr>
      <w:r w:rsidRPr="00A81C0A">
        <w:rPr>
          <w:b/>
          <w:lang w:bidi="hr-HR"/>
        </w:rPr>
        <w:t>Ostvaren je daljnji napredak u provedbi programa svrhovitog rasta</w:t>
      </w:r>
    </w:p>
    <w:p w14:paraId="40E9C5F8" w14:textId="77777777" w:rsidR="00A81C0A" w:rsidRPr="00A81C0A" w:rsidRDefault="00A81C0A" w:rsidP="00A81C0A">
      <w:pPr>
        <w:pStyle w:val="ListParagraph"/>
        <w:numPr>
          <w:ilvl w:val="1"/>
          <w:numId w:val="7"/>
        </w:numPr>
        <w:spacing w:after="80" w:line="266" w:lineRule="auto"/>
        <w:ind w:left="709" w:right="-108" w:hanging="283"/>
        <w:contextualSpacing w:val="0"/>
        <w:jc w:val="left"/>
        <w:rPr>
          <w:rFonts w:asciiTheme="majorHAnsi" w:hAnsiTheme="majorHAnsi" w:cstheme="majorHAnsi"/>
          <w:b/>
          <w:szCs w:val="22"/>
        </w:rPr>
      </w:pPr>
      <w:bookmarkStart w:id="3" w:name="_Hlk157433806"/>
      <w:r w:rsidRPr="00A81C0A">
        <w:rPr>
          <w:b/>
          <w:lang w:bidi="hr-HR"/>
        </w:rPr>
        <w:t>Spajanje poslovnih jedinica usmjerenih na male potrošače dovršeno prije roka</w:t>
      </w:r>
    </w:p>
    <w:p w14:paraId="5D16A815" w14:textId="677C0B65" w:rsidR="009A743E" w:rsidRPr="00A81C0A" w:rsidRDefault="00A81C0A" w:rsidP="00B21044">
      <w:pPr>
        <w:pStyle w:val="ListParagraph"/>
        <w:numPr>
          <w:ilvl w:val="1"/>
          <w:numId w:val="7"/>
        </w:numPr>
        <w:spacing w:after="80" w:line="266" w:lineRule="auto"/>
        <w:ind w:left="709" w:right="-108" w:hanging="283"/>
        <w:contextualSpacing w:val="0"/>
        <w:jc w:val="left"/>
        <w:rPr>
          <w:rFonts w:asciiTheme="majorHAnsi" w:hAnsiTheme="majorHAnsi" w:cstheme="majorHAnsi"/>
          <w:b/>
          <w:szCs w:val="22"/>
        </w:rPr>
      </w:pPr>
      <w:r w:rsidRPr="00A81C0A">
        <w:rPr>
          <w:b/>
          <w:lang w:bidi="hr-HR"/>
        </w:rPr>
        <w:t>Zahvaljujući nedavnim stjecanjima u obje poslovne jedinice jača se potencijal za rast</w:t>
      </w:r>
      <w:bookmarkEnd w:id="3"/>
    </w:p>
    <w:p w14:paraId="5724C0EE" w14:textId="791EE0C1" w:rsidR="00A81C0A" w:rsidRPr="00835910" w:rsidRDefault="00A81C0A" w:rsidP="00A81C0A">
      <w:pPr>
        <w:numPr>
          <w:ilvl w:val="0"/>
          <w:numId w:val="7"/>
        </w:numPr>
        <w:spacing w:after="80"/>
        <w:ind w:left="357" w:right="-108" w:hanging="357"/>
        <w:jc w:val="left"/>
        <w:rPr>
          <w:rFonts w:asciiTheme="majorHAnsi" w:hAnsiTheme="majorHAnsi" w:cstheme="majorHAnsi"/>
          <w:b/>
          <w:szCs w:val="22"/>
        </w:rPr>
      </w:pPr>
      <w:r w:rsidRPr="00835910">
        <w:rPr>
          <w:b/>
          <w:lang w:bidi="hr-HR"/>
        </w:rPr>
        <w:t>Prognoza za poslovnu godinu 2026.: očekuje se daljnji rast prihoda i dobiti</w:t>
      </w:r>
    </w:p>
    <w:p w14:paraId="380A4B0B" w14:textId="3D2BD4C8" w:rsidR="00A81C0A" w:rsidRPr="00CF56F5" w:rsidRDefault="00A81C0A" w:rsidP="00A81C0A">
      <w:pPr>
        <w:pStyle w:val="ListParagraph"/>
        <w:numPr>
          <w:ilvl w:val="1"/>
          <w:numId w:val="7"/>
        </w:numPr>
        <w:spacing w:after="80" w:line="266" w:lineRule="auto"/>
        <w:ind w:left="567" w:right="-108" w:hanging="283"/>
        <w:contextualSpacing w:val="0"/>
        <w:jc w:val="left"/>
        <w:rPr>
          <w:rFonts w:asciiTheme="majorHAnsi" w:hAnsiTheme="majorHAnsi" w:cstheme="majorHAnsi"/>
          <w:b/>
          <w:szCs w:val="22"/>
        </w:rPr>
      </w:pPr>
      <w:r w:rsidRPr="00CF56F5">
        <w:rPr>
          <w:b/>
          <w:lang w:bidi="hr-HR"/>
        </w:rPr>
        <w:t>Organski rast prodaje: od 1,0 do 3,0 posto</w:t>
      </w:r>
    </w:p>
    <w:p w14:paraId="7DEDC400" w14:textId="3C44DD61" w:rsidR="00A81C0A" w:rsidRPr="00C82433" w:rsidRDefault="00A81C0A" w:rsidP="00A81C0A">
      <w:pPr>
        <w:pStyle w:val="ListParagraph"/>
        <w:numPr>
          <w:ilvl w:val="1"/>
          <w:numId w:val="7"/>
        </w:numPr>
        <w:spacing w:after="80" w:line="266" w:lineRule="auto"/>
        <w:ind w:left="567" w:right="-108" w:hanging="283"/>
        <w:contextualSpacing w:val="0"/>
        <w:jc w:val="left"/>
        <w:rPr>
          <w:rFonts w:asciiTheme="majorHAnsi" w:hAnsiTheme="majorHAnsi" w:cstheme="majorHAnsi"/>
          <w:b/>
          <w:szCs w:val="22"/>
        </w:rPr>
      </w:pPr>
      <w:r w:rsidRPr="00C82433">
        <w:rPr>
          <w:b/>
          <w:lang w:bidi="hr-HR"/>
        </w:rPr>
        <w:t>Operativna marža*: od 14,5 do 16,0 posto</w:t>
      </w:r>
    </w:p>
    <w:p w14:paraId="2585407E" w14:textId="77777777" w:rsidR="00A81C0A" w:rsidRPr="00CF56F5" w:rsidRDefault="00A81C0A" w:rsidP="00A81C0A">
      <w:pPr>
        <w:pStyle w:val="ListParagraph"/>
        <w:numPr>
          <w:ilvl w:val="1"/>
          <w:numId w:val="7"/>
        </w:numPr>
        <w:spacing w:after="80" w:line="266" w:lineRule="auto"/>
        <w:ind w:left="567" w:right="-108" w:hanging="283"/>
        <w:contextualSpacing w:val="0"/>
        <w:jc w:val="left"/>
        <w:rPr>
          <w:rFonts w:asciiTheme="majorHAnsi" w:hAnsiTheme="majorHAnsi" w:cstheme="majorHAnsi"/>
          <w:b/>
          <w:szCs w:val="22"/>
        </w:rPr>
      </w:pPr>
      <w:r w:rsidRPr="00CF56F5">
        <w:rPr>
          <w:b/>
          <w:lang w:bidi="hr-HR"/>
        </w:rPr>
        <w:t xml:space="preserve">Zarada po povlaštenoj dionici (EPS)*: povećanje </w:t>
      </w:r>
      <w:bookmarkStart w:id="4" w:name="_Hlk191544887"/>
      <w:r w:rsidRPr="00CF56F5">
        <w:rPr>
          <w:b/>
          <w:lang w:bidi="hr-HR"/>
        </w:rPr>
        <w:t>u rasponu jednoznamenkastih postotaka od niske do visoke vrijednosti (pri stalnim tečajevima)</w:t>
      </w:r>
      <w:bookmarkEnd w:id="4"/>
    </w:p>
    <w:p w14:paraId="0E973721" w14:textId="3F3EF3D0" w:rsidR="00D93B82" w:rsidRPr="00921C0C" w:rsidRDefault="00D93B82" w:rsidP="00037396">
      <w:pPr>
        <w:rPr>
          <w:rFonts w:cs="Segoe UI"/>
          <w:b/>
          <w:bCs/>
          <w:szCs w:val="22"/>
        </w:rPr>
      </w:pPr>
    </w:p>
    <w:p w14:paraId="0015CB3F" w14:textId="6A19A095" w:rsidR="00232594" w:rsidRPr="00921C0C" w:rsidRDefault="00E810D3" w:rsidP="00456F1E">
      <w:pPr>
        <w:rPr>
          <w:rFonts w:cs="Segoe UI"/>
          <w:b/>
          <w:bCs/>
          <w:szCs w:val="22"/>
        </w:rPr>
      </w:pPr>
      <w:r w:rsidRPr="00833869">
        <w:rPr>
          <w:b/>
          <w:noProof/>
          <w:sz w:val="24"/>
          <w:lang w:bidi="hr-HR"/>
        </w:rPr>
        <mc:AlternateContent>
          <mc:Choice Requires="wps">
            <w:drawing>
              <wp:anchor distT="45720" distB="45720" distL="114300" distR="114300" simplePos="0" relativeHeight="251660288" behindDoc="0" locked="0" layoutInCell="1" allowOverlap="1" wp14:anchorId="3117CDF1" wp14:editId="0310383A">
                <wp:simplePos x="0" y="0"/>
                <wp:positionH relativeFrom="margin">
                  <wp:posOffset>-40005</wp:posOffset>
                </wp:positionH>
                <wp:positionV relativeFrom="paragraph">
                  <wp:posOffset>1682321</wp:posOffset>
                </wp:positionV>
                <wp:extent cx="5413973" cy="232834"/>
                <wp:effectExtent l="0" t="0" r="0" b="0"/>
                <wp:wrapNone/>
                <wp:docPr id="214901967" name="Textfeld 2149019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3973" cy="23283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E3A01C7" w14:textId="77777777" w:rsidR="00E810D3" w:rsidRPr="00CF56F5" w:rsidRDefault="00E810D3" w:rsidP="00E810D3">
                            <w:pPr>
                              <w:pStyle w:val="He04Funote"/>
                              <w:rPr>
                                <w:sz w:val="12"/>
                                <w:szCs w:val="12"/>
                                <w:lang w:val="en-US"/>
                              </w:rPr>
                            </w:pPr>
                            <w:r w:rsidRPr="00CF56F5">
                              <w:rPr>
                                <w:sz w:val="12"/>
                                <w:lang w:val="hr-HR" w:bidi="hr-HR"/>
                              </w:rPr>
                              <w:t>* Prilagođeno za jednokratne troškove i dobit te troškove restrukturiranja.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117CDF1" id="_x0000_t202" coordsize="21600,21600" o:spt="202" path="m,l,21600r21600,l21600,xe">
                <v:stroke joinstyle="miter"/>
                <v:path gradientshapeok="t" o:connecttype="rect"/>
              </v:shapetype>
              <v:shape id="Textfeld 214901967" o:spid="_x0000_s1026" type="#_x0000_t202" style="position:absolute;left:0;text-align:left;margin-left:-3.15pt;margin-top:132.45pt;width:426.3pt;height:18.3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" stroked="f">
                <v:textbox>
                  <w:txbxContent>
                    <w:p w14:paraId="1E3A01C7" w14:textId="77777777" w:rsidR="00E810D3" w:rsidRPr="00CF56F5" w:rsidRDefault="00E810D3" w:rsidP="00E810D3">
                      <w:pPr>
                        <w:pStyle w:val="He04Funote"/>
                        <w:rPr>
                          <w:sz w:val="12"/>
                          <w:szCs w:val="12"/>
                          <w:lang w:val="en-US"/>
                        </w:rPr>
                      </w:pPr>
                      <w:r w:rsidRPr="00CF56F5">
                        <w:rPr>
                          <w:sz w:val="12"/>
                          <w:lang w:val="hr-HR" w:bidi="hr-HR"/>
                        </w:rPr>
                        <w:t>* Prilagođeno za jednokratne troškove i dobit te troškove restrukturiranja.</w:t>
                      </w:r>
                    </w:p>
                  </w:txbxContent>
                </v:textbox>
                <w10:wrap anchorx="margin"/>
              </v:shape>
            </w:pict>
          </mc:Fallback>
        </mc:AlternateContent>
      </w:r>
      <w:r w:rsidR="00635616" w:rsidRPr="00921C0C">
        <w:rPr>
          <w:b/>
          <w:lang w:bidi="hr-HR"/>
        </w:rPr>
        <w:t>Düsseldorf – Henkel je ostvario općenito dobre rezultate u izazovnoj poslovnoj godini 2025. koju je obilježio umjereni globalni gospodarski rast u složenom geopolitičkom okruženju. Prodaja Grupe u poslovnoj godini 2025. iznosila je oko 20,5 milijardi eura, a prilagođena operativna marža povećala se za 50 baznih bodova na 14,8 posto. Pri stalnim je tečajevima prilagođena zarada po povlaštenoj dionici porasla za 4,7 posto.</w:t>
      </w:r>
    </w:p>
    <w:p w14:paraId="0AE43438" w14:textId="77777777" w:rsidR="00CC0D1D" w:rsidRDefault="00B671E3" w:rsidP="00B671E3">
      <w:pPr>
        <w:rPr>
          <w:rFonts w:cs="Segoe UI"/>
          <w:b/>
          <w:bCs/>
          <w:szCs w:val="22"/>
        </w:rPr>
      </w:pPr>
      <w:bookmarkStart w:id="5" w:name="_Hlk190074952"/>
      <w:r>
        <w:rPr>
          <w:b/>
          <w:lang w:bidi="hr-HR"/>
        </w:rPr>
        <w:lastRenderedPageBreak/>
        <w:t xml:space="preserve">„Naše poslovno okruženje bilo je i još uvijek je obilježeno velikim izazovima, uključujući vojne sukobe, geopolitičke napetosti u mnogim dijelovima svijeta te dalekosežne trgovinske i carinske sukobe. Nastale neizvjesnosti negativno su utjecale na ponašanje potrošača i industrijsku potražnju. Zbog rata na Bliskom istoku koji je započeo krajem veljače nesigurnosti su se ponovno znatno povećale”, izjavio je glavni izvršni direktor Henkela Carsten Knobel. </w:t>
      </w:r>
    </w:p>
    <w:p w14:paraId="453AF329" w14:textId="03345D19" w:rsidR="00B671E3" w:rsidRDefault="002E3A73" w:rsidP="00B671E3">
      <w:pPr>
        <w:rPr>
          <w:rFonts w:cs="Segoe UI"/>
          <w:b/>
          <w:bCs/>
          <w:szCs w:val="22"/>
        </w:rPr>
      </w:pPr>
      <w:r>
        <w:rPr>
          <w:b/>
          <w:lang w:bidi="hr-HR"/>
        </w:rPr>
        <w:t>„Usprkos nastavku teških gospodarskih uvjeta, Henkel je uspješno napredovao i u 2025. godini. Postigli smo ili čak premašili ključne ciljeve i nastavili poticati transformaciju našeg društva. Organski smo povećali prodaju i značajno poboljšali profitabilnost društva. Želimo da naši dioničari budu dio uspješnog razvoja društva. Stoga ćemo predložiti povećanje dividende od 1,5 posto.”</w:t>
      </w:r>
    </w:p>
    <w:p w14:paraId="6AACD30A" w14:textId="77777777" w:rsidR="005E467A" w:rsidRPr="006D4D0C" w:rsidRDefault="005E467A" w:rsidP="005E467A">
      <w:pPr>
        <w:rPr>
          <w:rFonts w:cs="Segoe UI"/>
          <w:b/>
          <w:bCs/>
          <w:szCs w:val="22"/>
        </w:rPr>
      </w:pPr>
      <w:bookmarkStart w:id="6" w:name="_Hlk190777016"/>
      <w:bookmarkEnd w:id="5"/>
      <w:r>
        <w:rPr>
          <w:b/>
          <w:lang w:bidi="hr-HR"/>
        </w:rPr>
        <w:t xml:space="preserve">„Organski smo povećali prodaju i dodatno poboljšali profitabilnost u obje poslovne jedinice, Ljepila i tehnologije i Consumer Brands, ponajprije daljnjim inovacijama, kontinuiranim mjerama za smanjenje troškova te poboljšanjem učinkovitosti, kao i snažnijim rastom u područjima s visokom maržom. Povećanje marže u poslovnoj jedinici Consumer Brands postignuto je zahvaljujući dovršetku postupka integracije, kontinuiranim uštedama i daljnjom valorizacijom, tj. ciljanim poboljšanjem asortimana proizvoda. Istovremeno smo nastavili ulagati u budućnost oba odjela: u jačanje naših brendova, u inovacije, održivost i digitalizaciju. Osim toga, u posljednja tri mjeseca dogovorili smo stjecanja u obje poslovne jedinice s kombiniranim obujmom prodaje od oko 1,2 milijarde € s ciljem ojačavanja našeg poslovanja i proširenja potencijala za rast dotičnih jedinica. Rezultati za 2025. jasno pokazuju da smo na pravom putu kada je riječ o našoj strategiji za održiv i svrhovit rast, čime se društvo jasno pozicionira za budućnost. </w:t>
      </w:r>
      <w:bookmarkEnd w:id="6"/>
      <w:r>
        <w:rPr>
          <w:b/>
          <w:lang w:bidi="hr-HR"/>
        </w:rPr>
        <w:t>To se odražava i u našim izgledima za poslovnu godinu 2026. u kojoj očekujemo daljnji rast prodaje i zarade, iako će brojke u početku godine vjerojatno biti nešto skromnije. Zahvaljujem svim zaposlenicima na izuzetno uspješnom radu. Zahvaljujući njihovom timskom radu i izvanrednoj predanosti naše je društvo još jednom uspješno prebrodilo izazovne okolnosti”, rekao je Carsten Knobel za kraj.</w:t>
      </w:r>
    </w:p>
    <w:p w14:paraId="1F6D1AFD" w14:textId="664285F4" w:rsidR="006D4D0C" w:rsidRPr="006D4D0C" w:rsidRDefault="006D4D0C" w:rsidP="006D4D0C">
      <w:pPr>
        <w:rPr>
          <w:rFonts w:cs="Segoe UI"/>
          <w:b/>
          <w:bCs/>
          <w:szCs w:val="22"/>
        </w:rPr>
      </w:pPr>
    </w:p>
    <w:p w14:paraId="59F5F4F0" w14:textId="77777777" w:rsidR="006D4D0C" w:rsidRPr="005F750F" w:rsidRDefault="006D4D0C" w:rsidP="001274FA">
      <w:pPr>
        <w:spacing w:after="120"/>
        <w:rPr>
          <w:rFonts w:cs="Segoe UI"/>
          <w:b/>
          <w:bCs/>
          <w:szCs w:val="22"/>
          <w:lang w:eastAsia="de-DE"/>
        </w:rPr>
      </w:pPr>
    </w:p>
    <w:p w14:paraId="2706BE4B" w14:textId="4542CAF1" w:rsidR="000C47D1" w:rsidRPr="006D4D0C" w:rsidRDefault="006D4D0C" w:rsidP="001274FA">
      <w:pPr>
        <w:spacing w:after="120"/>
        <w:rPr>
          <w:rFonts w:cs="Segoe UI"/>
          <w:b/>
          <w:bCs/>
          <w:szCs w:val="22"/>
          <w:lang w:eastAsia="de-DE"/>
        </w:rPr>
      </w:pPr>
      <w:r w:rsidRPr="006D4D0C">
        <w:rPr>
          <w:b/>
          <w:lang w:bidi="hr-HR"/>
        </w:rPr>
        <w:t>Rezultati prodaje i zarade Grupe u poslovnoj godini 2025.</w:t>
      </w:r>
    </w:p>
    <w:p w14:paraId="187DB93D" w14:textId="140D8660" w:rsidR="003C5801" w:rsidRPr="00C83BA4" w:rsidRDefault="003C5801" w:rsidP="003C5801">
      <w:pPr>
        <w:rPr>
          <w:rFonts w:cs="Segoe UI"/>
          <w:szCs w:val="22"/>
        </w:rPr>
      </w:pPr>
      <w:r w:rsidRPr="003C5801">
        <w:rPr>
          <w:b/>
          <w:lang w:bidi="hr-HR"/>
        </w:rPr>
        <w:t>Prodaja Grupe</w:t>
      </w:r>
      <w:r w:rsidRPr="003C5801">
        <w:rPr>
          <w:lang w:bidi="hr-HR"/>
        </w:rPr>
        <w:t xml:space="preserve"> Henkel u poslovnoj godini 2025. iznosila je 20.495 milijuna eura, što predstavlja nominalno smanjenje od –5,1 posto u usporedbi s istim razdobljem prošle godine. Devizni učinci imali su negativan utjecaj na prodaju od –4,2 posto.  Nakon prilagodbe zbog tih deviznih </w:t>
      </w:r>
      <w:r w:rsidRPr="003C5801">
        <w:rPr>
          <w:lang w:bidi="hr-HR"/>
        </w:rPr>
        <w:lastRenderedPageBreak/>
        <w:t xml:space="preserve">učinaka prodaja se smanjila za –0,8 posto. Akvizicije/dezinvesticije također su imale negativan utjecaj na prodaju, uz zabilježen pad od –1,7 posto, uglavnom zbog prodaje odjela s maloprodajnim robnim markama u Sjevernoj Americi u poslovnoj jedinici Consumer Brands. </w:t>
      </w:r>
      <w:r w:rsidRPr="003C5801">
        <w:rPr>
          <w:b/>
          <w:lang w:bidi="hr-HR"/>
        </w:rPr>
        <w:t>Organski rast prodaje</w:t>
      </w:r>
      <w:r w:rsidRPr="003C5801">
        <w:rPr>
          <w:lang w:bidi="hr-HR"/>
        </w:rPr>
        <w:t>, tj. rast prodaje prilagođen za devizne učinke i stjecanja/dezinvesticije, bio je pozitivan i iznosio je 0,9 posto. Taj je rast uglavnom bio uvjetovan cijenama, dok se obujam u usporedbi s prethodnom godinom nije promijenio.</w:t>
      </w:r>
    </w:p>
    <w:p w14:paraId="688727F1" w14:textId="77777777" w:rsidR="003663FD" w:rsidRPr="005F750F" w:rsidRDefault="003663FD" w:rsidP="006C4B3D">
      <w:pPr>
        <w:rPr>
          <w:rFonts w:cs="Segoe UI"/>
          <w:szCs w:val="22"/>
        </w:rPr>
      </w:pPr>
      <w:r w:rsidRPr="003663FD">
        <w:rPr>
          <w:lang w:bidi="hr-HR"/>
        </w:rPr>
        <w:t xml:space="preserve">Poslovna jedinica </w:t>
      </w:r>
      <w:r w:rsidRPr="003663FD">
        <w:rPr>
          <w:b/>
          <w:lang w:bidi="hr-HR"/>
        </w:rPr>
        <w:t>Ljepila i tehnologije</w:t>
      </w:r>
      <w:r w:rsidRPr="003663FD">
        <w:rPr>
          <w:lang w:bidi="hr-HR"/>
        </w:rPr>
        <w:t xml:space="preserve"> ostvarila je dobar organski rast prodaje od 1,5 posto, a rast je posebno bio potaknut poslovnim područjem Mobilnost i elektronika. Poslovna jedinica </w:t>
      </w:r>
      <w:r w:rsidRPr="003663FD">
        <w:rPr>
          <w:b/>
          <w:lang w:bidi="hr-HR"/>
        </w:rPr>
        <w:t>Consumer Brands</w:t>
      </w:r>
      <w:r w:rsidRPr="003663FD">
        <w:rPr>
          <w:lang w:bidi="hr-HR"/>
        </w:rPr>
        <w:t xml:space="preserve"> zabilježila je pozitivan organski rast prodaje od 0,3 posto, koji je osobito bio potaknut poslovnim područjem Proizvodi za njegu kose.</w:t>
      </w:r>
    </w:p>
    <w:p w14:paraId="74F99411" w14:textId="77777777" w:rsidR="006019EB" w:rsidRPr="005F750F" w:rsidRDefault="006019EB" w:rsidP="00D51576">
      <w:pPr>
        <w:rPr>
          <w:rFonts w:cs="Segoe UI"/>
          <w:szCs w:val="22"/>
        </w:rPr>
      </w:pPr>
    </w:p>
    <w:p w14:paraId="2292907A" w14:textId="18CE07F7" w:rsidR="00CE32F0" w:rsidRPr="005F750F" w:rsidRDefault="003663FD" w:rsidP="00CE32F0">
      <w:pPr>
        <w:rPr>
          <w:rFonts w:cs="Segoe UI"/>
          <w:szCs w:val="22"/>
        </w:rPr>
      </w:pPr>
      <w:r w:rsidRPr="003663FD">
        <w:rPr>
          <w:b/>
          <w:lang w:bidi="hr-HR"/>
        </w:rPr>
        <w:t xml:space="preserve">Prilagođena operativna dobit (prilagođeni EBIT) </w:t>
      </w:r>
      <w:r w:rsidRPr="003663FD">
        <w:rPr>
          <w:lang w:bidi="hr-HR"/>
        </w:rPr>
        <w:t>iznosila je 3.026 milijuna eura i manja je od one zabilježene prethodne godine, prije svega zbog značajno negativnih deviznih učinaka (2024.: 3.089 milijuna eura).</w:t>
      </w:r>
    </w:p>
    <w:p w14:paraId="57EC4476" w14:textId="77777777" w:rsidR="00CE32F0" w:rsidRPr="005F750F" w:rsidRDefault="00CE32F0" w:rsidP="00CE32F0">
      <w:pPr>
        <w:rPr>
          <w:rFonts w:cs="Segoe UI"/>
          <w:szCs w:val="22"/>
        </w:rPr>
      </w:pPr>
    </w:p>
    <w:p w14:paraId="0F4FCF0E" w14:textId="55AFDBDD" w:rsidR="00CE32F0" w:rsidRPr="005F750F" w:rsidRDefault="003663FD" w:rsidP="00CE32F0">
      <w:pPr>
        <w:rPr>
          <w:rFonts w:cs="Segoe UI"/>
          <w:szCs w:val="22"/>
        </w:rPr>
      </w:pPr>
      <w:r w:rsidRPr="003663FD">
        <w:rPr>
          <w:lang w:bidi="hr-HR"/>
        </w:rPr>
        <w:t xml:space="preserve">Za razliku od toga, </w:t>
      </w:r>
      <w:r w:rsidRPr="003663FD">
        <w:rPr>
          <w:b/>
          <w:lang w:bidi="hr-HR"/>
        </w:rPr>
        <w:t>prilagođeni prinos od prodaje (prilagođena operativna marža)</w:t>
      </w:r>
      <w:r w:rsidRPr="003663FD">
        <w:rPr>
          <w:lang w:bidi="hr-HR"/>
        </w:rPr>
        <w:t xml:space="preserve"> u promatranoj godini bio je viši u odnosu na isto razdoblje prošle godine i iznosio je 14,8 posto (2024.: 14,3 posto).</w:t>
      </w:r>
    </w:p>
    <w:p w14:paraId="05DF36A0" w14:textId="77777777" w:rsidR="00CE32F0" w:rsidRPr="005F750F" w:rsidRDefault="00CE32F0" w:rsidP="00D51576">
      <w:pPr>
        <w:rPr>
          <w:rFonts w:cs="Segoe UI"/>
          <w:szCs w:val="22"/>
        </w:rPr>
      </w:pPr>
    </w:p>
    <w:p w14:paraId="15D65414" w14:textId="77777777" w:rsidR="003663FD" w:rsidRDefault="003663FD" w:rsidP="00846017">
      <w:pPr>
        <w:rPr>
          <w:rFonts w:cs="Segoe UI"/>
          <w:szCs w:val="22"/>
        </w:rPr>
      </w:pPr>
      <w:bookmarkStart w:id="7" w:name="_Hlk190081485"/>
      <w:r w:rsidRPr="003663FD">
        <w:rPr>
          <w:b/>
          <w:lang w:bidi="hr-HR"/>
        </w:rPr>
        <w:t>Prilagođena zarada po povlaštenoj dionici</w:t>
      </w:r>
      <w:r w:rsidRPr="003663FD">
        <w:rPr>
          <w:lang w:bidi="hr-HR"/>
        </w:rPr>
        <w:t xml:space="preserve"> blago se smanjila za –0,6 posto na 5,33 eura (2024.: 5,36 eura). Pri stalnim je tečajevima prilagođena zarada po povlaštenoj dionici porasla za 4,7 posto. </w:t>
      </w:r>
    </w:p>
    <w:p w14:paraId="5166EAC4" w14:textId="77777777" w:rsidR="003663FD" w:rsidRDefault="003663FD" w:rsidP="00846017">
      <w:pPr>
        <w:rPr>
          <w:rFonts w:cs="Segoe UI"/>
          <w:szCs w:val="22"/>
        </w:rPr>
      </w:pPr>
    </w:p>
    <w:bookmarkEnd w:id="7"/>
    <w:p w14:paraId="31ACBEBE" w14:textId="17EA1E85" w:rsidR="003663FD" w:rsidRDefault="003663FD" w:rsidP="00841353">
      <w:pPr>
        <w:rPr>
          <w:rFonts w:cs="Segoe UI"/>
          <w:szCs w:val="22"/>
        </w:rPr>
      </w:pPr>
      <w:r w:rsidRPr="003663FD">
        <w:rPr>
          <w:b/>
          <w:lang w:bidi="hr-HR"/>
        </w:rPr>
        <w:t>Neto obrtni kapital</w:t>
      </w:r>
      <w:r w:rsidRPr="003663FD">
        <w:rPr>
          <w:lang w:bidi="hr-HR"/>
        </w:rPr>
        <w:t xml:space="preserve"> kao postotak od prodaje iznosio je 3,8 posto, što je porast u odnosu na isto razdoblje prošle godine (2024.: 3,0 posto).</w:t>
      </w:r>
    </w:p>
    <w:p w14:paraId="22824E39" w14:textId="77777777" w:rsidR="00841353" w:rsidRPr="005F750F" w:rsidRDefault="00841353" w:rsidP="00841353">
      <w:pPr>
        <w:rPr>
          <w:rFonts w:cs="Segoe UI"/>
          <w:szCs w:val="22"/>
        </w:rPr>
      </w:pPr>
    </w:p>
    <w:p w14:paraId="5C6A2D6D" w14:textId="1F436AC9" w:rsidR="00740F23" w:rsidRPr="005F750F" w:rsidRDefault="003663FD" w:rsidP="00841353">
      <w:pPr>
        <w:rPr>
          <w:rFonts w:cs="Segoe UI"/>
          <w:szCs w:val="22"/>
        </w:rPr>
      </w:pPr>
      <w:r w:rsidRPr="003663FD">
        <w:rPr>
          <w:b/>
          <w:lang w:bidi="hr-HR"/>
        </w:rPr>
        <w:t>Slobodni novčani tok</w:t>
      </w:r>
      <w:r w:rsidRPr="003663FD">
        <w:rPr>
          <w:lang w:bidi="hr-HR"/>
        </w:rPr>
        <w:t>, u iznosu od 1.850 milijuna eura, bio je manji od prethodne godine (2024.: 2.362 milijuna eura). Takav je razvoj posljedica promjena neto obrtnog kapitala i preračunavanja zbog konverzije tečaja.</w:t>
      </w:r>
      <w:bookmarkStart w:id="8" w:name="_Hlk190081658"/>
    </w:p>
    <w:p w14:paraId="4F8FDF20" w14:textId="77777777" w:rsidR="00740F23" w:rsidRPr="005F750F" w:rsidRDefault="00740F23" w:rsidP="007863BF">
      <w:pPr>
        <w:rPr>
          <w:rFonts w:cs="Segoe UI"/>
          <w:szCs w:val="22"/>
        </w:rPr>
      </w:pPr>
    </w:p>
    <w:p w14:paraId="33A51494" w14:textId="616AAC1E" w:rsidR="00740F23" w:rsidRPr="005F750F" w:rsidRDefault="00DE4DB3" w:rsidP="007863BF">
      <w:pPr>
        <w:rPr>
          <w:rFonts w:cs="Segoe UI"/>
          <w:szCs w:val="22"/>
        </w:rPr>
      </w:pPr>
      <w:r w:rsidRPr="00DE4DB3">
        <w:rPr>
          <w:lang w:bidi="hr-HR"/>
        </w:rPr>
        <w:t xml:space="preserve">Unatoč odljevima gotovine za isplatu dividendi i programu otkupa vlastitih dionica, </w:t>
      </w:r>
      <w:r w:rsidRPr="00DE4DB3">
        <w:rPr>
          <w:b/>
          <w:lang w:bidi="hr-HR"/>
        </w:rPr>
        <w:t>neto financijska pozicija</w:t>
      </w:r>
      <w:r w:rsidRPr="00DE4DB3">
        <w:rPr>
          <w:lang w:bidi="hr-HR"/>
        </w:rPr>
        <w:t xml:space="preserve"> iznosila je 109 milijuna eura, što je veće od razine iz prethodne godine (31. prosinca 2024.: –93 milijuna eura).</w:t>
      </w:r>
    </w:p>
    <w:bookmarkEnd w:id="8"/>
    <w:p w14:paraId="463E60F7" w14:textId="77777777" w:rsidR="003F4E93" w:rsidRPr="005F750F" w:rsidRDefault="003F4E93" w:rsidP="004C0686">
      <w:pPr>
        <w:rPr>
          <w:rFonts w:cs="Segoe UI"/>
        </w:rPr>
      </w:pPr>
    </w:p>
    <w:p w14:paraId="10505EAC" w14:textId="14B39502" w:rsidR="00DE4DB3" w:rsidRDefault="00DE4DB3" w:rsidP="004C0686">
      <w:pPr>
        <w:rPr>
          <w:rFonts w:cs="Segoe UI"/>
        </w:rPr>
      </w:pPr>
      <w:r w:rsidRPr="00DE4DB3">
        <w:rPr>
          <w:lang w:bidi="hr-HR"/>
        </w:rPr>
        <w:lastRenderedPageBreak/>
        <w:t xml:space="preserve">Uprava, Nadzorni odbor i Odbor dioničara predložit će Glavnoj skupštini dioničara, koja će se održati 27. travnja 2026., povećanje </w:t>
      </w:r>
      <w:r w:rsidRPr="00DE4DB3">
        <w:rPr>
          <w:b/>
          <w:lang w:bidi="hr-HR"/>
        </w:rPr>
        <w:t>dividende</w:t>
      </w:r>
      <w:r w:rsidRPr="00DE4DB3">
        <w:rPr>
          <w:lang w:bidi="hr-HR"/>
        </w:rPr>
        <w:t xml:space="preserve"> od 1,5 % u odnosu na prethodnu godinu, što iznosi 2,07 eura po povlaštenoj dionici i 2,05 eura po redovnoj dionici. Povećanje dividende moguće je zahvaljujući dobrim financijskim rezultatima u protekloj poslovnoj godini i snažnim financijskim temeljima Grupe Henkel. Koeficijent isplate ostaje nepromijenjen pri 37,9 posto pa se stoga nalazi unutar ciljnog raspona od 30 do 40 posto. </w:t>
      </w:r>
    </w:p>
    <w:p w14:paraId="33E4D090" w14:textId="77777777" w:rsidR="00CC0D1D" w:rsidRDefault="00CC0D1D" w:rsidP="00CC0D1D">
      <w:pPr>
        <w:spacing w:line="240" w:lineRule="auto"/>
        <w:jc w:val="left"/>
        <w:rPr>
          <w:rFonts w:cs="Segoe UI"/>
          <w:b/>
          <w:bCs/>
          <w:szCs w:val="22"/>
          <w:lang w:eastAsia="de-DE"/>
        </w:rPr>
      </w:pPr>
    </w:p>
    <w:p w14:paraId="20323209" w14:textId="77777777" w:rsidR="00AD3389" w:rsidRDefault="00AD3389" w:rsidP="00CC0D1D">
      <w:pPr>
        <w:spacing w:line="240" w:lineRule="auto"/>
        <w:jc w:val="left"/>
        <w:rPr>
          <w:rFonts w:cs="Segoe UI"/>
          <w:b/>
          <w:bCs/>
          <w:szCs w:val="22"/>
          <w:lang w:eastAsia="de-DE"/>
        </w:rPr>
      </w:pPr>
    </w:p>
    <w:p w14:paraId="29DD895F" w14:textId="77777777" w:rsidR="00AD3389" w:rsidRDefault="00AD3389" w:rsidP="00CC0D1D">
      <w:pPr>
        <w:spacing w:line="240" w:lineRule="auto"/>
        <w:jc w:val="left"/>
        <w:rPr>
          <w:rFonts w:cs="Segoe UI"/>
          <w:b/>
          <w:bCs/>
          <w:szCs w:val="22"/>
          <w:lang w:eastAsia="de-DE"/>
        </w:rPr>
      </w:pPr>
    </w:p>
    <w:p w14:paraId="190C4E41" w14:textId="77777777" w:rsidR="00AD3389" w:rsidRDefault="00AD3389" w:rsidP="00CC0D1D">
      <w:pPr>
        <w:spacing w:line="240" w:lineRule="auto"/>
        <w:jc w:val="left"/>
        <w:rPr>
          <w:rFonts w:cs="Segoe UI"/>
          <w:b/>
          <w:bCs/>
          <w:szCs w:val="22"/>
          <w:lang w:eastAsia="de-DE"/>
        </w:rPr>
      </w:pPr>
    </w:p>
    <w:p w14:paraId="4649C4D4" w14:textId="32EBBF07" w:rsidR="00846017" w:rsidRDefault="00DE4DB3" w:rsidP="00CC0D1D">
      <w:pPr>
        <w:spacing w:line="240" w:lineRule="auto"/>
        <w:jc w:val="left"/>
        <w:rPr>
          <w:rFonts w:cs="Segoe UI"/>
          <w:b/>
          <w:bCs/>
          <w:szCs w:val="22"/>
          <w:lang w:eastAsia="de-DE"/>
        </w:rPr>
      </w:pPr>
      <w:r w:rsidRPr="00B312F1">
        <w:rPr>
          <w:b/>
          <w:lang w:bidi="hr-HR"/>
        </w:rPr>
        <w:t>Rezultat poslovnih jedinica u poslovnoj godini 2025.</w:t>
      </w:r>
    </w:p>
    <w:p w14:paraId="6C992CF0" w14:textId="77777777" w:rsidR="00CC0D1D" w:rsidRPr="00B312F1" w:rsidRDefault="00CC0D1D" w:rsidP="00CC0D1D">
      <w:pPr>
        <w:spacing w:line="240" w:lineRule="auto"/>
        <w:jc w:val="left"/>
        <w:rPr>
          <w:rFonts w:cs="Segoe UI"/>
          <w:b/>
          <w:bCs/>
          <w:szCs w:val="22"/>
          <w:lang w:eastAsia="de-DE"/>
        </w:rPr>
      </w:pPr>
    </w:p>
    <w:p w14:paraId="50922014" w14:textId="67069E74" w:rsidR="004A2703" w:rsidRPr="005F750F" w:rsidRDefault="00B312F1" w:rsidP="00B312F1">
      <w:pPr>
        <w:rPr>
          <w:rFonts w:cs="Segoe UI"/>
          <w:szCs w:val="22"/>
        </w:rPr>
      </w:pPr>
      <w:r w:rsidRPr="00B312F1">
        <w:rPr>
          <w:b/>
          <w:lang w:bidi="hr-HR"/>
        </w:rPr>
        <w:t xml:space="preserve">Prodaja </w:t>
      </w:r>
      <w:r w:rsidRPr="00B312F1">
        <w:rPr>
          <w:lang w:bidi="hr-HR"/>
        </w:rPr>
        <w:t xml:space="preserve">u poslovnoj jedinici </w:t>
      </w:r>
      <w:r w:rsidRPr="00B312F1">
        <w:rPr>
          <w:b/>
          <w:lang w:bidi="hr-HR"/>
        </w:rPr>
        <w:t>Ljepila i tehnologije</w:t>
      </w:r>
      <w:r w:rsidRPr="00B312F1">
        <w:rPr>
          <w:lang w:bidi="hr-HR"/>
        </w:rPr>
        <w:t xml:space="preserve"> dosegla je ukupan iznos od 10.667 milijuna eura u promatranoj godini, što predstavlja nominalno smanjenje od –2,8 posto u odnosu na isto razdoblje prošle godine. Devizni učinci smanjili su prodaju za –4,1 posto. Stjecanja/dezinvesticije imale su utjecaj od –0,1 posto. Prodaja je </w:t>
      </w:r>
      <w:r w:rsidRPr="00B312F1">
        <w:rPr>
          <w:b/>
          <w:lang w:bidi="hr-HR"/>
        </w:rPr>
        <w:t>organski</w:t>
      </w:r>
      <w:r w:rsidRPr="00B312F1">
        <w:rPr>
          <w:lang w:bidi="hr-HR"/>
        </w:rPr>
        <w:t xml:space="preserve"> porasla za 1,5 posto. Taj rast prodaje naročito je potaknut pozitivnim kretanjem količine prodaje u drugoj polovici godine u usporedbi s prethodnom godinom, što je posljedica blago poboljšane potražnje na nekim ključnim krajnjim tržištima. Cijene su se također kretale pozitivno u odnosu na prethodnu godinu. </w:t>
      </w:r>
      <w:bookmarkStart w:id="9" w:name="_Hlk190097207"/>
      <w:r w:rsidRPr="00B312F1">
        <w:rPr>
          <w:b/>
          <w:lang w:bidi="hr-HR"/>
        </w:rPr>
        <w:t xml:space="preserve">Prilagođena operativna dobit </w:t>
      </w:r>
      <w:r w:rsidRPr="00B312F1">
        <w:rPr>
          <w:lang w:bidi="hr-HR"/>
        </w:rPr>
        <w:t xml:space="preserve">bila je malo niža u usporedbi s istim razdobljem prošle godine i iznosila je 1.779 milijuna eura. Bruto marža ostala je na visokoj razini i nije se promijenila u odnosu na prethodnu godinu. </w:t>
      </w:r>
      <w:r w:rsidRPr="00B312F1">
        <w:rPr>
          <w:b/>
          <w:lang w:bidi="hr-HR"/>
        </w:rPr>
        <w:t>Prilagođeni prinos od prodaje</w:t>
      </w:r>
      <w:r w:rsidRPr="00B312F1">
        <w:rPr>
          <w:lang w:bidi="hr-HR"/>
        </w:rPr>
        <w:t xml:space="preserve"> neznatno se povećao u odnosu na isto razdoblje prošle godine i dosegao 16,7 posto.</w:t>
      </w:r>
      <w:bookmarkEnd w:id="9"/>
    </w:p>
    <w:p w14:paraId="282DCCAB" w14:textId="77777777" w:rsidR="004C0686" w:rsidRPr="005F750F" w:rsidRDefault="004C0686" w:rsidP="00024483">
      <w:pPr>
        <w:rPr>
          <w:rFonts w:cs="Segoe UI"/>
          <w:szCs w:val="22"/>
        </w:rPr>
      </w:pPr>
    </w:p>
    <w:p w14:paraId="30A27D47" w14:textId="77777777" w:rsidR="00CC0D1D" w:rsidRDefault="00521B13" w:rsidP="00CC0D1D">
      <w:pPr>
        <w:rPr>
          <w:rFonts w:cs="Segoe UI"/>
          <w:szCs w:val="22"/>
        </w:rPr>
      </w:pPr>
      <w:r w:rsidRPr="00521B13">
        <w:rPr>
          <w:b/>
          <w:lang w:bidi="hr-HR"/>
        </w:rPr>
        <w:t xml:space="preserve">Prodaja </w:t>
      </w:r>
      <w:r w:rsidRPr="00521B13">
        <w:rPr>
          <w:lang w:bidi="hr-HR"/>
        </w:rPr>
        <w:t xml:space="preserve">u poslovnoj jedinici </w:t>
      </w:r>
      <w:r w:rsidRPr="00521B13">
        <w:rPr>
          <w:b/>
          <w:lang w:bidi="hr-HR"/>
        </w:rPr>
        <w:t>Consumer Brands</w:t>
      </w:r>
      <w:r w:rsidRPr="00521B13">
        <w:rPr>
          <w:lang w:bidi="hr-HR"/>
        </w:rPr>
        <w:t xml:space="preserve"> dosegla je ukupan iznos od 9.677 milijuna eura u promatranoj godini, što je nominalno –7,5 posto manje nego u prethodnoj godini. Devizni učinci smanjili su prodaju za –4,4 posto. Stjecanja/dezinvesticije također su negativno utjecale na prodaju uz zabilježeno smanjenje od –3,4 posto, osobito zbog dezinvesticije odjela s maloprodajnim robnim markama u Sjevernoj Americi u travnju 2025. Prodaja je </w:t>
      </w:r>
      <w:r w:rsidRPr="00521B13">
        <w:rPr>
          <w:b/>
          <w:lang w:bidi="hr-HR"/>
        </w:rPr>
        <w:t>organski</w:t>
      </w:r>
      <w:r w:rsidRPr="00521B13">
        <w:rPr>
          <w:lang w:bidi="hr-HR"/>
        </w:rPr>
        <w:t xml:space="preserve"> porasla za 0,3 posto. Navedeno povećanje prodaje potaknuto je dobrim kretanjima cijena, dok se obujam blago smanjio.</w:t>
      </w:r>
      <w:bookmarkStart w:id="10" w:name="_Hlk190100714"/>
      <w:r w:rsidRPr="00521B13">
        <w:rPr>
          <w:lang w:bidi="hr-HR"/>
        </w:rPr>
        <w:t xml:space="preserve"> </w:t>
      </w:r>
      <w:r w:rsidRPr="00521B13">
        <w:rPr>
          <w:b/>
          <w:lang w:bidi="hr-HR"/>
        </w:rPr>
        <w:t>Prilagođena operativna dobit</w:t>
      </w:r>
      <w:r w:rsidRPr="00521B13">
        <w:rPr>
          <w:lang w:bidi="hr-HR"/>
        </w:rPr>
        <w:t xml:space="preserve"> u iznosu od 1.400 milijuna eura bila je gotovo na razini prethodne godine. Za razliku od toga, bruto marža značajno se poboljšala. </w:t>
      </w:r>
      <w:r w:rsidRPr="00521B13">
        <w:rPr>
          <w:b/>
          <w:lang w:bidi="hr-HR"/>
        </w:rPr>
        <w:t>Prilagođeni prinos od prodaje</w:t>
      </w:r>
      <w:r w:rsidRPr="00521B13">
        <w:rPr>
          <w:lang w:bidi="hr-HR"/>
        </w:rPr>
        <w:t xml:space="preserve"> dosegao je 14,5 posto, što predstavlja značajno povećanje u odnosu na isto razdoblje prošle godine. </w:t>
      </w:r>
      <w:bookmarkEnd w:id="10"/>
    </w:p>
    <w:p w14:paraId="39AAD420" w14:textId="697B0CAF" w:rsidR="00A540B0" w:rsidRDefault="00FB398A" w:rsidP="00CC0D1D">
      <w:pPr>
        <w:rPr>
          <w:rFonts w:cs="Segoe UI"/>
          <w:b/>
          <w:bCs/>
          <w:szCs w:val="22"/>
          <w:lang w:eastAsia="de-DE"/>
        </w:rPr>
      </w:pPr>
      <w:r w:rsidRPr="00FB398A">
        <w:rPr>
          <w:b/>
          <w:lang w:bidi="hr-HR"/>
        </w:rPr>
        <w:t>Prognoza za 2026. godinu</w:t>
      </w:r>
    </w:p>
    <w:p w14:paraId="5497CEDF" w14:textId="77777777" w:rsidR="00CC0D1D" w:rsidRPr="00CC0D1D" w:rsidRDefault="00CC0D1D" w:rsidP="00CC0D1D">
      <w:pPr>
        <w:rPr>
          <w:rFonts w:cs="Segoe UI"/>
          <w:szCs w:val="22"/>
        </w:rPr>
      </w:pPr>
    </w:p>
    <w:p w14:paraId="5BC2FF69" w14:textId="6B1219A9" w:rsidR="00A540B0" w:rsidRPr="00FB398A" w:rsidRDefault="00FB398A" w:rsidP="00A540B0">
      <w:pPr>
        <w:rPr>
          <w:rFonts w:cs="Segoe UI"/>
          <w:szCs w:val="22"/>
        </w:rPr>
      </w:pPr>
      <w:r>
        <w:rPr>
          <w:lang w:bidi="hr-HR"/>
        </w:rPr>
        <w:t>Očekuje se da će prijenos prodaje u stranim valutama imati negativan učinak u rasponu jednoznamenkastih postotaka niske vrijednosti. Očekuje se da će cijene izravnih materijala porasti u rasponu jednoznamenkastih postotaka niske vrijednosti u odnosu na godišnji prosjek za 2025. godinu.</w:t>
      </w:r>
    </w:p>
    <w:p w14:paraId="6EFB10DD" w14:textId="77777777" w:rsidR="001F0F3B" w:rsidRDefault="001F0F3B" w:rsidP="00521B13">
      <w:pPr>
        <w:rPr>
          <w:rFonts w:cs="Segoe UI"/>
        </w:rPr>
      </w:pPr>
    </w:p>
    <w:p w14:paraId="668E42FE" w14:textId="0658F390" w:rsidR="00FB398A" w:rsidRPr="00F46706" w:rsidRDefault="00FB398A" w:rsidP="00521B13">
      <w:pPr>
        <w:rPr>
          <w:rFonts w:cs="Segoe UI"/>
          <w:szCs w:val="22"/>
        </w:rPr>
      </w:pPr>
      <w:r w:rsidRPr="287BFAB7">
        <w:rPr>
          <w:lang w:bidi="hr-HR"/>
        </w:rPr>
        <w:t xml:space="preserve">Uzimajući u obzir ove pretpostavke, Henkel očekuje ostvariti </w:t>
      </w:r>
      <w:r w:rsidRPr="287BFAB7">
        <w:rPr>
          <w:b/>
          <w:lang w:bidi="hr-HR"/>
        </w:rPr>
        <w:t>organski rast prodaje</w:t>
      </w:r>
      <w:r w:rsidRPr="287BFAB7">
        <w:rPr>
          <w:lang w:bidi="hr-HR"/>
        </w:rPr>
        <w:t xml:space="preserve"> od 1,0 do 3,0 posto u poslovnoj godini 2026. Očekuje se da će organski rast iznositi između 1,0 i 3,0 posto za poslovnu jedinicu Ljepila i tehnologije te između 0,5 i 2,5 posto za Consumer Brands. Očekuje se da će </w:t>
      </w:r>
      <w:r w:rsidRPr="287BFAB7">
        <w:rPr>
          <w:b/>
          <w:lang w:bidi="hr-HR"/>
        </w:rPr>
        <w:t>prilagođeni prinos od prodaje (prilagođena operativna marža)</w:t>
      </w:r>
      <w:r w:rsidRPr="287BFAB7">
        <w:rPr>
          <w:lang w:bidi="hr-HR"/>
        </w:rPr>
        <w:t xml:space="preserve"> biti u rasponu od 14,5 do 16,0 posto. Očekuje se da će prilagođeni prinos od prodaje iznositi između 16,5 i 18,0 posto za poslovnu jedinicu Ljepila i tehnologije te između 14,0 i 15,5 posto za poslovnu jedinicu Consumer Brands. U slučaju stalnog tečaja, očekuje se da će </w:t>
      </w:r>
      <w:r w:rsidRPr="287BFAB7">
        <w:rPr>
          <w:b/>
          <w:lang w:bidi="hr-HR"/>
        </w:rPr>
        <w:t>prilagođena dobit po povlaštenoj dionici (EPS)</w:t>
      </w:r>
      <w:r w:rsidRPr="287BFAB7">
        <w:rPr>
          <w:lang w:bidi="hr-HR"/>
        </w:rPr>
        <w:t xml:space="preserve"> porasti u rasponu jednoznamenkastih postotaka od niske do visoke vrijednosti.</w:t>
      </w:r>
    </w:p>
    <w:p w14:paraId="2B58C77B" w14:textId="77777777" w:rsidR="00A540B0" w:rsidRPr="00F46706" w:rsidRDefault="00A540B0" w:rsidP="008450BB">
      <w:pPr>
        <w:rPr>
          <w:rFonts w:cs="Segoe UI"/>
          <w:b/>
          <w:bCs/>
          <w:szCs w:val="22"/>
          <w:lang w:eastAsia="de-DE"/>
        </w:rPr>
      </w:pPr>
    </w:p>
    <w:p w14:paraId="3CA667B6" w14:textId="77777777" w:rsidR="00AD3389" w:rsidRDefault="00AD3389" w:rsidP="008450BB">
      <w:pPr>
        <w:rPr>
          <w:rFonts w:cs="Segoe UI"/>
          <w:b/>
          <w:bCs/>
          <w:szCs w:val="22"/>
          <w:lang w:eastAsia="de-DE"/>
        </w:rPr>
      </w:pPr>
    </w:p>
    <w:p w14:paraId="40F954B1" w14:textId="77777777" w:rsidR="00AD3389" w:rsidRDefault="00AD3389" w:rsidP="008450BB">
      <w:pPr>
        <w:rPr>
          <w:rFonts w:cs="Segoe UI"/>
          <w:b/>
          <w:bCs/>
          <w:szCs w:val="22"/>
          <w:lang w:eastAsia="de-DE"/>
        </w:rPr>
      </w:pPr>
    </w:p>
    <w:p w14:paraId="11D49CDC" w14:textId="77777777" w:rsidR="00AD3389" w:rsidRDefault="00AD3389" w:rsidP="008450BB">
      <w:pPr>
        <w:rPr>
          <w:rFonts w:cs="Segoe UI"/>
          <w:b/>
          <w:bCs/>
          <w:szCs w:val="22"/>
          <w:lang w:eastAsia="de-DE"/>
        </w:rPr>
      </w:pPr>
    </w:p>
    <w:p w14:paraId="282D382E" w14:textId="3832D9A7" w:rsidR="006E1A70" w:rsidRPr="00467CC0" w:rsidRDefault="00467CC0" w:rsidP="008450BB">
      <w:pPr>
        <w:rPr>
          <w:rFonts w:cs="Segoe UI"/>
          <w:b/>
          <w:bCs/>
          <w:szCs w:val="22"/>
          <w:lang w:eastAsia="de-DE"/>
        </w:rPr>
      </w:pPr>
      <w:r w:rsidRPr="00F46706">
        <w:rPr>
          <w:b/>
          <w:lang w:bidi="hr-HR"/>
        </w:rPr>
        <w:t>Veliki napredak u procesu transformacije</w:t>
      </w:r>
    </w:p>
    <w:p w14:paraId="4790C752" w14:textId="2EC5B2DF" w:rsidR="00875A71" w:rsidRDefault="00875A71" w:rsidP="00B05ECC">
      <w:pPr>
        <w:rPr>
          <w:rFonts w:cs="Segoe UI"/>
          <w:szCs w:val="22"/>
        </w:rPr>
      </w:pPr>
      <w:r w:rsidRPr="00875A71">
        <w:rPr>
          <w:lang w:bidi="hr-HR"/>
        </w:rPr>
        <w:t xml:space="preserve">Tijekom posljednjih godina Henkel se iz temelja obnovio u mnogim područjima te dosljedno provodio svoj strateški program za svrhoviti rast. Ključni je čimbenik dugoročnog uspjeha spremnost na kontinuirani razvoj i aktivno oblikovanje promjena. </w:t>
      </w:r>
    </w:p>
    <w:p w14:paraId="45F7F611" w14:textId="6AC974FB" w:rsidR="00B05ECC" w:rsidRPr="005F750F" w:rsidRDefault="00B05ECC" w:rsidP="00B05ECC">
      <w:pPr>
        <w:rPr>
          <w:rFonts w:cs="Segoe UI"/>
          <w:szCs w:val="22"/>
        </w:rPr>
      </w:pPr>
    </w:p>
    <w:p w14:paraId="29ED0BF6" w14:textId="251A3DDC" w:rsidR="006E1A70" w:rsidRPr="009C6158" w:rsidRDefault="00B2292F" w:rsidP="006E1A70">
      <w:pPr>
        <w:spacing w:after="120"/>
        <w:jc w:val="left"/>
        <w:rPr>
          <w:rFonts w:cs="Segoe UI"/>
          <w:b/>
          <w:bCs/>
          <w:szCs w:val="22"/>
          <w:lang w:eastAsia="de-DE"/>
        </w:rPr>
      </w:pPr>
      <w:r w:rsidRPr="009C6158">
        <w:rPr>
          <w:b/>
          <w:lang w:bidi="hr-HR"/>
        </w:rPr>
        <w:t>Consumer Brands: spajanje je uspješno dovršeno</w:t>
      </w:r>
    </w:p>
    <w:p w14:paraId="18CACE59" w14:textId="5A9EEA10" w:rsidR="0024732C" w:rsidRPr="009C6158" w:rsidRDefault="00FB4BF5" w:rsidP="0024732C">
      <w:pPr>
        <w:rPr>
          <w:rFonts w:cs="Segoe UI"/>
          <w:szCs w:val="22"/>
        </w:rPr>
      </w:pPr>
      <w:r w:rsidRPr="00FB4BF5">
        <w:rPr>
          <w:lang w:bidi="hr-HR"/>
        </w:rPr>
        <w:t xml:space="preserve">Spajanje odjela za robu široke potrošnje u poslovnu jedinicu </w:t>
      </w:r>
      <w:r w:rsidRPr="00FB4BF5">
        <w:rPr>
          <w:b/>
          <w:lang w:bidi="hr-HR"/>
        </w:rPr>
        <w:t>Consumer Brands</w:t>
      </w:r>
      <w:r w:rsidRPr="00FB4BF5">
        <w:rPr>
          <w:lang w:bidi="hr-HR"/>
        </w:rPr>
        <w:t>, koje je najavljeno početkom 2022., dovršeno je krajem poslovne godine 2025. Sveukupno su prvotni ciljevi godišnje uštede od 525 milijuna eura nadmašeni do kraja poslovne godine 2025. Time je uspješno završena integracija poslovne jedinice Consumer Brands – godinu dana ranije nego što je prvotno planirano.</w:t>
      </w:r>
      <w:bookmarkStart w:id="11" w:name="_Hlk190100871"/>
    </w:p>
    <w:p w14:paraId="15975637" w14:textId="77777777" w:rsidR="00ED1B01" w:rsidRDefault="00ED1B01" w:rsidP="0024732C">
      <w:pPr>
        <w:rPr>
          <w:rFonts w:cs="Segoe UI"/>
          <w:szCs w:val="22"/>
          <w:lang w:eastAsia="de-DE"/>
        </w:rPr>
      </w:pPr>
    </w:p>
    <w:p w14:paraId="5321A51A" w14:textId="4DC6F3C7" w:rsidR="00875A71" w:rsidRDefault="004D1DBD" w:rsidP="00CC0D1D">
      <w:pPr>
        <w:rPr>
          <w:rFonts w:cs="Segoe UI"/>
          <w:szCs w:val="22"/>
        </w:rPr>
      </w:pPr>
      <w:r>
        <w:rPr>
          <w:lang w:bidi="hr-HR"/>
        </w:rPr>
        <w:t xml:space="preserve">U isto vrijeme poslovna jedinica Consumer Brands bila je dosljedno usredotočena na snažne brendove i poslovanje s visokim bruto maržama, kao i na vodeće položaje na tržištima i u raznim kategorijama. Usmjerenost na visokorastuće i visokoprofitabilne brendove i poslovanja </w:t>
      </w:r>
      <w:r>
        <w:rPr>
          <w:lang w:bidi="hr-HR"/>
        </w:rPr>
        <w:lastRenderedPageBreak/>
        <w:t xml:space="preserve">se isplati: prvih deset brendova u sklopu poslovne jedinice Consumer Brands, koje su činile gotovo 60 posto prihoda u 2025., zabilježile su vrlo snažan organski rast, uz pozitivan porast obujma. </w:t>
      </w:r>
      <w:bookmarkEnd w:id="11"/>
    </w:p>
    <w:p w14:paraId="1D57F3EB" w14:textId="77777777" w:rsidR="00AD3389" w:rsidRPr="00CC0D1D" w:rsidRDefault="00AD3389" w:rsidP="00CC0D1D">
      <w:pPr>
        <w:rPr>
          <w:rFonts w:cs="Segoe UI"/>
          <w:szCs w:val="22"/>
        </w:rPr>
      </w:pPr>
    </w:p>
    <w:p w14:paraId="2024FF95" w14:textId="793747AD" w:rsidR="00E21F5D" w:rsidRPr="00E21F5D" w:rsidRDefault="00E21F5D" w:rsidP="00E21F5D">
      <w:pPr>
        <w:spacing w:after="120"/>
        <w:rPr>
          <w:rFonts w:cs="Segoe UI"/>
          <w:b/>
          <w:bCs/>
          <w:szCs w:val="22"/>
          <w:lang w:eastAsia="de-DE"/>
        </w:rPr>
      </w:pPr>
      <w:r w:rsidRPr="00E21F5D">
        <w:rPr>
          <w:b/>
          <w:lang w:bidi="hr-HR"/>
        </w:rPr>
        <w:t>Dosljedna provedba strateškog programa</w:t>
      </w:r>
    </w:p>
    <w:p w14:paraId="4AAE23F0" w14:textId="1522F3CD" w:rsidR="00E21F5D" w:rsidRDefault="00E21F5D" w:rsidP="00DE567C">
      <w:pPr>
        <w:autoSpaceDE w:val="0"/>
        <w:autoSpaceDN w:val="0"/>
        <w:adjustRightInd w:val="0"/>
        <w:rPr>
          <w:rFonts w:cs="Segoe UI"/>
          <w:bCs/>
          <w:szCs w:val="22"/>
        </w:rPr>
      </w:pPr>
      <w:r w:rsidRPr="00E21F5D">
        <w:rPr>
          <w:lang w:bidi="hr-HR"/>
        </w:rPr>
        <w:t xml:space="preserve">U sklopu svojeg </w:t>
      </w:r>
      <w:r w:rsidRPr="00E21F5D">
        <w:rPr>
          <w:b/>
          <w:lang w:bidi="hr-HR"/>
        </w:rPr>
        <w:t>aktivnog upravljanja asortimanom</w:t>
      </w:r>
      <w:r w:rsidRPr="00E21F5D">
        <w:rPr>
          <w:lang w:bidi="hr-HR"/>
        </w:rPr>
        <w:t xml:space="preserve"> Henkel je dodatno razvio svoj asortiman prestankom poslovanja ili dezinvesticijom određenih poslovnih djelatnosti te stjecanjima. Dezinvesticijom odjela s maloprodajnim robnim markama u Sjevernoj Americi, koja je uspješno dovršena u proljeće 2025., Henkel je dovršio mjere za asortiman najavljene na početku procesa spajanja svojih ranije odvojenih jedinica robe široke potrošnje. Od početka 2022. godine Henkel je tako prodao ili ukinuo brendove i aktivnosti čija je prodaja iznosila nešto više od 1 milijarde eura. </w:t>
      </w:r>
    </w:p>
    <w:p w14:paraId="0F99C05C" w14:textId="77777777" w:rsidR="00E21F5D" w:rsidRPr="0006442E" w:rsidRDefault="00E21F5D" w:rsidP="008762E7">
      <w:pPr>
        <w:autoSpaceDE w:val="0"/>
        <w:autoSpaceDN w:val="0"/>
        <w:adjustRightInd w:val="0"/>
        <w:rPr>
          <w:rFonts w:cs="Segoe UI"/>
          <w:bCs/>
          <w:szCs w:val="22"/>
        </w:rPr>
      </w:pPr>
    </w:p>
    <w:p w14:paraId="021BE4F3" w14:textId="13188DDC" w:rsidR="00DD5FF5" w:rsidRPr="00DD5FF5" w:rsidRDefault="00E21F5D" w:rsidP="00DD5FF5">
      <w:pPr>
        <w:autoSpaceDE w:val="0"/>
        <w:autoSpaceDN w:val="0"/>
        <w:adjustRightInd w:val="0"/>
        <w:rPr>
          <w:rFonts w:cs="Segoe UI"/>
          <w:bCs/>
          <w:szCs w:val="22"/>
        </w:rPr>
      </w:pPr>
      <w:r w:rsidRPr="00E21F5D">
        <w:rPr>
          <w:lang w:bidi="hr-HR"/>
        </w:rPr>
        <w:t xml:space="preserve">Proširenje portfelja ciljanim </w:t>
      </w:r>
      <w:r w:rsidRPr="00E21F5D">
        <w:rPr>
          <w:b/>
          <w:lang w:bidi="hr-HR"/>
        </w:rPr>
        <w:t>stjecanjima</w:t>
      </w:r>
      <w:r w:rsidRPr="00E21F5D">
        <w:rPr>
          <w:lang w:bidi="hr-HR"/>
        </w:rPr>
        <w:t xml:space="preserve"> također je sastavni dio Henkelova programa rasta. Henkel je 2025. potpisao ugovor o stjecanju društva ATP Adhesive Systems AG. Društvo sa sjedištem u Švicarskoj vodeći je dobavljač visokokvalitetnih specijalnih traka na bazi vode za širok raspon krajnjih tržišta, uključujući industriju motornih vozila, te elektroničku, medicinsku, građevinsku i grafičku industriju. ATP ima čvrstu tržišnu poziciju u Sjevernoj Americi i Europi te je u poslovnoj godini 2025. ostvario prodaju od oko 270 milijuna eura. </w:t>
      </w:r>
    </w:p>
    <w:p w14:paraId="086542D4" w14:textId="77777777" w:rsidR="00DD5FF5" w:rsidRPr="009C6158" w:rsidRDefault="00DD5FF5" w:rsidP="00DE567C">
      <w:pPr>
        <w:autoSpaceDE w:val="0"/>
        <w:autoSpaceDN w:val="0"/>
        <w:adjustRightInd w:val="0"/>
        <w:rPr>
          <w:rFonts w:cs="Segoe UI"/>
          <w:bCs/>
          <w:szCs w:val="22"/>
        </w:rPr>
      </w:pPr>
    </w:p>
    <w:p w14:paraId="76CA2124" w14:textId="5E91954D" w:rsidR="00DD5FF5" w:rsidRDefault="00DD5FF5" w:rsidP="00DD5FF5">
      <w:pPr>
        <w:autoSpaceDE w:val="0"/>
        <w:autoSpaceDN w:val="0"/>
        <w:adjustRightInd w:val="0"/>
        <w:rPr>
          <w:rFonts w:cs="Segoe UI"/>
          <w:bCs/>
          <w:szCs w:val="22"/>
        </w:rPr>
      </w:pPr>
      <w:r>
        <w:rPr>
          <w:lang w:bidi="hr-HR"/>
        </w:rPr>
        <w:t xml:space="preserve">U veljači 2026. Henkel je dogovorio stjecanje nizozemske Grupe Stahl. Društvo je globalni akter u proizvodnji visokoučinkovitih specijalnih premaza za fleksibilne materijale te opskrbljuje vodeća globalna društva u industriji motornih vozila, sektoru mode i životnog stila te industriji ambalaža. U poslovnoj godini 2025. Stahl je ostvario prodaju od oko 725 milijuna eura s uravnoteženom regionalnom zastupljenošću. </w:t>
      </w:r>
    </w:p>
    <w:p w14:paraId="46DB7840" w14:textId="77777777" w:rsidR="00DD5FF5" w:rsidRDefault="00DD5FF5" w:rsidP="00DD5FF5">
      <w:pPr>
        <w:autoSpaceDE w:val="0"/>
        <w:autoSpaceDN w:val="0"/>
        <w:adjustRightInd w:val="0"/>
        <w:rPr>
          <w:rFonts w:cs="Segoe UI"/>
          <w:bCs/>
          <w:szCs w:val="22"/>
        </w:rPr>
      </w:pPr>
    </w:p>
    <w:p w14:paraId="2248A617" w14:textId="4E9A55C6" w:rsidR="00EA5996" w:rsidRDefault="00EA5996" w:rsidP="00EA5996">
      <w:pPr>
        <w:autoSpaceDE w:val="0"/>
        <w:autoSpaceDN w:val="0"/>
        <w:adjustRightInd w:val="0"/>
        <w:rPr>
          <w:rFonts w:cs="Segoe UI"/>
          <w:bCs/>
          <w:szCs w:val="22"/>
        </w:rPr>
      </w:pPr>
      <w:r w:rsidRPr="00EA5996">
        <w:rPr>
          <w:lang w:bidi="hr-HR"/>
        </w:rPr>
        <w:t>Osim toga, Henkel je početkom ožujka potpisao ugovor o stjecanju brenda „Not Your Mother’s”, jednog od vodećih brendova široke potrošnje za njegu i oblikovanje kose u Sjevernoj Americi. Na taj način Henkel jača svoj položaj u poslovanju s proizvodima za njegu kose, što je jedna od glavnih kategorija u poslovnoj jedinici Consumer Brands. „Not Your Mother’s” uspješan je i brzorastući brend za njegu kosu sa širokim asortimanom šampona i regeneratora te proizvoda za tretiranje i oblikovanje kose. U poslovnoj godini 2025. brend je ostvario prodaju od oko 190 milijuna eura s dvoznamenkastim rastom i visokom razinom profitabilnosti.</w:t>
      </w:r>
    </w:p>
    <w:p w14:paraId="40FD5790" w14:textId="77777777" w:rsidR="00EA5996" w:rsidRDefault="00EA5996" w:rsidP="00DD5FF5">
      <w:pPr>
        <w:autoSpaceDE w:val="0"/>
        <w:autoSpaceDN w:val="0"/>
        <w:adjustRightInd w:val="0"/>
        <w:rPr>
          <w:rFonts w:cs="Segoe UI"/>
          <w:bCs/>
          <w:szCs w:val="22"/>
        </w:rPr>
      </w:pPr>
    </w:p>
    <w:p w14:paraId="7255BCCF" w14:textId="23C1D3D8" w:rsidR="00C249E3" w:rsidRDefault="00C249E3" w:rsidP="00841179">
      <w:pPr>
        <w:pStyle w:val="Topline"/>
        <w:spacing w:before="0" w:after="0"/>
      </w:pPr>
      <w:r w:rsidRPr="00C249E3">
        <w:rPr>
          <w:lang w:bidi="hr-HR"/>
        </w:rPr>
        <w:lastRenderedPageBreak/>
        <w:t xml:space="preserve">Te nedavne transakcije, za čiju se finalizaciju još čekaju uobičajena regulatorna odobrenja i potvrde tijela za zaštitu tržišnog natjecanja, </w:t>
      </w:r>
      <w:r w:rsidRPr="00C249E3">
        <w:rPr>
          <w:b/>
          <w:lang w:bidi="hr-HR"/>
        </w:rPr>
        <w:t>donose ukupno povećanje prihoda od prodaje za oko 1,2 milijarde eura</w:t>
      </w:r>
      <w:r w:rsidRPr="00C249E3">
        <w:rPr>
          <w:lang w:bidi="hr-HR"/>
        </w:rPr>
        <w:t xml:space="preserve">. Time se dodatno </w:t>
      </w:r>
      <w:r w:rsidRPr="00C249E3">
        <w:rPr>
          <w:b/>
          <w:lang w:bidi="hr-HR"/>
        </w:rPr>
        <w:t xml:space="preserve">osnažuje potencijal rasta </w:t>
      </w:r>
      <w:r w:rsidRPr="00C249E3">
        <w:rPr>
          <w:lang w:bidi="hr-HR"/>
        </w:rPr>
        <w:t>vodeće poslovne jedinice Ljepila i tehnologije, kao i poslovne jedinice Consumer Brands.</w:t>
      </w:r>
    </w:p>
    <w:p w14:paraId="2C100848" w14:textId="77777777" w:rsidR="00DD5FF5" w:rsidRPr="009C6158" w:rsidRDefault="00DD5FF5" w:rsidP="00841179">
      <w:pPr>
        <w:pStyle w:val="Topline"/>
        <w:spacing w:before="0" w:after="0"/>
      </w:pPr>
    </w:p>
    <w:p w14:paraId="5475D3A1" w14:textId="779AEDAA" w:rsidR="00B027BA" w:rsidRDefault="00E21F5D" w:rsidP="007B2C2C">
      <w:pPr>
        <w:rPr>
          <w:rFonts w:cs="Segoe UI"/>
          <w:bCs/>
          <w:szCs w:val="22"/>
        </w:rPr>
      </w:pPr>
      <w:r w:rsidRPr="00E21F5D">
        <w:rPr>
          <w:lang w:bidi="hr-HR"/>
        </w:rPr>
        <w:t xml:space="preserve">Henkel je 2025. uveo brojne </w:t>
      </w:r>
      <w:r w:rsidRPr="00E21F5D">
        <w:rPr>
          <w:b/>
          <w:lang w:bidi="hr-HR"/>
        </w:rPr>
        <w:t>inovacije</w:t>
      </w:r>
      <w:r w:rsidRPr="00E21F5D">
        <w:rPr>
          <w:lang w:bidi="hr-HR"/>
        </w:rPr>
        <w:t xml:space="preserve"> na tržište te time ponudio rješenja za važne trendove i stvorio vrijednost za kupce i potrošače. </w:t>
      </w:r>
      <w:bookmarkStart w:id="12" w:name="_Hlk190180076"/>
      <w:r w:rsidRPr="00E21F5D">
        <w:rPr>
          <w:lang w:bidi="hr-HR"/>
        </w:rPr>
        <w:t>Na tržištu robe široke potrošnje inovacija je ključni čimbenik za uspješno diferenciranje. Jedan od primjera nova je boja za kosu Creme Supreme brenda Schwarzkopf. Inspiriran profesionalnim načinima primjene u frizerskim salonima, Henkel je razvio Creme Supreme, novu tehnologiju koja jača i njeguje strukturu kose stvaranjem mikroveza. Te mikroveze učinkovitije povezuju vlakna kose i tvore poseban zaštitni sloj oko vlasi. Zbog toga se kosa znatno manje lomi, što je jedan od glavnih problema potrošača prilikom bojenja kose.</w:t>
      </w:r>
    </w:p>
    <w:p w14:paraId="2F9AD5B3" w14:textId="1B2B5BE4" w:rsidR="00D64961" w:rsidRPr="0006442E" w:rsidRDefault="007B2C2C" w:rsidP="00484218">
      <w:pPr>
        <w:rPr>
          <w:rFonts w:cs="Segoe UI"/>
          <w:bCs/>
          <w:szCs w:val="22"/>
        </w:rPr>
      </w:pPr>
      <w:r w:rsidRPr="007B2C2C">
        <w:rPr>
          <w:lang w:bidi="hr-HR"/>
        </w:rPr>
        <w:t>Koncept „House of Hair” također igra važnu ulogu u razvoju inovacija u kategoriji Proizvoda za njegu kose. Henkel je od ožujka 2025. na jednoj lokaciji u Hamburgu objedinio ključne odjele svojeg poslovanja s kozmetičkim proizvodima za kosu u Njemačkoj: od istraživanja i razvoja te testnih salona do marketinga i Akademije za kosu. Tamo više od 300 stručnjaka blisko surađuje na razvoju inovativnih proizvoda. Osim Hamburga, postoje još četiri lokacije u Los Angelesu, Tokiju, Šangaju i Guadalajari. Svaka od ovih lokacija ima ključnu ulogu u razvoju kozmetičkih proizvoda za kosu prilagođenih kupcima, čime se izravno reagira na specifične potrebe različitih regionalnih tržišta.</w:t>
      </w:r>
    </w:p>
    <w:p w14:paraId="2FE51A11" w14:textId="77777777" w:rsidR="00B027BA" w:rsidRPr="0006442E" w:rsidRDefault="00B027BA" w:rsidP="00273099">
      <w:pPr>
        <w:rPr>
          <w:rFonts w:cs="Segoe UI"/>
          <w:bCs/>
          <w:szCs w:val="22"/>
        </w:rPr>
      </w:pPr>
    </w:p>
    <w:p w14:paraId="7B6A7686" w14:textId="205968ED" w:rsidR="00545516" w:rsidRDefault="00545516" w:rsidP="00545516">
      <w:pPr>
        <w:rPr>
          <w:rFonts w:cs="Segoe UI"/>
          <w:bCs/>
          <w:szCs w:val="22"/>
        </w:rPr>
      </w:pPr>
      <w:r w:rsidRPr="00545516">
        <w:rPr>
          <w:lang w:bidi="hr-HR"/>
        </w:rPr>
        <w:t xml:space="preserve">Inovacije su ujedno i temelj uspjeha poslovne jedinice Ljepila i tehnologije. Henkel stoga nastavlja s kontinuiranim ulaganjima kako bi zadržao vodeću poziciju na konkurentnom tržištu. Ključni je prioritet širenje mreže najsuvremenijih istraživačkih i inovacijskih centara. Takvi „centri inspiracije” već neko vrijeme djeluju u Düsseldorfu, Mumbaiju u Indiji i New Jerseyju u SAD-u. Godine 2025. Henkel je otvorio još jedan Inspiration Center u Šangaju za azijsko-pacifičku regiju, uz ulaganje od 60 milijuna eura. Više od 500 suradnika na području istraživanja i razvoja radi u tom centru zajedno s kupcima iz širokog raspona industrija. </w:t>
      </w:r>
    </w:p>
    <w:bookmarkEnd w:id="12"/>
    <w:p w14:paraId="14D137F5" w14:textId="77777777" w:rsidR="00A2751B" w:rsidRPr="009C6158" w:rsidRDefault="00A2751B" w:rsidP="008E6661">
      <w:pPr>
        <w:rPr>
          <w:rFonts w:cs="Segoe UI"/>
          <w:bCs/>
          <w:szCs w:val="22"/>
        </w:rPr>
      </w:pPr>
    </w:p>
    <w:p w14:paraId="7AAEEAC0" w14:textId="57B0E1CB" w:rsidR="00E810D3" w:rsidRPr="00921C0C" w:rsidRDefault="00E810D3" w:rsidP="00E810D3">
      <w:pPr>
        <w:rPr>
          <w:rFonts w:cs="Segoe UI"/>
          <w:bCs/>
          <w:szCs w:val="22"/>
        </w:rPr>
      </w:pPr>
      <w:bookmarkStart w:id="13" w:name="_Hlk190180237"/>
      <w:r w:rsidRPr="00E810D3">
        <w:rPr>
          <w:lang w:bidi="hr-HR"/>
        </w:rPr>
        <w:t xml:space="preserve">Smanjenje emisija kroz cijeli vrijednosni lanac i dalje je jedan od Henkelovih prioriteta u području </w:t>
      </w:r>
      <w:r w:rsidRPr="00E810D3">
        <w:rPr>
          <w:b/>
          <w:lang w:bidi="hr-HR"/>
        </w:rPr>
        <w:t>održivosti</w:t>
      </w:r>
      <w:r w:rsidRPr="00E810D3">
        <w:rPr>
          <w:lang w:bidi="hr-HR"/>
        </w:rPr>
        <w:t xml:space="preserve">. Do 2045. društvo namjerava smanjiti svoje apsolutne emisije stakleničkih plinova opsega 1, 2 i 3 za 90 posto (u usporedbi s baznom godinom 2021.) i time postići nultu neto vrijednost. Henkel je prošle godine ostvario napredak u sve tri kategorije opsega i već je smanjio svoje emisije za 29 % u usporedbi s baznom godinom 2021. Henkel je ostvario iskorak </w:t>
      </w:r>
      <w:r w:rsidRPr="00E810D3">
        <w:rPr>
          <w:lang w:bidi="hr-HR"/>
        </w:rPr>
        <w:lastRenderedPageBreak/>
        <w:t>i u području održivih opskrbnih lanaca. Udio sirovina na bazi palminog ulja koje potječu iz provjerenih i certificiranih izvora dosegnuo je 98 %. Društvo je dodatno unaprijedilo svoje rezultate u okviru međunarodno priznatih sustava ocjenjivanja održivosti. Između ostalog, Henkel je po prvi put dobio ocjenu A u kategoriji klimatskih promjena prema procjeni organizacije CDP za 2025. godinu. Također, dodatni napredak zabilježen je i u najnovijem ocjenjivanju platforme EcoVadis, gdje je Henkel ponovno osvojio zlatno priznanje.</w:t>
      </w:r>
    </w:p>
    <w:bookmarkEnd w:id="13"/>
    <w:p w14:paraId="1A3BACE2" w14:textId="77777777" w:rsidR="00607621" w:rsidRPr="00FB4BF5" w:rsidRDefault="00607621" w:rsidP="00607621">
      <w:pPr>
        <w:rPr>
          <w:rFonts w:cs="Segoe UI"/>
          <w:szCs w:val="22"/>
          <w:lang w:eastAsia="de-DE"/>
        </w:rPr>
      </w:pPr>
    </w:p>
    <w:p w14:paraId="4312476B" w14:textId="41AACDF9" w:rsidR="00FE00EA" w:rsidRPr="003A11DF" w:rsidRDefault="00FE00EA" w:rsidP="00765D0E">
      <w:pPr>
        <w:spacing w:after="120"/>
        <w:rPr>
          <w:rFonts w:cs="Segoe UI"/>
          <w:b/>
          <w:bCs/>
          <w:szCs w:val="22"/>
          <w:lang w:eastAsia="de-DE"/>
        </w:rPr>
      </w:pPr>
      <w:r w:rsidRPr="003A11DF">
        <w:rPr>
          <w:b/>
          <w:lang w:bidi="hr-HR"/>
        </w:rPr>
        <w:t>Henkel slavi 150 godina uspješne povijesti</w:t>
      </w:r>
    </w:p>
    <w:p w14:paraId="1E91AE04" w14:textId="7696E3B7" w:rsidR="00062741" w:rsidRPr="001058F1" w:rsidRDefault="00062741" w:rsidP="00062741">
      <w:pPr>
        <w:rPr>
          <w:rFonts w:cs="Segoe UI"/>
          <w:szCs w:val="22"/>
        </w:rPr>
      </w:pPr>
      <w:bookmarkStart w:id="14" w:name="_Hlk190182989"/>
      <w:r>
        <w:rPr>
          <w:lang w:bidi="hr-HR"/>
        </w:rPr>
        <w:t>„Godina 2025. bila je uspješna godina u kojoj smo još jednom svladali velike izazove i pritom ostvarili značajan napredak. Naše financijske ciljeve uvelike smo ispunili. Dosljedno smo provodili program za svrhoviti rast u svim strateškim segmentima te uspješno dovršili integraciju našeg poslovanja s robom široke potrošnje. Na pravom smo putu, a transformacija našeg društva daje opipljive rezultate”, zaključio je Carsten Knobel.</w:t>
      </w:r>
    </w:p>
    <w:p w14:paraId="5720D19B" w14:textId="77777777" w:rsidR="00F460F3" w:rsidRDefault="00F460F3" w:rsidP="003A11DF">
      <w:pPr>
        <w:rPr>
          <w:rFonts w:cs="Segoe UI"/>
          <w:szCs w:val="22"/>
        </w:rPr>
      </w:pPr>
    </w:p>
    <w:p w14:paraId="65AD4A67" w14:textId="7AF2EFC2" w:rsidR="00062741" w:rsidRDefault="00062741" w:rsidP="003A11DF">
      <w:pPr>
        <w:rPr>
          <w:rFonts w:cs="Segoe UI"/>
          <w:szCs w:val="22"/>
        </w:rPr>
      </w:pPr>
      <w:r w:rsidRPr="00062741">
        <w:rPr>
          <w:lang w:bidi="hr-HR"/>
        </w:rPr>
        <w:t>„Sada s optimizmom gledamo prema uzbudljivoj 2026. godini, u kojoj slavimo 150. obljetnicu postojanja. Naravno da smo ponosni na svoju tradiciju – ali ona nije razlog za stagnaciju. Naprotiv, ona je snažan poticaj za budućnost. Spremni smo za ono što dolazi. Kao i na samim počecima, oslanjat ćemo se na naš predvodnički duh kako bismo stvarali napredne proizvode i rješenja za generacije koje dolaze. To je u potpunosti u skladu s našom svrhom: „Pioneers at heart for the good of generations” (Prvaci u srcu za dobro svih generacija)”, nastavlja Carsten Knobel.</w:t>
      </w:r>
    </w:p>
    <w:bookmarkEnd w:id="14"/>
    <w:p w14:paraId="33E22388" w14:textId="77777777" w:rsidR="00B312F1" w:rsidRDefault="00B312F1">
      <w:pPr>
        <w:spacing w:line="240" w:lineRule="auto"/>
        <w:jc w:val="left"/>
        <w:rPr>
          <w:rFonts w:eastAsia="PMingLiU"/>
          <w:b/>
          <w:bCs/>
          <w:sz w:val="18"/>
        </w:rPr>
      </w:pPr>
    </w:p>
    <w:p w14:paraId="147F32BF" w14:textId="77777777" w:rsidR="00977D52" w:rsidRDefault="00977D52">
      <w:pPr>
        <w:spacing w:line="240" w:lineRule="auto"/>
        <w:jc w:val="left"/>
        <w:rPr>
          <w:rFonts w:eastAsia="PMingLiU"/>
          <w:b/>
          <w:bCs/>
          <w:sz w:val="18"/>
        </w:rPr>
      </w:pPr>
    </w:p>
    <w:p w14:paraId="32D90A78" w14:textId="77777777" w:rsidR="00062741" w:rsidRDefault="00062741">
      <w:pPr>
        <w:spacing w:line="240" w:lineRule="auto"/>
        <w:jc w:val="left"/>
        <w:rPr>
          <w:rFonts w:eastAsia="PMingLiU"/>
          <w:b/>
          <w:bCs/>
          <w:sz w:val="18"/>
        </w:rPr>
      </w:pPr>
    </w:p>
    <w:p w14:paraId="1F5FA73D" w14:textId="77777777" w:rsidR="0047323D" w:rsidRPr="00841179" w:rsidRDefault="0047323D">
      <w:pPr>
        <w:spacing w:line="240" w:lineRule="auto"/>
        <w:jc w:val="left"/>
        <w:rPr>
          <w:rFonts w:eastAsia="PMingLiU"/>
          <w:b/>
          <w:bCs/>
          <w:sz w:val="18"/>
        </w:rPr>
      </w:pPr>
    </w:p>
    <w:p w14:paraId="680187D5" w14:textId="77777777" w:rsidR="00292C23" w:rsidRPr="00292C23" w:rsidRDefault="00292C23" w:rsidP="00292C23">
      <w:pPr>
        <w:rPr>
          <w:rFonts w:cs="Segoe UI"/>
          <w:b/>
          <w:bCs/>
          <w:szCs w:val="22"/>
        </w:rPr>
      </w:pPr>
      <w:r w:rsidRPr="00292C23">
        <w:rPr>
          <w:b/>
          <w:sz w:val="18"/>
          <w:lang w:bidi="hr-HR"/>
        </w:rPr>
        <w:t>O Henkelu</w:t>
      </w:r>
    </w:p>
    <w:p w14:paraId="1DC4E6EC" w14:textId="08297221" w:rsidR="00292C23" w:rsidRPr="00292C23" w:rsidRDefault="00292C23" w:rsidP="00292C23">
      <w:pPr>
        <w:rPr>
          <w:sz w:val="18"/>
        </w:rPr>
      </w:pPr>
      <w:r w:rsidRPr="00292C23">
        <w:rPr>
          <w:sz w:val="18"/>
          <w:lang w:bidi="hr-HR"/>
        </w:rPr>
        <w:t xml:space="preserve">Zahvaljujući svojim brendovima, inovacijama i tehnologijama, društvo Henkel drži vodeća mjesta na tržištu diljem svijeta u poslovanju s industrijskim proizvodima i robom široke potrošnje. Poslovna jedinica Ljepila i tehnologije svjetski je predvodnik na tržištu ljepila, brtvila i premaza. Zahvaljujući poslovnoj jedinici Consumer Brands, društvo drži vodeća mjesta posebice u poslovanju s proizvodima za pranje rublja i održavanje kućanstva te proizvodima za njegu kose u brojnim kategorijama i na brojnim tržištima diljem svijeta. Tri su najjača brenda društva Loctite, Persil i Schwarzkopf. U poslovnoj godini 2025. Henkel je zabilježio prodaju u iznosu od otprilike 20,5 milijardi eura i prilagođenu operativnu dobit od oko 3,0 milijardu eura. Povlaštene dionice društva Henkel upisane su u njemački burzovni indeks DAX. U Henkelu postoji duga tradicija održivosti i društvo ima jasnu strategiju održivosti s konkretnim ciljevima. Henkel je osnovan 1876. i danas zapošljava raznolik tim od oko 47 000 ljudi širom svijeta koji su ujedinjeni snažnom organizacijskom kulturom, zajedničkim vrijednostima i zajedničkom svrhom: „Pioneers at heart for the good of generations”. Više informacija na </w:t>
      </w:r>
      <w:hyperlink r:id="rId12" w:history="1">
        <w:r w:rsidRPr="00292C23">
          <w:rPr>
            <w:color w:val="0000FF"/>
            <w:sz w:val="18"/>
            <w:u w:val="single"/>
            <w:lang w:bidi="hr-HR"/>
          </w:rPr>
          <w:t>www.henkel.com</w:t>
        </w:r>
      </w:hyperlink>
      <w:r w:rsidRPr="00292C23">
        <w:rPr>
          <w:sz w:val="18"/>
          <w:lang w:bidi="hr-HR"/>
        </w:rPr>
        <w:t xml:space="preserve"> </w:t>
      </w:r>
    </w:p>
    <w:p w14:paraId="25DBBED5" w14:textId="77777777" w:rsidR="00292C23" w:rsidRPr="00292C23" w:rsidRDefault="00292C23" w:rsidP="00292C23">
      <w:pPr>
        <w:rPr>
          <w:sz w:val="14"/>
          <w:szCs w:val="14"/>
        </w:rPr>
      </w:pPr>
    </w:p>
    <w:p w14:paraId="7A34B5B6" w14:textId="77777777" w:rsidR="00292C23" w:rsidRPr="00292C23" w:rsidRDefault="00292C23" w:rsidP="00292C23">
      <w:pPr>
        <w:rPr>
          <w:sz w:val="14"/>
          <w:szCs w:val="14"/>
        </w:rPr>
      </w:pPr>
    </w:p>
    <w:p w14:paraId="532BFA22" w14:textId="77777777" w:rsidR="00292C23" w:rsidRPr="00292C23" w:rsidRDefault="00292C23" w:rsidP="00292C23">
      <w:pPr>
        <w:spacing w:after="160" w:line="240" w:lineRule="auto"/>
        <w:jc w:val="left"/>
        <w:rPr>
          <w:sz w:val="14"/>
          <w:szCs w:val="14"/>
        </w:rPr>
      </w:pPr>
      <w:r w:rsidRPr="00292C23">
        <w:rPr>
          <w:sz w:val="14"/>
          <w:lang w:bidi="hr-HR"/>
        </w:rPr>
        <w:t>Ovaj dokument sadržava izjave koje se odnose na budući poslovni razvoj, financijske rezultate i druge događaje ili razvoje od budućeg značaja za Henkel koji mogu predstavljati izjave o budućnosti. Izjave o budućnosti odlikuju se uporabom riječi kao što su očekuje se, namjerava, planira, predviđa, pretpostavlja, vjeruje, procjenjuje i sličnih pojmova. Takve se izjave temelje na trenutačnim procjenama i pretpostavkama korporativnog vodstva društva Henkel AG &amp; Co. KGaA. Te izjave ne smiju se tumačiti kao ikakvo jamstvo da će ta očekivanja biti točna. Budući učinak i rezultati koje Henkel AG &amp; Co. KGaA i pridružena društva zaista ostvare ovise o brojnim rizicima i nesigurnostima te se stoga mogu bitno razlikovati (pozitivno i negativno) od izjava o budućnosti. Henkel ne može utjecati na mnoge od tih čimbenika niti ih unaprijed točno procijeniti, a među njima su buduće gospodarsko okruženje i djelovanje konkurenata i drugih sudionika na tržištu. Henkel ne planira niti se obvezuje ažurirati izjave o budućnosti.</w:t>
      </w:r>
    </w:p>
    <w:p w14:paraId="5927BD4C" w14:textId="77777777" w:rsidR="00292C23" w:rsidRPr="00292C23" w:rsidRDefault="00292C23" w:rsidP="00292C23">
      <w:pPr>
        <w:spacing w:after="160" w:line="240" w:lineRule="auto"/>
        <w:jc w:val="left"/>
        <w:rPr>
          <w:sz w:val="14"/>
          <w:szCs w:val="14"/>
        </w:rPr>
      </w:pPr>
      <w:r w:rsidRPr="00292C23">
        <w:rPr>
          <w:sz w:val="14"/>
          <w:lang w:bidi="hr-HR"/>
        </w:rPr>
        <w:t>Ovaj dokument uključuje dodatne financijske pokazatelje koji nisu jasno definirani u primjenjivom okviru financijskog izvještavanja i koji jesu ili mogu biti alternativne mjere uspješnosti. Te dopunske financijske pokazatelje ne treba promatrati zasebno ili kao alternativu mjerenjima Henkelove neto imovine i financijskog položaja ili rezultata poslovanja prikazanih u skladu s primjenjivim okvirom financijskog izvještavanja u njegovim Konsolidiranim financijskim izvješćima. Druga društva koja izvještavaju o slično naslovljenim alternativnim mjerama učinka ili ih opisuju mogu ih izračunati drugačije.</w:t>
      </w:r>
    </w:p>
    <w:p w14:paraId="6495E95E" w14:textId="77777777" w:rsidR="00292C23" w:rsidRPr="00292C23" w:rsidRDefault="00292C23" w:rsidP="00292C23">
      <w:pPr>
        <w:spacing w:after="160" w:line="240" w:lineRule="auto"/>
        <w:jc w:val="left"/>
        <w:rPr>
          <w:sz w:val="14"/>
          <w:szCs w:val="14"/>
        </w:rPr>
      </w:pPr>
      <w:r w:rsidRPr="00292C23">
        <w:rPr>
          <w:sz w:val="14"/>
          <w:lang w:bidi="hr-HR"/>
        </w:rPr>
        <w:t>Ovaj dokument izdaje se samo u informativne svrhe i nije mu svrha nuditi savjet o ulaganju, ponudu za prodaju ili traženje ponude za kupnju bilo kojih vrijednosnih papira.</w:t>
      </w:r>
    </w:p>
    <w:p w14:paraId="6626B667" w14:textId="77777777" w:rsidR="00292C23" w:rsidRPr="00292C23" w:rsidRDefault="00292C23" w:rsidP="00292C23">
      <w:pPr>
        <w:tabs>
          <w:tab w:val="left" w:pos="1080"/>
          <w:tab w:val="left" w:pos="4500"/>
        </w:tabs>
        <w:spacing w:line="264" w:lineRule="auto"/>
        <w:rPr>
          <w:rFonts w:asciiTheme="majorHAnsi" w:eastAsia="PMingLiU" w:hAnsiTheme="majorHAnsi" w:cs="Calibri Light"/>
          <w:b/>
          <w:sz w:val="18"/>
          <w:szCs w:val="18"/>
        </w:rPr>
      </w:pPr>
    </w:p>
    <w:p w14:paraId="763085E6" w14:textId="0579D4F4" w:rsidR="00292C23" w:rsidRPr="00292C23" w:rsidRDefault="00292C23" w:rsidP="00292C23">
      <w:pPr>
        <w:spacing w:line="240" w:lineRule="auto"/>
        <w:jc w:val="left"/>
        <w:rPr>
          <w:rFonts w:asciiTheme="majorHAnsi" w:hAnsiTheme="majorHAnsi" w:cs="Calibri Light"/>
          <w:b/>
          <w:sz w:val="18"/>
          <w:szCs w:val="18"/>
        </w:rPr>
      </w:pPr>
    </w:p>
    <w:p w14:paraId="582DAC44" w14:textId="698E25BA" w:rsidR="007A525B" w:rsidRPr="007A525B" w:rsidRDefault="007A525B" w:rsidP="007A525B">
      <w:pPr>
        <w:spacing w:line="240" w:lineRule="auto"/>
        <w:jc w:val="left"/>
        <w:rPr>
          <w:rFonts w:asciiTheme="majorHAnsi" w:hAnsiTheme="majorHAnsi" w:cs="Calibri Light"/>
          <w:b/>
          <w:sz w:val="18"/>
          <w:szCs w:val="18"/>
        </w:rPr>
      </w:pPr>
      <w:r w:rsidRPr="00695672">
        <w:rPr>
          <w:sz w:val="18"/>
          <w:lang w:bidi="hr-HR"/>
        </w:rPr>
        <w:t>Kontakt</w:t>
      </w:r>
      <w:r w:rsidRPr="00695672">
        <w:rPr>
          <w:sz w:val="18"/>
          <w:lang w:bidi="hr-HR"/>
        </w:rPr>
        <w:tab/>
      </w:r>
      <w:r w:rsidR="00066DB6">
        <w:rPr>
          <w:sz w:val="18"/>
          <w:lang w:bidi="hr-HR"/>
        </w:rPr>
        <w:t xml:space="preserve">       </w:t>
      </w:r>
      <w:r w:rsidRPr="00695672">
        <w:rPr>
          <w:sz w:val="18"/>
          <w:lang w:bidi="hr-HR"/>
        </w:rPr>
        <w:t>Jelena Gavrilović Šarenac</w:t>
      </w:r>
      <w:r w:rsidRPr="00695672">
        <w:rPr>
          <w:sz w:val="18"/>
          <w:lang w:bidi="hr-HR"/>
        </w:rPr>
        <w:tab/>
      </w:r>
      <w:r w:rsidRPr="00695672">
        <w:rPr>
          <w:sz w:val="18"/>
          <w:lang w:bidi="hr-HR"/>
        </w:rPr>
        <w:tab/>
      </w:r>
    </w:p>
    <w:p w14:paraId="6B369081" w14:textId="77777777" w:rsidR="007A525B" w:rsidRPr="00695672" w:rsidRDefault="007A525B" w:rsidP="007A525B">
      <w:pPr>
        <w:tabs>
          <w:tab w:val="left" w:pos="1080"/>
          <w:tab w:val="left" w:pos="4500"/>
        </w:tabs>
        <w:spacing w:line="264" w:lineRule="auto"/>
        <w:rPr>
          <w:sz w:val="18"/>
          <w:lang w:bidi="hr-HR"/>
        </w:rPr>
      </w:pPr>
      <w:r w:rsidRPr="00695672">
        <w:rPr>
          <w:sz w:val="18"/>
          <w:lang w:bidi="hr-HR"/>
        </w:rPr>
        <w:t>E-pošta</w:t>
      </w:r>
      <w:r w:rsidRPr="00695672">
        <w:rPr>
          <w:sz w:val="18"/>
          <w:lang w:bidi="hr-HR"/>
        </w:rPr>
        <w:tab/>
      </w:r>
      <w:hyperlink r:id="rId13" w:history="1">
        <w:r w:rsidRPr="00695672">
          <w:rPr>
            <w:rStyle w:val="Hyperlink"/>
            <w:szCs w:val="24"/>
            <w:lang w:bidi="hr-HR"/>
          </w:rPr>
          <w:t>jelena.sarenac@henkel.com</w:t>
        </w:r>
      </w:hyperlink>
    </w:p>
    <w:p w14:paraId="2752A2F8" w14:textId="77777777" w:rsidR="007A525B" w:rsidRPr="00695672" w:rsidRDefault="007A525B" w:rsidP="007A525B">
      <w:pPr>
        <w:tabs>
          <w:tab w:val="left" w:pos="1080"/>
          <w:tab w:val="left" w:pos="4500"/>
        </w:tabs>
        <w:spacing w:line="264" w:lineRule="auto"/>
        <w:rPr>
          <w:sz w:val="18"/>
          <w:lang w:val="it-IT" w:bidi="hr-HR"/>
        </w:rPr>
      </w:pPr>
      <w:r w:rsidRPr="00695672">
        <w:rPr>
          <w:sz w:val="18"/>
          <w:lang w:bidi="hr-HR"/>
        </w:rPr>
        <w:tab/>
      </w:r>
    </w:p>
    <w:p w14:paraId="2842D28C" w14:textId="77777777" w:rsidR="007A525B" w:rsidRPr="00695672" w:rsidRDefault="007A525B" w:rsidP="007A525B">
      <w:pPr>
        <w:tabs>
          <w:tab w:val="left" w:pos="1080"/>
          <w:tab w:val="left" w:pos="4500"/>
        </w:tabs>
        <w:spacing w:line="264" w:lineRule="auto"/>
        <w:rPr>
          <w:sz w:val="18"/>
          <w:lang w:bidi="hr-HR"/>
        </w:rPr>
      </w:pPr>
      <w:hyperlink r:id="rId14" w:history="1">
        <w:r w:rsidRPr="00695672">
          <w:rPr>
            <w:rStyle w:val="Hyperlink"/>
            <w:szCs w:val="24"/>
            <w:lang w:bidi="hr-HR"/>
          </w:rPr>
          <w:t>www.henkel.hr</w:t>
        </w:r>
      </w:hyperlink>
    </w:p>
    <w:p w14:paraId="23552B25" w14:textId="5C843D39" w:rsidR="00A15D78" w:rsidRPr="00292C23" w:rsidRDefault="00A15D78" w:rsidP="007A525B">
      <w:pPr>
        <w:spacing w:line="240" w:lineRule="auto"/>
        <w:jc w:val="left"/>
        <w:rPr>
          <w:rStyle w:val="Hyperlink"/>
        </w:rPr>
      </w:pPr>
    </w:p>
    <w:sectPr w:rsidR="00A15D78" w:rsidRPr="00292C23" w:rsidSect="00C65957">
      <w:headerReference w:type="even" r:id="rId15"/>
      <w:headerReference w:type="default" r:id="rId16"/>
      <w:footerReference w:type="even" r:id="rId17"/>
      <w:footerReference w:type="default" r:id="rId18"/>
      <w:headerReference w:type="first" r:id="rId19"/>
      <w:footerReference w:type="first" r:id="rId20"/>
      <w:pgSz w:w="11907" w:h="16840" w:code="9"/>
      <w:pgMar w:top="1944" w:right="1411" w:bottom="1843" w:left="1411" w:header="1253" w:footer="95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7CD9CF" w14:textId="77777777" w:rsidR="00251517" w:rsidRDefault="00251517">
      <w:r>
        <w:separator/>
      </w:r>
    </w:p>
  </w:endnote>
  <w:endnote w:type="continuationSeparator" w:id="0">
    <w:p w14:paraId="7FC47E4C" w14:textId="77777777" w:rsidR="00251517" w:rsidRDefault="00251517">
      <w:r>
        <w:continuationSeparator/>
      </w:r>
    </w:p>
  </w:endnote>
  <w:endnote w:type="continuationNotice" w:id="1">
    <w:p w14:paraId="76433F84" w14:textId="77777777" w:rsidR="00251517" w:rsidRDefault="0025151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C5FA5" w14:textId="77777777" w:rsidR="00E75D00" w:rsidRDefault="00E75D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D10C9" w14:textId="374CEDE3" w:rsidR="00CF6F33" w:rsidRPr="00112A28" w:rsidRDefault="00112A28" w:rsidP="00112A28">
    <w:pPr>
      <w:pStyle w:val="Footer"/>
      <w:tabs>
        <w:tab w:val="clear" w:pos="7083"/>
        <w:tab w:val="clear" w:pos="8640"/>
        <w:tab w:val="right" w:pos="9071"/>
      </w:tabs>
      <w:jc w:val="both"/>
    </w:pPr>
    <w:r w:rsidRPr="00BF6E82">
      <w:rPr>
        <w:lang w:bidi="hr-HR"/>
      </w:rPr>
      <w:t>Henkel AG &amp; Co. KGaA</w:t>
    </w:r>
    <w:r w:rsidRPr="00BF6E82">
      <w:rPr>
        <w:lang w:bidi="hr-HR"/>
      </w:rPr>
      <w:tab/>
      <w:t xml:space="preserve">Stranica </w:t>
    </w:r>
    <w:r w:rsidRPr="00BF6E82">
      <w:rPr>
        <w:lang w:bidi="hr-HR"/>
      </w:rPr>
      <w:fldChar w:fldCharType="begin"/>
    </w:r>
    <w:r w:rsidRPr="00BF6E82">
      <w:rPr>
        <w:lang w:bidi="hr-HR"/>
      </w:rPr>
      <w:instrText xml:space="preserve"> PAGE  \* Arabic  \* MERGEFORMAT </w:instrText>
    </w:r>
    <w:r w:rsidRPr="00BF6E82">
      <w:rPr>
        <w:lang w:bidi="hr-HR"/>
      </w:rPr>
      <w:fldChar w:fldCharType="separate"/>
    </w:r>
    <w:r>
      <w:rPr>
        <w:lang w:bidi="hr-HR"/>
      </w:rPr>
      <w:t>2</w:t>
    </w:r>
    <w:r w:rsidRPr="00BF6E82">
      <w:rPr>
        <w:lang w:bidi="hr-HR"/>
      </w:rPr>
      <w:fldChar w:fldCharType="end"/>
    </w:r>
    <w:r w:rsidRPr="00BF6E82">
      <w:rPr>
        <w:lang w:bidi="hr-HR"/>
      </w:rPr>
      <w:t>/</w:t>
    </w:r>
    <w:fldSimple w:instr="NUMPAGES  \* Arabic  \* MERGEFORMAT">
      <w:r>
        <w:rPr>
          <w:lang w:bidi="hr-HR"/>
        </w:rPr>
        <w:t>2</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A058E" w14:textId="43662AC9" w:rsidR="00CF6F33" w:rsidRPr="00992A11" w:rsidRDefault="00E75D00" w:rsidP="00992A11">
    <w:pPr>
      <w:pStyle w:val="Footer"/>
    </w:pPr>
    <w:r w:rsidRPr="00E01EC6">
      <w:drawing>
        <wp:anchor distT="0" distB="0" distL="114300" distR="114300" simplePos="0" relativeHeight="251660289" behindDoc="0" locked="0" layoutInCell="1" allowOverlap="1" wp14:anchorId="41843BFC" wp14:editId="534DBFFB">
          <wp:simplePos x="0" y="0"/>
          <wp:positionH relativeFrom="margin">
            <wp:align>left</wp:align>
          </wp:positionH>
          <wp:positionV relativeFrom="paragraph">
            <wp:posOffset>-389596</wp:posOffset>
          </wp:positionV>
          <wp:extent cx="4967544" cy="407963"/>
          <wp:effectExtent l="0" t="0" r="5080" b="0"/>
          <wp:wrapNone/>
          <wp:docPr id="734049568"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4049568" name=""/>
                  <pic:cNvPicPr/>
                </pic:nvPicPr>
                <pic:blipFill>
                  <a:blip r:embed="rId1">
                    <a:extLst>
                      <a:ext uri="{28A0092B-C50C-407E-A947-70E740481C1C}">
                        <a14:useLocalDpi xmlns:a14="http://schemas.microsoft.com/office/drawing/2010/main" val="0"/>
                      </a:ext>
                    </a:extLst>
                  </a:blip>
                  <a:stretch>
                    <a:fillRect/>
                  </a:stretch>
                </pic:blipFill>
                <pic:spPr>
                  <a:xfrm>
                    <a:off x="0" y="0"/>
                    <a:ext cx="4967544" cy="407963"/>
                  </a:xfrm>
                  <a:prstGeom prst="rect">
                    <a:avLst/>
                  </a:prstGeom>
                </pic:spPr>
              </pic:pic>
            </a:graphicData>
          </a:graphic>
          <wp14:sizeRelH relativeFrom="page">
            <wp14:pctWidth>0</wp14:pctWidth>
          </wp14:sizeRelH>
          <wp14:sizeRelV relativeFrom="page">
            <wp14:pctHeight>0</wp14:pctHeight>
          </wp14:sizeRelV>
        </wp:anchor>
      </w:drawing>
    </w:r>
    <w:r w:rsidR="00E810D3">
      <w:rPr>
        <w:lang w:bidi="hr-HR"/>
      </w:rPr>
      <w:t xml:space="preserve">Stranica </w:t>
    </w:r>
    <w:r w:rsidR="00CF6F33" w:rsidRPr="00992A11">
      <w:rPr>
        <w:lang w:bidi="hr-HR"/>
      </w:rPr>
      <w:fldChar w:fldCharType="begin"/>
    </w:r>
    <w:r w:rsidR="00CF6F33" w:rsidRPr="00992A11">
      <w:rPr>
        <w:lang w:bidi="hr-HR"/>
      </w:rPr>
      <w:instrText xml:space="preserve"> </w:instrText>
    </w:r>
    <w:r w:rsidR="00262C05" w:rsidRPr="00992A11">
      <w:rPr>
        <w:lang w:bidi="hr-HR"/>
      </w:rPr>
      <w:instrText>PAGE</w:instrText>
    </w:r>
    <w:r w:rsidR="00CF6F33" w:rsidRPr="00992A11">
      <w:rPr>
        <w:lang w:bidi="hr-HR"/>
      </w:rPr>
      <w:instrText xml:space="preserve">  \* Arabic  \* MERGEFORMAT </w:instrText>
    </w:r>
    <w:r w:rsidR="00CF6F33" w:rsidRPr="00992A11">
      <w:rPr>
        <w:lang w:bidi="hr-HR"/>
      </w:rPr>
      <w:fldChar w:fldCharType="separate"/>
    </w:r>
    <w:r w:rsidR="006A0A3C" w:rsidRPr="00992A11">
      <w:rPr>
        <w:lang w:bidi="hr-HR"/>
      </w:rPr>
      <w:t>1</w:t>
    </w:r>
    <w:r w:rsidR="00CF6F33" w:rsidRPr="00992A11">
      <w:rPr>
        <w:lang w:bidi="hr-HR"/>
      </w:rPr>
      <w:fldChar w:fldCharType="end"/>
    </w:r>
    <w:r w:rsidR="00E810D3">
      <w:rPr>
        <w:lang w:bidi="hr-HR"/>
      </w:rPr>
      <w:t>/</w:t>
    </w:r>
    <w:r w:rsidR="00CF6F33" w:rsidRPr="00992A11">
      <w:rPr>
        <w:lang w:bidi="hr-HR"/>
      </w:rPr>
      <w:fldChar w:fldCharType="begin"/>
    </w:r>
    <w:r w:rsidR="00CF6F33" w:rsidRPr="00992A11">
      <w:rPr>
        <w:lang w:bidi="hr-HR"/>
      </w:rPr>
      <w:instrText xml:space="preserve"> </w:instrText>
    </w:r>
    <w:r w:rsidR="00262C05" w:rsidRPr="00992A11">
      <w:rPr>
        <w:lang w:bidi="hr-HR"/>
      </w:rPr>
      <w:instrText>NUMPAGES</w:instrText>
    </w:r>
    <w:r w:rsidR="00CF6F33" w:rsidRPr="00992A11">
      <w:rPr>
        <w:lang w:bidi="hr-HR"/>
      </w:rPr>
      <w:instrText xml:space="preserve">  \* Arabic  \* MERGEFORMAT </w:instrText>
    </w:r>
    <w:r w:rsidR="00CF6F33" w:rsidRPr="00992A11">
      <w:rPr>
        <w:lang w:bidi="hr-HR"/>
      </w:rPr>
      <w:fldChar w:fldCharType="separate"/>
    </w:r>
    <w:r w:rsidR="006A0A3C" w:rsidRPr="00992A11">
      <w:rPr>
        <w:lang w:bidi="hr-HR"/>
      </w:rPr>
      <w:t>1</w:t>
    </w:r>
    <w:r w:rsidR="00CF6F33" w:rsidRPr="00992A11">
      <w:rPr>
        <w:lang w:bidi="hr-H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0B01EA" w14:textId="77777777" w:rsidR="00251517" w:rsidRDefault="00251517">
      <w:r>
        <w:separator/>
      </w:r>
    </w:p>
  </w:footnote>
  <w:footnote w:type="continuationSeparator" w:id="0">
    <w:p w14:paraId="6486AC6C" w14:textId="77777777" w:rsidR="00251517" w:rsidRDefault="00251517">
      <w:r>
        <w:continuationSeparator/>
      </w:r>
    </w:p>
  </w:footnote>
  <w:footnote w:type="continuationNotice" w:id="1">
    <w:p w14:paraId="756B4A46" w14:textId="77777777" w:rsidR="00251517" w:rsidRDefault="0025151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ACE39" w14:textId="77777777" w:rsidR="00112A28" w:rsidRDefault="00112A28" w:rsidP="00112A28">
    <w:pPr>
      <w:pStyle w:val="Header"/>
      <w:jc w:val="both"/>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561ED" w14:textId="77777777" w:rsidR="00E75D00" w:rsidRDefault="00E75D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86010" w14:textId="05DAD93D" w:rsidR="00CF6F33" w:rsidRPr="00EB46D9" w:rsidRDefault="0059722C" w:rsidP="00EB46D9">
    <w:pPr>
      <w:pStyle w:val="Header"/>
    </w:pPr>
    <w:r w:rsidRPr="00EB46D9">
      <w:rPr>
        <w:noProof/>
        <w:lang w:bidi="hr-HR"/>
      </w:rPr>
      <w:drawing>
        <wp:anchor distT="0" distB="0" distL="114300" distR="114300" simplePos="0" relativeHeight="251658241" behindDoc="0" locked="1" layoutInCell="1" allowOverlap="1" wp14:anchorId="5559ED3E" wp14:editId="20ECCE45">
          <wp:simplePos x="0" y="0"/>
          <wp:positionH relativeFrom="margin">
            <wp:posOffset>5036820</wp:posOffset>
          </wp:positionH>
          <wp:positionV relativeFrom="margin">
            <wp:posOffset>-1478915</wp:posOffset>
          </wp:positionV>
          <wp:extent cx="1051560" cy="603250"/>
          <wp:effectExtent l="0" t="0" r="0" b="6350"/>
          <wp:wrapNone/>
          <wp:docPr id="1653066876" name="Grafik 16530668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
                    <a:extLst>
                      <a:ext uri="{28A0092B-C50C-407E-A947-70E740481C1C}">
                        <a14:useLocalDpi xmlns:a14="http://schemas.microsoft.com/office/drawing/2010/main" val="0"/>
                      </a:ext>
                    </a:extLst>
                  </a:blip>
                  <a:srcRect l="4736" t="10539" r="5063" b="12550"/>
                  <a:stretch>
                    <a:fillRect/>
                  </a:stretch>
                </pic:blipFill>
                <pic:spPr bwMode="auto">
                  <a:xfrm>
                    <a:off x="0" y="0"/>
                    <a:ext cx="1051560" cy="603250"/>
                  </a:xfrm>
                  <a:prstGeom prst="rect">
                    <a:avLst/>
                  </a:prstGeom>
                  <a:noFill/>
                </pic:spPr>
              </pic:pic>
            </a:graphicData>
          </a:graphic>
          <wp14:sizeRelH relativeFrom="page">
            <wp14:pctWidth>0</wp14:pctWidth>
          </wp14:sizeRelH>
          <wp14:sizeRelV relativeFrom="page">
            <wp14:pctHeight>0</wp14:pctHeight>
          </wp14:sizeRelV>
        </wp:anchor>
      </w:drawing>
    </w:r>
    <w:r w:rsidRPr="00EB46D9">
      <w:rPr>
        <w:noProof/>
        <w:lang w:bidi="hr-HR"/>
      </w:rPr>
      <mc:AlternateContent>
        <mc:Choice Requires="wpg">
          <w:drawing>
            <wp:anchor distT="0" distB="0" distL="114300" distR="114300" simplePos="0" relativeHeight="251658240" behindDoc="0" locked="0" layoutInCell="1" allowOverlap="1" wp14:anchorId="76D561A9" wp14:editId="7310849B">
              <wp:simplePos x="0" y="0"/>
              <wp:positionH relativeFrom="page">
                <wp:posOffset>180340</wp:posOffset>
              </wp:positionH>
              <wp:positionV relativeFrom="page">
                <wp:posOffset>3780790</wp:posOffset>
              </wp:positionV>
              <wp:extent cx="179705" cy="3780155"/>
              <wp:effectExtent l="0" t="0" r="1905" b="11430"/>
              <wp:wrapNone/>
              <wp:docPr id="2"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9705" cy="3780155"/>
                        <a:chOff x="0" y="5954"/>
                        <a:chExt cx="283" cy="5953"/>
                      </a:xfrm>
                    </wpg:grpSpPr>
                    <wps:wsp>
                      <wps:cNvPr id="3" name="Line 17"/>
                      <wps:cNvCnPr>
                        <a:cxnSpLocks noChangeShapeType="1"/>
                      </wps:cNvCnPr>
                      <wps:spPr bwMode="auto">
                        <a:xfrm>
                          <a:off x="0" y="5954"/>
                          <a:ext cx="283"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E1000F"/>
                              </a:solidFill>
                              <a:round/>
                              <a:headEnd/>
                              <a:tailEnd/>
                            </a14:hiddenLine>
                          </a:ext>
                        </a:extLst>
                      </wps:spPr>
                      <wps:bodyPr/>
                    </wps:wsp>
                    <wps:wsp>
                      <wps:cNvPr id="4" name="Line 18"/>
                      <wps:cNvCnPr>
                        <a:cxnSpLocks noChangeShapeType="1"/>
                      </wps:cNvCnPr>
                      <wps:spPr bwMode="auto">
                        <a:xfrm>
                          <a:off x="0" y="8420"/>
                          <a:ext cx="283"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E1000F"/>
                              </a:solidFill>
                              <a:round/>
                              <a:headEnd/>
                              <a:tailEnd/>
                            </a14:hiddenLine>
                          </a:ext>
                        </a:extLst>
                      </wps:spPr>
                      <wps:bodyPr/>
                    </wps:wsp>
                    <wps:wsp>
                      <wps:cNvPr id="5" name="Line 19"/>
                      <wps:cNvCnPr>
                        <a:cxnSpLocks noChangeShapeType="1"/>
                      </wps:cNvCnPr>
                      <wps:spPr bwMode="auto">
                        <a:xfrm>
                          <a:off x="0" y="11907"/>
                          <a:ext cx="283"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E1000F"/>
                              </a:solidFill>
                              <a:round/>
                              <a:headEnd/>
                              <a:tailEnd/>
                            </a14:hiddenLine>
                          </a:ext>
                        </a:extLst>
                      </wps:spPr>
                      <wps:bodyPr/>
                    </wps:wsp>
                  </wpg:wgp>
                </a:graphicData>
              </a:graphic>
              <wp14:sizeRelH relativeFrom="page">
                <wp14:pctWidth>0</wp14:pctWidth>
              </wp14:sizeRelH>
              <wp14:sizeRelV relativeFrom="page">
                <wp14:pctHeight>0</wp14:pctHeight>
              </wp14:sizeRelV>
            </wp:anchor>
          </w:drawing>
        </mc:Choice>
        <mc:Fallback>
          <w:pict>
            <v:group w14:anchorId="5C8350C8" id="Group 16" o:spid="_x0000_s1026" style="position:absolute;margin-left:14.2pt;margin-top:297.7pt;width:14.15pt;height:297.65pt;z-index:251658240;mso-position-horizontal-relative:page;mso-position-vertical-relative:page" coordorigin=",5954" coordsize="283,59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">
              <v:line id="Line 17" o:spid="_x0000_s1027" style="position:absolute;visibility:visible;mso-wrap-style:square" from="0,5954" to="283,59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" stroked="f" strokecolor="#e1000f" strokeweight=".5pt"/>
              <v:line id="Line 18" o:spid="_x0000_s1028" style="position:absolute;visibility:visible;mso-wrap-style:square" from="0,8420" to="283,84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" stroked="f" strokecolor="#e1000f" strokeweight=".5pt"/>
              <v:line id="Line 19" o:spid="_x0000_s1029" style="position:absolute;visibility:visible;mso-wrap-style:square" from="0,11907" to="283,11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" stroked="f" strokecolor="#e1000f" strokeweight=".5pt"/>
              <w10:wrap anchorx="page" anchory="page"/>
            </v:group>
          </w:pict>
        </mc:Fallback>
      </mc:AlternateContent>
    </w:r>
    <w:r w:rsidR="005E3FBB">
      <w:rPr>
        <w:noProof/>
        <w:lang w:bidi="hr-HR"/>
      </w:rPr>
      <w:t>Priopćenje za medije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E1865"/>
    <w:multiLevelType w:val="hybridMultilevel"/>
    <w:tmpl w:val="4A063B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F4270"/>
    <w:multiLevelType w:val="hybridMultilevel"/>
    <w:tmpl w:val="12EC31FA"/>
    <w:lvl w:ilvl="0" w:tplc="785A8864">
      <w:start w:val="1"/>
      <w:numFmt w:val="bullet"/>
      <w:pStyle w:val="NumBullet"/>
      <w:lvlText w:val="•"/>
      <w:lvlJc w:val="left"/>
      <w:pPr>
        <w:tabs>
          <w:tab w:val="num" w:pos="567"/>
        </w:tabs>
        <w:ind w:left="567" w:hanging="567"/>
      </w:pPr>
      <w:rPr>
        <w:rFonts w:ascii="Times New Roman" w:hAnsi="Times New Roman" w:cs="Times New Roman" w:hint="default"/>
        <w:color w:val="E1000F"/>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10B585C"/>
    <w:multiLevelType w:val="hybridMultilevel"/>
    <w:tmpl w:val="70D4F3A4"/>
    <w:lvl w:ilvl="0" w:tplc="68061C8C">
      <w:start w:val="1"/>
      <w:numFmt w:val="bullet"/>
      <w:lvlText w:val=""/>
      <w:lvlJc w:val="left"/>
      <w:pPr>
        <w:ind w:left="1004" w:hanging="360"/>
      </w:pPr>
      <w:rPr>
        <w:rFonts w:ascii="Wingdings" w:hAnsi="Wingdings" w:hint="default"/>
        <w:sz w:val="24"/>
        <w:szCs w:val="24"/>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3" w15:restartNumberingAfterBreak="0">
    <w:nsid w:val="3F4B6752"/>
    <w:multiLevelType w:val="hybridMultilevel"/>
    <w:tmpl w:val="1DAEF754"/>
    <w:lvl w:ilvl="0" w:tplc="36002C28">
      <w:start w:val="1"/>
      <w:numFmt w:val="bullet"/>
      <w:lvlText w:val=""/>
      <w:lvlJc w:val="left"/>
      <w:pPr>
        <w:ind w:left="360" w:hanging="360"/>
      </w:pPr>
      <w:rPr>
        <w:rFonts w:ascii="Wingdings" w:hAnsi="Wingdings" w:hint="default"/>
        <w:color w:val="E1000F"/>
        <w:sz w:val="24"/>
        <w:szCs w:val="24"/>
      </w:rPr>
    </w:lvl>
    <w:lvl w:ilvl="1" w:tplc="645A6B9C">
      <w:numFmt w:val="bullet"/>
      <w:lvlText w:val="-"/>
      <w:lvlJc w:val="left"/>
      <w:pPr>
        <w:ind w:left="1080" w:hanging="360"/>
      </w:pPr>
      <w:rPr>
        <w:rFonts w:ascii="Arial" w:hAnsi="Arial" w:hint="default"/>
        <w:color w:val="FF0000"/>
      </w:rPr>
    </w:lvl>
    <w:lvl w:ilvl="2" w:tplc="04070005" w:tentative="1">
      <w:start w:val="1"/>
      <w:numFmt w:val="bullet"/>
      <w:lvlText w:val=""/>
      <w:lvlJc w:val="left"/>
      <w:pPr>
        <w:ind w:left="1800" w:hanging="360"/>
      </w:pPr>
      <w:rPr>
        <w:rFonts w:ascii="Wingdings" w:hAnsi="Wingdings" w:cs="Wingdings" w:hint="default"/>
      </w:rPr>
    </w:lvl>
    <w:lvl w:ilvl="3" w:tplc="04070001" w:tentative="1">
      <w:start w:val="1"/>
      <w:numFmt w:val="bullet"/>
      <w:lvlText w:val=""/>
      <w:lvlJc w:val="left"/>
      <w:pPr>
        <w:ind w:left="2520" w:hanging="360"/>
      </w:pPr>
      <w:rPr>
        <w:rFonts w:ascii="Symbol" w:hAnsi="Symbol" w:cs="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cs="Wingdings" w:hint="default"/>
      </w:rPr>
    </w:lvl>
    <w:lvl w:ilvl="6" w:tplc="04070001" w:tentative="1">
      <w:start w:val="1"/>
      <w:numFmt w:val="bullet"/>
      <w:lvlText w:val=""/>
      <w:lvlJc w:val="left"/>
      <w:pPr>
        <w:ind w:left="4680" w:hanging="360"/>
      </w:pPr>
      <w:rPr>
        <w:rFonts w:ascii="Symbol" w:hAnsi="Symbol" w:cs="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cs="Wingdings" w:hint="default"/>
      </w:rPr>
    </w:lvl>
  </w:abstractNum>
  <w:abstractNum w:abstractNumId="4" w15:restartNumberingAfterBreak="0">
    <w:nsid w:val="40C5131F"/>
    <w:multiLevelType w:val="hybridMultilevel"/>
    <w:tmpl w:val="8F8421BE"/>
    <w:lvl w:ilvl="0" w:tplc="04070005">
      <w:start w:val="1"/>
      <w:numFmt w:val="bullet"/>
      <w:lvlText w:val=""/>
      <w:lvlJc w:val="left"/>
      <w:pPr>
        <w:ind w:left="1004" w:hanging="360"/>
      </w:pPr>
      <w:rPr>
        <w:rFonts w:ascii="Wingdings" w:hAnsi="Wingdings"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5" w15:restartNumberingAfterBreak="0">
    <w:nsid w:val="549B0C97"/>
    <w:multiLevelType w:val="hybridMultilevel"/>
    <w:tmpl w:val="DCD2F366"/>
    <w:lvl w:ilvl="0" w:tplc="53A0857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6BB6FB3"/>
    <w:multiLevelType w:val="hybridMultilevel"/>
    <w:tmpl w:val="FD7E88F4"/>
    <w:lvl w:ilvl="0" w:tplc="A86EF76C">
      <w:start w:val="1"/>
      <w:numFmt w:val="bullet"/>
      <w:lvlText w:val=""/>
      <w:lvlJc w:val="left"/>
      <w:pPr>
        <w:ind w:left="720" w:hanging="360"/>
      </w:pPr>
      <w:rPr>
        <w:rFonts w:ascii="Wingdings" w:hAnsi="Wingdings" w:hint="default"/>
        <w:color w:val="E1000F"/>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6A89532E"/>
    <w:multiLevelType w:val="hybridMultilevel"/>
    <w:tmpl w:val="357663A0"/>
    <w:lvl w:ilvl="0" w:tplc="5FB28F00">
      <w:start w:val="1"/>
      <w:numFmt w:val="bullet"/>
      <w:lvlText w:val=""/>
      <w:lvlJc w:val="left"/>
      <w:pPr>
        <w:ind w:left="786" w:hanging="360"/>
      </w:pPr>
      <w:rPr>
        <w:rFonts w:ascii="Wingdings" w:hAnsi="Wingdings" w:hint="default"/>
        <w:sz w:val="24"/>
        <w:szCs w:val="24"/>
      </w:rPr>
    </w:lvl>
    <w:lvl w:ilvl="1" w:tplc="04070005">
      <w:start w:val="1"/>
      <w:numFmt w:val="bullet"/>
      <w:lvlText w:val=""/>
      <w:lvlJc w:val="left"/>
      <w:pPr>
        <w:ind w:left="1440" w:hanging="360"/>
      </w:pPr>
      <w:rPr>
        <w:rFonts w:ascii="Wingdings" w:hAnsi="Wingdings"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71322993">
    <w:abstractNumId w:val="1"/>
  </w:num>
  <w:num w:numId="2" w16cid:durableId="165293174">
    <w:abstractNumId w:val="0"/>
  </w:num>
  <w:num w:numId="3" w16cid:durableId="1508134485">
    <w:abstractNumId w:val="7"/>
  </w:num>
  <w:num w:numId="4" w16cid:durableId="1234970366">
    <w:abstractNumId w:val="4"/>
  </w:num>
  <w:num w:numId="5" w16cid:durableId="1008554684">
    <w:abstractNumId w:val="2"/>
  </w:num>
  <w:num w:numId="6" w16cid:durableId="933825870">
    <w:abstractNumId w:val="5"/>
  </w:num>
  <w:num w:numId="7" w16cid:durableId="912852597">
    <w:abstractNumId w:val="3"/>
  </w:num>
  <w:num w:numId="8" w16cid:durableId="16256985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WAFVersion" w:val="5.0"/>
  </w:docVars>
  <w:rsids>
    <w:rsidRoot w:val="0033451C"/>
    <w:rsid w:val="00000839"/>
    <w:rsid w:val="00002AA4"/>
    <w:rsid w:val="00005267"/>
    <w:rsid w:val="00005415"/>
    <w:rsid w:val="00006346"/>
    <w:rsid w:val="000069EB"/>
    <w:rsid w:val="00006A45"/>
    <w:rsid w:val="00007410"/>
    <w:rsid w:val="00011DDB"/>
    <w:rsid w:val="00013644"/>
    <w:rsid w:val="00014FC1"/>
    <w:rsid w:val="00016137"/>
    <w:rsid w:val="00017389"/>
    <w:rsid w:val="00020DC3"/>
    <w:rsid w:val="00021C67"/>
    <w:rsid w:val="00024147"/>
    <w:rsid w:val="00024483"/>
    <w:rsid w:val="000256A9"/>
    <w:rsid w:val="00026EEE"/>
    <w:rsid w:val="000301F0"/>
    <w:rsid w:val="00030557"/>
    <w:rsid w:val="00030701"/>
    <w:rsid w:val="00030F51"/>
    <w:rsid w:val="000343EB"/>
    <w:rsid w:val="00035A84"/>
    <w:rsid w:val="0003650E"/>
    <w:rsid w:val="00037396"/>
    <w:rsid w:val="000378F9"/>
    <w:rsid w:val="00037D04"/>
    <w:rsid w:val="00040816"/>
    <w:rsid w:val="00040CC9"/>
    <w:rsid w:val="00041F81"/>
    <w:rsid w:val="000425ED"/>
    <w:rsid w:val="00045CCB"/>
    <w:rsid w:val="000471D0"/>
    <w:rsid w:val="000510FC"/>
    <w:rsid w:val="00051555"/>
    <w:rsid w:val="000517E2"/>
    <w:rsid w:val="00051E86"/>
    <w:rsid w:val="00052FAD"/>
    <w:rsid w:val="00054AFE"/>
    <w:rsid w:val="0005544E"/>
    <w:rsid w:val="00055CE4"/>
    <w:rsid w:val="000575F9"/>
    <w:rsid w:val="000618FC"/>
    <w:rsid w:val="00062741"/>
    <w:rsid w:val="0006442E"/>
    <w:rsid w:val="00065466"/>
    <w:rsid w:val="000665F3"/>
    <w:rsid w:val="00066A9C"/>
    <w:rsid w:val="00066DB6"/>
    <w:rsid w:val="00067071"/>
    <w:rsid w:val="00067F67"/>
    <w:rsid w:val="00070652"/>
    <w:rsid w:val="00070757"/>
    <w:rsid w:val="00071284"/>
    <w:rsid w:val="0007275A"/>
    <w:rsid w:val="00073AED"/>
    <w:rsid w:val="000751A7"/>
    <w:rsid w:val="0007746E"/>
    <w:rsid w:val="00077AF9"/>
    <w:rsid w:val="00080D10"/>
    <w:rsid w:val="00081241"/>
    <w:rsid w:val="00081692"/>
    <w:rsid w:val="000818B6"/>
    <w:rsid w:val="00081EF8"/>
    <w:rsid w:val="00082417"/>
    <w:rsid w:val="0008357F"/>
    <w:rsid w:val="00083A35"/>
    <w:rsid w:val="00083A61"/>
    <w:rsid w:val="00083DAB"/>
    <w:rsid w:val="0008406B"/>
    <w:rsid w:val="00084918"/>
    <w:rsid w:val="00090DB6"/>
    <w:rsid w:val="00090E73"/>
    <w:rsid w:val="00091F11"/>
    <w:rsid w:val="00092511"/>
    <w:rsid w:val="00093255"/>
    <w:rsid w:val="00094235"/>
    <w:rsid w:val="00096AD4"/>
    <w:rsid w:val="000979FE"/>
    <w:rsid w:val="000A0598"/>
    <w:rsid w:val="000A05E0"/>
    <w:rsid w:val="000A06FB"/>
    <w:rsid w:val="000A31D3"/>
    <w:rsid w:val="000A50CF"/>
    <w:rsid w:val="000A511E"/>
    <w:rsid w:val="000A64B3"/>
    <w:rsid w:val="000A6C25"/>
    <w:rsid w:val="000B005C"/>
    <w:rsid w:val="000B10DE"/>
    <w:rsid w:val="000B2E86"/>
    <w:rsid w:val="000B576C"/>
    <w:rsid w:val="000B5D2F"/>
    <w:rsid w:val="000B5E32"/>
    <w:rsid w:val="000B6244"/>
    <w:rsid w:val="000B695A"/>
    <w:rsid w:val="000B6EF1"/>
    <w:rsid w:val="000B72A8"/>
    <w:rsid w:val="000C0715"/>
    <w:rsid w:val="000C1254"/>
    <w:rsid w:val="000C210A"/>
    <w:rsid w:val="000C27E5"/>
    <w:rsid w:val="000C30D6"/>
    <w:rsid w:val="000C47D1"/>
    <w:rsid w:val="000C50A1"/>
    <w:rsid w:val="000C56DD"/>
    <w:rsid w:val="000C63F4"/>
    <w:rsid w:val="000D11CB"/>
    <w:rsid w:val="000D14C4"/>
    <w:rsid w:val="000D1672"/>
    <w:rsid w:val="000D178A"/>
    <w:rsid w:val="000D18CE"/>
    <w:rsid w:val="000D40C6"/>
    <w:rsid w:val="000D6C67"/>
    <w:rsid w:val="000E0CAB"/>
    <w:rsid w:val="000E1B84"/>
    <w:rsid w:val="000E21E4"/>
    <w:rsid w:val="000E2F62"/>
    <w:rsid w:val="000E38ED"/>
    <w:rsid w:val="000E45C7"/>
    <w:rsid w:val="000E67D5"/>
    <w:rsid w:val="000E755E"/>
    <w:rsid w:val="000E7F24"/>
    <w:rsid w:val="000F03BE"/>
    <w:rsid w:val="000F10AC"/>
    <w:rsid w:val="000F1757"/>
    <w:rsid w:val="000F225B"/>
    <w:rsid w:val="000F333E"/>
    <w:rsid w:val="000F3949"/>
    <w:rsid w:val="000F41BC"/>
    <w:rsid w:val="000F48E9"/>
    <w:rsid w:val="000F4DAE"/>
    <w:rsid w:val="000F7ADB"/>
    <w:rsid w:val="000F7FAF"/>
    <w:rsid w:val="00100D8B"/>
    <w:rsid w:val="00102045"/>
    <w:rsid w:val="00102264"/>
    <w:rsid w:val="00103537"/>
    <w:rsid w:val="0010421C"/>
    <w:rsid w:val="0010465B"/>
    <w:rsid w:val="001050D7"/>
    <w:rsid w:val="0010570F"/>
    <w:rsid w:val="00105975"/>
    <w:rsid w:val="00110090"/>
    <w:rsid w:val="00110407"/>
    <w:rsid w:val="0011116D"/>
    <w:rsid w:val="00111386"/>
    <w:rsid w:val="001118DF"/>
    <w:rsid w:val="00111F4D"/>
    <w:rsid w:val="001125B2"/>
    <w:rsid w:val="00112A28"/>
    <w:rsid w:val="00113571"/>
    <w:rsid w:val="00114DDF"/>
    <w:rsid w:val="00114FAA"/>
    <w:rsid w:val="00115230"/>
    <w:rsid w:val="00115AE1"/>
    <w:rsid w:val="00115B5F"/>
    <w:rsid w:val="001162B4"/>
    <w:rsid w:val="00116DF3"/>
    <w:rsid w:val="00122B90"/>
    <w:rsid w:val="00122CBC"/>
    <w:rsid w:val="0012414B"/>
    <w:rsid w:val="001244F8"/>
    <w:rsid w:val="00124FA3"/>
    <w:rsid w:val="001255F8"/>
    <w:rsid w:val="00126AF1"/>
    <w:rsid w:val="00126C65"/>
    <w:rsid w:val="00126D4A"/>
    <w:rsid w:val="0012714C"/>
    <w:rsid w:val="001274FA"/>
    <w:rsid w:val="00131762"/>
    <w:rsid w:val="001318EB"/>
    <w:rsid w:val="00132DA9"/>
    <w:rsid w:val="0013305B"/>
    <w:rsid w:val="00133B99"/>
    <w:rsid w:val="0013569C"/>
    <w:rsid w:val="00135939"/>
    <w:rsid w:val="001369E3"/>
    <w:rsid w:val="001375DD"/>
    <w:rsid w:val="00142EFB"/>
    <w:rsid w:val="001438BF"/>
    <w:rsid w:val="001443BD"/>
    <w:rsid w:val="00144A87"/>
    <w:rsid w:val="00145B62"/>
    <w:rsid w:val="00146193"/>
    <w:rsid w:val="00147E09"/>
    <w:rsid w:val="00152022"/>
    <w:rsid w:val="00152026"/>
    <w:rsid w:val="00152392"/>
    <w:rsid w:val="00152A41"/>
    <w:rsid w:val="001544C3"/>
    <w:rsid w:val="00154D75"/>
    <w:rsid w:val="001577E9"/>
    <w:rsid w:val="00157A59"/>
    <w:rsid w:val="00157F37"/>
    <w:rsid w:val="0016138C"/>
    <w:rsid w:val="00162D60"/>
    <w:rsid w:val="001640D5"/>
    <w:rsid w:val="001653D7"/>
    <w:rsid w:val="001659FB"/>
    <w:rsid w:val="00171763"/>
    <w:rsid w:val="00171D3F"/>
    <w:rsid w:val="00172151"/>
    <w:rsid w:val="00172C99"/>
    <w:rsid w:val="001731CE"/>
    <w:rsid w:val="001742EE"/>
    <w:rsid w:val="00175C72"/>
    <w:rsid w:val="00177D1E"/>
    <w:rsid w:val="00180F93"/>
    <w:rsid w:val="00181B06"/>
    <w:rsid w:val="0018672E"/>
    <w:rsid w:val="001928FC"/>
    <w:rsid w:val="00193BD5"/>
    <w:rsid w:val="00194571"/>
    <w:rsid w:val="00196308"/>
    <w:rsid w:val="0019782F"/>
    <w:rsid w:val="00197E9B"/>
    <w:rsid w:val="001A1185"/>
    <w:rsid w:val="001A3D77"/>
    <w:rsid w:val="001A4A02"/>
    <w:rsid w:val="001B30F7"/>
    <w:rsid w:val="001B31F0"/>
    <w:rsid w:val="001B4862"/>
    <w:rsid w:val="001B5147"/>
    <w:rsid w:val="001B65FF"/>
    <w:rsid w:val="001B710A"/>
    <w:rsid w:val="001B771D"/>
    <w:rsid w:val="001B7C20"/>
    <w:rsid w:val="001C0B32"/>
    <w:rsid w:val="001C2D66"/>
    <w:rsid w:val="001C36F7"/>
    <w:rsid w:val="001C43A5"/>
    <w:rsid w:val="001C4BE1"/>
    <w:rsid w:val="001C5338"/>
    <w:rsid w:val="001C5847"/>
    <w:rsid w:val="001C7F21"/>
    <w:rsid w:val="001D1497"/>
    <w:rsid w:val="001D5534"/>
    <w:rsid w:val="001D63D9"/>
    <w:rsid w:val="001D6F0E"/>
    <w:rsid w:val="001D7ADF"/>
    <w:rsid w:val="001E0F71"/>
    <w:rsid w:val="001E160D"/>
    <w:rsid w:val="001E17FB"/>
    <w:rsid w:val="001E255E"/>
    <w:rsid w:val="001E2B9B"/>
    <w:rsid w:val="001E2C06"/>
    <w:rsid w:val="001E35BA"/>
    <w:rsid w:val="001E3A31"/>
    <w:rsid w:val="001E4690"/>
    <w:rsid w:val="001E49D3"/>
    <w:rsid w:val="001E4CCB"/>
    <w:rsid w:val="001E51A6"/>
    <w:rsid w:val="001E6D05"/>
    <w:rsid w:val="001E73E8"/>
    <w:rsid w:val="001E7C28"/>
    <w:rsid w:val="001F0C14"/>
    <w:rsid w:val="001F0F3B"/>
    <w:rsid w:val="001F11A1"/>
    <w:rsid w:val="001F1AB5"/>
    <w:rsid w:val="001F1BDF"/>
    <w:rsid w:val="001F1D6D"/>
    <w:rsid w:val="001F35F8"/>
    <w:rsid w:val="001F39FC"/>
    <w:rsid w:val="001F4AC3"/>
    <w:rsid w:val="001F4CAC"/>
    <w:rsid w:val="001F52E0"/>
    <w:rsid w:val="001F590C"/>
    <w:rsid w:val="001F7110"/>
    <w:rsid w:val="001F7185"/>
    <w:rsid w:val="001F773D"/>
    <w:rsid w:val="001F7E96"/>
    <w:rsid w:val="002005F5"/>
    <w:rsid w:val="0020202E"/>
    <w:rsid w:val="00202284"/>
    <w:rsid w:val="0020528D"/>
    <w:rsid w:val="0020543B"/>
    <w:rsid w:val="00205A66"/>
    <w:rsid w:val="002063CF"/>
    <w:rsid w:val="00206613"/>
    <w:rsid w:val="0020756B"/>
    <w:rsid w:val="00207E75"/>
    <w:rsid w:val="00210D86"/>
    <w:rsid w:val="0021158F"/>
    <w:rsid w:val="00212488"/>
    <w:rsid w:val="002129A6"/>
    <w:rsid w:val="002151DB"/>
    <w:rsid w:val="00220628"/>
    <w:rsid w:val="00221A45"/>
    <w:rsid w:val="00221BA0"/>
    <w:rsid w:val="00224CB4"/>
    <w:rsid w:val="002260C7"/>
    <w:rsid w:val="002304D2"/>
    <w:rsid w:val="002310E3"/>
    <w:rsid w:val="00232594"/>
    <w:rsid w:val="002338C1"/>
    <w:rsid w:val="00233D04"/>
    <w:rsid w:val="00234ABD"/>
    <w:rsid w:val="00236491"/>
    <w:rsid w:val="00236C3B"/>
    <w:rsid w:val="00236E2A"/>
    <w:rsid w:val="00237F62"/>
    <w:rsid w:val="00241E10"/>
    <w:rsid w:val="00242C71"/>
    <w:rsid w:val="0024586A"/>
    <w:rsid w:val="0024601F"/>
    <w:rsid w:val="002464E3"/>
    <w:rsid w:val="0024732C"/>
    <w:rsid w:val="002502E1"/>
    <w:rsid w:val="00250C98"/>
    <w:rsid w:val="00250F80"/>
    <w:rsid w:val="0025124F"/>
    <w:rsid w:val="00251517"/>
    <w:rsid w:val="002518A2"/>
    <w:rsid w:val="002528B3"/>
    <w:rsid w:val="00253854"/>
    <w:rsid w:val="0025551F"/>
    <w:rsid w:val="00255F8C"/>
    <w:rsid w:val="00256174"/>
    <w:rsid w:val="00256F0C"/>
    <w:rsid w:val="00257231"/>
    <w:rsid w:val="00260318"/>
    <w:rsid w:val="00261C23"/>
    <w:rsid w:val="00262C05"/>
    <w:rsid w:val="002715AF"/>
    <w:rsid w:val="002717F0"/>
    <w:rsid w:val="0027214F"/>
    <w:rsid w:val="0027301C"/>
    <w:rsid w:val="00273099"/>
    <w:rsid w:val="00281D14"/>
    <w:rsid w:val="00282C13"/>
    <w:rsid w:val="002833D8"/>
    <w:rsid w:val="002836D7"/>
    <w:rsid w:val="00284538"/>
    <w:rsid w:val="00285669"/>
    <w:rsid w:val="002858F6"/>
    <w:rsid w:val="00286BF6"/>
    <w:rsid w:val="002903B7"/>
    <w:rsid w:val="002919AD"/>
    <w:rsid w:val="00292C23"/>
    <w:rsid w:val="00295E54"/>
    <w:rsid w:val="002962D7"/>
    <w:rsid w:val="00296C33"/>
    <w:rsid w:val="002A0D7B"/>
    <w:rsid w:val="002A0DF7"/>
    <w:rsid w:val="002A268C"/>
    <w:rsid w:val="002A2975"/>
    <w:rsid w:val="002A460D"/>
    <w:rsid w:val="002A505B"/>
    <w:rsid w:val="002A5EE9"/>
    <w:rsid w:val="002A60E0"/>
    <w:rsid w:val="002A69D0"/>
    <w:rsid w:val="002A72F8"/>
    <w:rsid w:val="002B1AA8"/>
    <w:rsid w:val="002B1E87"/>
    <w:rsid w:val="002B4583"/>
    <w:rsid w:val="002B687A"/>
    <w:rsid w:val="002C1344"/>
    <w:rsid w:val="002C252E"/>
    <w:rsid w:val="002C3A2A"/>
    <w:rsid w:val="002C458A"/>
    <w:rsid w:val="002C6093"/>
    <w:rsid w:val="002C6552"/>
    <w:rsid w:val="002C6773"/>
    <w:rsid w:val="002C6F51"/>
    <w:rsid w:val="002C73EC"/>
    <w:rsid w:val="002D0FE0"/>
    <w:rsid w:val="002D269A"/>
    <w:rsid w:val="002D2A3D"/>
    <w:rsid w:val="002D3E72"/>
    <w:rsid w:val="002D3EAC"/>
    <w:rsid w:val="002D46A9"/>
    <w:rsid w:val="002D5D1D"/>
    <w:rsid w:val="002D6EFD"/>
    <w:rsid w:val="002D74CF"/>
    <w:rsid w:val="002D7B8C"/>
    <w:rsid w:val="002E0A45"/>
    <w:rsid w:val="002E0B17"/>
    <w:rsid w:val="002E26B4"/>
    <w:rsid w:val="002E31C0"/>
    <w:rsid w:val="002E3A73"/>
    <w:rsid w:val="002E4FFB"/>
    <w:rsid w:val="002E63A7"/>
    <w:rsid w:val="002E650E"/>
    <w:rsid w:val="002E6E2F"/>
    <w:rsid w:val="002E7DED"/>
    <w:rsid w:val="002F0334"/>
    <w:rsid w:val="002F2A7B"/>
    <w:rsid w:val="002F4AB2"/>
    <w:rsid w:val="002F4F67"/>
    <w:rsid w:val="002F5944"/>
    <w:rsid w:val="002F7BC2"/>
    <w:rsid w:val="002F7E11"/>
    <w:rsid w:val="003002BA"/>
    <w:rsid w:val="0030037C"/>
    <w:rsid w:val="003008B9"/>
    <w:rsid w:val="00304087"/>
    <w:rsid w:val="003053DC"/>
    <w:rsid w:val="003054B0"/>
    <w:rsid w:val="003057B1"/>
    <w:rsid w:val="003062AD"/>
    <w:rsid w:val="00310ACD"/>
    <w:rsid w:val="00312C23"/>
    <w:rsid w:val="0031379F"/>
    <w:rsid w:val="00313A9C"/>
    <w:rsid w:val="0031621E"/>
    <w:rsid w:val="00316A16"/>
    <w:rsid w:val="00316B30"/>
    <w:rsid w:val="00320228"/>
    <w:rsid w:val="00320372"/>
    <w:rsid w:val="00320A26"/>
    <w:rsid w:val="003212F3"/>
    <w:rsid w:val="00321344"/>
    <w:rsid w:val="00321622"/>
    <w:rsid w:val="00321788"/>
    <w:rsid w:val="00323FA3"/>
    <w:rsid w:val="00325064"/>
    <w:rsid w:val="00325EC9"/>
    <w:rsid w:val="00326735"/>
    <w:rsid w:val="003279C6"/>
    <w:rsid w:val="0032B295"/>
    <w:rsid w:val="00331A3E"/>
    <w:rsid w:val="0033451C"/>
    <w:rsid w:val="00335660"/>
    <w:rsid w:val="00335FBD"/>
    <w:rsid w:val="0033649A"/>
    <w:rsid w:val="00336854"/>
    <w:rsid w:val="00337118"/>
    <w:rsid w:val="0033769B"/>
    <w:rsid w:val="00337A89"/>
    <w:rsid w:val="0034015C"/>
    <w:rsid w:val="00341409"/>
    <w:rsid w:val="00341CAE"/>
    <w:rsid w:val="003442F4"/>
    <w:rsid w:val="00344546"/>
    <w:rsid w:val="003455CF"/>
    <w:rsid w:val="0034716E"/>
    <w:rsid w:val="00350CB4"/>
    <w:rsid w:val="00353705"/>
    <w:rsid w:val="00355536"/>
    <w:rsid w:val="003562E8"/>
    <w:rsid w:val="00357F94"/>
    <w:rsid w:val="003614D7"/>
    <w:rsid w:val="0036357D"/>
    <w:rsid w:val="00363637"/>
    <w:rsid w:val="003649BC"/>
    <w:rsid w:val="00364F7E"/>
    <w:rsid w:val="00365BE1"/>
    <w:rsid w:val="00365E44"/>
    <w:rsid w:val="003662B1"/>
    <w:rsid w:val="003663FD"/>
    <w:rsid w:val="003667AD"/>
    <w:rsid w:val="00367AA1"/>
    <w:rsid w:val="00370A5B"/>
    <w:rsid w:val="00372497"/>
    <w:rsid w:val="00372E36"/>
    <w:rsid w:val="00373C15"/>
    <w:rsid w:val="00373D53"/>
    <w:rsid w:val="00375653"/>
    <w:rsid w:val="00375DFA"/>
    <w:rsid w:val="00375F7D"/>
    <w:rsid w:val="003767D3"/>
    <w:rsid w:val="00376EE9"/>
    <w:rsid w:val="00376FFC"/>
    <w:rsid w:val="00377CBB"/>
    <w:rsid w:val="00382CCB"/>
    <w:rsid w:val="00382DA3"/>
    <w:rsid w:val="00384F62"/>
    <w:rsid w:val="00385438"/>
    <w:rsid w:val="003858E5"/>
    <w:rsid w:val="003877B6"/>
    <w:rsid w:val="00391539"/>
    <w:rsid w:val="003921B7"/>
    <w:rsid w:val="00392D73"/>
    <w:rsid w:val="00393887"/>
    <w:rsid w:val="00393F1B"/>
    <w:rsid w:val="00394C6B"/>
    <w:rsid w:val="0039610B"/>
    <w:rsid w:val="00396442"/>
    <w:rsid w:val="00397C2B"/>
    <w:rsid w:val="003A11DF"/>
    <w:rsid w:val="003A290F"/>
    <w:rsid w:val="003A4AAA"/>
    <w:rsid w:val="003A4B10"/>
    <w:rsid w:val="003A4E2E"/>
    <w:rsid w:val="003A4E62"/>
    <w:rsid w:val="003A5A6A"/>
    <w:rsid w:val="003A5C76"/>
    <w:rsid w:val="003A775E"/>
    <w:rsid w:val="003B02F2"/>
    <w:rsid w:val="003B0BD0"/>
    <w:rsid w:val="003B0CDD"/>
    <w:rsid w:val="003B1069"/>
    <w:rsid w:val="003B1F2E"/>
    <w:rsid w:val="003B38CC"/>
    <w:rsid w:val="003B390A"/>
    <w:rsid w:val="003B3D53"/>
    <w:rsid w:val="003B4E3A"/>
    <w:rsid w:val="003B60C3"/>
    <w:rsid w:val="003B6373"/>
    <w:rsid w:val="003B79E1"/>
    <w:rsid w:val="003C0E8C"/>
    <w:rsid w:val="003C15DE"/>
    <w:rsid w:val="003C2096"/>
    <w:rsid w:val="003C2889"/>
    <w:rsid w:val="003C2AB0"/>
    <w:rsid w:val="003C34C9"/>
    <w:rsid w:val="003C4EB2"/>
    <w:rsid w:val="003C5801"/>
    <w:rsid w:val="003C5E05"/>
    <w:rsid w:val="003C63D0"/>
    <w:rsid w:val="003C7959"/>
    <w:rsid w:val="003C7C0F"/>
    <w:rsid w:val="003D3968"/>
    <w:rsid w:val="003D42AF"/>
    <w:rsid w:val="003D4899"/>
    <w:rsid w:val="003D4AD2"/>
    <w:rsid w:val="003D5E11"/>
    <w:rsid w:val="003D73C0"/>
    <w:rsid w:val="003E031D"/>
    <w:rsid w:val="003E1833"/>
    <w:rsid w:val="003E6DA3"/>
    <w:rsid w:val="003E7305"/>
    <w:rsid w:val="003F0C1C"/>
    <w:rsid w:val="003F1AF3"/>
    <w:rsid w:val="003F25E4"/>
    <w:rsid w:val="003F4804"/>
    <w:rsid w:val="003F4AAA"/>
    <w:rsid w:val="003F4D8D"/>
    <w:rsid w:val="003F4E93"/>
    <w:rsid w:val="003F5708"/>
    <w:rsid w:val="003F66A4"/>
    <w:rsid w:val="00401508"/>
    <w:rsid w:val="00401688"/>
    <w:rsid w:val="004024D9"/>
    <w:rsid w:val="0040257E"/>
    <w:rsid w:val="0040386D"/>
    <w:rsid w:val="00404188"/>
    <w:rsid w:val="00406435"/>
    <w:rsid w:val="004066F9"/>
    <w:rsid w:val="00406CBE"/>
    <w:rsid w:val="004073DC"/>
    <w:rsid w:val="004137C0"/>
    <w:rsid w:val="004138F3"/>
    <w:rsid w:val="00420F5B"/>
    <w:rsid w:val="00421F20"/>
    <w:rsid w:val="0042238F"/>
    <w:rsid w:val="00423B63"/>
    <w:rsid w:val="00427BEA"/>
    <w:rsid w:val="00430120"/>
    <w:rsid w:val="004313E7"/>
    <w:rsid w:val="00432542"/>
    <w:rsid w:val="004339B2"/>
    <w:rsid w:val="0044344E"/>
    <w:rsid w:val="00444A70"/>
    <w:rsid w:val="0044763B"/>
    <w:rsid w:val="00452696"/>
    <w:rsid w:val="00452726"/>
    <w:rsid w:val="00453F32"/>
    <w:rsid w:val="00454DAA"/>
    <w:rsid w:val="00456765"/>
    <w:rsid w:val="00456A53"/>
    <w:rsid w:val="00456F1E"/>
    <w:rsid w:val="0046213C"/>
    <w:rsid w:val="00462518"/>
    <w:rsid w:val="0046266D"/>
    <w:rsid w:val="004629B3"/>
    <w:rsid w:val="0046376E"/>
    <w:rsid w:val="00463B50"/>
    <w:rsid w:val="00464251"/>
    <w:rsid w:val="00464860"/>
    <w:rsid w:val="0046587C"/>
    <w:rsid w:val="0046690F"/>
    <w:rsid w:val="00467CC0"/>
    <w:rsid w:val="00471116"/>
    <w:rsid w:val="00472FEC"/>
    <w:rsid w:val="0047323D"/>
    <w:rsid w:val="00473A2A"/>
    <w:rsid w:val="00473B89"/>
    <w:rsid w:val="004747D0"/>
    <w:rsid w:val="00476830"/>
    <w:rsid w:val="004770F6"/>
    <w:rsid w:val="004812D2"/>
    <w:rsid w:val="00483B28"/>
    <w:rsid w:val="00484218"/>
    <w:rsid w:val="004858E1"/>
    <w:rsid w:val="00485EF2"/>
    <w:rsid w:val="004864A1"/>
    <w:rsid w:val="0048769E"/>
    <w:rsid w:val="00487A1F"/>
    <w:rsid w:val="00490A03"/>
    <w:rsid w:val="00490B0D"/>
    <w:rsid w:val="00490E5D"/>
    <w:rsid w:val="00492B0A"/>
    <w:rsid w:val="00492D88"/>
    <w:rsid w:val="00493327"/>
    <w:rsid w:val="0049382E"/>
    <w:rsid w:val="0049391A"/>
    <w:rsid w:val="00494DBE"/>
    <w:rsid w:val="00495CE6"/>
    <w:rsid w:val="00497D5E"/>
    <w:rsid w:val="00497EB9"/>
    <w:rsid w:val="004A144D"/>
    <w:rsid w:val="004A1D27"/>
    <w:rsid w:val="004A2176"/>
    <w:rsid w:val="004A2703"/>
    <w:rsid w:val="004A323C"/>
    <w:rsid w:val="004A4D16"/>
    <w:rsid w:val="004B0801"/>
    <w:rsid w:val="004B1117"/>
    <w:rsid w:val="004B1A6B"/>
    <w:rsid w:val="004B1FC8"/>
    <w:rsid w:val="004B339A"/>
    <w:rsid w:val="004B39DA"/>
    <w:rsid w:val="004B54E8"/>
    <w:rsid w:val="004B7595"/>
    <w:rsid w:val="004B773C"/>
    <w:rsid w:val="004C0138"/>
    <w:rsid w:val="004C0686"/>
    <w:rsid w:val="004C12E8"/>
    <w:rsid w:val="004C130C"/>
    <w:rsid w:val="004C1389"/>
    <w:rsid w:val="004C1578"/>
    <w:rsid w:val="004C174B"/>
    <w:rsid w:val="004C33BA"/>
    <w:rsid w:val="004C47EA"/>
    <w:rsid w:val="004C4FEB"/>
    <w:rsid w:val="004C6570"/>
    <w:rsid w:val="004C678C"/>
    <w:rsid w:val="004C6B79"/>
    <w:rsid w:val="004C7345"/>
    <w:rsid w:val="004D059B"/>
    <w:rsid w:val="004D09F9"/>
    <w:rsid w:val="004D0E64"/>
    <w:rsid w:val="004D144F"/>
    <w:rsid w:val="004D1DBD"/>
    <w:rsid w:val="004D304E"/>
    <w:rsid w:val="004D4543"/>
    <w:rsid w:val="004D48A8"/>
    <w:rsid w:val="004D4CB6"/>
    <w:rsid w:val="004D4DCB"/>
    <w:rsid w:val="004E0907"/>
    <w:rsid w:val="004E20CF"/>
    <w:rsid w:val="004E2324"/>
    <w:rsid w:val="004E28C9"/>
    <w:rsid w:val="004E3341"/>
    <w:rsid w:val="004E3406"/>
    <w:rsid w:val="004E5124"/>
    <w:rsid w:val="004E7BE2"/>
    <w:rsid w:val="004E7E3A"/>
    <w:rsid w:val="004F10C1"/>
    <w:rsid w:val="004F1C5E"/>
    <w:rsid w:val="004F3032"/>
    <w:rsid w:val="004F3E47"/>
    <w:rsid w:val="004F4CC8"/>
    <w:rsid w:val="004F4F5A"/>
    <w:rsid w:val="004F50B0"/>
    <w:rsid w:val="004F51FF"/>
    <w:rsid w:val="004F5AD9"/>
    <w:rsid w:val="0050159C"/>
    <w:rsid w:val="005022B7"/>
    <w:rsid w:val="00502E62"/>
    <w:rsid w:val="005044C2"/>
    <w:rsid w:val="00506B8A"/>
    <w:rsid w:val="005110D3"/>
    <w:rsid w:val="00511161"/>
    <w:rsid w:val="0051413C"/>
    <w:rsid w:val="00515F4A"/>
    <w:rsid w:val="0051693C"/>
    <w:rsid w:val="00520A65"/>
    <w:rsid w:val="005218B8"/>
    <w:rsid w:val="00521B13"/>
    <w:rsid w:val="0052212B"/>
    <w:rsid w:val="005221A8"/>
    <w:rsid w:val="005230C7"/>
    <w:rsid w:val="0052474F"/>
    <w:rsid w:val="0052625A"/>
    <w:rsid w:val="005266EA"/>
    <w:rsid w:val="00527072"/>
    <w:rsid w:val="005272FE"/>
    <w:rsid w:val="0053001D"/>
    <w:rsid w:val="00533B0D"/>
    <w:rsid w:val="00534B46"/>
    <w:rsid w:val="00535018"/>
    <w:rsid w:val="005355DB"/>
    <w:rsid w:val="00535866"/>
    <w:rsid w:val="00536CBD"/>
    <w:rsid w:val="00540358"/>
    <w:rsid w:val="00540A05"/>
    <w:rsid w:val="00540D47"/>
    <w:rsid w:val="00540E25"/>
    <w:rsid w:val="005428D7"/>
    <w:rsid w:val="00542D43"/>
    <w:rsid w:val="00545516"/>
    <w:rsid w:val="005463C3"/>
    <w:rsid w:val="005465A3"/>
    <w:rsid w:val="00547C7C"/>
    <w:rsid w:val="005506D5"/>
    <w:rsid w:val="00550864"/>
    <w:rsid w:val="00551D6C"/>
    <w:rsid w:val="00553580"/>
    <w:rsid w:val="005550A8"/>
    <w:rsid w:val="0055571E"/>
    <w:rsid w:val="00556F67"/>
    <w:rsid w:val="00557849"/>
    <w:rsid w:val="00563009"/>
    <w:rsid w:val="005635B7"/>
    <w:rsid w:val="005652E8"/>
    <w:rsid w:val="0056772E"/>
    <w:rsid w:val="00567A17"/>
    <w:rsid w:val="005735E2"/>
    <w:rsid w:val="0057384B"/>
    <w:rsid w:val="0057392C"/>
    <w:rsid w:val="0057446D"/>
    <w:rsid w:val="0057667C"/>
    <w:rsid w:val="00576BDA"/>
    <w:rsid w:val="00577DB4"/>
    <w:rsid w:val="005826DA"/>
    <w:rsid w:val="00582943"/>
    <w:rsid w:val="00582D0E"/>
    <w:rsid w:val="00582E09"/>
    <w:rsid w:val="005833F0"/>
    <w:rsid w:val="005835F4"/>
    <w:rsid w:val="00585A6D"/>
    <w:rsid w:val="00586280"/>
    <w:rsid w:val="00586584"/>
    <w:rsid w:val="005865FC"/>
    <w:rsid w:val="00586913"/>
    <w:rsid w:val="005869CE"/>
    <w:rsid w:val="00586CAF"/>
    <w:rsid w:val="005873E9"/>
    <w:rsid w:val="00587748"/>
    <w:rsid w:val="00587A90"/>
    <w:rsid w:val="00591180"/>
    <w:rsid w:val="00592E9F"/>
    <w:rsid w:val="00595286"/>
    <w:rsid w:val="0059722C"/>
    <w:rsid w:val="005977A6"/>
    <w:rsid w:val="00597D07"/>
    <w:rsid w:val="00597DD6"/>
    <w:rsid w:val="005A16E6"/>
    <w:rsid w:val="005A1746"/>
    <w:rsid w:val="005A30D7"/>
    <w:rsid w:val="005A3846"/>
    <w:rsid w:val="005A678F"/>
    <w:rsid w:val="005A7DE8"/>
    <w:rsid w:val="005A7E97"/>
    <w:rsid w:val="005B2CD2"/>
    <w:rsid w:val="005B632A"/>
    <w:rsid w:val="005B6788"/>
    <w:rsid w:val="005B6A58"/>
    <w:rsid w:val="005C4C2F"/>
    <w:rsid w:val="005C5A83"/>
    <w:rsid w:val="005C7112"/>
    <w:rsid w:val="005D0155"/>
    <w:rsid w:val="005D0561"/>
    <w:rsid w:val="005D0AD9"/>
    <w:rsid w:val="005D1A67"/>
    <w:rsid w:val="005D1F10"/>
    <w:rsid w:val="005D22F6"/>
    <w:rsid w:val="005D4647"/>
    <w:rsid w:val="005D5EDE"/>
    <w:rsid w:val="005D6774"/>
    <w:rsid w:val="005D68AA"/>
    <w:rsid w:val="005D6BD1"/>
    <w:rsid w:val="005E060E"/>
    <w:rsid w:val="005E0C30"/>
    <w:rsid w:val="005E1DCB"/>
    <w:rsid w:val="005E2A31"/>
    <w:rsid w:val="005E33E0"/>
    <w:rsid w:val="005E3FBB"/>
    <w:rsid w:val="005E467A"/>
    <w:rsid w:val="005E66B4"/>
    <w:rsid w:val="005E69D9"/>
    <w:rsid w:val="005E6CB1"/>
    <w:rsid w:val="005E7116"/>
    <w:rsid w:val="005E7971"/>
    <w:rsid w:val="005F17D1"/>
    <w:rsid w:val="005F23BC"/>
    <w:rsid w:val="005F2643"/>
    <w:rsid w:val="005F27F4"/>
    <w:rsid w:val="005F297C"/>
    <w:rsid w:val="005F3239"/>
    <w:rsid w:val="005F39BF"/>
    <w:rsid w:val="005F566C"/>
    <w:rsid w:val="005F5D54"/>
    <w:rsid w:val="005F5F4D"/>
    <w:rsid w:val="005F6567"/>
    <w:rsid w:val="005F676D"/>
    <w:rsid w:val="005F6A21"/>
    <w:rsid w:val="005F750F"/>
    <w:rsid w:val="005F7A8A"/>
    <w:rsid w:val="00600998"/>
    <w:rsid w:val="00600ACF"/>
    <w:rsid w:val="006019EB"/>
    <w:rsid w:val="00601CC1"/>
    <w:rsid w:val="006022D0"/>
    <w:rsid w:val="00605DFE"/>
    <w:rsid w:val="00607094"/>
    <w:rsid w:val="00607256"/>
    <w:rsid w:val="00607621"/>
    <w:rsid w:val="0060790C"/>
    <w:rsid w:val="0060791E"/>
    <w:rsid w:val="00611B7B"/>
    <w:rsid w:val="00611F08"/>
    <w:rsid w:val="00611FB2"/>
    <w:rsid w:val="00613BF1"/>
    <w:rsid w:val="006144B1"/>
    <w:rsid w:val="00615A5C"/>
    <w:rsid w:val="00616C7F"/>
    <w:rsid w:val="006177FF"/>
    <w:rsid w:val="0062077F"/>
    <w:rsid w:val="00621BC7"/>
    <w:rsid w:val="00622033"/>
    <w:rsid w:val="0062460B"/>
    <w:rsid w:val="00630644"/>
    <w:rsid w:val="006335F1"/>
    <w:rsid w:val="006336FD"/>
    <w:rsid w:val="00633B49"/>
    <w:rsid w:val="006345B6"/>
    <w:rsid w:val="006345CD"/>
    <w:rsid w:val="00635616"/>
    <w:rsid w:val="00635712"/>
    <w:rsid w:val="00635984"/>
    <w:rsid w:val="00635F41"/>
    <w:rsid w:val="006368FF"/>
    <w:rsid w:val="00636D95"/>
    <w:rsid w:val="006377D4"/>
    <w:rsid w:val="00640135"/>
    <w:rsid w:val="006402FF"/>
    <w:rsid w:val="0064107F"/>
    <w:rsid w:val="00643D8A"/>
    <w:rsid w:val="00645A5C"/>
    <w:rsid w:val="006460E5"/>
    <w:rsid w:val="00647A78"/>
    <w:rsid w:val="00647AB9"/>
    <w:rsid w:val="00647C4B"/>
    <w:rsid w:val="00650894"/>
    <w:rsid w:val="0065112B"/>
    <w:rsid w:val="00652091"/>
    <w:rsid w:val="00652229"/>
    <w:rsid w:val="00652793"/>
    <w:rsid w:val="006528DE"/>
    <w:rsid w:val="006541A1"/>
    <w:rsid w:val="00657789"/>
    <w:rsid w:val="00660320"/>
    <w:rsid w:val="0066187E"/>
    <w:rsid w:val="00662375"/>
    <w:rsid w:val="006626CA"/>
    <w:rsid w:val="00663487"/>
    <w:rsid w:val="00672382"/>
    <w:rsid w:val="006733BB"/>
    <w:rsid w:val="0067607A"/>
    <w:rsid w:val="006763B5"/>
    <w:rsid w:val="00676E80"/>
    <w:rsid w:val="006775C2"/>
    <w:rsid w:val="00681257"/>
    <w:rsid w:val="00681C3E"/>
    <w:rsid w:val="00682191"/>
    <w:rsid w:val="006822E9"/>
    <w:rsid w:val="00682643"/>
    <w:rsid w:val="00682EB9"/>
    <w:rsid w:val="00682F1E"/>
    <w:rsid w:val="0068378C"/>
    <w:rsid w:val="006839D3"/>
    <w:rsid w:val="0068441A"/>
    <w:rsid w:val="0068699A"/>
    <w:rsid w:val="00690B19"/>
    <w:rsid w:val="006938EE"/>
    <w:rsid w:val="00694195"/>
    <w:rsid w:val="0069650C"/>
    <w:rsid w:val="006A0A3C"/>
    <w:rsid w:val="006A1ED8"/>
    <w:rsid w:val="006A3D5B"/>
    <w:rsid w:val="006A442A"/>
    <w:rsid w:val="006A59E9"/>
    <w:rsid w:val="006A5AB1"/>
    <w:rsid w:val="006A6F2B"/>
    <w:rsid w:val="006A75B8"/>
    <w:rsid w:val="006A79F0"/>
    <w:rsid w:val="006B048F"/>
    <w:rsid w:val="006B359D"/>
    <w:rsid w:val="006B47EE"/>
    <w:rsid w:val="006B499F"/>
    <w:rsid w:val="006B54C6"/>
    <w:rsid w:val="006B617F"/>
    <w:rsid w:val="006B78E0"/>
    <w:rsid w:val="006C187E"/>
    <w:rsid w:val="006C1FB8"/>
    <w:rsid w:val="006C2BB0"/>
    <w:rsid w:val="006C33BE"/>
    <w:rsid w:val="006C4B3D"/>
    <w:rsid w:val="006C53D0"/>
    <w:rsid w:val="006C5B53"/>
    <w:rsid w:val="006C7E78"/>
    <w:rsid w:val="006D006A"/>
    <w:rsid w:val="006D064D"/>
    <w:rsid w:val="006D098F"/>
    <w:rsid w:val="006D127F"/>
    <w:rsid w:val="006D20E3"/>
    <w:rsid w:val="006D2218"/>
    <w:rsid w:val="006D33E1"/>
    <w:rsid w:val="006D4996"/>
    <w:rsid w:val="006D4D0C"/>
    <w:rsid w:val="006D510B"/>
    <w:rsid w:val="006D535B"/>
    <w:rsid w:val="006D54AB"/>
    <w:rsid w:val="006D58E5"/>
    <w:rsid w:val="006E1084"/>
    <w:rsid w:val="006E1097"/>
    <w:rsid w:val="006E10B2"/>
    <w:rsid w:val="006E1A70"/>
    <w:rsid w:val="006E1FA9"/>
    <w:rsid w:val="006E2D24"/>
    <w:rsid w:val="006E3006"/>
    <w:rsid w:val="006E3AFC"/>
    <w:rsid w:val="006E4458"/>
    <w:rsid w:val="006E4F02"/>
    <w:rsid w:val="006E5032"/>
    <w:rsid w:val="006E5BDA"/>
    <w:rsid w:val="006E7AC9"/>
    <w:rsid w:val="006F0FC7"/>
    <w:rsid w:val="006F39A9"/>
    <w:rsid w:val="006F3D9D"/>
    <w:rsid w:val="006F524E"/>
    <w:rsid w:val="006F5D57"/>
    <w:rsid w:val="006F643F"/>
    <w:rsid w:val="006F670F"/>
    <w:rsid w:val="006F77F3"/>
    <w:rsid w:val="0070063C"/>
    <w:rsid w:val="00700D69"/>
    <w:rsid w:val="0070243F"/>
    <w:rsid w:val="00702921"/>
    <w:rsid w:val="00703272"/>
    <w:rsid w:val="0070362C"/>
    <w:rsid w:val="00703652"/>
    <w:rsid w:val="00704020"/>
    <w:rsid w:val="00704044"/>
    <w:rsid w:val="00705B35"/>
    <w:rsid w:val="00705BBE"/>
    <w:rsid w:val="0070733C"/>
    <w:rsid w:val="007102D5"/>
    <w:rsid w:val="00710C5D"/>
    <w:rsid w:val="0071348C"/>
    <w:rsid w:val="00717273"/>
    <w:rsid w:val="00720FD4"/>
    <w:rsid w:val="00721EEF"/>
    <w:rsid w:val="00722A02"/>
    <w:rsid w:val="00723A21"/>
    <w:rsid w:val="00723B91"/>
    <w:rsid w:val="00723C6D"/>
    <w:rsid w:val="00724550"/>
    <w:rsid w:val="00724AF2"/>
    <w:rsid w:val="00724E51"/>
    <w:rsid w:val="00730624"/>
    <w:rsid w:val="0073096C"/>
    <w:rsid w:val="0073100D"/>
    <w:rsid w:val="00731368"/>
    <w:rsid w:val="00733429"/>
    <w:rsid w:val="00733A46"/>
    <w:rsid w:val="00733BB0"/>
    <w:rsid w:val="00735E2D"/>
    <w:rsid w:val="00736F2C"/>
    <w:rsid w:val="007371B2"/>
    <w:rsid w:val="00740F23"/>
    <w:rsid w:val="007419C8"/>
    <w:rsid w:val="00742398"/>
    <w:rsid w:val="007432A9"/>
    <w:rsid w:val="00745C0B"/>
    <w:rsid w:val="00746050"/>
    <w:rsid w:val="00746118"/>
    <w:rsid w:val="00746C7F"/>
    <w:rsid w:val="007507B5"/>
    <w:rsid w:val="0075091D"/>
    <w:rsid w:val="00750EC4"/>
    <w:rsid w:val="00751831"/>
    <w:rsid w:val="0075201B"/>
    <w:rsid w:val="00753A24"/>
    <w:rsid w:val="00754294"/>
    <w:rsid w:val="0075430D"/>
    <w:rsid w:val="0075779F"/>
    <w:rsid w:val="0076106F"/>
    <w:rsid w:val="0076354B"/>
    <w:rsid w:val="00764668"/>
    <w:rsid w:val="007658F3"/>
    <w:rsid w:val="00765D0E"/>
    <w:rsid w:val="00765E3B"/>
    <w:rsid w:val="00766EA2"/>
    <w:rsid w:val="00767034"/>
    <w:rsid w:val="00772188"/>
    <w:rsid w:val="0077222A"/>
    <w:rsid w:val="00773909"/>
    <w:rsid w:val="0077433B"/>
    <w:rsid w:val="00774E1E"/>
    <w:rsid w:val="0077544E"/>
    <w:rsid w:val="00776743"/>
    <w:rsid w:val="00776D7F"/>
    <w:rsid w:val="007813D0"/>
    <w:rsid w:val="007845AC"/>
    <w:rsid w:val="00785993"/>
    <w:rsid w:val="00785A0D"/>
    <w:rsid w:val="007863BF"/>
    <w:rsid w:val="007866E2"/>
    <w:rsid w:val="00786BA3"/>
    <w:rsid w:val="00790993"/>
    <w:rsid w:val="0079202F"/>
    <w:rsid w:val="0079203E"/>
    <w:rsid w:val="007934C3"/>
    <w:rsid w:val="00793FDA"/>
    <w:rsid w:val="00794903"/>
    <w:rsid w:val="00795486"/>
    <w:rsid w:val="00795AF2"/>
    <w:rsid w:val="00795E4F"/>
    <w:rsid w:val="007A0287"/>
    <w:rsid w:val="007A09FC"/>
    <w:rsid w:val="007A2AAD"/>
    <w:rsid w:val="007A3017"/>
    <w:rsid w:val="007A4432"/>
    <w:rsid w:val="007A525B"/>
    <w:rsid w:val="007A59E9"/>
    <w:rsid w:val="007A784E"/>
    <w:rsid w:val="007A7E31"/>
    <w:rsid w:val="007B02A0"/>
    <w:rsid w:val="007B278C"/>
    <w:rsid w:val="007B2C2C"/>
    <w:rsid w:val="007B2DAD"/>
    <w:rsid w:val="007B3774"/>
    <w:rsid w:val="007B4939"/>
    <w:rsid w:val="007B499C"/>
    <w:rsid w:val="007B4D4B"/>
    <w:rsid w:val="007B58C6"/>
    <w:rsid w:val="007B76D8"/>
    <w:rsid w:val="007C0646"/>
    <w:rsid w:val="007C1ACD"/>
    <w:rsid w:val="007C1E5E"/>
    <w:rsid w:val="007C1E9D"/>
    <w:rsid w:val="007C3AE3"/>
    <w:rsid w:val="007C6C51"/>
    <w:rsid w:val="007D0000"/>
    <w:rsid w:val="007D2A02"/>
    <w:rsid w:val="007D5EA2"/>
    <w:rsid w:val="007D6144"/>
    <w:rsid w:val="007D62A4"/>
    <w:rsid w:val="007D6CE5"/>
    <w:rsid w:val="007E0917"/>
    <w:rsid w:val="007E136B"/>
    <w:rsid w:val="007E1736"/>
    <w:rsid w:val="007E25DD"/>
    <w:rsid w:val="007E2887"/>
    <w:rsid w:val="007E3318"/>
    <w:rsid w:val="007E6EA1"/>
    <w:rsid w:val="007F0F16"/>
    <w:rsid w:val="007F0F63"/>
    <w:rsid w:val="007F2B1E"/>
    <w:rsid w:val="007F4590"/>
    <w:rsid w:val="007F62B4"/>
    <w:rsid w:val="007F7C05"/>
    <w:rsid w:val="007F7DF9"/>
    <w:rsid w:val="00800FD6"/>
    <w:rsid w:val="00801517"/>
    <w:rsid w:val="008019C0"/>
    <w:rsid w:val="00804966"/>
    <w:rsid w:val="0080510A"/>
    <w:rsid w:val="0080596A"/>
    <w:rsid w:val="00805CBF"/>
    <w:rsid w:val="00807195"/>
    <w:rsid w:val="00810AC4"/>
    <w:rsid w:val="0081218E"/>
    <w:rsid w:val="0081228B"/>
    <w:rsid w:val="00813492"/>
    <w:rsid w:val="00814DE2"/>
    <w:rsid w:val="00815599"/>
    <w:rsid w:val="00815D34"/>
    <w:rsid w:val="008177EE"/>
    <w:rsid w:val="00817895"/>
    <w:rsid w:val="00817AE8"/>
    <w:rsid w:val="00817DE8"/>
    <w:rsid w:val="008229F5"/>
    <w:rsid w:val="00824293"/>
    <w:rsid w:val="008259DE"/>
    <w:rsid w:val="0082699A"/>
    <w:rsid w:val="00827F2A"/>
    <w:rsid w:val="00832633"/>
    <w:rsid w:val="0083342C"/>
    <w:rsid w:val="00833869"/>
    <w:rsid w:val="00833CEB"/>
    <w:rsid w:val="0083662B"/>
    <w:rsid w:val="008372D2"/>
    <w:rsid w:val="008377BC"/>
    <w:rsid w:val="00841179"/>
    <w:rsid w:val="00841353"/>
    <w:rsid w:val="00844C17"/>
    <w:rsid w:val="008450BB"/>
    <w:rsid w:val="00846017"/>
    <w:rsid w:val="008464F2"/>
    <w:rsid w:val="00847726"/>
    <w:rsid w:val="00851033"/>
    <w:rsid w:val="00851A55"/>
    <w:rsid w:val="00851CB1"/>
    <w:rsid w:val="00852511"/>
    <w:rsid w:val="0085252F"/>
    <w:rsid w:val="00853FD6"/>
    <w:rsid w:val="00855F22"/>
    <w:rsid w:val="00855FD0"/>
    <w:rsid w:val="0085658E"/>
    <w:rsid w:val="008568E6"/>
    <w:rsid w:val="00857408"/>
    <w:rsid w:val="008578A9"/>
    <w:rsid w:val="00860338"/>
    <w:rsid w:val="0086072A"/>
    <w:rsid w:val="0086088F"/>
    <w:rsid w:val="008614F1"/>
    <w:rsid w:val="008639B3"/>
    <w:rsid w:val="00863C1A"/>
    <w:rsid w:val="00863F9D"/>
    <w:rsid w:val="0086470F"/>
    <w:rsid w:val="00865882"/>
    <w:rsid w:val="00866CDD"/>
    <w:rsid w:val="0087082E"/>
    <w:rsid w:val="008712FE"/>
    <w:rsid w:val="0087142D"/>
    <w:rsid w:val="00872928"/>
    <w:rsid w:val="00872DA6"/>
    <w:rsid w:val="00873416"/>
    <w:rsid w:val="00873956"/>
    <w:rsid w:val="0087538C"/>
    <w:rsid w:val="00875495"/>
    <w:rsid w:val="00875A71"/>
    <w:rsid w:val="00875CB0"/>
    <w:rsid w:val="008762E7"/>
    <w:rsid w:val="008770CC"/>
    <w:rsid w:val="00877800"/>
    <w:rsid w:val="00877C32"/>
    <w:rsid w:val="00880580"/>
    <w:rsid w:val="0088094B"/>
    <w:rsid w:val="00880E72"/>
    <w:rsid w:val="0088176E"/>
    <w:rsid w:val="008825EE"/>
    <w:rsid w:val="00882DE4"/>
    <w:rsid w:val="0088313E"/>
    <w:rsid w:val="008849B2"/>
    <w:rsid w:val="0088596E"/>
    <w:rsid w:val="00885D26"/>
    <w:rsid w:val="00886C54"/>
    <w:rsid w:val="008870ED"/>
    <w:rsid w:val="008877FC"/>
    <w:rsid w:val="00892132"/>
    <w:rsid w:val="008947FF"/>
    <w:rsid w:val="0089796A"/>
    <w:rsid w:val="0089799B"/>
    <w:rsid w:val="008979FA"/>
    <w:rsid w:val="008A2375"/>
    <w:rsid w:val="008A54B6"/>
    <w:rsid w:val="008A7DEB"/>
    <w:rsid w:val="008B1B65"/>
    <w:rsid w:val="008B2185"/>
    <w:rsid w:val="008B3182"/>
    <w:rsid w:val="008B3557"/>
    <w:rsid w:val="008B39E0"/>
    <w:rsid w:val="008B4302"/>
    <w:rsid w:val="008B605A"/>
    <w:rsid w:val="008B6086"/>
    <w:rsid w:val="008B760D"/>
    <w:rsid w:val="008C093B"/>
    <w:rsid w:val="008C0E76"/>
    <w:rsid w:val="008C2665"/>
    <w:rsid w:val="008C6041"/>
    <w:rsid w:val="008C74E3"/>
    <w:rsid w:val="008D0936"/>
    <w:rsid w:val="008D403B"/>
    <w:rsid w:val="008D4707"/>
    <w:rsid w:val="008D764F"/>
    <w:rsid w:val="008D76C5"/>
    <w:rsid w:val="008E0A04"/>
    <w:rsid w:val="008E0AFA"/>
    <w:rsid w:val="008E28BD"/>
    <w:rsid w:val="008E2C6D"/>
    <w:rsid w:val="008E4F56"/>
    <w:rsid w:val="008E6661"/>
    <w:rsid w:val="008E75D3"/>
    <w:rsid w:val="008F02E9"/>
    <w:rsid w:val="008F076A"/>
    <w:rsid w:val="008F0CE4"/>
    <w:rsid w:val="008F125E"/>
    <w:rsid w:val="008F1CC5"/>
    <w:rsid w:val="008F2444"/>
    <w:rsid w:val="008F2B54"/>
    <w:rsid w:val="008F2CC5"/>
    <w:rsid w:val="008F4C1E"/>
    <w:rsid w:val="008F4D2F"/>
    <w:rsid w:val="008F510A"/>
    <w:rsid w:val="008F55A2"/>
    <w:rsid w:val="00900235"/>
    <w:rsid w:val="00900D3C"/>
    <w:rsid w:val="00906292"/>
    <w:rsid w:val="0091352F"/>
    <w:rsid w:val="00914B5B"/>
    <w:rsid w:val="009152B8"/>
    <w:rsid w:val="00917162"/>
    <w:rsid w:val="009172B9"/>
    <w:rsid w:val="009178AA"/>
    <w:rsid w:val="00920430"/>
    <w:rsid w:val="00921C0C"/>
    <w:rsid w:val="00923001"/>
    <w:rsid w:val="0092358D"/>
    <w:rsid w:val="009238BF"/>
    <w:rsid w:val="009251CC"/>
    <w:rsid w:val="0092680D"/>
    <w:rsid w:val="0092714E"/>
    <w:rsid w:val="00927661"/>
    <w:rsid w:val="00931E24"/>
    <w:rsid w:val="009324F0"/>
    <w:rsid w:val="00933130"/>
    <w:rsid w:val="0093478F"/>
    <w:rsid w:val="00935046"/>
    <w:rsid w:val="00936826"/>
    <w:rsid w:val="00940B3D"/>
    <w:rsid w:val="00942002"/>
    <w:rsid w:val="00942359"/>
    <w:rsid w:val="0094623A"/>
    <w:rsid w:val="00946FC5"/>
    <w:rsid w:val="00947885"/>
    <w:rsid w:val="009504AB"/>
    <w:rsid w:val="00951212"/>
    <w:rsid w:val="00951818"/>
    <w:rsid w:val="00952168"/>
    <w:rsid w:val="009527FE"/>
    <w:rsid w:val="009529B2"/>
    <w:rsid w:val="009535A6"/>
    <w:rsid w:val="009538D0"/>
    <w:rsid w:val="0095421F"/>
    <w:rsid w:val="009555CA"/>
    <w:rsid w:val="00955D69"/>
    <w:rsid w:val="00957D2C"/>
    <w:rsid w:val="00960319"/>
    <w:rsid w:val="00960539"/>
    <w:rsid w:val="009605B1"/>
    <w:rsid w:val="00960CBC"/>
    <w:rsid w:val="00962591"/>
    <w:rsid w:val="00962AD4"/>
    <w:rsid w:val="00963A06"/>
    <w:rsid w:val="00965192"/>
    <w:rsid w:val="00967DD4"/>
    <w:rsid w:val="009700B1"/>
    <w:rsid w:val="00970ECF"/>
    <w:rsid w:val="00971261"/>
    <w:rsid w:val="00971FD4"/>
    <w:rsid w:val="009722CB"/>
    <w:rsid w:val="009739A0"/>
    <w:rsid w:val="00974EE4"/>
    <w:rsid w:val="00974F84"/>
    <w:rsid w:val="009755D9"/>
    <w:rsid w:val="00975D5B"/>
    <w:rsid w:val="00976216"/>
    <w:rsid w:val="009767C7"/>
    <w:rsid w:val="00977D30"/>
    <w:rsid w:val="00977D52"/>
    <w:rsid w:val="00980E69"/>
    <w:rsid w:val="0098334C"/>
    <w:rsid w:val="00984643"/>
    <w:rsid w:val="0098576C"/>
    <w:rsid w:val="0098579A"/>
    <w:rsid w:val="00991475"/>
    <w:rsid w:val="009918DD"/>
    <w:rsid w:val="0099195A"/>
    <w:rsid w:val="00991BD2"/>
    <w:rsid w:val="00992407"/>
    <w:rsid w:val="00992A11"/>
    <w:rsid w:val="00994681"/>
    <w:rsid w:val="0099486A"/>
    <w:rsid w:val="00994EFB"/>
    <w:rsid w:val="00994FF1"/>
    <w:rsid w:val="009954D8"/>
    <w:rsid w:val="00997239"/>
    <w:rsid w:val="009A0B33"/>
    <w:rsid w:val="009A0E26"/>
    <w:rsid w:val="009A16EC"/>
    <w:rsid w:val="009A22C2"/>
    <w:rsid w:val="009A743E"/>
    <w:rsid w:val="009A7CF6"/>
    <w:rsid w:val="009B10F6"/>
    <w:rsid w:val="009B1B55"/>
    <w:rsid w:val="009B29B7"/>
    <w:rsid w:val="009B3199"/>
    <w:rsid w:val="009B3B37"/>
    <w:rsid w:val="009B63F4"/>
    <w:rsid w:val="009B7D1F"/>
    <w:rsid w:val="009C088E"/>
    <w:rsid w:val="009C17DC"/>
    <w:rsid w:val="009C37AB"/>
    <w:rsid w:val="009C4C7A"/>
    <w:rsid w:val="009C4D35"/>
    <w:rsid w:val="009C5E51"/>
    <w:rsid w:val="009C6158"/>
    <w:rsid w:val="009C75A2"/>
    <w:rsid w:val="009C7B68"/>
    <w:rsid w:val="009D1522"/>
    <w:rsid w:val="009D51F0"/>
    <w:rsid w:val="009D61DC"/>
    <w:rsid w:val="009D7252"/>
    <w:rsid w:val="009D7652"/>
    <w:rsid w:val="009E1FF6"/>
    <w:rsid w:val="009E3CAF"/>
    <w:rsid w:val="009E3E5E"/>
    <w:rsid w:val="009E3F48"/>
    <w:rsid w:val="009E53A5"/>
    <w:rsid w:val="009E5EB4"/>
    <w:rsid w:val="009E7B37"/>
    <w:rsid w:val="009F4451"/>
    <w:rsid w:val="009F563C"/>
    <w:rsid w:val="009F610E"/>
    <w:rsid w:val="00A00DA9"/>
    <w:rsid w:val="00A00F7E"/>
    <w:rsid w:val="00A044D6"/>
    <w:rsid w:val="00A04ADB"/>
    <w:rsid w:val="00A04D8F"/>
    <w:rsid w:val="00A04F89"/>
    <w:rsid w:val="00A05F11"/>
    <w:rsid w:val="00A11E0F"/>
    <w:rsid w:val="00A12378"/>
    <w:rsid w:val="00A141E9"/>
    <w:rsid w:val="00A15B6B"/>
    <w:rsid w:val="00A15D78"/>
    <w:rsid w:val="00A15EBE"/>
    <w:rsid w:val="00A17F5B"/>
    <w:rsid w:val="00A216E5"/>
    <w:rsid w:val="00A21FEB"/>
    <w:rsid w:val="00A25165"/>
    <w:rsid w:val="00A25F5B"/>
    <w:rsid w:val="00A26744"/>
    <w:rsid w:val="00A26CB6"/>
    <w:rsid w:val="00A2751B"/>
    <w:rsid w:val="00A30A00"/>
    <w:rsid w:val="00A316D9"/>
    <w:rsid w:val="00A32F82"/>
    <w:rsid w:val="00A32F8B"/>
    <w:rsid w:val="00A34F9F"/>
    <w:rsid w:val="00A36481"/>
    <w:rsid w:val="00A36675"/>
    <w:rsid w:val="00A3756F"/>
    <w:rsid w:val="00A42D6F"/>
    <w:rsid w:val="00A43870"/>
    <w:rsid w:val="00A4474B"/>
    <w:rsid w:val="00A45A62"/>
    <w:rsid w:val="00A462DC"/>
    <w:rsid w:val="00A4657C"/>
    <w:rsid w:val="00A51DB8"/>
    <w:rsid w:val="00A52E0B"/>
    <w:rsid w:val="00A52FA1"/>
    <w:rsid w:val="00A540B0"/>
    <w:rsid w:val="00A54AC5"/>
    <w:rsid w:val="00A54C2A"/>
    <w:rsid w:val="00A54D12"/>
    <w:rsid w:val="00A55DC3"/>
    <w:rsid w:val="00A56D41"/>
    <w:rsid w:val="00A56DEC"/>
    <w:rsid w:val="00A60529"/>
    <w:rsid w:val="00A60899"/>
    <w:rsid w:val="00A608D3"/>
    <w:rsid w:val="00A60F91"/>
    <w:rsid w:val="00A61353"/>
    <w:rsid w:val="00A61481"/>
    <w:rsid w:val="00A616F1"/>
    <w:rsid w:val="00A61A48"/>
    <w:rsid w:val="00A629D6"/>
    <w:rsid w:val="00A63035"/>
    <w:rsid w:val="00A637C9"/>
    <w:rsid w:val="00A66DB1"/>
    <w:rsid w:val="00A67A92"/>
    <w:rsid w:val="00A70DC6"/>
    <w:rsid w:val="00A7315C"/>
    <w:rsid w:val="00A7420B"/>
    <w:rsid w:val="00A74FDC"/>
    <w:rsid w:val="00A77192"/>
    <w:rsid w:val="00A8089F"/>
    <w:rsid w:val="00A81C0A"/>
    <w:rsid w:val="00A820BE"/>
    <w:rsid w:val="00A842D5"/>
    <w:rsid w:val="00A87870"/>
    <w:rsid w:val="00A903F3"/>
    <w:rsid w:val="00A90F18"/>
    <w:rsid w:val="00A90FFB"/>
    <w:rsid w:val="00A9149D"/>
    <w:rsid w:val="00A91A70"/>
    <w:rsid w:val="00A92FCD"/>
    <w:rsid w:val="00A9302F"/>
    <w:rsid w:val="00A957F6"/>
    <w:rsid w:val="00A959CF"/>
    <w:rsid w:val="00A9635E"/>
    <w:rsid w:val="00A97316"/>
    <w:rsid w:val="00A97BD8"/>
    <w:rsid w:val="00AA010B"/>
    <w:rsid w:val="00AA0D54"/>
    <w:rsid w:val="00AA1B85"/>
    <w:rsid w:val="00AA3290"/>
    <w:rsid w:val="00AA46F0"/>
    <w:rsid w:val="00AA6481"/>
    <w:rsid w:val="00AA7270"/>
    <w:rsid w:val="00AB08B8"/>
    <w:rsid w:val="00AB0C08"/>
    <w:rsid w:val="00AB12AC"/>
    <w:rsid w:val="00AB1CB6"/>
    <w:rsid w:val="00AB1D9A"/>
    <w:rsid w:val="00AB4A1F"/>
    <w:rsid w:val="00AB5C61"/>
    <w:rsid w:val="00AB7EAC"/>
    <w:rsid w:val="00AC304D"/>
    <w:rsid w:val="00AC3540"/>
    <w:rsid w:val="00AC3D15"/>
    <w:rsid w:val="00AC5055"/>
    <w:rsid w:val="00AC5315"/>
    <w:rsid w:val="00AC7D60"/>
    <w:rsid w:val="00AD0A8D"/>
    <w:rsid w:val="00AD0C22"/>
    <w:rsid w:val="00AD1AD7"/>
    <w:rsid w:val="00AD1AE2"/>
    <w:rsid w:val="00AD3290"/>
    <w:rsid w:val="00AD3389"/>
    <w:rsid w:val="00AD442C"/>
    <w:rsid w:val="00AD44FE"/>
    <w:rsid w:val="00AD5A37"/>
    <w:rsid w:val="00AD6B50"/>
    <w:rsid w:val="00AE05A4"/>
    <w:rsid w:val="00AE177E"/>
    <w:rsid w:val="00AE25FC"/>
    <w:rsid w:val="00AE400C"/>
    <w:rsid w:val="00AE49F1"/>
    <w:rsid w:val="00AE4A1C"/>
    <w:rsid w:val="00AE4B7A"/>
    <w:rsid w:val="00AE5532"/>
    <w:rsid w:val="00AE74D8"/>
    <w:rsid w:val="00AF0B6F"/>
    <w:rsid w:val="00AF0F75"/>
    <w:rsid w:val="00AF1D69"/>
    <w:rsid w:val="00AF23A8"/>
    <w:rsid w:val="00AF30D0"/>
    <w:rsid w:val="00AF41FA"/>
    <w:rsid w:val="00AF4796"/>
    <w:rsid w:val="00AF71EB"/>
    <w:rsid w:val="00B00988"/>
    <w:rsid w:val="00B01405"/>
    <w:rsid w:val="00B027BA"/>
    <w:rsid w:val="00B052E8"/>
    <w:rsid w:val="00B05CCA"/>
    <w:rsid w:val="00B05ECC"/>
    <w:rsid w:val="00B06DC3"/>
    <w:rsid w:val="00B100C9"/>
    <w:rsid w:val="00B11099"/>
    <w:rsid w:val="00B116B7"/>
    <w:rsid w:val="00B14271"/>
    <w:rsid w:val="00B16270"/>
    <w:rsid w:val="00B20182"/>
    <w:rsid w:val="00B22578"/>
    <w:rsid w:val="00B2292F"/>
    <w:rsid w:val="00B23C16"/>
    <w:rsid w:val="00B23C52"/>
    <w:rsid w:val="00B24E86"/>
    <w:rsid w:val="00B259E1"/>
    <w:rsid w:val="00B2685D"/>
    <w:rsid w:val="00B26D1E"/>
    <w:rsid w:val="00B26EE8"/>
    <w:rsid w:val="00B30351"/>
    <w:rsid w:val="00B312F1"/>
    <w:rsid w:val="00B33837"/>
    <w:rsid w:val="00B33C2A"/>
    <w:rsid w:val="00B349F7"/>
    <w:rsid w:val="00B34A14"/>
    <w:rsid w:val="00B35967"/>
    <w:rsid w:val="00B35CBA"/>
    <w:rsid w:val="00B363D9"/>
    <w:rsid w:val="00B416D1"/>
    <w:rsid w:val="00B422EC"/>
    <w:rsid w:val="00B44875"/>
    <w:rsid w:val="00B44C07"/>
    <w:rsid w:val="00B46320"/>
    <w:rsid w:val="00B4657A"/>
    <w:rsid w:val="00B47F0A"/>
    <w:rsid w:val="00B50B6B"/>
    <w:rsid w:val="00B51D75"/>
    <w:rsid w:val="00B54329"/>
    <w:rsid w:val="00B54885"/>
    <w:rsid w:val="00B54BFF"/>
    <w:rsid w:val="00B554C9"/>
    <w:rsid w:val="00B56AD9"/>
    <w:rsid w:val="00B5714F"/>
    <w:rsid w:val="00B57158"/>
    <w:rsid w:val="00B5778D"/>
    <w:rsid w:val="00B60827"/>
    <w:rsid w:val="00B61117"/>
    <w:rsid w:val="00B614C0"/>
    <w:rsid w:val="00B61EBB"/>
    <w:rsid w:val="00B634AB"/>
    <w:rsid w:val="00B63624"/>
    <w:rsid w:val="00B671E3"/>
    <w:rsid w:val="00B7037B"/>
    <w:rsid w:val="00B719F6"/>
    <w:rsid w:val="00B726D4"/>
    <w:rsid w:val="00B72969"/>
    <w:rsid w:val="00B73A2D"/>
    <w:rsid w:val="00B758FD"/>
    <w:rsid w:val="00B76807"/>
    <w:rsid w:val="00B769E6"/>
    <w:rsid w:val="00B77D24"/>
    <w:rsid w:val="00B8214F"/>
    <w:rsid w:val="00B82B43"/>
    <w:rsid w:val="00B82B48"/>
    <w:rsid w:val="00B84956"/>
    <w:rsid w:val="00B84F2C"/>
    <w:rsid w:val="00B85133"/>
    <w:rsid w:val="00B8643A"/>
    <w:rsid w:val="00B86A4F"/>
    <w:rsid w:val="00B91786"/>
    <w:rsid w:val="00B93035"/>
    <w:rsid w:val="00B93D17"/>
    <w:rsid w:val="00B940EB"/>
    <w:rsid w:val="00B9431C"/>
    <w:rsid w:val="00B95798"/>
    <w:rsid w:val="00B958E8"/>
    <w:rsid w:val="00B97E4A"/>
    <w:rsid w:val="00BA09B2"/>
    <w:rsid w:val="00BA0F35"/>
    <w:rsid w:val="00BA397D"/>
    <w:rsid w:val="00BA465D"/>
    <w:rsid w:val="00BA52C0"/>
    <w:rsid w:val="00BA5B46"/>
    <w:rsid w:val="00BA621C"/>
    <w:rsid w:val="00BA63D4"/>
    <w:rsid w:val="00BB2D73"/>
    <w:rsid w:val="00BB400D"/>
    <w:rsid w:val="00BB45BA"/>
    <w:rsid w:val="00BB48B2"/>
    <w:rsid w:val="00BB4A3A"/>
    <w:rsid w:val="00BB5D0B"/>
    <w:rsid w:val="00BB629C"/>
    <w:rsid w:val="00BC0995"/>
    <w:rsid w:val="00BC1761"/>
    <w:rsid w:val="00BC19ED"/>
    <w:rsid w:val="00BC513A"/>
    <w:rsid w:val="00BC6C56"/>
    <w:rsid w:val="00BC6DE2"/>
    <w:rsid w:val="00BC6E62"/>
    <w:rsid w:val="00BD013A"/>
    <w:rsid w:val="00BD2510"/>
    <w:rsid w:val="00BD3A53"/>
    <w:rsid w:val="00BD4ECD"/>
    <w:rsid w:val="00BD5A19"/>
    <w:rsid w:val="00BD6539"/>
    <w:rsid w:val="00BD656A"/>
    <w:rsid w:val="00BD6D1B"/>
    <w:rsid w:val="00BE2403"/>
    <w:rsid w:val="00BE2D0A"/>
    <w:rsid w:val="00BE47D4"/>
    <w:rsid w:val="00BE66DB"/>
    <w:rsid w:val="00BE793A"/>
    <w:rsid w:val="00BE7A0B"/>
    <w:rsid w:val="00BF114D"/>
    <w:rsid w:val="00BF1B93"/>
    <w:rsid w:val="00BF2B82"/>
    <w:rsid w:val="00BF2CEB"/>
    <w:rsid w:val="00BF432A"/>
    <w:rsid w:val="00BF66DA"/>
    <w:rsid w:val="00BF6E82"/>
    <w:rsid w:val="00C0361D"/>
    <w:rsid w:val="00C041A4"/>
    <w:rsid w:val="00C060C7"/>
    <w:rsid w:val="00C06DCC"/>
    <w:rsid w:val="00C07F92"/>
    <w:rsid w:val="00C10EA4"/>
    <w:rsid w:val="00C11D25"/>
    <w:rsid w:val="00C13217"/>
    <w:rsid w:val="00C15BEC"/>
    <w:rsid w:val="00C15DB5"/>
    <w:rsid w:val="00C208E2"/>
    <w:rsid w:val="00C21874"/>
    <w:rsid w:val="00C21897"/>
    <w:rsid w:val="00C2288E"/>
    <w:rsid w:val="00C22B54"/>
    <w:rsid w:val="00C22CEA"/>
    <w:rsid w:val="00C22F1F"/>
    <w:rsid w:val="00C24279"/>
    <w:rsid w:val="00C249E3"/>
    <w:rsid w:val="00C24C17"/>
    <w:rsid w:val="00C27C4A"/>
    <w:rsid w:val="00C31595"/>
    <w:rsid w:val="00C31B25"/>
    <w:rsid w:val="00C3309D"/>
    <w:rsid w:val="00C3411D"/>
    <w:rsid w:val="00C34357"/>
    <w:rsid w:val="00C34829"/>
    <w:rsid w:val="00C363B8"/>
    <w:rsid w:val="00C3758F"/>
    <w:rsid w:val="00C40B88"/>
    <w:rsid w:val="00C43DDD"/>
    <w:rsid w:val="00C44489"/>
    <w:rsid w:val="00C44FC2"/>
    <w:rsid w:val="00C47D87"/>
    <w:rsid w:val="00C47FCD"/>
    <w:rsid w:val="00C50FA6"/>
    <w:rsid w:val="00C53430"/>
    <w:rsid w:val="00C5376E"/>
    <w:rsid w:val="00C549AA"/>
    <w:rsid w:val="00C554C1"/>
    <w:rsid w:val="00C558F2"/>
    <w:rsid w:val="00C55AEE"/>
    <w:rsid w:val="00C5701B"/>
    <w:rsid w:val="00C6069A"/>
    <w:rsid w:val="00C61501"/>
    <w:rsid w:val="00C61BDC"/>
    <w:rsid w:val="00C64D40"/>
    <w:rsid w:val="00C65957"/>
    <w:rsid w:val="00C66218"/>
    <w:rsid w:val="00C677C9"/>
    <w:rsid w:val="00C70B76"/>
    <w:rsid w:val="00C70DBC"/>
    <w:rsid w:val="00C70FB7"/>
    <w:rsid w:val="00C71E80"/>
    <w:rsid w:val="00C75DCE"/>
    <w:rsid w:val="00C7750A"/>
    <w:rsid w:val="00C808A6"/>
    <w:rsid w:val="00C83BA4"/>
    <w:rsid w:val="00C84AC6"/>
    <w:rsid w:val="00C855DB"/>
    <w:rsid w:val="00C855F3"/>
    <w:rsid w:val="00C86270"/>
    <w:rsid w:val="00C90C20"/>
    <w:rsid w:val="00C9109C"/>
    <w:rsid w:val="00C948CF"/>
    <w:rsid w:val="00C95798"/>
    <w:rsid w:val="00C95A74"/>
    <w:rsid w:val="00C97091"/>
    <w:rsid w:val="00C97260"/>
    <w:rsid w:val="00C97391"/>
    <w:rsid w:val="00CA14A5"/>
    <w:rsid w:val="00CA14DA"/>
    <w:rsid w:val="00CA1AB8"/>
    <w:rsid w:val="00CA2001"/>
    <w:rsid w:val="00CA2B10"/>
    <w:rsid w:val="00CA3F11"/>
    <w:rsid w:val="00CA5256"/>
    <w:rsid w:val="00CA5564"/>
    <w:rsid w:val="00CB078E"/>
    <w:rsid w:val="00CB3782"/>
    <w:rsid w:val="00CB4D20"/>
    <w:rsid w:val="00CB5B6C"/>
    <w:rsid w:val="00CB60EF"/>
    <w:rsid w:val="00CB74E3"/>
    <w:rsid w:val="00CC052E"/>
    <w:rsid w:val="00CC06E5"/>
    <w:rsid w:val="00CC0B14"/>
    <w:rsid w:val="00CC0D1D"/>
    <w:rsid w:val="00CC5B9C"/>
    <w:rsid w:val="00CD02DF"/>
    <w:rsid w:val="00CD10A5"/>
    <w:rsid w:val="00CD16BE"/>
    <w:rsid w:val="00CD179F"/>
    <w:rsid w:val="00CD1F32"/>
    <w:rsid w:val="00CD2268"/>
    <w:rsid w:val="00CD4616"/>
    <w:rsid w:val="00CD50DC"/>
    <w:rsid w:val="00CD56AF"/>
    <w:rsid w:val="00CD5FFA"/>
    <w:rsid w:val="00CD608B"/>
    <w:rsid w:val="00CD61BB"/>
    <w:rsid w:val="00CE32F0"/>
    <w:rsid w:val="00CE33D5"/>
    <w:rsid w:val="00CE4712"/>
    <w:rsid w:val="00CE6073"/>
    <w:rsid w:val="00CE761C"/>
    <w:rsid w:val="00CF5D37"/>
    <w:rsid w:val="00CF6353"/>
    <w:rsid w:val="00CF6F33"/>
    <w:rsid w:val="00D02248"/>
    <w:rsid w:val="00D04429"/>
    <w:rsid w:val="00D04B47"/>
    <w:rsid w:val="00D04E37"/>
    <w:rsid w:val="00D063B8"/>
    <w:rsid w:val="00D06825"/>
    <w:rsid w:val="00D0702E"/>
    <w:rsid w:val="00D07467"/>
    <w:rsid w:val="00D076E6"/>
    <w:rsid w:val="00D1044F"/>
    <w:rsid w:val="00D106BD"/>
    <w:rsid w:val="00D14E64"/>
    <w:rsid w:val="00D17185"/>
    <w:rsid w:val="00D17D02"/>
    <w:rsid w:val="00D17E3B"/>
    <w:rsid w:val="00D22A9A"/>
    <w:rsid w:val="00D2306F"/>
    <w:rsid w:val="00D23C09"/>
    <w:rsid w:val="00D23CED"/>
    <w:rsid w:val="00D241D1"/>
    <w:rsid w:val="00D24BD2"/>
    <w:rsid w:val="00D24F2C"/>
    <w:rsid w:val="00D254F7"/>
    <w:rsid w:val="00D2573D"/>
    <w:rsid w:val="00D260A2"/>
    <w:rsid w:val="00D30CC6"/>
    <w:rsid w:val="00D30DA4"/>
    <w:rsid w:val="00D31722"/>
    <w:rsid w:val="00D3260C"/>
    <w:rsid w:val="00D3391A"/>
    <w:rsid w:val="00D33DB5"/>
    <w:rsid w:val="00D35790"/>
    <w:rsid w:val="00D41276"/>
    <w:rsid w:val="00D41971"/>
    <w:rsid w:val="00D442D5"/>
    <w:rsid w:val="00D45043"/>
    <w:rsid w:val="00D51576"/>
    <w:rsid w:val="00D519AF"/>
    <w:rsid w:val="00D532A9"/>
    <w:rsid w:val="00D5437A"/>
    <w:rsid w:val="00D5611E"/>
    <w:rsid w:val="00D5653B"/>
    <w:rsid w:val="00D56C30"/>
    <w:rsid w:val="00D5726D"/>
    <w:rsid w:val="00D572AC"/>
    <w:rsid w:val="00D6071F"/>
    <w:rsid w:val="00D61D6E"/>
    <w:rsid w:val="00D62580"/>
    <w:rsid w:val="00D62EF1"/>
    <w:rsid w:val="00D6309D"/>
    <w:rsid w:val="00D644CA"/>
    <w:rsid w:val="00D64961"/>
    <w:rsid w:val="00D64EA0"/>
    <w:rsid w:val="00D66FC2"/>
    <w:rsid w:val="00D7044E"/>
    <w:rsid w:val="00D704A8"/>
    <w:rsid w:val="00D76C7E"/>
    <w:rsid w:val="00D771DE"/>
    <w:rsid w:val="00D7776D"/>
    <w:rsid w:val="00D77ADC"/>
    <w:rsid w:val="00D81AEF"/>
    <w:rsid w:val="00D82A42"/>
    <w:rsid w:val="00D834F1"/>
    <w:rsid w:val="00D83609"/>
    <w:rsid w:val="00D83AA6"/>
    <w:rsid w:val="00D85C0D"/>
    <w:rsid w:val="00D866CB"/>
    <w:rsid w:val="00D86909"/>
    <w:rsid w:val="00D87A9A"/>
    <w:rsid w:val="00D87E39"/>
    <w:rsid w:val="00D90625"/>
    <w:rsid w:val="00D909F8"/>
    <w:rsid w:val="00D9152C"/>
    <w:rsid w:val="00D92179"/>
    <w:rsid w:val="00D922C6"/>
    <w:rsid w:val="00D9293F"/>
    <w:rsid w:val="00D92C6A"/>
    <w:rsid w:val="00D92DE7"/>
    <w:rsid w:val="00D93598"/>
    <w:rsid w:val="00D93B82"/>
    <w:rsid w:val="00D93FDD"/>
    <w:rsid w:val="00D94253"/>
    <w:rsid w:val="00D942F8"/>
    <w:rsid w:val="00D96FA9"/>
    <w:rsid w:val="00D97A5B"/>
    <w:rsid w:val="00D97D9B"/>
    <w:rsid w:val="00DA1E18"/>
    <w:rsid w:val="00DA2009"/>
    <w:rsid w:val="00DA3F5E"/>
    <w:rsid w:val="00DA585A"/>
    <w:rsid w:val="00DA6DF7"/>
    <w:rsid w:val="00DA7741"/>
    <w:rsid w:val="00DA7769"/>
    <w:rsid w:val="00DB01C3"/>
    <w:rsid w:val="00DB05B1"/>
    <w:rsid w:val="00DB2823"/>
    <w:rsid w:val="00DB2D74"/>
    <w:rsid w:val="00DB3786"/>
    <w:rsid w:val="00DB59E8"/>
    <w:rsid w:val="00DB5A79"/>
    <w:rsid w:val="00DB638B"/>
    <w:rsid w:val="00DC2465"/>
    <w:rsid w:val="00DC4BCA"/>
    <w:rsid w:val="00DC5E2C"/>
    <w:rsid w:val="00DC7D48"/>
    <w:rsid w:val="00DD0253"/>
    <w:rsid w:val="00DD145A"/>
    <w:rsid w:val="00DD512E"/>
    <w:rsid w:val="00DD5EC8"/>
    <w:rsid w:val="00DD5FF5"/>
    <w:rsid w:val="00DD61D4"/>
    <w:rsid w:val="00DD7BEC"/>
    <w:rsid w:val="00DE083E"/>
    <w:rsid w:val="00DE0C22"/>
    <w:rsid w:val="00DE1177"/>
    <w:rsid w:val="00DE2CEA"/>
    <w:rsid w:val="00DE3CFE"/>
    <w:rsid w:val="00DE4DB3"/>
    <w:rsid w:val="00DE4F86"/>
    <w:rsid w:val="00DE567C"/>
    <w:rsid w:val="00DE6154"/>
    <w:rsid w:val="00DE634D"/>
    <w:rsid w:val="00DE6A3C"/>
    <w:rsid w:val="00DE74F4"/>
    <w:rsid w:val="00DE7C8B"/>
    <w:rsid w:val="00DE7F97"/>
    <w:rsid w:val="00DF0AAF"/>
    <w:rsid w:val="00DF1010"/>
    <w:rsid w:val="00DF2244"/>
    <w:rsid w:val="00DF334D"/>
    <w:rsid w:val="00DF53D9"/>
    <w:rsid w:val="00DF5AEA"/>
    <w:rsid w:val="00DF5D49"/>
    <w:rsid w:val="00DF63F6"/>
    <w:rsid w:val="00DF7992"/>
    <w:rsid w:val="00DF7BD0"/>
    <w:rsid w:val="00E00C8E"/>
    <w:rsid w:val="00E0219D"/>
    <w:rsid w:val="00E0276A"/>
    <w:rsid w:val="00E0374B"/>
    <w:rsid w:val="00E0392F"/>
    <w:rsid w:val="00E0632F"/>
    <w:rsid w:val="00E06C36"/>
    <w:rsid w:val="00E071A9"/>
    <w:rsid w:val="00E07D26"/>
    <w:rsid w:val="00E10047"/>
    <w:rsid w:val="00E10B28"/>
    <w:rsid w:val="00E117FD"/>
    <w:rsid w:val="00E13747"/>
    <w:rsid w:val="00E14758"/>
    <w:rsid w:val="00E16BDE"/>
    <w:rsid w:val="00E21088"/>
    <w:rsid w:val="00E21F5D"/>
    <w:rsid w:val="00E22B1C"/>
    <w:rsid w:val="00E23C5E"/>
    <w:rsid w:val="00E23E29"/>
    <w:rsid w:val="00E24632"/>
    <w:rsid w:val="00E25155"/>
    <w:rsid w:val="00E25AEA"/>
    <w:rsid w:val="00E27C2C"/>
    <w:rsid w:val="00E30D26"/>
    <w:rsid w:val="00E30DEF"/>
    <w:rsid w:val="00E30ED2"/>
    <w:rsid w:val="00E31276"/>
    <w:rsid w:val="00E3155D"/>
    <w:rsid w:val="00E32102"/>
    <w:rsid w:val="00E34666"/>
    <w:rsid w:val="00E349A2"/>
    <w:rsid w:val="00E36A66"/>
    <w:rsid w:val="00E37F70"/>
    <w:rsid w:val="00E41377"/>
    <w:rsid w:val="00E41985"/>
    <w:rsid w:val="00E42B89"/>
    <w:rsid w:val="00E430B8"/>
    <w:rsid w:val="00E446C1"/>
    <w:rsid w:val="00E46BCD"/>
    <w:rsid w:val="00E51CCC"/>
    <w:rsid w:val="00E52079"/>
    <w:rsid w:val="00E52FC7"/>
    <w:rsid w:val="00E545D7"/>
    <w:rsid w:val="00E547FE"/>
    <w:rsid w:val="00E54960"/>
    <w:rsid w:val="00E55447"/>
    <w:rsid w:val="00E55927"/>
    <w:rsid w:val="00E5669C"/>
    <w:rsid w:val="00E570D4"/>
    <w:rsid w:val="00E60ECA"/>
    <w:rsid w:val="00E613AB"/>
    <w:rsid w:val="00E637B6"/>
    <w:rsid w:val="00E6487C"/>
    <w:rsid w:val="00E654A9"/>
    <w:rsid w:val="00E658DC"/>
    <w:rsid w:val="00E663B6"/>
    <w:rsid w:val="00E66B13"/>
    <w:rsid w:val="00E66BBE"/>
    <w:rsid w:val="00E6780D"/>
    <w:rsid w:val="00E71DFE"/>
    <w:rsid w:val="00E728D3"/>
    <w:rsid w:val="00E72BDE"/>
    <w:rsid w:val="00E73083"/>
    <w:rsid w:val="00E758B9"/>
    <w:rsid w:val="00E75D00"/>
    <w:rsid w:val="00E76025"/>
    <w:rsid w:val="00E76B45"/>
    <w:rsid w:val="00E77C00"/>
    <w:rsid w:val="00E810D3"/>
    <w:rsid w:val="00E82FE5"/>
    <w:rsid w:val="00E83724"/>
    <w:rsid w:val="00E84236"/>
    <w:rsid w:val="00E84C02"/>
    <w:rsid w:val="00E85569"/>
    <w:rsid w:val="00E856AF"/>
    <w:rsid w:val="00E859D9"/>
    <w:rsid w:val="00E8607C"/>
    <w:rsid w:val="00E86B83"/>
    <w:rsid w:val="00E86D6E"/>
    <w:rsid w:val="00E878FB"/>
    <w:rsid w:val="00E87976"/>
    <w:rsid w:val="00E87C64"/>
    <w:rsid w:val="00E912E1"/>
    <w:rsid w:val="00E919C3"/>
    <w:rsid w:val="00E92278"/>
    <w:rsid w:val="00E93A01"/>
    <w:rsid w:val="00E93FF8"/>
    <w:rsid w:val="00E948D8"/>
    <w:rsid w:val="00E94EB6"/>
    <w:rsid w:val="00E94F16"/>
    <w:rsid w:val="00E950CA"/>
    <w:rsid w:val="00E95CA8"/>
    <w:rsid w:val="00E96643"/>
    <w:rsid w:val="00E96CE0"/>
    <w:rsid w:val="00E96EAF"/>
    <w:rsid w:val="00E97448"/>
    <w:rsid w:val="00EA044C"/>
    <w:rsid w:val="00EA1752"/>
    <w:rsid w:val="00EA1911"/>
    <w:rsid w:val="00EA1D90"/>
    <w:rsid w:val="00EA371E"/>
    <w:rsid w:val="00EA539B"/>
    <w:rsid w:val="00EA5996"/>
    <w:rsid w:val="00EA5A89"/>
    <w:rsid w:val="00EA5BDB"/>
    <w:rsid w:val="00EA63FA"/>
    <w:rsid w:val="00EA7720"/>
    <w:rsid w:val="00EB0A73"/>
    <w:rsid w:val="00EB0B55"/>
    <w:rsid w:val="00EB254F"/>
    <w:rsid w:val="00EB3A98"/>
    <w:rsid w:val="00EB46D9"/>
    <w:rsid w:val="00EB6EF6"/>
    <w:rsid w:val="00EC0199"/>
    <w:rsid w:val="00EC0E64"/>
    <w:rsid w:val="00EC142D"/>
    <w:rsid w:val="00EC1E16"/>
    <w:rsid w:val="00EC2DD1"/>
    <w:rsid w:val="00EC4A19"/>
    <w:rsid w:val="00EC4BA5"/>
    <w:rsid w:val="00EC52DA"/>
    <w:rsid w:val="00EC6F28"/>
    <w:rsid w:val="00EC7220"/>
    <w:rsid w:val="00ED0024"/>
    <w:rsid w:val="00ED0EA0"/>
    <w:rsid w:val="00ED0F85"/>
    <w:rsid w:val="00ED1B01"/>
    <w:rsid w:val="00ED2B5C"/>
    <w:rsid w:val="00ED3269"/>
    <w:rsid w:val="00ED3A18"/>
    <w:rsid w:val="00ED3AB7"/>
    <w:rsid w:val="00ED3C57"/>
    <w:rsid w:val="00EE1A8C"/>
    <w:rsid w:val="00EE3FED"/>
    <w:rsid w:val="00EE4643"/>
    <w:rsid w:val="00EE529F"/>
    <w:rsid w:val="00EE65B6"/>
    <w:rsid w:val="00EE7C86"/>
    <w:rsid w:val="00EF1330"/>
    <w:rsid w:val="00EF15FF"/>
    <w:rsid w:val="00EF2D80"/>
    <w:rsid w:val="00EF31D8"/>
    <w:rsid w:val="00EF55E6"/>
    <w:rsid w:val="00EF5707"/>
    <w:rsid w:val="00EF588D"/>
    <w:rsid w:val="00EF66B1"/>
    <w:rsid w:val="00EF67D3"/>
    <w:rsid w:val="00EF6F1F"/>
    <w:rsid w:val="00EF70EC"/>
    <w:rsid w:val="00EF7111"/>
    <w:rsid w:val="00EF7D1A"/>
    <w:rsid w:val="00F007BD"/>
    <w:rsid w:val="00F02350"/>
    <w:rsid w:val="00F02759"/>
    <w:rsid w:val="00F03B49"/>
    <w:rsid w:val="00F0448F"/>
    <w:rsid w:val="00F0716C"/>
    <w:rsid w:val="00F105AE"/>
    <w:rsid w:val="00F108A8"/>
    <w:rsid w:val="00F13319"/>
    <w:rsid w:val="00F14353"/>
    <w:rsid w:val="00F1628B"/>
    <w:rsid w:val="00F16990"/>
    <w:rsid w:val="00F22E81"/>
    <w:rsid w:val="00F250ED"/>
    <w:rsid w:val="00F270E9"/>
    <w:rsid w:val="00F27440"/>
    <w:rsid w:val="00F275C0"/>
    <w:rsid w:val="00F3011D"/>
    <w:rsid w:val="00F30443"/>
    <w:rsid w:val="00F3048B"/>
    <w:rsid w:val="00F317B5"/>
    <w:rsid w:val="00F33348"/>
    <w:rsid w:val="00F346B6"/>
    <w:rsid w:val="00F34AB1"/>
    <w:rsid w:val="00F36145"/>
    <w:rsid w:val="00F36227"/>
    <w:rsid w:val="00F37BDD"/>
    <w:rsid w:val="00F40716"/>
    <w:rsid w:val="00F41503"/>
    <w:rsid w:val="00F417D4"/>
    <w:rsid w:val="00F41D5C"/>
    <w:rsid w:val="00F432CF"/>
    <w:rsid w:val="00F437FD"/>
    <w:rsid w:val="00F43B69"/>
    <w:rsid w:val="00F4479A"/>
    <w:rsid w:val="00F44D82"/>
    <w:rsid w:val="00F45589"/>
    <w:rsid w:val="00F460F3"/>
    <w:rsid w:val="00F46207"/>
    <w:rsid w:val="00F466C8"/>
    <w:rsid w:val="00F46706"/>
    <w:rsid w:val="00F469A9"/>
    <w:rsid w:val="00F46B50"/>
    <w:rsid w:val="00F47C20"/>
    <w:rsid w:val="00F50B46"/>
    <w:rsid w:val="00F50D1F"/>
    <w:rsid w:val="00F51545"/>
    <w:rsid w:val="00F521DE"/>
    <w:rsid w:val="00F52654"/>
    <w:rsid w:val="00F541D4"/>
    <w:rsid w:val="00F553CE"/>
    <w:rsid w:val="00F56043"/>
    <w:rsid w:val="00F5664E"/>
    <w:rsid w:val="00F56BD8"/>
    <w:rsid w:val="00F56E86"/>
    <w:rsid w:val="00F56FA9"/>
    <w:rsid w:val="00F6171A"/>
    <w:rsid w:val="00F619BA"/>
    <w:rsid w:val="00F62306"/>
    <w:rsid w:val="00F635FC"/>
    <w:rsid w:val="00F63D03"/>
    <w:rsid w:val="00F65E2F"/>
    <w:rsid w:val="00F67385"/>
    <w:rsid w:val="00F67DF1"/>
    <w:rsid w:val="00F7054E"/>
    <w:rsid w:val="00F7137C"/>
    <w:rsid w:val="00F72A09"/>
    <w:rsid w:val="00F74E67"/>
    <w:rsid w:val="00F76734"/>
    <w:rsid w:val="00F76814"/>
    <w:rsid w:val="00F77A5F"/>
    <w:rsid w:val="00F8309B"/>
    <w:rsid w:val="00F833C9"/>
    <w:rsid w:val="00F836C8"/>
    <w:rsid w:val="00F85198"/>
    <w:rsid w:val="00F90064"/>
    <w:rsid w:val="00F90BF7"/>
    <w:rsid w:val="00F94217"/>
    <w:rsid w:val="00F9586C"/>
    <w:rsid w:val="00F96AFD"/>
    <w:rsid w:val="00F96F4C"/>
    <w:rsid w:val="00FA07F4"/>
    <w:rsid w:val="00FA1398"/>
    <w:rsid w:val="00FA1515"/>
    <w:rsid w:val="00FA2053"/>
    <w:rsid w:val="00FA2E19"/>
    <w:rsid w:val="00FA397B"/>
    <w:rsid w:val="00FA3BE7"/>
    <w:rsid w:val="00FA4373"/>
    <w:rsid w:val="00FA4BA0"/>
    <w:rsid w:val="00FA697F"/>
    <w:rsid w:val="00FA6F4C"/>
    <w:rsid w:val="00FA7354"/>
    <w:rsid w:val="00FB0147"/>
    <w:rsid w:val="00FB0F92"/>
    <w:rsid w:val="00FB220D"/>
    <w:rsid w:val="00FB2FB3"/>
    <w:rsid w:val="00FB3846"/>
    <w:rsid w:val="00FB398A"/>
    <w:rsid w:val="00FB4BF5"/>
    <w:rsid w:val="00FB5059"/>
    <w:rsid w:val="00FB5521"/>
    <w:rsid w:val="00FB610D"/>
    <w:rsid w:val="00FB626E"/>
    <w:rsid w:val="00FB6CA8"/>
    <w:rsid w:val="00FC1E4C"/>
    <w:rsid w:val="00FC4477"/>
    <w:rsid w:val="00FC46FB"/>
    <w:rsid w:val="00FC4DD1"/>
    <w:rsid w:val="00FC7B66"/>
    <w:rsid w:val="00FD0D94"/>
    <w:rsid w:val="00FD106C"/>
    <w:rsid w:val="00FD2BD3"/>
    <w:rsid w:val="00FD2DE3"/>
    <w:rsid w:val="00FD3DEF"/>
    <w:rsid w:val="00FD4CCA"/>
    <w:rsid w:val="00FD58B1"/>
    <w:rsid w:val="00FE00EA"/>
    <w:rsid w:val="00FE04BA"/>
    <w:rsid w:val="00FE234B"/>
    <w:rsid w:val="00FE2A9E"/>
    <w:rsid w:val="00FE34B3"/>
    <w:rsid w:val="00FE46B7"/>
    <w:rsid w:val="00FE4CEC"/>
    <w:rsid w:val="00FE683A"/>
    <w:rsid w:val="00FF0420"/>
    <w:rsid w:val="00FF41B8"/>
    <w:rsid w:val="00FF47C1"/>
    <w:rsid w:val="00FF4F5A"/>
    <w:rsid w:val="00FF5237"/>
    <w:rsid w:val="00FF5629"/>
    <w:rsid w:val="00FF5B79"/>
    <w:rsid w:val="00FF689D"/>
    <w:rsid w:val="06763376"/>
    <w:rsid w:val="06D79157"/>
    <w:rsid w:val="0DD79F36"/>
    <w:rsid w:val="11E43BAB"/>
    <w:rsid w:val="121534C5"/>
    <w:rsid w:val="161E678D"/>
    <w:rsid w:val="19090967"/>
    <w:rsid w:val="1B3C24C5"/>
    <w:rsid w:val="210B7837"/>
    <w:rsid w:val="23B4E6BE"/>
    <w:rsid w:val="24F18C83"/>
    <w:rsid w:val="25653D02"/>
    <w:rsid w:val="27AA7305"/>
    <w:rsid w:val="3310C0BE"/>
    <w:rsid w:val="38EF0D05"/>
    <w:rsid w:val="39A07357"/>
    <w:rsid w:val="42088138"/>
    <w:rsid w:val="511D528A"/>
    <w:rsid w:val="588ADAF6"/>
    <w:rsid w:val="5CE173DD"/>
    <w:rsid w:val="66EB6E8A"/>
    <w:rsid w:val="69981A89"/>
    <w:rsid w:val="7629CDD5"/>
    <w:rsid w:val="772E53B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B409AA"/>
  <w15:chartTrackingRefBased/>
  <w15:docId w15:val="{D8A9B98D-733D-4FF4-9BF4-D50BB21B0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egoe UI" w:eastAsia="Times New Roman" w:hAnsi="Segoe UI" w:cs="Times New Roman"/>
        <w:sz w:val="18"/>
        <w:szCs w:val="24"/>
        <w:lang w:val="hr-HR"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HTML Preformatted" w:semiHidden="1" w:unhideWhenUsed="1"/>
    <w:lsdException w:name="HTML Samp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1" w:qFormat="1"/>
    <w:lsdException w:name="Medium Shading 2 Accent 1" w:uiPriority="60"/>
    <w:lsdException w:name="Medium List 1 Accent 1" w:uiPriority="61"/>
    <w:lsdException w:name="Revision" w:semiHidden="1" w:uiPriority="62" w:unhideWhenUsed="1"/>
    <w:lsdException w:name="List Paragraph" w:uiPriority="34"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99"/>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semiHidden="1" w:uiPriority="61" w:unhideWhenUsed="1"/>
    <w:lsdException w:name="TOC Heading" w:semiHidden="1" w:uiPriority="62" w:unhideWhenUsed="1" w:qFormat="1"/>
    <w:lsdException w:name="Plain Table 1" w:uiPriority="63"/>
    <w:lsdException w:name="Plain Table 2" w:uiPriority="64"/>
    <w:lsdException w:name="Plain Table 3" w:uiPriority="65" w:qFormat="1"/>
    <w:lsdException w:name="Plain Table 4" w:uiPriority="66" w:qFormat="1"/>
    <w:lsdException w:name="Plain Table 5" w:uiPriority="67" w:qFormat="1"/>
    <w:lsdException w:name="Grid Table Light" w:uiPriority="68" w:qFormat="1"/>
    <w:lsdException w:name="Grid Table 1 Light" w:uiPriority="69" w:qFormat="1"/>
    <w:lsdException w:name="Grid Table 2" w:uiPriority="70"/>
    <w:lsdException w:name="Grid Table 3" w:uiPriority="71" w:qFormat="1"/>
    <w:lsdException w:name="Grid Table 4" w:uiPriority="72"/>
    <w:lsdException w:name="Grid Table 5 Dark" w:uiPriority="73"/>
    <w:lsdException w:name="Grid Table 6 Colorful" w:uiPriority="19" w:qFormat="1"/>
    <w:lsdException w:name="Grid Table 7 Colorful" w:uiPriority="21" w:qFormat="1"/>
    <w:lsdException w:name="Grid Table 1 Light Accent 1" w:uiPriority="31" w:qFormat="1"/>
    <w:lsdException w:name="Grid Table 2 Accent 1" w:uiPriority="32" w:qFormat="1"/>
    <w:lsdException w:name="Grid Table 3 Accent 1" w:uiPriority="33" w:qFormat="1"/>
    <w:lsdException w:name="Grid Table 4 Accent 1" w:uiPriority="37"/>
    <w:lsdException w:name="Grid Table 5 Dark Accent 1" w:uiPriority="39" w:qFormat="1"/>
    <w:lsdException w:name="Grid Table 6 Colorful Accent 1" w:uiPriority="41"/>
    <w:lsdException w:name="Grid Table 7 Colorful Accent 1" w:uiPriority="42"/>
    <w:lsdException w:name="Grid Table 1 Light Accent 2" w:uiPriority="43"/>
    <w:lsdException w:name="Grid Table 2 Accent 2" w:uiPriority="44"/>
    <w:lsdException w:name="Grid Table 3 Accent 2" w:uiPriority="45"/>
    <w:lsdException w:name="Grid Table 4 Accent 2" w:uiPriority="40"/>
    <w:lsdException w:name="Grid Table 5 Dark Accent 2" w:uiPriority="46"/>
    <w:lsdException w:name="Grid Table 6 Colorful Accent 2" w:uiPriority="47"/>
    <w:lsdException w:name="Grid Table 7 Colorful Accent 2" w:uiPriority="48"/>
    <w:lsdException w:name="Grid Table 1 Light Accent 3" w:uiPriority="49"/>
    <w:lsdException w:name="Grid Table 2 Accent 3" w:uiPriority="50"/>
    <w:lsdException w:name="Grid Table 3 Accent 3" w:uiPriority="51"/>
    <w:lsdException w:name="Grid Table 4 Accent 3" w:uiPriority="52"/>
    <w:lsdException w:name="Grid Table 5 Dark Accent 3" w:uiPriority="46"/>
    <w:lsdException w:name="Grid Table 6 Colorful Accent 3" w:uiPriority="47"/>
    <w:lsdException w:name="Grid Table 7 Colorful Accent 3" w:uiPriority="48"/>
    <w:lsdException w:name="Grid Table 1 Light Accent 4" w:uiPriority="49"/>
    <w:lsdException w:name="Grid Table 2 Accent 4" w:uiPriority="50"/>
    <w:lsdException w:name="Grid Table 3 Accent 4" w:uiPriority="51"/>
    <w:lsdException w:name="Grid Table 4 Accent 4" w:uiPriority="52"/>
    <w:lsdException w:name="Grid Table 5 Dark Accent 4" w:uiPriority="46"/>
    <w:lsdException w:name="Grid Table 6 Colorful Accent 4" w:uiPriority="47"/>
    <w:lsdException w:name="Grid Table 7 Colorful Accent 4" w:uiPriority="48"/>
    <w:lsdException w:name="Grid Table 1 Light Accent 5" w:uiPriority="49"/>
    <w:lsdException w:name="Grid Table 2 Accent 5" w:uiPriority="50"/>
    <w:lsdException w:name="Grid Table 3 Accent 5" w:uiPriority="51"/>
    <w:lsdException w:name="Grid Table 4 Accent 5" w:uiPriority="52"/>
    <w:lsdException w:name="Grid Table 5 Dark Accent 5" w:uiPriority="46"/>
    <w:lsdException w:name="Grid Table 6 Colorful Accent 5" w:uiPriority="47"/>
    <w:lsdException w:name="Grid Table 7 Colorful Accent 5" w:uiPriority="48"/>
    <w:lsdException w:name="Grid Table 1 Light Accent 6" w:uiPriority="49"/>
    <w:lsdException w:name="Grid Table 2 Accent 6" w:uiPriority="50"/>
    <w:lsdException w:name="Grid Table 3 Accent 6" w:uiPriority="51"/>
    <w:lsdException w:name="Grid Table 4 Accent 6" w:uiPriority="52"/>
    <w:lsdException w:name="Grid Table 5 Dark Accent 6" w:uiPriority="46"/>
    <w:lsdException w:name="Grid Table 6 Colorful Accent 6" w:uiPriority="47"/>
    <w:lsdException w:name="Grid Table 7 Colorful Accent 6" w:uiPriority="48"/>
    <w:lsdException w:name="List Table 1 Light" w:uiPriority="49"/>
    <w:lsdException w:name="List Table 2" w:uiPriority="50"/>
    <w:lsdException w:name="List Table 3" w:uiPriority="51"/>
    <w:lsdException w:name="List Table 4" w:uiPriority="52"/>
    <w:lsdException w:name="List Table 5 Dark" w:uiPriority="46"/>
    <w:lsdException w:name="List Table 6 Colorful" w:uiPriority="47"/>
    <w:lsdException w:name="List Table 7 Colorful" w:uiPriority="48"/>
    <w:lsdException w:name="List Table 1 Light Accent 1" w:uiPriority="49"/>
    <w:lsdException w:name="List Table 2 Accent 1" w:uiPriority="50"/>
    <w:lsdException w:name="List Table 3 Accent 1" w:uiPriority="51"/>
    <w:lsdException w:name="List Table 4 Accent 1" w:uiPriority="52"/>
    <w:lsdException w:name="List Table 5 Dark Accent 1" w:uiPriority="46"/>
    <w:lsdException w:name="List Table 6 Colorful Accent 1" w:uiPriority="47"/>
    <w:lsdException w:name="List Table 7 Colorful Accent 1" w:uiPriority="48"/>
    <w:lsdException w:name="List Table 1 Light Accent 2" w:uiPriority="49"/>
    <w:lsdException w:name="List Table 2 Accent 2" w:uiPriority="50"/>
    <w:lsdException w:name="List Table 3 Accent 2" w:uiPriority="51"/>
    <w:lsdException w:name="List Table 4 Accent 2" w:uiPriority="52"/>
    <w:lsdException w:name="List Table 5 Dark Accent 2" w:uiPriority="46"/>
    <w:lsdException w:name="List Table 6 Colorful Accent 2" w:uiPriority="47"/>
    <w:lsdException w:name="List Table 7 Colorful Accent 2" w:uiPriority="48"/>
    <w:lsdException w:name="List Table 1 Light Accent 3" w:uiPriority="49"/>
    <w:lsdException w:name="List Table 2 Accent 3" w:uiPriority="50"/>
    <w:lsdException w:name="List Table 3 Accent 3" w:uiPriority="51"/>
    <w:lsdException w:name="List Table 4 Accent 3" w:uiPriority="52"/>
    <w:lsdException w:name="List Table 5 Dark Accent 3" w:uiPriority="46"/>
    <w:lsdException w:name="List Table 6 Colorful Accent 3" w:uiPriority="47"/>
    <w:lsdException w:name="List Table 7 Colorful Accent 3" w:uiPriority="48"/>
    <w:lsdException w:name="List Table 1 Light Accent 4" w:uiPriority="49"/>
    <w:lsdException w:name="List Table 2 Accent 4" w:uiPriority="50"/>
    <w:lsdException w:name="List Table 3 Accent 4" w:uiPriority="51"/>
    <w:lsdException w:name="List Table 4 Accent 4" w:uiPriority="52"/>
    <w:lsdException w:name="List Table 5 Dark Accent 4" w:uiPriority="46"/>
    <w:lsdException w:name="List Table 6 Colorful Accent 4" w:uiPriority="47"/>
    <w:lsdException w:name="List Table 7 Colorful Accent 4" w:uiPriority="48"/>
    <w:lsdException w:name="List Table 1 Light Accent 5" w:uiPriority="49"/>
    <w:lsdException w:name="List Table 2 Accent 5" w:uiPriority="50"/>
    <w:lsdException w:name="List Table 3 Accent 5" w:uiPriority="51"/>
    <w:lsdException w:name="List Table 4 Accent 5" w:uiPriority="52"/>
    <w:lsdException w:name="List Table 5 Dark Accent 5" w:uiPriority="46"/>
    <w:lsdException w:name="List Table 6 Colorful Accent 5" w:uiPriority="47"/>
    <w:lsdException w:name="List Table 7 Colorful Accent 5" w:uiPriority="48"/>
    <w:lsdException w:name="List Table 1 Light Accent 6" w:uiPriority="49"/>
    <w:lsdException w:name="List Table 2 Accent 6" w:uiPriority="50"/>
    <w:lsdException w:name="List Table 3 Accent 6" w:uiPriority="51"/>
    <w:lsdException w:name="List Table 4 Accent 6" w:uiPriority="52"/>
    <w:lsdException w:name="List Table 5 Dark Accent 6" w:uiPriority="46"/>
    <w:lsdException w:name="List Table 6 Colorful Accent 6" w:uiPriority="47"/>
    <w:lsdException w:name="List Table 7 Colorful Accent 6" w:uiPriority="48"/>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A2975"/>
    <w:pPr>
      <w:spacing w:line="276" w:lineRule="auto"/>
      <w:jc w:val="both"/>
    </w:pPr>
    <w:rPr>
      <w:sz w:val="22"/>
    </w:rPr>
  </w:style>
  <w:style w:type="paragraph" w:styleId="Heading1">
    <w:name w:val="heading 1"/>
    <w:basedOn w:val="Normal"/>
    <w:next w:val="Normal"/>
    <w:link w:val="Heading1Char"/>
    <w:uiPriority w:val="99"/>
    <w:qFormat/>
    <w:rsid w:val="00097261"/>
    <w:pPr>
      <w:keepNext/>
      <w:spacing w:line="420" w:lineRule="atLeast"/>
      <w:outlineLvl w:val="0"/>
    </w:pPr>
    <w:rPr>
      <w:rFonts w:cs="Arial"/>
      <w:b/>
      <w:bCs/>
      <w:kern w:val="32"/>
      <w:sz w:val="36"/>
      <w:szCs w:val="32"/>
    </w:rPr>
  </w:style>
  <w:style w:type="paragraph" w:styleId="Heading2">
    <w:name w:val="heading 2"/>
    <w:basedOn w:val="Normal"/>
    <w:next w:val="Normal"/>
    <w:qFormat/>
    <w:rsid w:val="003F46B0"/>
    <w:pPr>
      <w:keepNext/>
      <w:outlineLvl w:val="1"/>
    </w:pPr>
    <w:rPr>
      <w:rFonts w:cs="Arial"/>
      <w:bCs/>
      <w:iCs/>
      <w:color w:val="E1000F"/>
      <w:szCs w:val="28"/>
    </w:rPr>
  </w:style>
  <w:style w:type="paragraph" w:styleId="Heading3">
    <w:name w:val="heading 3"/>
    <w:basedOn w:val="Heading2"/>
    <w:next w:val="Normal"/>
    <w:qFormat/>
    <w:rsid w:val="006F1596"/>
    <w:pPr>
      <w:outlineLvl w:val="2"/>
    </w:pPr>
    <w:rPr>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3758F"/>
    <w:pPr>
      <w:tabs>
        <w:tab w:val="left" w:pos="2607"/>
        <w:tab w:val="center" w:pos="4320"/>
        <w:tab w:val="right" w:pos="9356"/>
      </w:tabs>
      <w:spacing w:before="1440" w:line="100" w:lineRule="atLeast"/>
      <w:jc w:val="right"/>
    </w:pPr>
    <w:rPr>
      <w:rFonts w:cs="Segoe UI"/>
      <w:b/>
      <w:bCs/>
      <w:color w:val="3E3C3C"/>
      <w:sz w:val="40"/>
      <w:szCs w:val="40"/>
    </w:rPr>
  </w:style>
  <w:style w:type="paragraph" w:styleId="Footer">
    <w:name w:val="footer"/>
    <w:basedOn w:val="Normal"/>
    <w:link w:val="FooterChar"/>
    <w:uiPriority w:val="99"/>
    <w:rsid w:val="00992A11"/>
    <w:pPr>
      <w:tabs>
        <w:tab w:val="right" w:pos="7083"/>
        <w:tab w:val="right" w:pos="8640"/>
      </w:tabs>
      <w:spacing w:line="180" w:lineRule="atLeast"/>
      <w:jc w:val="right"/>
    </w:pPr>
    <w:rPr>
      <w:bCs/>
      <w:noProof/>
      <w:sz w:val="12"/>
    </w:rPr>
  </w:style>
  <w:style w:type="paragraph" w:customStyle="1" w:styleId="Intro">
    <w:name w:val="Intro"/>
    <w:basedOn w:val="Normal"/>
    <w:rsid w:val="006F1596"/>
    <w:pPr>
      <w:spacing w:after="300"/>
    </w:pPr>
    <w:rPr>
      <w:color w:val="415055"/>
      <w:sz w:val="24"/>
    </w:rPr>
  </w:style>
  <w:style w:type="paragraph" w:customStyle="1" w:styleId="NumBullet">
    <w:name w:val="Num_Bullet"/>
    <w:basedOn w:val="Normal"/>
    <w:rsid w:val="00576BC8"/>
    <w:pPr>
      <w:numPr>
        <w:numId w:val="1"/>
      </w:numPr>
      <w:tabs>
        <w:tab w:val="clear" w:pos="567"/>
        <w:tab w:val="left" w:pos="357"/>
      </w:tabs>
      <w:ind w:left="357" w:hanging="357"/>
    </w:pPr>
  </w:style>
  <w:style w:type="paragraph" w:customStyle="1" w:styleId="Page1Name">
    <w:name w:val="Page1_Name"/>
    <w:basedOn w:val="Normal"/>
    <w:rsid w:val="004F237B"/>
    <w:pPr>
      <w:spacing w:after="420" w:line="360" w:lineRule="atLeast"/>
    </w:pPr>
    <w:rPr>
      <w:b/>
      <w:sz w:val="30"/>
    </w:rPr>
  </w:style>
  <w:style w:type="paragraph" w:customStyle="1" w:styleId="Page1Title">
    <w:name w:val="Page1_Title"/>
    <w:basedOn w:val="Normal"/>
    <w:rsid w:val="004F237B"/>
    <w:pPr>
      <w:spacing w:line="228" w:lineRule="auto"/>
    </w:pPr>
    <w:rPr>
      <w:color w:val="E1000F"/>
      <w:sz w:val="90"/>
    </w:rPr>
  </w:style>
  <w:style w:type="paragraph" w:customStyle="1" w:styleId="Page1Author">
    <w:name w:val="Page1_Author"/>
    <w:basedOn w:val="Page1Name"/>
    <w:rsid w:val="004F237B"/>
    <w:pPr>
      <w:spacing w:before="240" w:after="0"/>
    </w:pPr>
    <w:rPr>
      <w:b w:val="0"/>
      <w:bCs/>
    </w:rPr>
  </w:style>
  <w:style w:type="table" w:styleId="TableGrid">
    <w:name w:val="Table Grid"/>
    <w:basedOn w:val="TableNormal"/>
    <w:rsid w:val="004F237B"/>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fo">
    <w:name w:val="Info"/>
    <w:basedOn w:val="Normal"/>
    <w:link w:val="InfoZchn"/>
    <w:rsid w:val="00EE59A4"/>
    <w:pPr>
      <w:spacing w:line="240" w:lineRule="atLeast"/>
    </w:pPr>
    <w:rPr>
      <w:sz w:val="13"/>
    </w:rPr>
  </w:style>
  <w:style w:type="character" w:customStyle="1" w:styleId="InfoZchn">
    <w:name w:val="Info Zchn"/>
    <w:link w:val="Info"/>
    <w:rsid w:val="003F6218"/>
    <w:rPr>
      <w:rFonts w:ascii="Arial" w:hAnsi="Arial"/>
      <w:sz w:val="13"/>
      <w:szCs w:val="24"/>
      <w:lang w:val="de-DE" w:eastAsia="en-US" w:bidi="ar-SA"/>
    </w:rPr>
  </w:style>
  <w:style w:type="paragraph" w:customStyle="1" w:styleId="Standard12pt">
    <w:name w:val="Standard_12pt"/>
    <w:basedOn w:val="Normal"/>
    <w:rsid w:val="0048435F"/>
    <w:pPr>
      <w:spacing w:line="300" w:lineRule="atLeast"/>
    </w:pPr>
    <w:rPr>
      <w:sz w:val="24"/>
    </w:rPr>
  </w:style>
  <w:style w:type="character" w:customStyle="1" w:styleId="Heading1Char">
    <w:name w:val="Heading 1 Char"/>
    <w:link w:val="Heading1"/>
    <w:uiPriority w:val="99"/>
    <w:locked/>
    <w:rsid w:val="00B422EC"/>
    <w:rPr>
      <w:rFonts w:ascii="Arial" w:hAnsi="Arial" w:cs="Arial"/>
      <w:b/>
      <w:bCs/>
      <w:kern w:val="32"/>
      <w:sz w:val="36"/>
      <w:szCs w:val="32"/>
      <w:lang w:val="de-DE"/>
    </w:rPr>
  </w:style>
  <w:style w:type="character" w:styleId="Hyperlink">
    <w:name w:val="Hyperlink"/>
    <w:rsid w:val="00336854"/>
    <w:rPr>
      <w:rFonts w:ascii="Segoe UI" w:hAnsi="Segoe UI"/>
      <w:color w:val="0000FF"/>
      <w:sz w:val="18"/>
      <w:szCs w:val="18"/>
      <w:u w:val="single"/>
    </w:rPr>
  </w:style>
  <w:style w:type="paragraph" w:customStyle="1" w:styleId="MittleresRaster1-Akzent21">
    <w:name w:val="Mittleres Raster 1 - Akzent 21"/>
    <w:basedOn w:val="Normal"/>
    <w:uiPriority w:val="34"/>
    <w:qFormat/>
    <w:rsid w:val="00B422EC"/>
    <w:pPr>
      <w:ind w:left="720"/>
    </w:pPr>
  </w:style>
  <w:style w:type="paragraph" w:styleId="BalloonText">
    <w:name w:val="Balloon Text"/>
    <w:basedOn w:val="Normal"/>
    <w:link w:val="BalloonTextChar"/>
    <w:rsid w:val="00336854"/>
    <w:pPr>
      <w:spacing w:line="240" w:lineRule="auto"/>
    </w:pPr>
    <w:rPr>
      <w:sz w:val="18"/>
      <w:szCs w:val="18"/>
    </w:rPr>
  </w:style>
  <w:style w:type="character" w:customStyle="1" w:styleId="BalloonTextChar">
    <w:name w:val="Balloon Text Char"/>
    <w:link w:val="BalloonText"/>
    <w:rsid w:val="00336854"/>
    <w:rPr>
      <w:rFonts w:ascii="Segoe UI" w:hAnsi="Segoe UI"/>
      <w:sz w:val="18"/>
      <w:szCs w:val="18"/>
      <w:lang w:val="de-DE"/>
    </w:rPr>
  </w:style>
  <w:style w:type="paragraph" w:customStyle="1" w:styleId="MittlereListe2-Akzent21">
    <w:name w:val="Mittlere Liste 2 - Akzent 21"/>
    <w:hidden/>
    <w:uiPriority w:val="99"/>
    <w:semiHidden/>
    <w:rsid w:val="002E0B17"/>
    <w:rPr>
      <w:rFonts w:ascii="Arial" w:hAnsi="Arial"/>
      <w:lang w:val="de-DE"/>
    </w:rPr>
  </w:style>
  <w:style w:type="character" w:customStyle="1" w:styleId="FooterChar">
    <w:name w:val="Footer Char"/>
    <w:link w:val="Footer"/>
    <w:uiPriority w:val="99"/>
    <w:rsid w:val="00992A11"/>
    <w:rPr>
      <w:rFonts w:ascii="Segoe UI" w:hAnsi="Segoe UI"/>
      <w:bCs/>
      <w:noProof/>
      <w:sz w:val="12"/>
      <w:szCs w:val="24"/>
      <w:lang w:val="de-DE"/>
    </w:rPr>
  </w:style>
  <w:style w:type="character" w:styleId="UnresolvedMention">
    <w:name w:val="Unresolved Mention"/>
    <w:uiPriority w:val="99"/>
    <w:semiHidden/>
    <w:unhideWhenUsed/>
    <w:rsid w:val="000C210A"/>
    <w:rPr>
      <w:color w:val="605E5C"/>
      <w:shd w:val="clear" w:color="auto" w:fill="E1DFDD"/>
    </w:rPr>
  </w:style>
  <w:style w:type="paragraph" w:customStyle="1" w:styleId="Style12ptJustifiedLinespacing15lines">
    <w:name w:val="Style 12 pt Justified Line spacing:  1.5 lines"/>
    <w:basedOn w:val="Normal"/>
    <w:rsid w:val="00974F84"/>
    <w:rPr>
      <w:szCs w:val="20"/>
    </w:rPr>
  </w:style>
  <w:style w:type="paragraph" w:customStyle="1" w:styleId="Style12ptJustifiedLinespacing15lines1">
    <w:name w:val="Style 12 pt Justified Line spacing:  1.5 lines1"/>
    <w:basedOn w:val="Normal"/>
    <w:rsid w:val="00974F84"/>
    <w:pPr>
      <w:spacing w:before="120"/>
    </w:pPr>
    <w:rPr>
      <w:szCs w:val="20"/>
    </w:rPr>
  </w:style>
  <w:style w:type="character" w:customStyle="1" w:styleId="Headline">
    <w:name w:val="Headline"/>
    <w:basedOn w:val="DefaultParagraphFont"/>
    <w:rsid w:val="00A3756F"/>
    <w:rPr>
      <w:b/>
      <w:bCs/>
      <w:sz w:val="32"/>
    </w:rPr>
  </w:style>
  <w:style w:type="paragraph" w:customStyle="1" w:styleId="MonthDayYear">
    <w:name w:val="Month Day Year"/>
    <w:basedOn w:val="Normal"/>
    <w:rsid w:val="00643D8A"/>
    <w:pPr>
      <w:spacing w:before="120"/>
      <w:ind w:right="-1"/>
      <w:jc w:val="right"/>
    </w:pPr>
    <w:rPr>
      <w:szCs w:val="20"/>
    </w:rPr>
  </w:style>
  <w:style w:type="paragraph" w:customStyle="1" w:styleId="Topline">
    <w:name w:val="Topline"/>
    <w:basedOn w:val="Normal"/>
    <w:qFormat/>
    <w:rsid w:val="00472FEC"/>
    <w:pPr>
      <w:spacing w:before="560" w:after="560"/>
    </w:pPr>
    <w:rPr>
      <w:rFonts w:cs="Segoe UI"/>
      <w:szCs w:val="22"/>
    </w:rPr>
  </w:style>
  <w:style w:type="character" w:customStyle="1" w:styleId="AboutandContactBody">
    <w:name w:val="About and Contact Body"/>
    <w:basedOn w:val="DefaultParagraphFont"/>
    <w:rsid w:val="00336854"/>
    <w:rPr>
      <w:rFonts w:ascii="Segoe UI" w:hAnsi="Segoe UI"/>
      <w:sz w:val="18"/>
    </w:rPr>
  </w:style>
  <w:style w:type="character" w:customStyle="1" w:styleId="AboutandContactHeadline">
    <w:name w:val="About and Contact Headline"/>
    <w:basedOn w:val="DefaultParagraphFont"/>
    <w:rsid w:val="00336854"/>
    <w:rPr>
      <w:rFonts w:ascii="Segoe UI" w:hAnsi="Segoe UI"/>
      <w:b/>
      <w:bCs/>
      <w:sz w:val="18"/>
    </w:rPr>
  </w:style>
  <w:style w:type="paragraph" w:styleId="ListParagraph">
    <w:name w:val="List Paragraph"/>
    <w:basedOn w:val="Normal"/>
    <w:uiPriority w:val="34"/>
    <w:qFormat/>
    <w:rsid w:val="00635616"/>
    <w:pPr>
      <w:ind w:left="720"/>
      <w:contextualSpacing/>
    </w:pPr>
  </w:style>
  <w:style w:type="character" w:styleId="CommentReference">
    <w:name w:val="annotation reference"/>
    <w:rsid w:val="00846017"/>
    <w:rPr>
      <w:sz w:val="16"/>
      <w:szCs w:val="16"/>
    </w:rPr>
  </w:style>
  <w:style w:type="paragraph" w:styleId="CommentText">
    <w:name w:val="annotation text"/>
    <w:basedOn w:val="Normal"/>
    <w:link w:val="CommentTextChar"/>
    <w:rsid w:val="00846017"/>
    <w:pPr>
      <w:spacing w:line="260" w:lineRule="atLeast"/>
      <w:jc w:val="left"/>
    </w:pPr>
    <w:rPr>
      <w:rFonts w:ascii="Arial" w:hAnsi="Arial"/>
      <w:sz w:val="20"/>
      <w:szCs w:val="20"/>
      <w:lang w:val="de-DE"/>
    </w:rPr>
  </w:style>
  <w:style w:type="character" w:customStyle="1" w:styleId="CommentTextChar">
    <w:name w:val="Comment Text Char"/>
    <w:basedOn w:val="DefaultParagraphFont"/>
    <w:link w:val="CommentText"/>
    <w:rsid w:val="00846017"/>
    <w:rPr>
      <w:rFonts w:ascii="Arial" w:hAnsi="Arial"/>
      <w:sz w:val="20"/>
      <w:szCs w:val="20"/>
      <w:lang w:val="de-DE"/>
    </w:rPr>
  </w:style>
  <w:style w:type="paragraph" w:styleId="CommentSubject">
    <w:name w:val="annotation subject"/>
    <w:basedOn w:val="CommentText"/>
    <w:next w:val="CommentText"/>
    <w:link w:val="CommentSubjectChar"/>
    <w:rsid w:val="0020528D"/>
    <w:pPr>
      <w:spacing w:line="240" w:lineRule="auto"/>
      <w:jc w:val="both"/>
    </w:pPr>
    <w:rPr>
      <w:rFonts w:ascii="Segoe UI" w:hAnsi="Segoe UI"/>
      <w:b/>
      <w:bCs/>
      <w:lang w:val="en-US"/>
    </w:rPr>
  </w:style>
  <w:style w:type="character" w:customStyle="1" w:styleId="CommentSubjectChar">
    <w:name w:val="Comment Subject Char"/>
    <w:basedOn w:val="CommentTextChar"/>
    <w:link w:val="CommentSubject"/>
    <w:rsid w:val="0020528D"/>
    <w:rPr>
      <w:rFonts w:ascii="Arial" w:hAnsi="Arial"/>
      <w:b/>
      <w:bCs/>
      <w:sz w:val="20"/>
      <w:szCs w:val="20"/>
      <w:lang w:val="de-DE"/>
    </w:rPr>
  </w:style>
  <w:style w:type="paragraph" w:styleId="Revision">
    <w:name w:val="Revision"/>
    <w:hidden/>
    <w:uiPriority w:val="62"/>
    <w:unhideWhenUsed/>
    <w:rsid w:val="006E2D24"/>
    <w:rPr>
      <w:sz w:val="22"/>
    </w:rPr>
  </w:style>
  <w:style w:type="paragraph" w:customStyle="1" w:styleId="He04Funote">
    <w:name w:val="_He_04_Fußnote"/>
    <w:next w:val="Normal"/>
    <w:qFormat/>
    <w:rsid w:val="00A90F18"/>
    <w:pPr>
      <w:tabs>
        <w:tab w:val="left" w:pos="85"/>
      </w:tabs>
      <w:spacing w:line="256" w:lineRule="auto"/>
      <w:ind w:left="85" w:hanging="85"/>
    </w:pPr>
    <w:rPr>
      <w:rFonts w:eastAsiaTheme="minorHAnsi" w:cstheme="minorBidi"/>
      <w:sz w:val="15"/>
      <w:szCs w:val="22"/>
      <w:lang w:val="de-DE"/>
      <w14:numForm w14:val="lining"/>
    </w:rPr>
  </w:style>
  <w:style w:type="character" w:styleId="FootnoteReference">
    <w:name w:val="footnote reference"/>
    <w:basedOn w:val="DefaultParagraphFont"/>
    <w:uiPriority w:val="99"/>
    <w:unhideWhenUsed/>
    <w:rsid w:val="00A90F18"/>
    <w:rPr>
      <w:vertAlign w:val="superscript"/>
    </w:rPr>
  </w:style>
  <w:style w:type="paragraph" w:customStyle="1" w:styleId="He05Fett">
    <w:name w:val="_He_05_Fett"/>
    <w:next w:val="Normal"/>
    <w:link w:val="He05FettZchn"/>
    <w:qFormat/>
    <w:rsid w:val="00A92FCD"/>
    <w:pPr>
      <w:spacing w:after="160" w:line="259" w:lineRule="auto"/>
    </w:pPr>
    <w:rPr>
      <w:rFonts w:eastAsiaTheme="minorHAnsi" w:cstheme="minorBidi"/>
      <w:b/>
      <w:szCs w:val="22"/>
      <w:lang w:val="de-DE"/>
    </w:rPr>
  </w:style>
  <w:style w:type="character" w:customStyle="1" w:styleId="He05FettZchn">
    <w:name w:val="_He_05_Fett Zchn"/>
    <w:basedOn w:val="DefaultParagraphFont"/>
    <w:link w:val="He05Fett"/>
    <w:rsid w:val="00A92FCD"/>
    <w:rPr>
      <w:rFonts w:eastAsiaTheme="minorHAnsi" w:cstheme="minorBidi"/>
      <w:b/>
      <w:szCs w:val="22"/>
      <w:lang w:val="de-DE"/>
    </w:rPr>
  </w:style>
  <w:style w:type="paragraph" w:customStyle="1" w:styleId="He01Flietext">
    <w:name w:val="_He_01_Fließtext"/>
    <w:qFormat/>
    <w:rsid w:val="00FE683A"/>
    <w:pPr>
      <w:tabs>
        <w:tab w:val="left" w:pos="284"/>
      </w:tabs>
      <w:spacing w:after="160" w:line="259" w:lineRule="auto"/>
      <w:jc w:val="both"/>
    </w:pPr>
    <w:rPr>
      <w:rFonts w:eastAsiaTheme="minorHAnsi" w:cstheme="minorBidi"/>
      <w:szCs w:val="22"/>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768271">
      <w:bodyDiv w:val="1"/>
      <w:marLeft w:val="0"/>
      <w:marRight w:val="0"/>
      <w:marTop w:val="0"/>
      <w:marBottom w:val="0"/>
      <w:divBdr>
        <w:top w:val="none" w:sz="0" w:space="0" w:color="auto"/>
        <w:left w:val="none" w:sz="0" w:space="0" w:color="auto"/>
        <w:bottom w:val="none" w:sz="0" w:space="0" w:color="auto"/>
        <w:right w:val="none" w:sz="0" w:space="0" w:color="auto"/>
      </w:divBdr>
    </w:div>
    <w:div w:id="215901274">
      <w:bodyDiv w:val="1"/>
      <w:marLeft w:val="0"/>
      <w:marRight w:val="0"/>
      <w:marTop w:val="0"/>
      <w:marBottom w:val="0"/>
      <w:divBdr>
        <w:top w:val="none" w:sz="0" w:space="0" w:color="auto"/>
        <w:left w:val="none" w:sz="0" w:space="0" w:color="auto"/>
        <w:bottom w:val="none" w:sz="0" w:space="0" w:color="auto"/>
        <w:right w:val="none" w:sz="0" w:space="0" w:color="auto"/>
      </w:divBdr>
    </w:div>
    <w:div w:id="331758879">
      <w:bodyDiv w:val="1"/>
      <w:marLeft w:val="0"/>
      <w:marRight w:val="0"/>
      <w:marTop w:val="0"/>
      <w:marBottom w:val="0"/>
      <w:divBdr>
        <w:top w:val="none" w:sz="0" w:space="0" w:color="auto"/>
        <w:left w:val="none" w:sz="0" w:space="0" w:color="auto"/>
        <w:bottom w:val="none" w:sz="0" w:space="0" w:color="auto"/>
        <w:right w:val="none" w:sz="0" w:space="0" w:color="auto"/>
      </w:divBdr>
    </w:div>
    <w:div w:id="545877286">
      <w:bodyDiv w:val="1"/>
      <w:marLeft w:val="0"/>
      <w:marRight w:val="0"/>
      <w:marTop w:val="0"/>
      <w:marBottom w:val="0"/>
      <w:divBdr>
        <w:top w:val="none" w:sz="0" w:space="0" w:color="auto"/>
        <w:left w:val="none" w:sz="0" w:space="0" w:color="auto"/>
        <w:bottom w:val="none" w:sz="0" w:space="0" w:color="auto"/>
        <w:right w:val="none" w:sz="0" w:space="0" w:color="auto"/>
      </w:divBdr>
    </w:div>
    <w:div w:id="830367474">
      <w:bodyDiv w:val="1"/>
      <w:marLeft w:val="0"/>
      <w:marRight w:val="0"/>
      <w:marTop w:val="0"/>
      <w:marBottom w:val="0"/>
      <w:divBdr>
        <w:top w:val="none" w:sz="0" w:space="0" w:color="auto"/>
        <w:left w:val="none" w:sz="0" w:space="0" w:color="auto"/>
        <w:bottom w:val="none" w:sz="0" w:space="0" w:color="auto"/>
        <w:right w:val="none" w:sz="0" w:space="0" w:color="auto"/>
      </w:divBdr>
    </w:div>
    <w:div w:id="1303580746">
      <w:bodyDiv w:val="1"/>
      <w:marLeft w:val="0"/>
      <w:marRight w:val="0"/>
      <w:marTop w:val="0"/>
      <w:marBottom w:val="0"/>
      <w:divBdr>
        <w:top w:val="none" w:sz="0" w:space="0" w:color="auto"/>
        <w:left w:val="none" w:sz="0" w:space="0" w:color="auto"/>
        <w:bottom w:val="none" w:sz="0" w:space="0" w:color="auto"/>
        <w:right w:val="none" w:sz="0" w:space="0" w:color="auto"/>
      </w:divBdr>
    </w:div>
    <w:div w:id="1370689247">
      <w:bodyDiv w:val="1"/>
      <w:marLeft w:val="0"/>
      <w:marRight w:val="0"/>
      <w:marTop w:val="0"/>
      <w:marBottom w:val="0"/>
      <w:divBdr>
        <w:top w:val="none" w:sz="0" w:space="0" w:color="auto"/>
        <w:left w:val="none" w:sz="0" w:space="0" w:color="auto"/>
        <w:bottom w:val="none" w:sz="0" w:space="0" w:color="auto"/>
        <w:right w:val="none" w:sz="0" w:space="0" w:color="auto"/>
      </w:divBdr>
    </w:div>
    <w:div w:id="1374620896">
      <w:bodyDiv w:val="1"/>
      <w:marLeft w:val="0"/>
      <w:marRight w:val="0"/>
      <w:marTop w:val="0"/>
      <w:marBottom w:val="0"/>
      <w:divBdr>
        <w:top w:val="none" w:sz="0" w:space="0" w:color="auto"/>
        <w:left w:val="none" w:sz="0" w:space="0" w:color="auto"/>
        <w:bottom w:val="none" w:sz="0" w:space="0" w:color="auto"/>
        <w:right w:val="none" w:sz="0" w:space="0" w:color="auto"/>
      </w:divBdr>
    </w:div>
    <w:div w:id="1483084704">
      <w:bodyDiv w:val="1"/>
      <w:marLeft w:val="0"/>
      <w:marRight w:val="0"/>
      <w:marTop w:val="0"/>
      <w:marBottom w:val="0"/>
      <w:divBdr>
        <w:top w:val="none" w:sz="0" w:space="0" w:color="auto"/>
        <w:left w:val="none" w:sz="0" w:space="0" w:color="auto"/>
        <w:bottom w:val="none" w:sz="0" w:space="0" w:color="auto"/>
        <w:right w:val="none" w:sz="0" w:space="0" w:color="auto"/>
      </w:divBdr>
    </w:div>
    <w:div w:id="1546261199">
      <w:bodyDiv w:val="1"/>
      <w:marLeft w:val="0"/>
      <w:marRight w:val="0"/>
      <w:marTop w:val="0"/>
      <w:marBottom w:val="0"/>
      <w:divBdr>
        <w:top w:val="none" w:sz="0" w:space="0" w:color="auto"/>
        <w:left w:val="none" w:sz="0" w:space="0" w:color="auto"/>
        <w:bottom w:val="none" w:sz="0" w:space="0" w:color="auto"/>
        <w:right w:val="none" w:sz="0" w:space="0" w:color="auto"/>
      </w:divBdr>
    </w:div>
    <w:div w:id="1641376655">
      <w:bodyDiv w:val="1"/>
      <w:marLeft w:val="0"/>
      <w:marRight w:val="0"/>
      <w:marTop w:val="0"/>
      <w:marBottom w:val="0"/>
      <w:divBdr>
        <w:top w:val="none" w:sz="0" w:space="0" w:color="auto"/>
        <w:left w:val="none" w:sz="0" w:space="0" w:color="auto"/>
        <w:bottom w:val="none" w:sz="0" w:space="0" w:color="auto"/>
        <w:right w:val="none" w:sz="0" w:space="0" w:color="auto"/>
      </w:divBdr>
    </w:div>
    <w:div w:id="2013604992">
      <w:bodyDiv w:val="1"/>
      <w:marLeft w:val="0"/>
      <w:marRight w:val="0"/>
      <w:marTop w:val="0"/>
      <w:marBottom w:val="0"/>
      <w:divBdr>
        <w:top w:val="none" w:sz="0" w:space="0" w:color="auto"/>
        <w:left w:val="none" w:sz="0" w:space="0" w:color="auto"/>
        <w:bottom w:val="none" w:sz="0" w:space="0" w:color="auto"/>
        <w:right w:val="none" w:sz="0" w:space="0" w:color="auto"/>
      </w:divBdr>
      <w:divsChild>
        <w:div w:id="237326346">
          <w:marLeft w:val="0"/>
          <w:marRight w:val="0"/>
          <w:marTop w:val="0"/>
          <w:marBottom w:val="0"/>
          <w:divBdr>
            <w:top w:val="none" w:sz="0" w:space="0" w:color="auto"/>
            <w:left w:val="none" w:sz="0" w:space="0" w:color="auto"/>
            <w:bottom w:val="none" w:sz="0" w:space="0" w:color="auto"/>
            <w:right w:val="none" w:sz="0" w:space="0" w:color="auto"/>
          </w:divBdr>
        </w:div>
        <w:div w:id="331104911">
          <w:marLeft w:val="0"/>
          <w:marRight w:val="0"/>
          <w:marTop w:val="0"/>
          <w:marBottom w:val="0"/>
          <w:divBdr>
            <w:top w:val="none" w:sz="0" w:space="0" w:color="auto"/>
            <w:left w:val="none" w:sz="0" w:space="0" w:color="auto"/>
            <w:bottom w:val="none" w:sz="0" w:space="0" w:color="auto"/>
            <w:right w:val="none" w:sz="0" w:space="0" w:color="auto"/>
          </w:divBdr>
        </w:div>
        <w:div w:id="430466892">
          <w:marLeft w:val="0"/>
          <w:marRight w:val="0"/>
          <w:marTop w:val="0"/>
          <w:marBottom w:val="0"/>
          <w:divBdr>
            <w:top w:val="none" w:sz="0" w:space="0" w:color="auto"/>
            <w:left w:val="none" w:sz="0" w:space="0" w:color="auto"/>
            <w:bottom w:val="none" w:sz="0" w:space="0" w:color="auto"/>
            <w:right w:val="none" w:sz="0" w:space="0" w:color="auto"/>
          </w:divBdr>
        </w:div>
        <w:div w:id="881399477">
          <w:marLeft w:val="0"/>
          <w:marRight w:val="0"/>
          <w:marTop w:val="0"/>
          <w:marBottom w:val="0"/>
          <w:divBdr>
            <w:top w:val="none" w:sz="0" w:space="0" w:color="auto"/>
            <w:left w:val="none" w:sz="0" w:space="0" w:color="auto"/>
            <w:bottom w:val="none" w:sz="0" w:space="0" w:color="auto"/>
            <w:right w:val="none" w:sz="0" w:space="0" w:color="auto"/>
          </w:divBdr>
        </w:div>
        <w:div w:id="1927032988">
          <w:marLeft w:val="0"/>
          <w:marRight w:val="0"/>
          <w:marTop w:val="0"/>
          <w:marBottom w:val="0"/>
          <w:divBdr>
            <w:top w:val="none" w:sz="0" w:space="0" w:color="auto"/>
            <w:left w:val="none" w:sz="0" w:space="0" w:color="auto"/>
            <w:bottom w:val="none" w:sz="0" w:space="0" w:color="auto"/>
            <w:right w:val="none" w:sz="0" w:space="0" w:color="auto"/>
          </w:divBdr>
        </w:div>
        <w:div w:id="20090892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jelena.sarenac@henkel.com"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nkel.co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henkelgroup-my.sharepoint.com/personal/tijana_antic_henkel_com/Documents/Documents/KORPORATIVNE%20KOMUNIKACIJE/Saop&#353;tenja/Hrvatska/www.henkel.hr" TargetMode="External"/><Relationship Id="rId22"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rohng\AppData\Local\Temp\Temp1_Completed.zip\Completed\segoe-Henkel-press-release-template-2020-english.dotx" TargetMode="External"/></Relationships>
</file>

<file path=word/theme/theme1.xml><?xml version="1.0" encoding="utf-8"?>
<a:theme xmlns:a="http://schemas.openxmlformats.org/drawingml/2006/main" name="Henkel Theme">
  <a:themeElements>
    <a:clrScheme name="Custom 4">
      <a:dk1>
        <a:srgbClr val="000000"/>
      </a:dk1>
      <a:lt1>
        <a:srgbClr val="FFFFFF"/>
      </a:lt1>
      <a:dk2>
        <a:srgbClr val="E1000F"/>
      </a:dk2>
      <a:lt2>
        <a:srgbClr val="E6E7E7"/>
      </a:lt2>
      <a:accent1>
        <a:srgbClr val="5F6973"/>
      </a:accent1>
      <a:accent2>
        <a:srgbClr val="AFB4B9"/>
      </a:accent2>
      <a:accent3>
        <a:srgbClr val="00AA75"/>
      </a:accent3>
      <a:accent4>
        <a:srgbClr val="004C79"/>
      </a:accent4>
      <a:accent5>
        <a:srgbClr val="9A141B"/>
      </a:accent5>
      <a:accent6>
        <a:srgbClr val="FFDB23"/>
      </a:accent6>
      <a:hlink>
        <a:srgbClr val="0563C1"/>
      </a:hlink>
      <a:folHlink>
        <a:srgbClr val="954F72"/>
      </a:folHlink>
    </a:clrScheme>
    <a:fontScheme name="Henkel Template">
      <a:majorFont>
        <a:latin typeface="Segoe UI"/>
        <a:ea typeface=""/>
        <a:cs typeface=""/>
      </a:majorFont>
      <a:minorFont>
        <a:latin typeface="Segoe UI"/>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solidFill>
          <a:srgbClr val="ED1C24"/>
        </a:solidFill>
        <a:ln>
          <a:noFill/>
        </a:ln>
        <a:extLst>
          <a:ext uri="{91240B29-F687-4F45-9708-019B960494DF}">
            <a14:hiddenLine xmlns:a14="http://schemas.microsoft.com/office/drawing/2010/main" w="9525">
              <a:solidFill>
                <a:srgbClr val="000000"/>
              </a:solidFill>
              <a:round/>
              <a:headEnd/>
              <a:tailEnd/>
            </a14:hiddenLine>
          </a:ext>
        </a:extLst>
      </a:spPr>
      <a:bodyPr rot="0" vert="horz" wrap="square" lIns="91440" tIns="45720" rIns="91440" bIns="45720" anchor="t" anchorCtr="0" upright="1">
        <a:noAutofit/>
      </a:bodyPr>
      <a:lstStyle/>
    </a:spDef>
    <a:lnDef>
      <a:spPr bwMode="auto">
        <a:xfrm>
          <a:off x="0" y="0"/>
          <a:ext cx="1" cy="1"/>
        </a:xfrm>
        <a:custGeom>
          <a:avLst/>
          <a:gdLst/>
          <a:ahLst/>
          <a:cxnLst/>
          <a:rect l="0" t="0" r="0" b="0"/>
          <a:pathLst/>
        </a:custGeom>
        <a:solidFill>
          <a:schemeClr val="bg1"/>
        </a:solidFill>
        <a:ln w="9525" cap="flat" cmpd="sng" algn="ctr">
          <a:solidFill>
            <a:schemeClr val="tx1"/>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chemeClr val="bg2"/>
                </a:outerShdw>
              </a:effectLst>
            </a14:hiddenEffects>
          </a:ext>
        </a:extLst>
      </a:spPr>
      <a:bodyPr vert="horz" wrap="none" lIns="90000" tIns="46800" rIns="90000" bIns="46800" numCol="1" anchor="ctr" anchorCtr="0" compatLnSpc="1">
        <a:prstTxWarp prst="textNoShape">
          <a:avLst/>
        </a:prstTxWarp>
      </a:bodyPr>
      <a:lstStyle>
        <a:defPPr marL="0" marR="0" indent="0" algn="ctr" defTabSz="914400" rtl="0" eaLnBrk="1" fontAlgn="base" latinLnBrk="0" hangingPunct="1">
          <a:lnSpc>
            <a:spcPct val="105000"/>
          </a:lnSpc>
          <a:spcBef>
            <a:spcPct val="0"/>
          </a:spcBef>
          <a:spcAft>
            <a:spcPct val="0"/>
          </a:spcAft>
          <a:buClr>
            <a:schemeClr val="tx2"/>
          </a:buClr>
          <a:buSzPct val="120000"/>
          <a:buFontTx/>
          <a:buNone/>
          <a:tabLst/>
          <a:defRPr kumimoji="0" lang="de-DE" sz="2000" b="0" i="0" u="none" strike="noStrike" cap="none" normalizeH="0" baseline="0" smtClean="0">
            <a:ln>
              <a:noFill/>
            </a:ln>
            <a:solidFill>
              <a:schemeClr val="tx1"/>
            </a:solidFill>
            <a:effectLst/>
            <a:latin typeface="Arial" charset="0"/>
            <a:cs typeface="Arial" charset="0"/>
          </a:defRPr>
        </a:defPPr>
      </a:lstStyle>
    </a:lnDef>
  </a:objectDefaults>
  <a:extraClrSchemeLst>
    <a:extraClrScheme>
      <a:clrScheme name="Standarddesign 1">
        <a:dk1>
          <a:srgbClr val="000000"/>
        </a:dk1>
        <a:lt1>
          <a:srgbClr val="FFFFFF"/>
        </a:lt1>
        <a:dk2>
          <a:srgbClr val="E1000F"/>
        </a:dk2>
        <a:lt2>
          <a:srgbClr val="CDD2D2"/>
        </a:lt2>
        <a:accent1>
          <a:srgbClr val="AFB4B9"/>
        </a:accent1>
        <a:accent2>
          <a:srgbClr val="828C96"/>
        </a:accent2>
        <a:accent3>
          <a:srgbClr val="FFFFFF"/>
        </a:accent3>
        <a:accent4>
          <a:srgbClr val="000000"/>
        </a:accent4>
        <a:accent5>
          <a:srgbClr val="D4D6D9"/>
        </a:accent5>
        <a:accent6>
          <a:srgbClr val="757E87"/>
        </a:accent6>
        <a:hlink>
          <a:srgbClr val="5F6973"/>
        </a:hlink>
        <a:folHlink>
          <a:srgbClr val="0078C8"/>
        </a:folHlink>
      </a:clrScheme>
      <a:clrMap bg1="lt1" tx1="dk1" bg2="lt2" tx2="dk2" accent1="accent1" accent2="accent2" accent3="accent3" accent4="accent4" accent5="accent5" accent6="accent6" hlink="hlink" folHlink="folHlink"/>
    </a:extraClrScheme>
  </a:extraClrSchemeLst>
  <a:custClrLst>
    <a:custClr name="Henkel Red">
      <a:srgbClr val="E1000F"/>
    </a:custClr>
    <a:custClr name="White">
      <a:srgbClr val="FFFFFF"/>
    </a:custClr>
    <a:custClr name="Black">
      <a:srgbClr val="000000"/>
    </a:custClr>
    <a:custClr name="Grey 1">
      <a:srgbClr val="5F6973"/>
    </a:custClr>
    <a:custClr name="Grey 2">
      <a:srgbClr val="AFB4B9"/>
    </a:custClr>
    <a:custClr name="Grey 3">
      <a:srgbClr val="E6E7E7"/>
    </a:custClr>
    <a:custClr name="Green">
      <a:srgbClr val="00AA75"/>
    </a:custClr>
    <a:custClr name="Blue">
      <a:srgbClr val="004C79"/>
    </a:custClr>
    <a:custClr name="Accent Dark Red">
      <a:srgbClr val="9A141B"/>
    </a:custClr>
    <a:custClr name="Accent Yellow 1">
      <a:srgbClr val="FFDB23"/>
    </a:custClr>
    <a:custClr name="Accent Yellow 2">
      <a:srgbClr val="FCF092"/>
    </a:custClr>
    <a:custClr name="Accent Green">
      <a:srgbClr val="A7DC92"/>
    </a:custClr>
    <a:custClr name="Accent Blue 1">
      <a:srgbClr val="55CAD3"/>
    </a:custClr>
    <a:custClr name="Accent Blue 2">
      <a:srgbClr val="0078C8"/>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f406d6b-70e0-427c-b08d-4edfc77771aa" xsi:nil="true"/>
    <lcf76f155ced4ddcb4097134ff3c332f xmlns="487aa4a8-6e08-4624-a126-3644f60fbb35">
      <Terms xmlns="http://schemas.microsoft.com/office/infopath/2007/PartnerControls"/>
    </lcf76f155ced4ddcb4097134ff3c332f>
    <Datum xmlns="487aa4a8-6e08-4624-a126-3644f60fbb35"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E3C925157EE074095811C87522C7BC7" ma:contentTypeVersion="21" ma:contentTypeDescription="Create a new document." ma:contentTypeScope="" ma:versionID="5c82d6a91480ea3a633158506e52c116">
  <xsd:schema xmlns:xsd="http://www.w3.org/2001/XMLSchema" xmlns:xs="http://www.w3.org/2001/XMLSchema" xmlns:p="http://schemas.microsoft.com/office/2006/metadata/properties" xmlns:ns2="487aa4a8-6e08-4624-a126-3644f60fbb35" xmlns:ns3="cec4b484-d643-4c02-a873-288aa5369532" xmlns:ns4="ef406d6b-70e0-427c-b08d-4edfc77771aa" targetNamespace="http://schemas.microsoft.com/office/2006/metadata/properties" ma:root="true" ma:fieldsID="4c2c19249a9c10464532c27e8f459ab4" ns2:_="" ns3:_="" ns4:_="">
    <xsd:import namespace="487aa4a8-6e08-4624-a126-3644f60fbb35"/>
    <xsd:import namespace="cec4b484-d643-4c02-a873-288aa5369532"/>
    <xsd:import namespace="ef406d6b-70e0-427c-b08d-4edfc77771a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Datum"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aa4a8-6e08-4624-a126-3644f60fbb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Datum" ma:index="20" nillable="true" ma:displayName="Datum" ma:format="DateOnly" ma:internalName="Datum">
      <xsd:simpleType>
        <xsd:restriction base="dms:DateTime"/>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72f792e8-4dad-42c1-ad63-44982727bf4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c4b484-d643-4c02-a873-288aa536953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f406d6b-70e0-427c-b08d-4edfc77771aa"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6099daea-b67b-4b58-9130-be82b407cc11}" ma:internalName="TaxCatchAll" ma:showField="CatchAllData" ma:web="cec4b484-d643-4c02-a873-288aa536953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72f792e8-4dad-42c1-ad63-44982727bf4d" ContentTypeId="0x01" PreviousValue="false"/>
</file>

<file path=customXml/itemProps1.xml><?xml version="1.0" encoding="utf-8"?>
<ds:datastoreItem xmlns:ds="http://schemas.openxmlformats.org/officeDocument/2006/customXml" ds:itemID="{E5F5E823-FD9A-4CF5-8C4B-A2151B3E8DB5}">
  <ds:schemaRefs>
    <ds:schemaRef ds:uri="http://schemas.openxmlformats.org/officeDocument/2006/bibliography"/>
  </ds:schemaRefs>
</ds:datastoreItem>
</file>

<file path=customXml/itemProps2.xml><?xml version="1.0" encoding="utf-8"?>
<ds:datastoreItem xmlns:ds="http://schemas.openxmlformats.org/officeDocument/2006/customXml" ds:itemID="{EC226D13-73FC-4A7A-93C2-AC11939BB4A9}">
  <ds:schemaRefs>
    <ds:schemaRef ds:uri="http://schemas.microsoft.com/sharepoint/v3/contenttype/forms"/>
  </ds:schemaRefs>
</ds:datastoreItem>
</file>

<file path=customXml/itemProps3.xml><?xml version="1.0" encoding="utf-8"?>
<ds:datastoreItem xmlns:ds="http://schemas.openxmlformats.org/officeDocument/2006/customXml" ds:itemID="{F3245D12-BDB4-413F-ABB3-2AF0CF323A38}">
  <ds:schemaRefs>
    <ds:schemaRef ds:uri="http://schemas.microsoft.com/office/2006/metadata/properties"/>
    <ds:schemaRef ds:uri="http://schemas.microsoft.com/office/infopath/2007/PartnerControls"/>
    <ds:schemaRef ds:uri="ef406d6b-70e0-427c-b08d-4edfc77771aa"/>
    <ds:schemaRef ds:uri="487aa4a8-6e08-4624-a126-3644f60fbb35"/>
  </ds:schemaRefs>
</ds:datastoreItem>
</file>

<file path=customXml/itemProps4.xml><?xml version="1.0" encoding="utf-8"?>
<ds:datastoreItem xmlns:ds="http://schemas.openxmlformats.org/officeDocument/2006/customXml" ds:itemID="{0FCCBF54-28EE-4544-922A-14A41FE433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aa4a8-6e08-4624-a126-3644f60fbb35"/>
    <ds:schemaRef ds:uri="cec4b484-d643-4c02-a873-288aa5369532"/>
    <ds:schemaRef ds:uri="ef406d6b-70e0-427c-b08d-4edfc77771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0E590B4-7A0D-4F62-ACD8-2A023F14A264}">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segoe-Henkel-press-release-template-2020-english</Template>
  <TotalTime>0</TotalTime>
  <Pages>9</Pages>
  <Words>3009</Words>
  <Characters>17654</Characters>
  <Application>Microsoft Office Word</Application>
  <DocSecurity>0</DocSecurity>
  <Lines>295</Lines>
  <Paragraphs>63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Pressemitteilung</vt:lpstr>
      <vt:lpstr>Pressemitteilung</vt:lpstr>
    </vt:vector>
  </TitlesOfParts>
  <Company>Henkel AG &amp; Co. KGaA</Company>
  <LinksUpToDate>false</LinksUpToDate>
  <CharactersWithSpaces>20627</CharactersWithSpaces>
  <SharedDoc>false</SharedDoc>
  <HLinks>
    <vt:vector size="66" baseType="variant">
      <vt:variant>
        <vt:i4>6946937</vt:i4>
      </vt:variant>
      <vt:variant>
        <vt:i4>30</vt:i4>
      </vt:variant>
      <vt:variant>
        <vt:i4>0</vt:i4>
      </vt:variant>
      <vt:variant>
        <vt:i4>5</vt:i4>
      </vt:variant>
      <vt:variant>
        <vt:lpwstr>http://www.henkel.de/ir</vt:lpwstr>
      </vt:variant>
      <vt:variant>
        <vt:lpwstr/>
      </vt:variant>
      <vt:variant>
        <vt:i4>6619256</vt:i4>
      </vt:variant>
      <vt:variant>
        <vt:i4>27</vt:i4>
      </vt:variant>
      <vt:variant>
        <vt:i4>0</vt:i4>
      </vt:variant>
      <vt:variant>
        <vt:i4>5</vt:i4>
      </vt:variant>
      <vt:variant>
        <vt:lpwstr>http://www.henkel.de/presse</vt:lpwstr>
      </vt:variant>
      <vt:variant>
        <vt:lpwstr/>
      </vt:variant>
      <vt:variant>
        <vt:i4>2228305</vt:i4>
      </vt:variant>
      <vt:variant>
        <vt:i4>24</vt:i4>
      </vt:variant>
      <vt:variant>
        <vt:i4>0</vt:i4>
      </vt:variant>
      <vt:variant>
        <vt:i4>5</vt:i4>
      </vt:variant>
      <vt:variant>
        <vt:lpwstr>mailto:linda.gehring@henkel.com</vt:lpwstr>
      </vt:variant>
      <vt:variant>
        <vt:lpwstr/>
      </vt:variant>
      <vt:variant>
        <vt:i4>7208970</vt:i4>
      </vt:variant>
      <vt:variant>
        <vt:i4>21</vt:i4>
      </vt:variant>
      <vt:variant>
        <vt:i4>0</vt:i4>
      </vt:variant>
      <vt:variant>
        <vt:i4>5</vt:i4>
      </vt:variant>
      <vt:variant>
        <vt:lpwstr>mailto:dennis.starke@henkel.com</vt:lpwstr>
      </vt:variant>
      <vt:variant>
        <vt:lpwstr/>
      </vt:variant>
      <vt:variant>
        <vt:i4>2687054</vt:i4>
      </vt:variant>
      <vt:variant>
        <vt:i4>18</vt:i4>
      </vt:variant>
      <vt:variant>
        <vt:i4>0</vt:i4>
      </vt:variant>
      <vt:variant>
        <vt:i4>5</vt:i4>
      </vt:variant>
      <vt:variant>
        <vt:lpwstr>mailto:hanna.philipps@henkel.com</vt:lpwstr>
      </vt:variant>
      <vt:variant>
        <vt:lpwstr/>
      </vt:variant>
      <vt:variant>
        <vt:i4>1835116</vt:i4>
      </vt:variant>
      <vt:variant>
        <vt:i4>15</vt:i4>
      </vt:variant>
      <vt:variant>
        <vt:i4>0</vt:i4>
      </vt:variant>
      <vt:variant>
        <vt:i4>5</vt:i4>
      </vt:variant>
      <vt:variant>
        <vt:lpwstr>mailto:jennifer.ott@henkel.com</vt:lpwstr>
      </vt:variant>
      <vt:variant>
        <vt:lpwstr/>
      </vt:variant>
      <vt:variant>
        <vt:i4>7667735</vt:i4>
      </vt:variant>
      <vt:variant>
        <vt:i4>12</vt:i4>
      </vt:variant>
      <vt:variant>
        <vt:i4>0</vt:i4>
      </vt:variant>
      <vt:variant>
        <vt:i4>5</vt:i4>
      </vt:variant>
      <vt:variant>
        <vt:lpwstr>mailto:wulf.klueppelholz@henkel.com</vt:lpwstr>
      </vt:variant>
      <vt:variant>
        <vt:lpwstr/>
      </vt:variant>
      <vt:variant>
        <vt:i4>7602201</vt:i4>
      </vt:variant>
      <vt:variant>
        <vt:i4>9</vt:i4>
      </vt:variant>
      <vt:variant>
        <vt:i4>0</vt:i4>
      </vt:variant>
      <vt:variant>
        <vt:i4>5</vt:i4>
      </vt:variant>
      <vt:variant>
        <vt:lpwstr>mailto:manuel.boesing@henkel.com</vt:lpwstr>
      </vt:variant>
      <vt:variant>
        <vt:lpwstr/>
      </vt:variant>
      <vt:variant>
        <vt:i4>119</vt:i4>
      </vt:variant>
      <vt:variant>
        <vt:i4>6</vt:i4>
      </vt:variant>
      <vt:variant>
        <vt:i4>0</vt:i4>
      </vt:variant>
      <vt:variant>
        <vt:i4>5</vt:i4>
      </vt:variant>
      <vt:variant>
        <vt:lpwstr>mailto:lars.witteck@henkel.com</vt:lpwstr>
      </vt:variant>
      <vt:variant>
        <vt:lpwstr/>
      </vt:variant>
      <vt:variant>
        <vt:i4>786533</vt:i4>
      </vt:variant>
      <vt:variant>
        <vt:i4>3</vt:i4>
      </vt:variant>
      <vt:variant>
        <vt:i4>0</vt:i4>
      </vt:variant>
      <vt:variant>
        <vt:i4>5</vt:i4>
      </vt:variant>
      <vt:variant>
        <vt:lpwstr>mailto:lars.korinth@henkel.com</vt:lpwstr>
      </vt:variant>
      <vt:variant>
        <vt:lpwstr/>
      </vt:variant>
      <vt:variant>
        <vt:i4>196694</vt:i4>
      </vt:variant>
      <vt:variant>
        <vt:i4>0</vt:i4>
      </vt:variant>
      <vt:variant>
        <vt:i4>0</vt:i4>
      </vt:variant>
      <vt:variant>
        <vt:i4>5</vt:i4>
      </vt:variant>
      <vt:variant>
        <vt:lpwstr>http://www.henkel.de/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dc:title>
  <dc:subject/>
  <dc:creator>Henkel</dc:creator>
  <cp:keywords/>
  <dc:description/>
  <cp:lastModifiedBy>Ana Krezic (Ext)</cp:lastModifiedBy>
  <cp:revision>11</cp:revision>
  <cp:lastPrinted>2026-02-11T08:17:00Z</cp:lastPrinted>
  <dcterms:created xsi:type="dcterms:W3CDTF">2026-03-11T11:02:00Z</dcterms:created>
  <dcterms:modified xsi:type="dcterms:W3CDTF">2026-03-18T14:06:00Z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0x0101004E3C925157EE074095811C87522C7BC7</vt:lpwstr>
  </property>
  <property fmtid="{D5CDD505-2E9C-101B-9397-08002B2CF9AE}" pid="3" name="MediaServiceImageTags">
    <vt:lpwstr/>
  </property>
</Properties>
</file>