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500B0C20" w:rsidR="00B422EC" w:rsidRPr="00232FF5" w:rsidRDefault="00081692" w:rsidP="00232FF5">
      <w:pPr>
        <w:pStyle w:val="MonthDayYear"/>
        <w:tabs>
          <w:tab w:val="left" w:pos="7371"/>
        </w:tabs>
        <w:jc w:val="left"/>
        <w:rPr>
          <w:rFonts w:ascii="Noto Sans Thai" w:hAnsi="Noto Sans Thai" w:cs="Noto Sans Thai"/>
        </w:rPr>
      </w:pPr>
      <w:r w:rsidRPr="00232FF5">
        <w:rPr>
          <w:rFonts w:ascii="Noto Sans Thai" w:hAnsi="Noto Sans Thai" w:cs="Noto Sans Thai"/>
          <w:lang w:val="th"/>
        </w:rPr>
        <w:tab/>
        <w:t>11 มีนาคม 2026</w:t>
      </w:r>
    </w:p>
    <w:p w14:paraId="1DBF727F" w14:textId="3944B1BB" w:rsidR="00E578CB" w:rsidRPr="00232FF5" w:rsidRDefault="009D61DC" w:rsidP="00E578CB">
      <w:pPr>
        <w:pStyle w:val="Topline"/>
        <w:spacing w:after="240"/>
        <w:jc w:val="left"/>
        <w:rPr>
          <w:rFonts w:ascii="Noto Sans Thai" w:hAnsi="Noto Sans Thai" w:cs="Noto Sans Thai"/>
          <w:lang w:bidi="th-TH"/>
        </w:rPr>
      </w:pPr>
      <w:bookmarkStart w:id="0" w:name="_Hlk190695874"/>
      <w:r w:rsidRPr="00232FF5">
        <w:rPr>
          <w:rFonts w:ascii="Noto Sans Thai" w:hAnsi="Noto Sans Thai" w:cs="Noto Sans Thai"/>
          <w:lang w:val="th"/>
        </w:rPr>
        <w:t xml:space="preserve">Henkel </w:t>
      </w:r>
      <w:r w:rsidR="00E578CB" w:rsidRPr="00E578CB">
        <w:rPr>
          <w:rFonts w:ascii="Noto Sans Thai" w:hAnsi="Noto Sans Thai" w:cs="Noto Sans Thai"/>
          <w:cs/>
          <w:lang w:bidi="th-TH"/>
        </w:rPr>
        <w:t xml:space="preserve">ประกาศผลประกอบการประจำปี </w:t>
      </w:r>
      <w:r w:rsidR="00E578CB" w:rsidRPr="00E578CB">
        <w:rPr>
          <w:rFonts w:ascii="Noto Sans Thai" w:hAnsi="Noto Sans Thai" w:cs="Noto Sans Thai"/>
          <w:lang w:bidi="th-TH"/>
        </w:rPr>
        <w:t xml:space="preserve">2025: </w:t>
      </w:r>
      <w:r w:rsidR="00E578CB" w:rsidRPr="00E578CB">
        <w:rPr>
          <w:rFonts w:ascii="Noto Sans Thai" w:hAnsi="Noto Sans Thai" w:cs="Noto Sans Thai"/>
          <w:cs/>
          <w:lang w:bidi="th-TH"/>
        </w:rPr>
        <w:t>เตรียมปรับเพิ่มเงินปันผลอีกครั้ง</w:t>
      </w:r>
    </w:p>
    <w:bookmarkEnd w:id="0"/>
    <w:p w14:paraId="2A08C255" w14:textId="77777777" w:rsidR="00511BE5" w:rsidRDefault="0012714C" w:rsidP="00232FF5">
      <w:pPr>
        <w:jc w:val="left"/>
        <w:rPr>
          <w:rFonts w:ascii="Noto Sans Thai" w:hAnsi="Noto Sans Thai" w:cs="Noto Sans Thai"/>
          <w:b/>
          <w:bCs/>
          <w:sz w:val="32"/>
        </w:rPr>
      </w:pPr>
      <w:r w:rsidRPr="00232FF5">
        <w:rPr>
          <w:rStyle w:val="Headline"/>
          <w:rFonts w:ascii="Noto Sans Thai" w:hAnsi="Noto Sans Thai" w:cs="Noto Sans Thai"/>
          <w:lang w:val="th"/>
        </w:rPr>
        <w:t xml:space="preserve">Henkel </w:t>
      </w:r>
      <w:r w:rsidR="00E578CB" w:rsidRPr="00E578CB">
        <w:rPr>
          <w:rFonts w:ascii="Noto Sans Thai" w:hAnsi="Noto Sans Thai" w:cs="Noto Sans Thai"/>
          <w:b/>
          <w:bCs/>
          <w:sz w:val="32"/>
          <w:szCs w:val="32"/>
          <w:cs/>
          <w:lang w:val="th" w:bidi="th-TH"/>
        </w:rPr>
        <w:t>สร้างการเติบโตแบบออร์แกนิกในปี</w:t>
      </w:r>
      <w:r w:rsidR="00E578CB" w:rsidRPr="00E578CB">
        <w:rPr>
          <w:rFonts w:ascii="Noto Sans Thai" w:hAnsi="Noto Sans Thai" w:cs="Noto Sans Thai"/>
          <w:b/>
          <w:bCs/>
          <w:sz w:val="32"/>
          <w:cs/>
          <w:lang w:val="th" w:bidi="th-TH"/>
        </w:rPr>
        <w:t xml:space="preserve"> </w:t>
      </w:r>
      <w:r w:rsidR="00E578CB" w:rsidRPr="00E578CB">
        <w:rPr>
          <w:rFonts w:ascii="Noto Sans Thai" w:hAnsi="Noto Sans Thai" w:cs="Noto Sans Thai"/>
          <w:b/>
          <w:bCs/>
          <w:sz w:val="32"/>
        </w:rPr>
        <w:t xml:space="preserve">2025 </w:t>
      </w:r>
    </w:p>
    <w:p w14:paraId="3FE075DA" w14:textId="1785647C" w:rsidR="00633B49" w:rsidRPr="00232FF5" w:rsidRDefault="0012714C" w:rsidP="00232FF5">
      <w:pPr>
        <w:jc w:val="left"/>
        <w:rPr>
          <w:rStyle w:val="Headline"/>
          <w:rFonts w:ascii="Noto Sans Thai" w:hAnsi="Noto Sans Thai" w:cs="Noto Sans Thai"/>
        </w:rPr>
      </w:pPr>
      <w:r w:rsidRPr="00232FF5">
        <w:rPr>
          <w:rStyle w:val="Headline"/>
          <w:rFonts w:ascii="Noto Sans Thai" w:hAnsi="Noto Sans Thai" w:cs="Noto Sans Thai"/>
          <w:lang w:val="th"/>
        </w:rPr>
        <w:t>และเพิ่มความสามารถในการทำกำไรผ่านนวัตกรรมและประสิทธิภาพสูงขึ้น</w:t>
      </w:r>
    </w:p>
    <w:p w14:paraId="5E22EDC4" w14:textId="77777777" w:rsidR="00A54C2A" w:rsidRPr="00232FF5" w:rsidRDefault="00A54C2A" w:rsidP="00232FF5">
      <w:pPr>
        <w:spacing w:line="240" w:lineRule="auto"/>
        <w:jc w:val="left"/>
        <w:rPr>
          <w:rFonts w:ascii="Noto Sans Thai" w:hAnsi="Noto Sans Thai" w:cs="Noto Sans Thai"/>
          <w:sz w:val="16"/>
          <w:szCs w:val="16"/>
        </w:rPr>
      </w:pPr>
    </w:p>
    <w:p w14:paraId="37685367" w14:textId="2F441B0B" w:rsidR="00645A5C" w:rsidRPr="00232FF5" w:rsidRDefault="008B6086" w:rsidP="00232FF5">
      <w:pPr>
        <w:pStyle w:val="ListParagraph"/>
        <w:numPr>
          <w:ilvl w:val="0"/>
          <w:numId w:val="7"/>
        </w:numPr>
        <w:spacing w:after="80"/>
        <w:ind w:left="357" w:right="-108" w:hanging="357"/>
        <w:contextualSpacing w:val="0"/>
        <w:jc w:val="left"/>
        <w:rPr>
          <w:rFonts w:ascii="Noto Sans Thai" w:hAnsi="Noto Sans Thai" w:cs="Noto Sans Thai"/>
          <w:b/>
          <w:szCs w:val="22"/>
        </w:rPr>
      </w:pPr>
      <w:bookmarkStart w:id="1" w:name="_Hlk64363173"/>
      <w:bookmarkStart w:id="2" w:name="_Hlk43712519"/>
      <w:r w:rsidRPr="00232FF5">
        <w:rPr>
          <w:rFonts w:ascii="Noto Sans Thai" w:hAnsi="Noto Sans Thai" w:cs="Noto Sans Thai"/>
          <w:b/>
          <w:bCs/>
          <w:szCs w:val="22"/>
          <w:lang w:val="th"/>
        </w:rPr>
        <w:t>ผลการดำเนินธุรกิจ</w:t>
      </w:r>
      <w:r w:rsidR="00D31EE2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แข็งแกร่ง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ในปีงบประมาณ 2025</w:t>
      </w:r>
    </w:p>
    <w:bookmarkEnd w:id="1"/>
    <w:p w14:paraId="50631AFC" w14:textId="53D48FAE" w:rsidR="00635616" w:rsidRPr="00232FF5" w:rsidRDefault="009D61DC" w:rsidP="00232FF5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ยอดขาย: 20.5 พันล้านยูโร เติบโต</w:t>
      </w:r>
      <w:r w:rsidR="00D31EE2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แบบออร์แกนิก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 xml:space="preserve"> 0.9 เปอร์เซ็นต์</w:t>
      </w:r>
      <w:bookmarkEnd w:id="2"/>
    </w:p>
    <w:p w14:paraId="4E148C2D" w14:textId="77777777" w:rsidR="00000883" w:rsidRPr="00000883" w:rsidRDefault="009D61DC" w:rsidP="008801DB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000883">
        <w:rPr>
          <w:rFonts w:ascii="Noto Sans Thai" w:hAnsi="Noto Sans Thai" w:cs="Noto Sans Thai"/>
          <w:b/>
          <w:bCs/>
          <w:szCs w:val="22"/>
          <w:lang w:val="th"/>
        </w:rPr>
        <w:t xml:space="preserve">กำไรจากการดำเนินงาน (EBIT)*: 3.0 พันล้านยูโร </w:t>
      </w:r>
      <w:r w:rsidR="00A87525" w:rsidRPr="00000883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ลดลง</w:t>
      </w:r>
      <w:r w:rsidR="0027523B" w:rsidRPr="00000883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จาก</w:t>
      </w:r>
      <w:r w:rsidRPr="00000883">
        <w:rPr>
          <w:rFonts w:ascii="Noto Sans Thai" w:hAnsi="Noto Sans Thai" w:cs="Noto Sans Thai"/>
          <w:b/>
          <w:bCs/>
          <w:szCs w:val="22"/>
          <w:lang w:val="th"/>
        </w:rPr>
        <w:t xml:space="preserve">ปีก่อนเล็กน้อย </w:t>
      </w:r>
      <w:r w:rsidRPr="00000883">
        <w:rPr>
          <w:rFonts w:ascii="Noto Sans Thai" w:hAnsi="Noto Sans Thai" w:cs="Noto Sans Thai"/>
          <w:szCs w:val="22"/>
          <w:lang w:val="th"/>
        </w:rPr>
        <w:br/>
      </w:r>
      <w:r w:rsidR="00000883" w:rsidRPr="00000883">
        <w:rPr>
          <w:rFonts w:ascii="Noto Sans Thai" w:hAnsi="Noto Sans Thai" w:cs="Noto Sans Thai"/>
          <w:b/>
          <w:bCs/>
          <w:szCs w:val="22"/>
          <w:cs/>
          <w:lang w:val="th" w:bidi="th-TH"/>
        </w:rPr>
        <w:t>เนื่องจากผลกระทบเชิงลบอย่างมีนัยสำคัญจากอัตราแลกเปลี่ยน</w:t>
      </w:r>
    </w:p>
    <w:p w14:paraId="74237D27" w14:textId="36D615F1" w:rsidR="00256174" w:rsidRPr="00000883" w:rsidRDefault="0007275A" w:rsidP="008801DB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000883">
        <w:rPr>
          <w:rFonts w:ascii="Noto Sans Thai" w:hAnsi="Noto Sans Thai" w:cs="Noto Sans Thai"/>
          <w:b/>
          <w:bCs/>
          <w:szCs w:val="22"/>
          <w:lang w:val="th"/>
        </w:rPr>
        <w:t>อัตรากำไร EBIT*: 14.8 เปอร์เซ็นต์ เพิ่มขึ้น 50 เบสิสพอยต์</w:t>
      </w:r>
    </w:p>
    <w:p w14:paraId="291880FC" w14:textId="63EE903E" w:rsidR="00A81C0A" w:rsidRPr="00232FF5" w:rsidRDefault="00A81C0A" w:rsidP="00232FF5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กําไรต่อหุ้นบุริมสิทธิ (EPS)*: 5.33 ยูโร เพิ่มขึ้น 4.7 เปอร์เซ็นต์ (ที่อัตราแลกเปลี่ยนคงที่)</w:t>
      </w:r>
      <w:r w:rsidRPr="00232FF5">
        <w:rPr>
          <w:rFonts w:ascii="Calibri" w:hAnsi="Calibri" w:cs="Calibri"/>
          <w:b/>
          <w:bCs/>
          <w:szCs w:val="22"/>
          <w:lang w:val="th"/>
        </w:rPr>
        <w:t>¹</w:t>
      </w:r>
    </w:p>
    <w:p w14:paraId="303431FE" w14:textId="1AA9025F" w:rsidR="000F333E" w:rsidRPr="00232FF5" w:rsidRDefault="009D61DC" w:rsidP="00232FF5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กระแสเงินสดอิสระที่แข็งแกร่งประมาณ 1.9 พันล้านยูโร</w:t>
      </w:r>
      <w:r w:rsidR="00576311" w:rsidRPr="00576311">
        <w:rPr>
          <w:noProof/>
        </w:rPr>
        <w:t xml:space="preserve"> </w:t>
      </w:r>
    </w:p>
    <w:p w14:paraId="0A57BFFB" w14:textId="03BE9B62" w:rsidR="00420F5B" w:rsidRPr="00232FF5" w:rsidRDefault="00A81C0A" w:rsidP="00232FF5">
      <w:pPr>
        <w:numPr>
          <w:ilvl w:val="0"/>
          <w:numId w:val="7"/>
        </w:numPr>
        <w:spacing w:after="80"/>
        <w:ind w:left="357" w:right="-108" w:hanging="357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เสนอ</w:t>
      </w:r>
      <w:r w:rsidR="00E16099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ปรับ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เพิ่มเงินปันผล 1.5 เปอร์เซ็นต์ เป็น 2.07 ยูโรต่อหุ้นบุริมสิทธิ</w:t>
      </w:r>
    </w:p>
    <w:p w14:paraId="718ADD21" w14:textId="1EC15802" w:rsidR="003B0BD0" w:rsidRPr="00232FF5" w:rsidRDefault="00A81C0A" w:rsidP="00232FF5">
      <w:pPr>
        <w:numPr>
          <w:ilvl w:val="0"/>
          <w:numId w:val="7"/>
        </w:numPr>
        <w:spacing w:after="80"/>
        <w:ind w:left="357" w:right="-108" w:hanging="357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การดำเนินการตามแผนงานการเติบโตอย่างมีจุดมุ่งหมายมีความคืบหน้าอย่างต่อเนื่อง</w:t>
      </w:r>
    </w:p>
    <w:p w14:paraId="40E9C5F8" w14:textId="77777777" w:rsidR="00A81C0A" w:rsidRPr="00232FF5" w:rsidRDefault="00A81C0A" w:rsidP="00232FF5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bookmarkStart w:id="3" w:name="_Hlk157433806"/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การควบรวมกิจการธุรกิจสินค้าอุปโภคบริโภคเสร็จสิ้นก่อนกำหนด</w:t>
      </w:r>
    </w:p>
    <w:p w14:paraId="5D16A815" w14:textId="677C0B65" w:rsidR="009A743E" w:rsidRPr="00232FF5" w:rsidRDefault="00A81C0A" w:rsidP="00232FF5">
      <w:pPr>
        <w:pStyle w:val="ListParagraph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การเข้าซื้อกิจการล่าสุดในทั้งสองหน่วยธุรกิจช่วยเสริมศักยภาพการเติบโต</w:t>
      </w:r>
      <w:bookmarkEnd w:id="3"/>
    </w:p>
    <w:p w14:paraId="5724C0EE" w14:textId="1B3D4A26" w:rsidR="00A81C0A" w:rsidRPr="00232FF5" w:rsidRDefault="00A81C0A" w:rsidP="00232FF5">
      <w:pPr>
        <w:numPr>
          <w:ilvl w:val="0"/>
          <w:numId w:val="7"/>
        </w:numPr>
        <w:spacing w:after="80"/>
        <w:ind w:left="357" w:right="-108" w:hanging="357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 xml:space="preserve">แนวโน้มสำหรับปีงบประมาณ 2026: </w:t>
      </w:r>
      <w:r w:rsidR="00AC4D2E" w:rsidRPr="00AC4D2E">
        <w:rPr>
          <w:rFonts w:ascii="Noto Sans Thai" w:hAnsi="Noto Sans Thai" w:cs="Noto Sans Thai"/>
          <w:b/>
          <w:bCs/>
          <w:szCs w:val="22"/>
          <w:cs/>
          <w:lang w:val="th" w:bidi="th-TH"/>
        </w:rPr>
        <w:t>คาดว่ารายได้และกำไรจะเติบโตต่อเนื่อง</w:t>
      </w:r>
    </w:p>
    <w:p w14:paraId="380A4B0B" w14:textId="62695F26" w:rsidR="00A81C0A" w:rsidRPr="00232FF5" w:rsidRDefault="00A81C0A" w:rsidP="00232FF5">
      <w:pPr>
        <w:pStyle w:val="ListParagraph"/>
        <w:numPr>
          <w:ilvl w:val="1"/>
          <w:numId w:val="7"/>
        </w:numPr>
        <w:spacing w:after="80" w:line="266" w:lineRule="auto"/>
        <w:ind w:left="567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การเติบโตของยอดขาย</w:t>
      </w:r>
      <w:r w:rsidR="00AC4D2E" w:rsidRPr="00AC4D2E">
        <w:rPr>
          <w:rFonts w:ascii="Noto Sans Thai" w:hAnsi="Noto Sans Thai" w:cs="Noto Sans Thai"/>
          <w:b/>
          <w:bCs/>
          <w:szCs w:val="22"/>
          <w:cs/>
          <w:lang w:val="th" w:bidi="th-TH"/>
        </w:rPr>
        <w:t>แบบออร์แกนิก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: 1.0 ถึง 3.0 เปอร์เซ็นต์</w:t>
      </w:r>
    </w:p>
    <w:p w14:paraId="7DEDC400" w14:textId="3C44DD61" w:rsidR="00A81C0A" w:rsidRPr="00AD5712" w:rsidRDefault="00A81C0A" w:rsidP="00232FF5">
      <w:pPr>
        <w:pStyle w:val="ListParagraph"/>
        <w:numPr>
          <w:ilvl w:val="1"/>
          <w:numId w:val="7"/>
        </w:numPr>
        <w:spacing w:after="80" w:line="266" w:lineRule="auto"/>
        <w:ind w:left="567" w:right="-108" w:hanging="283"/>
        <w:contextualSpacing w:val="0"/>
        <w:jc w:val="left"/>
        <w:rPr>
          <w:rFonts w:ascii="Noto Sans Thai" w:hAnsi="Noto Sans Thai" w:cs="Noto Sans Thai"/>
          <w:b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อัตรากำไร EBIT*: 14.5 ถึง 16.0 เปอร์เซ็นต์</w:t>
      </w:r>
    </w:p>
    <w:p w14:paraId="18A798BE" w14:textId="18112615" w:rsidR="00AD5712" w:rsidRPr="00AD5712" w:rsidRDefault="00AD5712" w:rsidP="00232FF5">
      <w:pPr>
        <w:pStyle w:val="ListParagraph"/>
        <w:numPr>
          <w:ilvl w:val="1"/>
          <w:numId w:val="7"/>
        </w:numPr>
        <w:spacing w:after="80" w:line="266" w:lineRule="auto"/>
        <w:ind w:left="567" w:right="-108" w:hanging="283"/>
        <w:contextualSpacing w:val="0"/>
        <w:jc w:val="left"/>
        <w:rPr>
          <w:rFonts w:ascii="Noto Sans Thai" w:hAnsi="Noto Sans Thai" w:cs="Noto Sans Thai"/>
          <w:bCs/>
          <w:szCs w:val="22"/>
        </w:rPr>
      </w:pPr>
      <w:r w:rsidRPr="00AD5712">
        <w:rPr>
          <w:rFonts w:ascii="Noto Sans Thai" w:hAnsi="Noto Sans Thai" w:cs="Noto Sans Thai"/>
          <w:bCs/>
          <w:szCs w:val="22"/>
          <w:cs/>
          <w:lang w:bidi="th-TH"/>
        </w:rPr>
        <w:t>กำไรต่อหุ้นบุริมสิทธิ (</w:t>
      </w:r>
      <w:r w:rsidRPr="00AD5712">
        <w:rPr>
          <w:rFonts w:ascii="Noto Sans Thai" w:hAnsi="Noto Sans Thai" w:cs="Noto Sans Thai"/>
          <w:bCs/>
          <w:szCs w:val="22"/>
        </w:rPr>
        <w:t xml:space="preserve">EPS)*: </w:t>
      </w:r>
      <w:r w:rsidRPr="00AD5712">
        <w:rPr>
          <w:rFonts w:ascii="Noto Sans Thai" w:hAnsi="Noto Sans Thai" w:cs="Noto Sans Thai"/>
          <w:bCs/>
          <w:szCs w:val="22"/>
          <w:cs/>
          <w:lang w:bidi="th-TH"/>
        </w:rPr>
        <w:t>คาดว่าจะเพิ่มขึ้นในช่วงอัตราเลขหลักเดียวระดับต่ำถึงสูง (เมื่อคำนวณที่อัตราแลกเปลี่ยนคงที่)</w:t>
      </w:r>
    </w:p>
    <w:p w14:paraId="37AFAC09" w14:textId="0AD4720D" w:rsidR="00664340" w:rsidRPr="00442A82" w:rsidRDefault="00664340" w:rsidP="00442A82">
      <w:pPr>
        <w:spacing w:after="80" w:line="266" w:lineRule="auto"/>
        <w:ind w:right="-108"/>
        <w:jc w:val="left"/>
        <w:rPr>
          <w:rFonts w:ascii="Noto Sans Thai" w:hAnsi="Noto Sans Thai" w:cs="Noto Sans Thai"/>
          <w:b/>
          <w:bCs/>
          <w:szCs w:val="22"/>
          <w:lang w:val="th" w:bidi="th-TH"/>
        </w:rPr>
      </w:pPr>
    </w:p>
    <w:p w14:paraId="11B0BF8A" w14:textId="5193CC2A" w:rsidR="00855516" w:rsidRDefault="004A63EC" w:rsidP="00664340">
      <w:pPr>
        <w:spacing w:after="80" w:line="266" w:lineRule="auto"/>
        <w:ind w:right="-108"/>
        <w:jc w:val="left"/>
        <w:rPr>
          <w:rFonts w:ascii="Noto Sans Thai" w:hAnsi="Noto Sans Thai" w:cs="Noto Sans Thai"/>
          <w:b/>
          <w:szCs w:val="22"/>
          <w:lang w:val="th" w:bidi="th-TH"/>
        </w:rPr>
      </w:pPr>
      <w:r w:rsidRPr="00C30DB8">
        <w:rPr>
          <w:rFonts w:ascii="Noto Sans Thai" w:hAnsi="Noto Sans Thai" w:cs="Noto Sans Thai"/>
          <w:bCs/>
          <w:szCs w:val="22"/>
          <w:cs/>
          <w:lang w:bidi="th-TH"/>
        </w:rPr>
        <w:lastRenderedPageBreak/>
        <w:t>ดึสเซลดอร์ฟ –</w:t>
      </w:r>
      <w:r w:rsidRPr="00C30DB8">
        <w:rPr>
          <w:rFonts w:ascii="Noto Sans Thai" w:hAnsi="Noto Sans Thai" w:cs="Noto Sans Thai" w:hint="cs"/>
          <w:b/>
          <w:szCs w:val="22"/>
          <w:cs/>
          <w:lang w:bidi="th-TH"/>
        </w:rPr>
        <w:t xml:space="preserve"> </w:t>
      </w:r>
      <w:r w:rsidRPr="00C30DB8">
        <w:rPr>
          <w:rFonts w:ascii="Noto Sans Thai" w:hAnsi="Noto Sans Thai" w:cs="Noto Sans Thai"/>
          <w:b/>
          <w:szCs w:val="22"/>
          <w:lang w:val="th"/>
        </w:rPr>
        <w:t>Henkel</w:t>
      </w:r>
      <w:r w:rsidRPr="00C30DB8">
        <w:rPr>
          <w:rFonts w:ascii="Noto Sans Thai" w:hAnsi="Noto Sans Thai" w:cs="Noto Sans Thai"/>
          <w:bCs/>
          <w:szCs w:val="22"/>
          <w:cs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 xml:space="preserve">มีผลการดำเนินงานโดยรวมอยู่ในระดับที่ดีในปีงบประมาณ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 xml:space="preserve">2025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 xml:space="preserve">ซึ่งเป็นปีที่ท้าทาย ท่ามกลางการเติบโตของเศรษฐกิจโลกในระดับปานกลางและสภาพแวดล้อมทางภูมิรัฐศาสตร์ที่ซับซ้อน ยอดขายรวมของกลุ่มบริษัทในปีงบประมาณ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>2025</w:t>
      </w:r>
      <w:r w:rsidR="00855516" w:rsidRPr="00C30DB8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 xml:space="preserve">อยู่ที่ประมาณ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>20.5</w:t>
      </w:r>
      <w:r w:rsidR="00855516" w:rsidRPr="00C30DB8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>พันล้านยูโร และอัตรากำไร</w:t>
      </w:r>
      <w:r w:rsidR="00855516" w:rsidRPr="00C30DB8">
        <w:rPr>
          <w:rFonts w:ascii="Noto Sans Thai" w:hAnsi="Noto Sans Thai" w:cs="Noto Sans Thai"/>
          <w:b/>
          <w:szCs w:val="22"/>
          <w:cs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>EBIT</w:t>
      </w:r>
      <w:r w:rsidR="00855516" w:rsidRPr="00C30DB8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 xml:space="preserve">ที่ปรับปรุงแล้วเพิ่มขึ้น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>50</w:t>
      </w:r>
      <w:r w:rsidR="00855516" w:rsidRPr="00C30DB8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>เบสิสพอยต์ เป็น</w:t>
      </w:r>
      <w:r w:rsidR="00855516" w:rsidRPr="00C30DB8">
        <w:rPr>
          <w:rFonts w:ascii="Noto Sans Thai" w:hAnsi="Noto Sans Thai" w:cs="Noto Sans Thai"/>
          <w:b/>
          <w:szCs w:val="22"/>
          <w:cs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>14.8</w:t>
      </w:r>
      <w:r w:rsidR="007C1B2F" w:rsidRPr="00C30DB8">
        <w:rPr>
          <w:rFonts w:ascii="Noto Sans Thai" w:hAnsi="Noto Sans Thai" w:cs="Noto Sans Thai"/>
          <w:b/>
          <w:szCs w:val="22"/>
          <w:lang w:val="th"/>
        </w:rPr>
        <w:t>เปอร์เซ็นต์</w:t>
      </w:r>
      <w:r w:rsidR="00855516" w:rsidRPr="00C30DB8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855516" w:rsidRPr="00C30DB8">
        <w:rPr>
          <w:rFonts w:ascii="Noto Sans Thai" w:hAnsi="Noto Sans Thai" w:cs="Noto Sans Thai"/>
          <w:bCs/>
          <w:szCs w:val="22"/>
          <w:cs/>
          <w:lang w:bidi="th-TH"/>
        </w:rPr>
        <w:t xml:space="preserve">ขณะที่กำไรต่อหุ้นบุริมสิทธิที่ปรับปรุงแล้ว (เมื่อคำนวณที่อัตราแลกเปลี่ยนคงที่) เพิ่มขึ้น </w:t>
      </w:r>
      <w:r w:rsidR="00855516" w:rsidRPr="00C30DB8">
        <w:rPr>
          <w:rFonts w:ascii="Noto Sans Thai" w:hAnsi="Noto Sans Thai" w:cs="Noto Sans Thai"/>
          <w:b/>
          <w:szCs w:val="22"/>
          <w:lang w:bidi="th-TH"/>
        </w:rPr>
        <w:t>4.7</w:t>
      </w:r>
      <w:r w:rsidR="007C1B2F" w:rsidRPr="00C30DB8">
        <w:rPr>
          <w:rFonts w:ascii="Noto Sans Thai" w:hAnsi="Noto Sans Thai" w:cs="Noto Sans Thai"/>
          <w:b/>
          <w:szCs w:val="22"/>
          <w:lang w:val="th"/>
        </w:rPr>
        <w:t>เปอร์เซ็นต์</w:t>
      </w:r>
    </w:p>
    <w:p w14:paraId="4CC30A6E" w14:textId="7106E348" w:rsidR="009665D3" w:rsidRPr="009665D3" w:rsidRDefault="009665D3" w:rsidP="009665D3">
      <w:pPr>
        <w:spacing w:after="80" w:line="266" w:lineRule="auto"/>
        <w:ind w:right="-108"/>
        <w:jc w:val="left"/>
        <w:rPr>
          <w:rFonts w:ascii="Noto Sans Thai" w:hAnsi="Noto Sans Thai" w:cs="Noto Sans Thai"/>
          <w:bCs/>
          <w:szCs w:val="22"/>
          <w:lang w:bidi="th-TH"/>
        </w:rPr>
      </w:pPr>
      <w:r w:rsidRPr="009665D3">
        <w:rPr>
          <w:rFonts w:ascii="Noto Sans Thai" w:hAnsi="Noto Sans Thai" w:cs="Noto Sans Thai"/>
          <w:bCs/>
          <w:szCs w:val="22"/>
          <w:lang w:bidi="th-TH"/>
        </w:rPr>
        <w:t>“</w:t>
      </w:r>
      <w:r w:rsidRPr="009665D3">
        <w:rPr>
          <w:rFonts w:ascii="Noto Sans Thai" w:hAnsi="Noto Sans Thai" w:cs="Noto Sans Thai"/>
          <w:bCs/>
          <w:szCs w:val="22"/>
          <w:cs/>
          <w:lang w:bidi="th-TH"/>
        </w:rPr>
        <w:t>สภาพแวดล้อมทางธุรกิจของเราได้รับผลกระทบจากความท้าทายมาโดยตลอด และยังคงเป็นเช่นนั้นต่อไป ไม่ว่าจะเป็นความขัดแย้งทางทหาร ความตึงเครียดทางภูมิรัฐศาสตร์ในหลายภูมิภาคของโลก รวมถึงความขัดแย้งด้านการค้าและภาษีที่มีผลกระทบในวงกว้าง ความไม่แน่นอนที่เกิดขึ้นส่งผลให้ความเชื่อมั่นของผู้บริโภคและอุปสงค์ภาคอุตสาหกรรมอ่อนตัวลง และจากสงครามในตะวันออกกลางที่เริ่มขึ้นในช่วงปลายเดือนกุมภาพันธ์ ความไม่แน่นอนได้เพิ่มสูงขึ้นอย่างมีนัยสำคัญอีกครั้ง”</w:t>
      </w:r>
      <w:r w:rsidRPr="009665D3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Pr="009665D3">
        <w:rPr>
          <w:rFonts w:ascii="Noto Sans Thai" w:hAnsi="Noto Sans Thai" w:cs="Noto Sans Thai"/>
          <w:b/>
          <w:szCs w:val="22"/>
          <w:lang w:bidi="th-TH"/>
        </w:rPr>
        <w:t>Carsten Knobel</w:t>
      </w:r>
      <w:r w:rsidRPr="009665D3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Pr="009665D3">
        <w:rPr>
          <w:rFonts w:ascii="Noto Sans Thai" w:hAnsi="Noto Sans Thai" w:cs="Noto Sans Thai"/>
          <w:bCs/>
          <w:szCs w:val="22"/>
          <w:cs/>
          <w:lang w:bidi="th-TH"/>
        </w:rPr>
        <w:t>ประธานเจ้าหน้าที่บริหารของเฮงเค็ล กล่าว</w:t>
      </w:r>
      <w:r w:rsidR="00CD4D3B">
        <w:rPr>
          <w:rFonts w:ascii="Noto Sans Thai" w:hAnsi="Noto Sans Thai" w:cs="Noto Sans Thai" w:hint="cs"/>
          <w:bCs/>
          <w:szCs w:val="22"/>
          <w:cs/>
          <w:lang w:bidi="th-TH"/>
        </w:rPr>
        <w:t xml:space="preserve"> </w:t>
      </w:r>
      <w:r w:rsidRPr="009665D3">
        <w:rPr>
          <w:rFonts w:ascii="Noto Sans Thai" w:hAnsi="Noto Sans Thai" w:cs="Noto Sans Thai"/>
          <w:bCs/>
          <w:szCs w:val="22"/>
          <w:lang w:bidi="th-TH"/>
        </w:rPr>
        <w:t>“</w:t>
      </w:r>
      <w:r w:rsidRPr="009665D3">
        <w:rPr>
          <w:rFonts w:ascii="Noto Sans Thai" w:hAnsi="Noto Sans Thai" w:cs="Noto Sans Thai"/>
          <w:bCs/>
          <w:szCs w:val="22"/>
          <w:cs/>
          <w:lang w:bidi="th-TH"/>
        </w:rPr>
        <w:t>แม้สภาวะเศรษฐกิจจะยังคงท้าทาย เราก็สามารถขับเคลื่อน</w:t>
      </w:r>
      <w:r w:rsidR="00CD4D3B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CD4D3B" w:rsidRPr="00CD4D3B">
        <w:rPr>
          <w:rFonts w:ascii="Noto Sans Thai" w:hAnsi="Noto Sans Thai" w:cs="Noto Sans Thai"/>
          <w:b/>
          <w:szCs w:val="22"/>
          <w:lang w:bidi="th-TH"/>
        </w:rPr>
        <w:t>Henkel</w:t>
      </w:r>
      <w:r w:rsidRPr="009665D3">
        <w:rPr>
          <w:rFonts w:ascii="Noto Sans Thai" w:hAnsi="Noto Sans Thai" w:cs="Noto Sans Thai"/>
          <w:bCs/>
          <w:szCs w:val="22"/>
          <w:cs/>
          <w:lang w:bidi="th-TH"/>
        </w:rPr>
        <w:t xml:space="preserve">ให้ก้าวหน้าได้อย่างประสบความสำเร็จในปี </w:t>
      </w:r>
      <w:r w:rsidRPr="009665D3">
        <w:rPr>
          <w:rFonts w:ascii="Noto Sans Thai" w:hAnsi="Noto Sans Thai" w:cs="Noto Sans Thai"/>
          <w:b/>
          <w:szCs w:val="22"/>
          <w:lang w:bidi="th-TH"/>
        </w:rPr>
        <w:t xml:space="preserve">2025 </w:t>
      </w:r>
      <w:r w:rsidRPr="009665D3">
        <w:rPr>
          <w:rFonts w:ascii="Noto Sans Thai" w:hAnsi="Noto Sans Thai" w:cs="Noto Sans Thai"/>
          <w:bCs/>
          <w:szCs w:val="22"/>
          <w:cs/>
          <w:lang w:bidi="th-TH"/>
        </w:rPr>
        <w:t xml:space="preserve">เราทำได้เกินกว่าเป้าหมาย และยังคงเดินหน้าการเปลี่ยนแปลงองค์กรอย่างต่อเนื่อง เราสามารถเพิ่มยอดขายแบบออร์แกนิกและยกระดับความสามารถในการทำกำไรของบริษัทได้อย่างมีนัยสำคัญ เราต้องการให้ผู้ถือหุ้นมีส่วนร่วมในความสำเร็จของบริษัท ดังนั้นเราจึงจะเสนอการปรับเพิ่มเงินปันผล </w:t>
      </w:r>
      <w:r w:rsidRPr="009665D3">
        <w:rPr>
          <w:rFonts w:ascii="Noto Sans Thai" w:hAnsi="Noto Sans Thai" w:cs="Noto Sans Thai"/>
          <w:bCs/>
          <w:szCs w:val="22"/>
          <w:lang w:bidi="th-TH"/>
        </w:rPr>
        <w:t>1.5</w:t>
      </w:r>
      <w:r w:rsidR="008A659E">
        <w:rPr>
          <w:rFonts w:ascii="Noto Sans Thai" w:hAnsi="Noto Sans Thai" w:cs="Noto Sans Thai"/>
          <w:bCs/>
          <w:szCs w:val="22"/>
          <w:lang w:bidi="th-TH"/>
        </w:rPr>
        <w:t xml:space="preserve"> </w:t>
      </w:r>
      <w:r w:rsidR="008A659E" w:rsidRPr="008A659E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 w:rsidRPr="009665D3">
        <w:rPr>
          <w:rFonts w:ascii="Noto Sans Thai" w:hAnsi="Noto Sans Thai" w:cs="Noto Sans Thai"/>
          <w:bCs/>
          <w:szCs w:val="22"/>
          <w:lang w:bidi="th-TH"/>
        </w:rPr>
        <w:t>”</w:t>
      </w:r>
    </w:p>
    <w:p w14:paraId="76DA59A6" w14:textId="22ED9679" w:rsidR="00456F1E" w:rsidRPr="00232FF5" w:rsidRDefault="00456F1E" w:rsidP="00232FF5">
      <w:pPr>
        <w:jc w:val="left"/>
        <w:rPr>
          <w:rFonts w:ascii="Noto Sans Thai" w:hAnsi="Noto Sans Thai" w:cs="Noto Sans Thai"/>
          <w:b/>
          <w:bCs/>
          <w:szCs w:val="22"/>
        </w:rPr>
      </w:pPr>
    </w:p>
    <w:p w14:paraId="6DB31E44" w14:textId="78DD30E5" w:rsidR="008D6CC6" w:rsidRPr="008D6CC6" w:rsidRDefault="008D6CC6" w:rsidP="008D6CC6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8D6CC6">
        <w:rPr>
          <w:rFonts w:ascii="Noto Sans Thai" w:hAnsi="Noto Sans Thai" w:cs="Noto Sans Thai"/>
          <w:b/>
          <w:bCs/>
          <w:szCs w:val="22"/>
        </w:rPr>
        <w:t>“</w:t>
      </w:r>
      <w:r w:rsidRPr="008D6CC6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เราเพิ่มยอดขายแบบออร์แกนิกและยกระดับความสามารถในการทำกำไรได้อย่างต่อเนื่องในทั้งสองหน่วยธุรกิจ ได้แก่ </w:t>
      </w:r>
      <w:r w:rsidRPr="008D240D">
        <w:rPr>
          <w:rFonts w:ascii="Noto Sans Thai" w:hAnsi="Noto Sans Thai" w:cs="Noto Sans Thai"/>
          <w:b/>
          <w:bCs/>
          <w:szCs w:val="22"/>
          <w:lang w:val="th"/>
        </w:rPr>
        <w:t>ธุ</w:t>
      </w:r>
      <w:r w:rsidRPr="00DB3FFA">
        <w:rPr>
          <w:rFonts w:ascii="Noto Sans Thai" w:hAnsi="Noto Sans Thai" w:cs="Noto Sans Thai"/>
          <w:b/>
          <w:bCs/>
          <w:szCs w:val="22"/>
          <w:lang w:val="th"/>
        </w:rPr>
        <w:t>รกิจเทคโนโลยีกาว และ ธุรกิจคอนซูเมอร์แบรนด์</w:t>
      </w:r>
      <w:r w:rsidRPr="008D6CC6">
        <w:rPr>
          <w:rFonts w:ascii="Noto Sans Thai" w:hAnsi="Noto Sans Thai" w:cs="Noto Sans Thai"/>
          <w:b/>
          <w:bCs/>
          <w:szCs w:val="22"/>
        </w:rPr>
        <w:t xml:space="preserve"> </w:t>
      </w:r>
      <w:r w:rsidRPr="008D6CC6">
        <w:rPr>
          <w:rFonts w:ascii="Noto Sans Thai" w:hAnsi="Noto Sans Thai" w:cs="Noto Sans Thai"/>
          <w:b/>
          <w:bCs/>
          <w:szCs w:val="22"/>
          <w:cs/>
          <w:lang w:bidi="th-TH"/>
        </w:rPr>
        <w:t>โดยมีปัจจัยหลักจากนวัตกรรมเพิ่มเติม มาตรการลดต้นทุนอย่างต่อเนื่อง การเพิ่มประสิทธิภาพ รวมถึงการเติบโตที่แข็งแกร่งในกลุ่มผลิตภัณฑ์ที่มีอัตรากำไรสูง</w:t>
      </w:r>
    </w:p>
    <w:p w14:paraId="0B9D005B" w14:textId="4107F1C9" w:rsidR="008D6CC6" w:rsidRPr="008D6CC6" w:rsidRDefault="008D6CC6" w:rsidP="008D6CC6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8D6CC6">
        <w:rPr>
          <w:rFonts w:ascii="Noto Sans Thai" w:hAnsi="Noto Sans Thai" w:cs="Noto Sans Thai"/>
          <w:b/>
          <w:bCs/>
          <w:szCs w:val="22"/>
          <w:cs/>
          <w:lang w:bidi="th-TH"/>
        </w:rPr>
        <w:t>การปรับตัวเพิ่มขึ้นของอัตรากำไรในหน่วยธุรกิจ</w:t>
      </w:r>
      <w:r w:rsidR="00DB3FFA" w:rsidRPr="00DB3FFA">
        <w:rPr>
          <w:rFonts w:ascii="Noto Sans Thai" w:hAnsi="Noto Sans Thai" w:cs="Noto Sans Thai"/>
          <w:b/>
          <w:bCs/>
          <w:szCs w:val="22"/>
          <w:lang w:val="th"/>
        </w:rPr>
        <w:t>คอนซูเมอร์แบรนด์</w:t>
      </w:r>
      <w:r w:rsidR="00DB3FFA" w:rsidRPr="008D6CC6">
        <w:rPr>
          <w:rFonts w:ascii="Noto Sans Thai" w:hAnsi="Noto Sans Thai" w:cs="Noto Sans Thai"/>
          <w:b/>
          <w:bCs/>
          <w:szCs w:val="22"/>
        </w:rPr>
        <w:t xml:space="preserve"> </w:t>
      </w:r>
      <w:r w:rsidRPr="008D6CC6">
        <w:rPr>
          <w:rFonts w:ascii="Noto Sans Thai" w:hAnsi="Noto Sans Thai" w:cs="Noto Sans Thai"/>
          <w:b/>
          <w:bCs/>
          <w:szCs w:val="22"/>
          <w:cs/>
          <w:lang w:bidi="th-TH"/>
        </w:rPr>
        <w:t>ได้รับแรงหนุนจากการดำเนินกระบวนการบูรณาการที่แล้วเสร็จ การประหยัดต้นทุนอย่างต่อเนื่อง และการเพิ่มมูลค่า ซึ่งหมายถึงการยกระดับพอร์ตโฟลิโอผลิตภัณฑ์อย่างมีกลยุทธ์</w:t>
      </w:r>
    </w:p>
    <w:p w14:paraId="21235B08" w14:textId="77777777" w:rsidR="008D6CC6" w:rsidRDefault="008D6CC6" w:rsidP="008D6CC6">
      <w:pPr>
        <w:spacing w:after="120"/>
        <w:jc w:val="left"/>
        <w:rPr>
          <w:rFonts w:ascii="Noto Sans Thai" w:hAnsi="Noto Sans Thai" w:cs="Noto Sans Thai"/>
          <w:b/>
          <w:bCs/>
          <w:szCs w:val="22"/>
          <w:lang w:bidi="th-TH"/>
        </w:rPr>
      </w:pPr>
      <w:r w:rsidRPr="008D6CC6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ในขณะเดียวกัน เรายังคงลงทุนเพื่ออนาคตของทั้งสองหน่วยธุรกิจอย่างต่อเนื่อง ทั้งในด้านการเสริมความแข็งแกร่งของแบรนด์ นวัตกรรม ความยั่งยืน และดิจิทัลไลเซชัน นอกจากนี้ ในช่วงสามเดือนที่ผ่านมา เรายังได้บรรลุข้อตกลงการเข้าซื้อกิจการในทั้งสองหน่วยธุรกิจ โดยมีมูลค่ายอดขายรวมประมาณ </w:t>
      </w:r>
      <w:r w:rsidRPr="008D6CC6">
        <w:rPr>
          <w:rFonts w:ascii="Noto Sans Thai" w:hAnsi="Noto Sans Thai" w:cs="Noto Sans Thai"/>
          <w:b/>
          <w:bCs/>
          <w:szCs w:val="22"/>
        </w:rPr>
        <w:t xml:space="preserve">1.2 </w:t>
      </w:r>
      <w:r w:rsidRPr="008D6CC6">
        <w:rPr>
          <w:rFonts w:ascii="Noto Sans Thai" w:hAnsi="Noto Sans Thai" w:cs="Noto Sans Thai"/>
          <w:b/>
          <w:bCs/>
          <w:szCs w:val="22"/>
          <w:cs/>
          <w:lang w:bidi="th-TH"/>
        </w:rPr>
        <w:t>พันล้านยูโร เพื่อเสริมความแข็งแกร่งให้ธุรกิจและขยายศักยภาพการเติบโต</w:t>
      </w:r>
    </w:p>
    <w:p w14:paraId="0575E632" w14:textId="77777777" w:rsidR="008D42DB" w:rsidRPr="008D42DB" w:rsidRDefault="008D42DB" w:rsidP="008D42DB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8D42DB">
        <w:rPr>
          <w:rFonts w:ascii="Noto Sans Thai" w:hAnsi="Noto Sans Thai" w:cs="Noto Sans Thai"/>
          <w:b/>
          <w:bCs/>
          <w:szCs w:val="22"/>
          <w:cs/>
          <w:lang w:bidi="th-TH"/>
        </w:rPr>
        <w:lastRenderedPageBreak/>
        <w:t xml:space="preserve">ผลการดำเนินงานในปี </w:t>
      </w:r>
      <w:r w:rsidRPr="008D42DB">
        <w:rPr>
          <w:rFonts w:ascii="Noto Sans Thai" w:hAnsi="Noto Sans Thai" w:cs="Noto Sans Thai"/>
          <w:b/>
          <w:bCs/>
          <w:szCs w:val="22"/>
        </w:rPr>
        <w:t xml:space="preserve">2025 </w:t>
      </w:r>
      <w:r w:rsidRPr="008D42DB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แสดงให้เห็นอย่างชัดเจนว่า เรากำลังดำเนินไปในทิศทางที่ถูกต้องตามกลยุทธ์การเติบโตอย่างยั่งยืนและมีเป้าหมาย ซึ่งช่วยวางตำแหน่งบริษัทให้พร้อมสำหรับอนาคต ทั้งนี้ แนวโน้มสำหรับปีงบประมาณ </w:t>
      </w:r>
      <w:r w:rsidRPr="008D42DB">
        <w:rPr>
          <w:rFonts w:ascii="Noto Sans Thai" w:hAnsi="Noto Sans Thai" w:cs="Noto Sans Thai"/>
          <w:b/>
          <w:bCs/>
          <w:szCs w:val="22"/>
        </w:rPr>
        <w:t xml:space="preserve">2026 </w:t>
      </w:r>
      <w:r w:rsidRPr="008D42DB">
        <w:rPr>
          <w:rFonts w:ascii="Noto Sans Thai" w:hAnsi="Noto Sans Thai" w:cs="Noto Sans Thai"/>
          <w:b/>
          <w:bCs/>
          <w:szCs w:val="22"/>
          <w:cs/>
          <w:lang w:bidi="th-TH"/>
        </w:rPr>
        <w:t>ยังสะท้อนภาพดังกล่าว โดยเราคาดว่าจะเห็นการเติบโตของยอดขายและผลกำไรอย่างต่อเนื่อง แม้ว่าช่วงเริ่มต้นของปีอาจจะชะลอตัวเล็กน้อย</w:t>
      </w:r>
    </w:p>
    <w:p w14:paraId="170CD05A" w14:textId="77777777" w:rsidR="008D42DB" w:rsidRPr="008D42DB" w:rsidRDefault="008D42DB" w:rsidP="008D42DB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8D42DB">
        <w:rPr>
          <w:rFonts w:ascii="Noto Sans Thai" w:hAnsi="Noto Sans Thai" w:cs="Noto Sans Thai"/>
          <w:b/>
          <w:bCs/>
          <w:szCs w:val="22"/>
          <w:cs/>
          <w:lang w:bidi="th-TH"/>
        </w:rPr>
        <w:t>ผมขอขอบคุณพนักงานทุกคนสำหรับผลงานอันยอดเยี่ยม ด้วยความร่วมมือและความทุ่มเทอย่างสูงของทุกคน ทำให้เราสามารถพาบริษัทผ่านพ้นสภาพแวดล้อมที่ท้าทายได้อีกครั้งอย่างประสบความสำเร็จ”</w:t>
      </w:r>
      <w:r w:rsidRPr="008D42DB">
        <w:rPr>
          <w:rFonts w:ascii="Noto Sans Thai" w:hAnsi="Noto Sans Thai" w:cs="Noto Sans Thai"/>
          <w:b/>
          <w:bCs/>
          <w:szCs w:val="22"/>
        </w:rPr>
        <w:t xml:space="preserve"> Carsten Knobel </w:t>
      </w:r>
      <w:r w:rsidRPr="008D42DB">
        <w:rPr>
          <w:rFonts w:ascii="Noto Sans Thai" w:hAnsi="Noto Sans Thai" w:cs="Noto Sans Thai"/>
          <w:b/>
          <w:bCs/>
          <w:szCs w:val="22"/>
          <w:cs/>
          <w:lang w:bidi="th-TH"/>
        </w:rPr>
        <w:t>กล่าวสรุป</w:t>
      </w:r>
    </w:p>
    <w:p w14:paraId="0543BDBA" w14:textId="77777777" w:rsidR="00615D73" w:rsidRDefault="00615D73" w:rsidP="00232FF5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</w:p>
    <w:p w14:paraId="6C348A60" w14:textId="421B58F7" w:rsidR="00615D73" w:rsidRDefault="00BB35AF" w:rsidP="00232FF5">
      <w:pPr>
        <w:jc w:val="left"/>
        <w:rPr>
          <w:rFonts w:ascii="Noto Sans Thai" w:hAnsi="Noto Sans Thai" w:cs="Noto Sans Thai"/>
          <w:b/>
          <w:bCs/>
          <w:szCs w:val="22"/>
        </w:rPr>
      </w:pPr>
      <w:r w:rsidRPr="00BB35AF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ผลการดำเนินงานด้านยอดขายและกำไรของกลุ่มในปีงบประมาณ </w:t>
      </w:r>
      <w:r w:rsidRPr="00BB35AF">
        <w:rPr>
          <w:rFonts w:ascii="Noto Sans Thai" w:hAnsi="Noto Sans Thai" w:cs="Noto Sans Thai"/>
          <w:b/>
          <w:bCs/>
          <w:szCs w:val="22"/>
        </w:rPr>
        <w:t>2025</w:t>
      </w:r>
    </w:p>
    <w:p w14:paraId="4770A394" w14:textId="26993ADD" w:rsidR="00E13ACC" w:rsidRPr="00E13ACC" w:rsidRDefault="00E13ACC" w:rsidP="00E13ACC">
      <w:pPr>
        <w:jc w:val="left"/>
        <w:rPr>
          <w:rFonts w:ascii="Noto Sans Thai" w:hAnsi="Noto Sans Thai" w:cs="Noto Sans Thai"/>
          <w:b/>
          <w:bCs/>
          <w:szCs w:val="22"/>
        </w:rPr>
      </w:pP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ยอดขายรวมของกลุ่ม</w:t>
      </w:r>
      <w:r>
        <w:rPr>
          <w:rFonts w:ascii="Noto Sans Thai" w:hAnsi="Noto Sans Thai" w:cs="Noto Sans Thai"/>
          <w:b/>
          <w:bCs/>
          <w:szCs w:val="22"/>
          <w:lang w:bidi="th-TH"/>
        </w:rPr>
        <w:t xml:space="preserve"> Henkel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ในปีงบประมาณ 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2025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อยู่ที่ 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20,495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ล้านยูโร ลดลง -</w:t>
      </w:r>
      <w:r w:rsidRPr="00E13ACC">
        <w:rPr>
          <w:rFonts w:ascii="Noto Sans Thai" w:hAnsi="Noto Sans Thai" w:cs="Noto Sans Thai"/>
          <w:b/>
          <w:bCs/>
          <w:szCs w:val="22"/>
        </w:rPr>
        <w:t>5.1</w:t>
      </w:r>
      <w:r w:rsidRPr="00E13ACC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>
        <w:rPr>
          <w:rFonts w:ascii="Noto Sans Thai" w:hAnsi="Noto Sans Thai" w:cs="Noto Sans Thai"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เมื่อเทียบกับปีก่อนในเชิงตัวเ</w:t>
      </w:r>
      <w:r w:rsidR="0088726E">
        <w:rPr>
          <w:rFonts w:ascii="Noto Sans Thai" w:hAnsi="Noto Sans Thai" w:cs="Noto Sans Thai" w:hint="cs"/>
          <w:b/>
          <w:bCs/>
          <w:szCs w:val="22"/>
          <w:cs/>
          <w:lang w:bidi="th-TH"/>
        </w:rPr>
        <w:t>ลข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 โดยผลกระทบจากอัตราแลกเปลี่ยนส่งผลลบต่อยอดขาย -</w:t>
      </w:r>
      <w:r w:rsidRPr="00E13ACC">
        <w:rPr>
          <w:rFonts w:ascii="Noto Sans Thai" w:hAnsi="Noto Sans Thai" w:cs="Noto Sans Thai"/>
          <w:b/>
          <w:bCs/>
          <w:szCs w:val="22"/>
        </w:rPr>
        <w:t>4.2</w:t>
      </w:r>
      <w:r w:rsidR="0088726E">
        <w:rPr>
          <w:rFonts w:ascii="Noto Sans Thai" w:hAnsi="Noto Sans Thai" w:cs="Noto Sans Thai" w:hint="cs"/>
          <w:b/>
          <w:bCs/>
          <w:szCs w:val="22"/>
          <w:cs/>
          <w:lang w:bidi="th-TH"/>
        </w:rPr>
        <w:t xml:space="preserve"> </w:t>
      </w:r>
      <w:r w:rsidR="0088726E" w:rsidRPr="00E13ACC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เมื่อปรับผลกระทบจากอัตราแลกเปลี่ยนแล้ว ยอดขายลดลง -</w:t>
      </w:r>
      <w:r w:rsidRPr="00E13ACC">
        <w:rPr>
          <w:rFonts w:ascii="Noto Sans Thai" w:hAnsi="Noto Sans Thai" w:cs="Noto Sans Thai"/>
          <w:b/>
          <w:bCs/>
          <w:szCs w:val="22"/>
        </w:rPr>
        <w:t>0.8%</w:t>
      </w:r>
    </w:p>
    <w:p w14:paraId="4740389C" w14:textId="1349BA31" w:rsidR="00E13ACC" w:rsidRPr="00E13ACC" w:rsidRDefault="00E13ACC" w:rsidP="00E13ACC">
      <w:pPr>
        <w:jc w:val="left"/>
        <w:rPr>
          <w:rFonts w:ascii="Noto Sans Thai" w:hAnsi="Noto Sans Thai" w:cs="Noto Sans Thai"/>
          <w:b/>
          <w:bCs/>
          <w:szCs w:val="22"/>
          <w:lang w:bidi="th-TH"/>
        </w:rPr>
      </w:pP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การเข้าซื้อและการ</w:t>
      </w:r>
      <w:r w:rsidR="00871B3F">
        <w:rPr>
          <w:rFonts w:ascii="Noto Sans Thai" w:hAnsi="Noto Sans Thai" w:cs="Noto Sans Thai" w:hint="cs"/>
          <w:b/>
          <w:bCs/>
          <w:szCs w:val="22"/>
          <w:cs/>
          <w:lang w:bidi="th-TH"/>
        </w:rPr>
        <w:t>ขาย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กิจการ ก็ส่งผลลบต่อยอดขายเช่นกัน โดยลดลง -</w:t>
      </w:r>
      <w:r w:rsidRPr="00E13ACC">
        <w:rPr>
          <w:rFonts w:ascii="Noto Sans Thai" w:hAnsi="Noto Sans Thai" w:cs="Noto Sans Thai"/>
          <w:b/>
          <w:bCs/>
          <w:szCs w:val="22"/>
        </w:rPr>
        <w:t>1.7</w:t>
      </w:r>
      <w:r w:rsidR="00871B3F" w:rsidRPr="00E13ACC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สาเหตุหลักมาจากการขายธุรกิจ 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Retailer Brands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ในอเมริกาเหนือ ภายใต้หน่วยธุรกิจ</w:t>
      </w:r>
      <w:r w:rsidR="00A351A0">
        <w:rPr>
          <w:rFonts w:ascii="Noto Sans Thai" w:hAnsi="Noto Sans Thai" w:cs="Noto Sans Thai" w:hint="cs"/>
          <w:b/>
          <w:bCs/>
          <w:szCs w:val="22"/>
          <w:cs/>
          <w:lang w:bidi="th-TH"/>
        </w:rPr>
        <w:t>คอนซูเมอร์แบรนด์</w:t>
      </w:r>
    </w:p>
    <w:p w14:paraId="3B947AB9" w14:textId="6047B851" w:rsidR="00E13ACC" w:rsidRPr="00E13ACC" w:rsidRDefault="00E13ACC" w:rsidP="008D240D">
      <w:pPr>
        <w:jc w:val="left"/>
        <w:rPr>
          <w:rFonts w:ascii="Noto Sans Thai" w:hAnsi="Noto Sans Thai" w:cs="Noto Sans Thai"/>
          <w:b/>
          <w:bCs/>
          <w:szCs w:val="22"/>
        </w:rPr>
      </w:pP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อย่างไรก็ตาม ยอดขายแบบออร์แกนิก (ซึ่งไม่รวมผลกระทบจากอัตราแลกเปลี่ยนและการเข้าซื้อ</w:t>
      </w:r>
      <w:r w:rsidR="00965E50">
        <w:rPr>
          <w:rFonts w:ascii="Noto Sans Thai" w:hAnsi="Noto Sans Thai" w:cs="Noto Sans Thai" w:hint="cs"/>
          <w:b/>
          <w:bCs/>
          <w:szCs w:val="22"/>
          <w:cs/>
          <w:lang w:bidi="th-TH"/>
        </w:rPr>
        <w:t>กิจการ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/</w:t>
      </w:r>
      <w:r w:rsidR="00965E50">
        <w:rPr>
          <w:rFonts w:ascii="Noto Sans Thai" w:hAnsi="Noto Sans Thai" w:cs="Noto Sans Thai" w:hint="cs"/>
          <w:b/>
          <w:bCs/>
          <w:szCs w:val="22"/>
          <w:cs/>
          <w:lang w:bidi="th-TH"/>
        </w:rPr>
        <w:t>การ</w:t>
      </w:r>
      <w:r w:rsidR="001A2F80">
        <w:rPr>
          <w:rFonts w:ascii="Noto Sans Thai" w:hAnsi="Noto Sans Thai" w:cs="Noto Sans Thai" w:hint="cs"/>
          <w:b/>
          <w:bCs/>
          <w:szCs w:val="22"/>
          <w:cs/>
          <w:lang w:bidi="th-TH"/>
        </w:rPr>
        <w:t>ขาย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กิจการ) ยังคงเติบโตในระดับบวกที่ </w:t>
      </w:r>
      <w:r w:rsidRPr="00E13ACC">
        <w:rPr>
          <w:rFonts w:ascii="Noto Sans Thai" w:hAnsi="Noto Sans Thai" w:cs="Noto Sans Thai"/>
          <w:b/>
          <w:bCs/>
          <w:szCs w:val="22"/>
        </w:rPr>
        <w:t>0.9</w:t>
      </w:r>
      <w:r w:rsidR="001A2F80" w:rsidRPr="00E13ACC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โดยการเติบโตดังกล่าวมาจากการปรับราคาสินค้าเป็นหลัก ขณะที่ปริมาณการขายโดยรวมทรงตัวเมื่อเทียบกับปีก่อน</w:t>
      </w:r>
      <w:r w:rsidR="008D240D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ในส่วนของแต่ละหน่วยธุรกิจ</w:t>
      </w:r>
      <w:r w:rsidR="008D240D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หน่วยธุรกิจ</w:t>
      </w:r>
      <w:r w:rsidR="00F86971">
        <w:rPr>
          <w:rFonts w:ascii="Noto Sans Thai" w:hAnsi="Noto Sans Thai" w:cs="Noto Sans Thai" w:hint="cs"/>
          <w:b/>
          <w:bCs/>
          <w:szCs w:val="22"/>
          <w:cs/>
          <w:lang w:bidi="th-TH"/>
        </w:rPr>
        <w:t xml:space="preserve">เทคโนโลยีกาว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มีการเติบโตของยอดขายแบบออร์แกนิกที่แข็งแกร่งที่ </w:t>
      </w:r>
      <w:r w:rsidRPr="00E13ACC">
        <w:rPr>
          <w:rFonts w:ascii="Noto Sans Thai" w:hAnsi="Noto Sans Thai" w:cs="Noto Sans Thai"/>
          <w:b/>
          <w:bCs/>
          <w:szCs w:val="22"/>
        </w:rPr>
        <w:t>1.5</w:t>
      </w:r>
      <w:r w:rsidR="001A2F80">
        <w:rPr>
          <w:rFonts w:ascii="Noto Sans Thai" w:hAnsi="Noto Sans Thai" w:cs="Noto Sans Thai" w:hint="cs"/>
          <w:b/>
          <w:bCs/>
          <w:szCs w:val="22"/>
          <w:cs/>
          <w:lang w:bidi="th-TH"/>
        </w:rPr>
        <w:t xml:space="preserve"> </w:t>
      </w:r>
      <w:r w:rsidR="001A2F80" w:rsidRPr="00E13ACC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โดยได้รับแรงหนุนสำคัญจากกลุ่มธุรกิจ</w:t>
      </w:r>
      <w:r w:rsidR="00F86971">
        <w:rPr>
          <w:rFonts w:ascii="Noto Sans Thai" w:hAnsi="Noto Sans Thai" w:cs="Noto Sans Thai" w:hint="cs"/>
          <w:b/>
          <w:bCs/>
          <w:szCs w:val="22"/>
          <w:cs/>
          <w:lang w:bidi="th-TH"/>
        </w:rPr>
        <w:t>ยานยนต์และอิเล็กทรอนิกส์</w:t>
      </w:r>
      <w:r w:rsidR="008D240D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หน่วยธุรกิจ</w:t>
      </w:r>
      <w:r w:rsidR="00F86971">
        <w:rPr>
          <w:rFonts w:ascii="Noto Sans Thai" w:hAnsi="Noto Sans Thai" w:cs="Noto Sans Thai" w:hint="cs"/>
          <w:b/>
          <w:bCs/>
          <w:szCs w:val="22"/>
          <w:cs/>
          <w:lang w:bidi="th-TH"/>
        </w:rPr>
        <w:t>คอนซูเมอร์แบรนด์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มีการเติบโตของยอดขายแบบออร์แกนิ</w:t>
      </w:r>
      <w:r w:rsidR="00D819F9">
        <w:rPr>
          <w:rFonts w:ascii="Noto Sans Thai" w:hAnsi="Noto Sans Thai" w:cs="Noto Sans Thai" w:hint="cs"/>
          <w:b/>
          <w:bCs/>
          <w:szCs w:val="22"/>
          <w:cs/>
          <w:lang w:bidi="th-TH"/>
        </w:rPr>
        <w:t xml:space="preserve">ก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 xml:space="preserve">ในระดับบวกที่ </w:t>
      </w:r>
      <w:r w:rsidRPr="00E13ACC">
        <w:rPr>
          <w:rFonts w:ascii="Noto Sans Thai" w:hAnsi="Noto Sans Thai" w:cs="Noto Sans Thai"/>
          <w:b/>
          <w:bCs/>
          <w:szCs w:val="22"/>
        </w:rPr>
        <w:t>0.3</w:t>
      </w:r>
      <w:r w:rsidR="00F86971">
        <w:rPr>
          <w:rFonts w:ascii="Noto Sans Thai" w:hAnsi="Noto Sans Thai" w:cs="Noto Sans Thai" w:hint="cs"/>
          <w:b/>
          <w:bCs/>
          <w:szCs w:val="22"/>
          <w:cs/>
          <w:lang w:bidi="th-TH"/>
        </w:rPr>
        <w:t xml:space="preserve"> </w:t>
      </w:r>
      <w:r w:rsidR="00F86971" w:rsidRPr="00E13ACC">
        <w:rPr>
          <w:rFonts w:ascii="Noto Sans Thai" w:hAnsi="Noto Sans Thai" w:cs="Noto Sans Thai"/>
          <w:b/>
          <w:bCs/>
          <w:szCs w:val="22"/>
          <w:lang w:val="th"/>
        </w:rPr>
        <w:t>เปอร์เซ็นต์</w:t>
      </w:r>
      <w:r w:rsidRPr="00E13ACC">
        <w:rPr>
          <w:rFonts w:ascii="Noto Sans Thai" w:hAnsi="Noto Sans Thai" w:cs="Noto Sans Thai"/>
          <w:b/>
          <w:bCs/>
          <w:szCs w:val="22"/>
        </w:rPr>
        <w:t xml:space="preserve"> 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โดยได้รับแรงหนุนหลักจากกลุ่ม</w:t>
      </w:r>
      <w:r w:rsidR="00F86971">
        <w:rPr>
          <w:rFonts w:ascii="Noto Sans Thai" w:hAnsi="Noto Sans Thai" w:cs="Noto Sans Thai" w:hint="cs"/>
          <w:b/>
          <w:bCs/>
          <w:szCs w:val="22"/>
          <w:cs/>
          <w:lang w:bidi="th-TH"/>
        </w:rPr>
        <w:t>ธุรกิจ</w:t>
      </w:r>
      <w:r w:rsidRPr="00E13ACC">
        <w:rPr>
          <w:rFonts w:ascii="Noto Sans Thai" w:hAnsi="Noto Sans Thai" w:cs="Noto Sans Thai"/>
          <w:b/>
          <w:bCs/>
          <w:szCs w:val="22"/>
          <w:cs/>
          <w:lang w:bidi="th-TH"/>
        </w:rPr>
        <w:t>ผลิตภัณฑ์</w:t>
      </w:r>
      <w:r w:rsidR="00F86971">
        <w:rPr>
          <w:rFonts w:ascii="Noto Sans Thai" w:hAnsi="Noto Sans Thai" w:cs="Noto Sans Thai" w:hint="cs"/>
          <w:b/>
          <w:bCs/>
          <w:szCs w:val="22"/>
          <w:cs/>
          <w:lang w:bidi="th-TH"/>
        </w:rPr>
        <w:t>เส้นผม</w:t>
      </w:r>
    </w:p>
    <w:p w14:paraId="67A090C6" w14:textId="77777777" w:rsidR="00BB35AF" w:rsidRPr="00BB35AF" w:rsidRDefault="00BB35AF" w:rsidP="00232FF5">
      <w:pPr>
        <w:jc w:val="left"/>
        <w:rPr>
          <w:rFonts w:ascii="Noto Sans Thai" w:hAnsi="Noto Sans Thai" w:cs="Noto Sans Thai"/>
          <w:b/>
          <w:bCs/>
          <w:szCs w:val="22"/>
        </w:rPr>
      </w:pPr>
    </w:p>
    <w:p w14:paraId="2292907A" w14:textId="257B95F0" w:rsidR="00CE32F0" w:rsidRPr="00232FF5" w:rsidRDefault="003663FD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 xml:space="preserve">กำไรจากการดำเนินงานที่ปรับแล้ว (EBIT ที่ปรับแล้ว) </w:t>
      </w:r>
      <w:r w:rsidRPr="00232FF5">
        <w:rPr>
          <w:rFonts w:ascii="Noto Sans Thai" w:hAnsi="Noto Sans Thai" w:cs="Noto Sans Thai"/>
          <w:szCs w:val="22"/>
          <w:lang w:val="th"/>
        </w:rPr>
        <w:t xml:space="preserve">อยู่ที่ 3,026 ล้านยูโร </w:t>
      </w:r>
      <w:r w:rsidR="00956521" w:rsidRPr="00CE3664">
        <w:rPr>
          <w:rFonts w:ascii="Noto Sans Thai" w:hAnsi="Noto Sans Thai" w:cs="Noto Sans Thai"/>
          <w:szCs w:val="22"/>
          <w:cs/>
          <w:lang w:bidi="th-TH"/>
        </w:rPr>
        <w:t xml:space="preserve">ลดลงจากระดับของปีก่อนหน้า </w:t>
      </w:r>
      <w:r w:rsidRPr="00232FF5">
        <w:rPr>
          <w:rFonts w:ascii="Noto Sans Thai" w:hAnsi="Noto Sans Thai" w:cs="Noto Sans Thai"/>
          <w:szCs w:val="22"/>
          <w:lang w:val="th"/>
        </w:rPr>
        <w:t>โดยมีสาเหตุหลักจากผลกระทบเชิงลบอย่างมีนัยสำคัญจากอัตราแลกเปลี่ยนเงินตราต่างประเทศ (2024: 3,089 ล้านยูโร)</w:t>
      </w:r>
    </w:p>
    <w:p w14:paraId="0F4FCF0E" w14:textId="3338C3E0" w:rsidR="00CE32F0" w:rsidRDefault="003663FD" w:rsidP="00232FF5">
      <w:pPr>
        <w:jc w:val="left"/>
        <w:rPr>
          <w:rFonts w:ascii="Noto Sans Thai" w:hAnsi="Noto Sans Thai" w:cs="Noto Sans Thai"/>
          <w:szCs w:val="22"/>
          <w:lang w:val="th" w:bidi="th-TH"/>
        </w:rPr>
      </w:pPr>
      <w:r w:rsidRPr="00232FF5">
        <w:rPr>
          <w:rFonts w:ascii="Noto Sans Thai" w:hAnsi="Noto Sans Thai" w:cs="Noto Sans Thai"/>
          <w:szCs w:val="22"/>
          <w:lang w:val="th"/>
        </w:rPr>
        <w:t xml:space="preserve">ในทางตรงกันข้าม 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อัตราผลตอบแทนต่อยอดขายที่ปรับแล้ว (อัตรากำไร EBIT ที่ปรับแล้ว)</w:t>
      </w:r>
      <w:r w:rsidRPr="00232FF5">
        <w:rPr>
          <w:rFonts w:ascii="Noto Sans Thai" w:hAnsi="Noto Sans Thai" w:cs="Noto Sans Thai"/>
          <w:szCs w:val="22"/>
          <w:lang w:val="th"/>
        </w:rPr>
        <w:t xml:space="preserve"> </w:t>
      </w:r>
      <w:r w:rsidR="001B2049" w:rsidRPr="007B0664">
        <w:rPr>
          <w:rFonts w:ascii="Noto Sans Thai" w:hAnsi="Noto Sans Thai" w:cs="Noto Sans Thai"/>
          <w:szCs w:val="22"/>
          <w:cs/>
          <w:lang w:bidi="th-TH"/>
        </w:rPr>
        <w:t xml:space="preserve">ในปีที่รายงานปรับตัวเพิ่มขึ้นเมื่อเทียบกับปีก่อน อยู่ที่ </w:t>
      </w:r>
      <w:r w:rsidRPr="00232FF5">
        <w:rPr>
          <w:rFonts w:ascii="Noto Sans Thai" w:hAnsi="Noto Sans Thai" w:cs="Noto Sans Thai"/>
          <w:szCs w:val="22"/>
          <w:lang w:val="th"/>
        </w:rPr>
        <w:t>14.8 เปอร์เซ็นต์ (2024: 14.3 เปอร์เซ็นต์)</w:t>
      </w:r>
    </w:p>
    <w:p w14:paraId="05DF36A0" w14:textId="77777777" w:rsidR="00CE32F0" w:rsidRPr="00232FF5" w:rsidRDefault="00CE32F0" w:rsidP="00232FF5">
      <w:pPr>
        <w:jc w:val="left"/>
        <w:rPr>
          <w:rFonts w:ascii="Noto Sans Thai" w:hAnsi="Noto Sans Thai" w:cs="Noto Sans Thai"/>
          <w:szCs w:val="22"/>
        </w:rPr>
      </w:pPr>
    </w:p>
    <w:p w14:paraId="15D65414" w14:textId="4F558EB1" w:rsidR="003663FD" w:rsidRPr="00232FF5" w:rsidRDefault="003663FD" w:rsidP="00232FF5">
      <w:pPr>
        <w:jc w:val="left"/>
        <w:rPr>
          <w:rFonts w:ascii="Noto Sans Thai" w:hAnsi="Noto Sans Thai" w:cs="Noto Sans Thai"/>
          <w:szCs w:val="22"/>
        </w:rPr>
      </w:pPr>
      <w:bookmarkStart w:id="4" w:name="_Hlk190081485"/>
      <w:r w:rsidRPr="00232FF5">
        <w:rPr>
          <w:rFonts w:ascii="Noto Sans Thai" w:hAnsi="Noto Sans Thai" w:cs="Noto Sans Thai"/>
          <w:b/>
          <w:bCs/>
          <w:szCs w:val="22"/>
          <w:lang w:val="th"/>
        </w:rPr>
        <w:lastRenderedPageBreak/>
        <w:t>กำไรต่อหุ้นบุริมสิทธิที่ปรับแล้ว</w:t>
      </w:r>
      <w:r w:rsidRPr="00232FF5">
        <w:rPr>
          <w:rFonts w:ascii="Noto Sans Thai" w:hAnsi="Noto Sans Thai" w:cs="Noto Sans Thai"/>
          <w:szCs w:val="22"/>
          <w:lang w:val="th"/>
        </w:rPr>
        <w:t>ลดลง</w:t>
      </w:r>
      <w:r w:rsidR="00543DEF" w:rsidRPr="00FE48B9">
        <w:rPr>
          <w:rFonts w:ascii="Noto Sans Thai" w:hAnsi="Noto Sans Thai" w:cs="Noto Sans Thai"/>
          <w:szCs w:val="22"/>
          <w:cs/>
          <w:lang w:bidi="th-TH"/>
        </w:rPr>
        <w:t>เล็กน้อย</w:t>
      </w:r>
      <w:r w:rsidRPr="00232FF5">
        <w:rPr>
          <w:rFonts w:ascii="Noto Sans Thai" w:hAnsi="Noto Sans Thai" w:cs="Noto Sans Thai"/>
          <w:szCs w:val="22"/>
          <w:lang w:val="th"/>
        </w:rPr>
        <w:t xml:space="preserve">-0.6 เปอร์เซ็นต์ </w:t>
      </w:r>
      <w:r w:rsidR="00543DEF" w:rsidRPr="00FE48B9">
        <w:rPr>
          <w:rFonts w:ascii="Noto Sans Thai" w:hAnsi="Noto Sans Thai" w:cs="Noto Sans Thai"/>
          <w:szCs w:val="22"/>
          <w:cs/>
          <w:lang w:bidi="th-TH"/>
        </w:rPr>
        <w:t>อยู่ที่</w:t>
      </w:r>
      <w:r w:rsidRPr="00232FF5">
        <w:rPr>
          <w:rFonts w:ascii="Noto Sans Thai" w:hAnsi="Noto Sans Thai" w:cs="Noto Sans Thai"/>
          <w:szCs w:val="22"/>
          <w:lang w:val="th"/>
        </w:rPr>
        <w:t xml:space="preserve"> 5.33 ยูโร (2024: 5.36 ยูโร) หากใช้อัตราแลกเปลี่ยนคงที่ กำไรต่อหุ้นบุริมสิทธิที่ปรับแล้วเพิ่มขึ้น 4.7 เปอร์เซ็นต์ </w:t>
      </w:r>
    </w:p>
    <w:p w14:paraId="5166EAC4" w14:textId="77777777" w:rsidR="003663FD" w:rsidRPr="00232FF5" w:rsidRDefault="003663FD" w:rsidP="00232FF5">
      <w:pPr>
        <w:jc w:val="left"/>
        <w:rPr>
          <w:rFonts w:ascii="Noto Sans Thai" w:hAnsi="Noto Sans Thai" w:cs="Noto Sans Thai"/>
          <w:szCs w:val="22"/>
        </w:rPr>
      </w:pPr>
    </w:p>
    <w:bookmarkEnd w:id="4"/>
    <w:p w14:paraId="31ACBEBE" w14:textId="17EA1E85" w:rsidR="003663FD" w:rsidRPr="00232FF5" w:rsidRDefault="003663FD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เงินทุนหมุนเวียนสุทธิ</w:t>
      </w:r>
      <w:r w:rsidRPr="00232FF5">
        <w:rPr>
          <w:rFonts w:ascii="Noto Sans Thai" w:hAnsi="Noto Sans Thai" w:cs="Noto Sans Thai"/>
          <w:szCs w:val="22"/>
          <w:lang w:val="th"/>
        </w:rPr>
        <w:t>คิดเป็น 3.8 เปอร์เซ็นต์ของยอดขาย ซึ่งเพิ่มขึ้นเมื่อเทียบกับปีก่อน (2024: 3.0 เปอร์เซ็นต์)</w:t>
      </w:r>
    </w:p>
    <w:p w14:paraId="22824E39" w14:textId="77777777" w:rsidR="00841353" w:rsidRPr="00232FF5" w:rsidRDefault="00841353" w:rsidP="00232FF5">
      <w:pPr>
        <w:jc w:val="left"/>
        <w:rPr>
          <w:rFonts w:ascii="Noto Sans Thai" w:hAnsi="Noto Sans Thai" w:cs="Noto Sans Thai"/>
          <w:szCs w:val="22"/>
        </w:rPr>
      </w:pPr>
    </w:p>
    <w:p w14:paraId="5C6A2D6D" w14:textId="1F436AC9" w:rsidR="00740F23" w:rsidRPr="00232FF5" w:rsidRDefault="003663FD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กระแสเงินสดอิสระ</w:t>
      </w:r>
      <w:r w:rsidRPr="00232FF5">
        <w:rPr>
          <w:rFonts w:ascii="Noto Sans Thai" w:hAnsi="Noto Sans Thai" w:cs="Noto Sans Thai"/>
          <w:szCs w:val="22"/>
          <w:lang w:val="th"/>
        </w:rPr>
        <w:t>อยู่ที่ 1,850 ล้านยูโร ซึ่งต่ำกว่าปีก่อน (2024: 2,362 ล้านยูโร) การเปลี่ยนแปลงดังกล่าวเกิดจากการเปลี่ยนแปลงของเงินทุนหมุนเวียนสุทธิและผลกระทบจากการแปลงค่าเงิน</w:t>
      </w:r>
      <w:bookmarkStart w:id="5" w:name="_Hlk190081658"/>
    </w:p>
    <w:p w14:paraId="4F8FDF20" w14:textId="77777777" w:rsidR="00740F23" w:rsidRPr="00232FF5" w:rsidRDefault="00740F23" w:rsidP="00232FF5">
      <w:pPr>
        <w:jc w:val="left"/>
        <w:rPr>
          <w:rFonts w:ascii="Noto Sans Thai" w:hAnsi="Noto Sans Thai" w:cs="Noto Sans Thai"/>
          <w:szCs w:val="22"/>
        </w:rPr>
      </w:pPr>
    </w:p>
    <w:p w14:paraId="33A51494" w14:textId="616AAC1E" w:rsidR="00740F23" w:rsidRDefault="00DE4DB3" w:rsidP="00232FF5">
      <w:pPr>
        <w:jc w:val="left"/>
        <w:rPr>
          <w:rFonts w:ascii="Noto Sans Thai" w:hAnsi="Noto Sans Thai" w:cs="Noto Sans Thai"/>
          <w:szCs w:val="22"/>
          <w:lang w:val="th" w:bidi="th-TH"/>
        </w:rPr>
      </w:pPr>
      <w:r w:rsidRPr="00232FF5">
        <w:rPr>
          <w:rFonts w:ascii="Noto Sans Thai" w:hAnsi="Noto Sans Thai" w:cs="Noto Sans Thai"/>
          <w:szCs w:val="22"/>
          <w:lang w:val="th"/>
        </w:rPr>
        <w:t>แม้จะมีการจ่ายเงินปันผลและการซื้อหุ้นคืนตามโครงการซื้อหุ้นคืน แต่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สถานะทางการเงินสุทธิ</w:t>
      </w:r>
      <w:r w:rsidRPr="00232FF5">
        <w:rPr>
          <w:rFonts w:ascii="Noto Sans Thai" w:hAnsi="Noto Sans Thai" w:cs="Noto Sans Thai"/>
          <w:szCs w:val="22"/>
          <w:lang w:val="th"/>
        </w:rPr>
        <w:t>อยู่ที่ 109 ล้านยูโร ซึ่งตัวเลขสูงกว่าระดับของปีก่อน (31 ธันวาคม 2024: -93 ล้านยูโร)</w:t>
      </w:r>
    </w:p>
    <w:p w14:paraId="4429DA61" w14:textId="77777777" w:rsidR="00416595" w:rsidRPr="00232FF5" w:rsidRDefault="00416595" w:rsidP="00232FF5">
      <w:pPr>
        <w:jc w:val="left"/>
        <w:rPr>
          <w:rFonts w:ascii="Noto Sans Thai" w:hAnsi="Noto Sans Thai" w:cs="Noto Sans Thai"/>
          <w:szCs w:val="22"/>
          <w:lang w:bidi="th-TH"/>
        </w:rPr>
      </w:pPr>
    </w:p>
    <w:bookmarkEnd w:id="5"/>
    <w:p w14:paraId="10505EAC" w14:textId="14B39502" w:rsidR="00DE4DB3" w:rsidRPr="00232FF5" w:rsidRDefault="00DE4DB3" w:rsidP="00232FF5">
      <w:pPr>
        <w:jc w:val="left"/>
        <w:rPr>
          <w:rFonts w:ascii="Noto Sans Thai" w:hAnsi="Noto Sans Thai" w:cs="Noto Sans Thai"/>
        </w:rPr>
      </w:pPr>
      <w:r w:rsidRPr="00232FF5">
        <w:rPr>
          <w:rFonts w:ascii="Noto Sans Thai" w:hAnsi="Noto Sans Thai" w:cs="Noto Sans Thai"/>
          <w:lang w:val="th"/>
        </w:rPr>
        <w:t>คณะกรรมการบริหาร คณะกรรมการกำกับดูแล และคณะกรรมการผู้ถือหุ้น จะเสนอให้ที่ประชุมสามัญผู้ถือหุ้นประจำปีในวันที่ 27 เมษายน 2026 พิจารณาเพิ่ม</w:t>
      </w:r>
      <w:r w:rsidRPr="00232FF5">
        <w:rPr>
          <w:rFonts w:ascii="Noto Sans Thai" w:hAnsi="Noto Sans Thai" w:cs="Noto Sans Thai"/>
          <w:b/>
          <w:bCs/>
          <w:lang w:val="th"/>
        </w:rPr>
        <w:t>เงินปันผล</w:t>
      </w:r>
      <w:r w:rsidRPr="00232FF5">
        <w:rPr>
          <w:rFonts w:ascii="Noto Sans Thai" w:hAnsi="Noto Sans Thai" w:cs="Noto Sans Thai"/>
          <w:lang w:val="th"/>
        </w:rPr>
        <w:t xml:space="preserve"> 1.5 เปอร์เซ็นต์ เมื่อเทียบกับปีก่อน เป็น 2.07 ยูโรต่อหุ้นบุริมสิทธิ และ 2.05 ยูโรต่อหุ้นสามัญ การเพิ่มเงินปันผลดังกล่าวเกิดขึ้นได้จากผลการดำเนินงานทางการเงินที่ดีในปีงบประมาณที่ผ่านมา และฐานะทางการเงินที่แข็งแกร่งของกลุ่มบริษัท Henkel อัตราการจ่ายเงินปันผลยังคงไม่เปลี่ยนแปลงที่ 37.9 เปอร์เซ็นต์ และยังอยู่ภายในช่วงเป้าหมายที่ 30 ถึง 40 เปอร์เซ็นต์ </w:t>
      </w:r>
    </w:p>
    <w:p w14:paraId="3A63A046" w14:textId="4B63A259" w:rsidR="002464E3" w:rsidRPr="00232FF5" w:rsidRDefault="002464E3" w:rsidP="00232FF5">
      <w:pPr>
        <w:jc w:val="left"/>
        <w:rPr>
          <w:rFonts w:ascii="Noto Sans Thai" w:hAnsi="Noto Sans Thai" w:cs="Noto Sans Thai"/>
          <w:szCs w:val="22"/>
        </w:rPr>
      </w:pPr>
    </w:p>
    <w:p w14:paraId="4649C4D4" w14:textId="7103801E" w:rsidR="00846017" w:rsidRPr="00232FF5" w:rsidRDefault="00DE4DB3" w:rsidP="00232FF5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ผลการดำเนินงานของหน่วยธุรกิจในปีงบประมาณ 2025</w:t>
      </w:r>
    </w:p>
    <w:p w14:paraId="50922014" w14:textId="475AABC6" w:rsidR="004A2703" w:rsidRPr="00232FF5" w:rsidRDefault="00B312F1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ยอดขาย</w:t>
      </w:r>
      <w:r w:rsidRPr="00232FF5">
        <w:rPr>
          <w:rFonts w:ascii="Noto Sans Thai" w:hAnsi="Noto Sans Thai" w:cs="Noto Sans Thai"/>
          <w:szCs w:val="22"/>
          <w:lang w:val="th"/>
        </w:rPr>
        <w:t>ของหน่วยธุรกิจ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เทคโนโลยีกาว</w:t>
      </w:r>
      <w:r w:rsidR="00441889">
        <w:rPr>
          <w:rFonts w:ascii="Noto Sans Thai" w:hAnsi="Noto Sans Thai" w:cs="Noto Sans Thai"/>
          <w:b/>
          <w:bCs/>
          <w:szCs w:val="22"/>
        </w:rPr>
        <w:t xml:space="preserve"> </w:t>
      </w:r>
      <w:r w:rsidRPr="00232FF5">
        <w:rPr>
          <w:rFonts w:ascii="Noto Sans Thai" w:hAnsi="Noto Sans Thai" w:cs="Noto Sans Thai"/>
          <w:szCs w:val="22"/>
          <w:lang w:val="th"/>
        </w:rPr>
        <w:t>อยู่ที่ 10,667 ล้านยูโร ลดลง -2.8 เปอร์เซ็นต์ เมื่อเทียบกับปีก่อนในเชิงตัวเลข ผลกระทบจากอัตราแลกเปลี่ยนเงินตราต่างประเทศทำให้ยอดขายลดลง -4.1 เปอร์เซ็นต์ การเข้าซื้อกิจการ/การขายกิจการมีผลกระทบอยู่ที่ -0.1 เปอร์เซ็นต์ ยอดขาย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ที่มาจากตัวธุรกิจเอง</w:t>
      </w:r>
      <w:r w:rsidRPr="00232FF5">
        <w:rPr>
          <w:rFonts w:ascii="Noto Sans Thai" w:hAnsi="Noto Sans Thai" w:cs="Noto Sans Thai"/>
          <w:szCs w:val="22"/>
          <w:lang w:val="th"/>
        </w:rPr>
        <w:t>เพิ่มขึ้น 1.5 เปอร์เซ็นต์</w:t>
      </w:r>
      <w:r w:rsidR="00210D43">
        <w:rPr>
          <w:rFonts w:ascii="Noto Sans Thai" w:hAnsi="Noto Sans Thai" w:cs="Noto Sans Thai"/>
          <w:szCs w:val="22"/>
        </w:rPr>
        <w:t xml:space="preserve"> </w:t>
      </w:r>
      <w:r w:rsidRPr="00232FF5">
        <w:rPr>
          <w:rFonts w:ascii="Noto Sans Thai" w:hAnsi="Noto Sans Thai" w:cs="Noto Sans Thai"/>
          <w:szCs w:val="22"/>
          <w:lang w:val="th"/>
        </w:rPr>
        <w:t>การเติบโตของยอดขายดังกล่าว</w:t>
      </w:r>
      <w:r w:rsidR="00DB122F">
        <w:rPr>
          <w:rFonts w:ascii="Noto Sans Thai" w:hAnsi="Noto Sans Thai" w:cs="Noto Sans Thai" w:hint="cs"/>
          <w:szCs w:val="22"/>
          <w:cs/>
          <w:lang w:val="th" w:bidi="th-TH"/>
        </w:rPr>
        <w:t>มา</w:t>
      </w:r>
      <w:r w:rsidR="00BD092F">
        <w:rPr>
          <w:rFonts w:ascii="Noto Sans Thai" w:hAnsi="Noto Sans Thai" w:cs="Noto Sans Thai" w:hint="cs"/>
          <w:szCs w:val="22"/>
          <w:cs/>
          <w:lang w:val="th" w:bidi="th-TH"/>
        </w:rPr>
        <w:t>จากปร</w:t>
      </w:r>
      <w:r w:rsidR="00D819F9">
        <w:rPr>
          <w:rFonts w:ascii="Noto Sans Thai" w:hAnsi="Noto Sans Thai" w:cs="Noto Sans Thai" w:hint="cs"/>
          <w:szCs w:val="22"/>
          <w:cs/>
          <w:lang w:val="th" w:bidi="th-TH"/>
        </w:rPr>
        <w:t>ิ</w:t>
      </w:r>
      <w:r w:rsidR="00BD092F">
        <w:rPr>
          <w:rFonts w:ascii="Noto Sans Thai" w:hAnsi="Noto Sans Thai" w:cs="Noto Sans Thai" w:hint="cs"/>
          <w:szCs w:val="22"/>
          <w:cs/>
          <w:lang w:val="th" w:bidi="th-TH"/>
        </w:rPr>
        <w:t>มาณการขายที่เพิ่มขึ้น</w:t>
      </w:r>
      <w:r w:rsidRPr="00232FF5">
        <w:rPr>
          <w:rFonts w:ascii="Noto Sans Thai" w:hAnsi="Noto Sans Thai" w:cs="Noto Sans Thai"/>
          <w:szCs w:val="22"/>
          <w:lang w:val="th"/>
        </w:rPr>
        <w:t>ในช่วงครึ่งหลังของปีเมื่อเทียบกับปีก่อน ซึ่งเป็นผลมาจากความต้องการที่ปรับตัวดีขึ้นเล็กน้อยในตลาดปลายทาง</w:t>
      </w:r>
      <w:r w:rsidR="002D535D">
        <w:rPr>
          <w:rFonts w:ascii="Noto Sans Thai" w:hAnsi="Noto Sans Thai" w:cs="Noto Sans Thai" w:hint="cs"/>
          <w:szCs w:val="22"/>
          <w:cs/>
          <w:lang w:val="th" w:bidi="th-TH"/>
        </w:rPr>
        <w:t>หลัก</w:t>
      </w:r>
      <w:r w:rsidRPr="00232FF5">
        <w:rPr>
          <w:rFonts w:ascii="Noto Sans Thai" w:hAnsi="Noto Sans Thai" w:cs="Noto Sans Thai"/>
          <w:szCs w:val="22"/>
          <w:lang w:val="th"/>
        </w:rPr>
        <w:t>บาง</w:t>
      </w:r>
      <w:r w:rsidR="00223EE1">
        <w:rPr>
          <w:rFonts w:ascii="Noto Sans Thai" w:hAnsi="Noto Sans Thai" w:cs="Noto Sans Thai" w:hint="cs"/>
          <w:szCs w:val="22"/>
          <w:cs/>
          <w:lang w:bidi="th-TH"/>
        </w:rPr>
        <w:t>กลุ่ม</w:t>
      </w:r>
      <w:r w:rsidRPr="00232FF5">
        <w:rPr>
          <w:rFonts w:ascii="Noto Sans Thai" w:hAnsi="Noto Sans Thai" w:cs="Noto Sans Thai"/>
          <w:szCs w:val="22"/>
          <w:lang w:val="th"/>
        </w:rPr>
        <w:t xml:space="preserve"> ราคายังมีพัฒนาการในเชิงบวกเมื่อเทียบกับปีก่อนหน้า </w:t>
      </w:r>
      <w:bookmarkStart w:id="6" w:name="_Hlk190097207"/>
      <w:r w:rsidRPr="00232FF5">
        <w:rPr>
          <w:rFonts w:ascii="Noto Sans Thai" w:hAnsi="Noto Sans Thai" w:cs="Noto Sans Thai"/>
          <w:b/>
          <w:bCs/>
          <w:szCs w:val="22"/>
          <w:lang w:val="th"/>
        </w:rPr>
        <w:t>กำไรจากการดำเนินงานที่ปรับแล้ว</w:t>
      </w:r>
      <w:r w:rsidRPr="00232FF5">
        <w:rPr>
          <w:rFonts w:ascii="Noto Sans Thai" w:hAnsi="Noto Sans Thai" w:cs="Noto Sans Thai"/>
          <w:szCs w:val="22"/>
          <w:lang w:val="th"/>
        </w:rPr>
        <w:t xml:space="preserve">อยู่ที่ 1,779 ล้านยูโร ลดลงเล็กน้อยเมื่อเทียบกับปีก่อน อัตรากำไรขั้นต้นยังคงไม่เปลี่ยนแปลงจากปีก่อนและอยู่ในระดับสูง 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อัตราผลตอบแทนต่อยอดขายที่ปรับแล้ว</w:t>
      </w:r>
      <w:r w:rsidRPr="00232FF5">
        <w:rPr>
          <w:rFonts w:ascii="Noto Sans Thai" w:hAnsi="Noto Sans Thai" w:cs="Noto Sans Thai"/>
          <w:szCs w:val="22"/>
          <w:lang w:val="th"/>
        </w:rPr>
        <w:t>เพิ่มขึ้นเล็กน้อยเมื่อเทียบกับปีก่อน และอยู่ที่ 16.7 เปอร์เซ็นต์</w:t>
      </w:r>
      <w:bookmarkEnd w:id="6"/>
    </w:p>
    <w:p w14:paraId="282DCCAB" w14:textId="0DFD00FA" w:rsidR="004C0686" w:rsidRPr="00232FF5" w:rsidRDefault="004C0686" w:rsidP="00232FF5">
      <w:pPr>
        <w:jc w:val="left"/>
        <w:rPr>
          <w:rFonts w:ascii="Noto Sans Thai" w:hAnsi="Noto Sans Thai" w:cs="Noto Sans Thai"/>
          <w:szCs w:val="22"/>
        </w:rPr>
      </w:pPr>
    </w:p>
    <w:p w14:paraId="2669D3B3" w14:textId="039E0A70" w:rsidR="005F2643" w:rsidRPr="00232FF5" w:rsidRDefault="00521B13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lastRenderedPageBreak/>
        <w:t>ยอดขาย</w:t>
      </w:r>
      <w:r w:rsidRPr="00232FF5">
        <w:rPr>
          <w:rFonts w:ascii="Noto Sans Thai" w:hAnsi="Noto Sans Thai" w:cs="Noto Sans Thai"/>
          <w:szCs w:val="22"/>
          <w:lang w:val="th"/>
        </w:rPr>
        <w:t>ของหน่วยธุรกิจ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คอนซูเมอร์แบรนด์</w:t>
      </w:r>
      <w:r w:rsidR="0009476D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Pr="00232FF5">
        <w:rPr>
          <w:rFonts w:ascii="Noto Sans Thai" w:hAnsi="Noto Sans Thai" w:cs="Noto Sans Thai"/>
          <w:szCs w:val="22"/>
          <w:lang w:val="th"/>
        </w:rPr>
        <w:t>อยู่ที่ 9,677 ล้านยูโร ซึ่งลดลง -7.5 เปอร์เซ็นต์ เมื่อเทียบกับปีก่อนในเชิงตัวเลข ผลกระทบจากอัตราแลกเปลี่ยนเงินตราต่างประเทศทำให้ยอดขายลดลง -4.4 เปอร์เซ็นต์ การเข้าซื้อกิจการ/การขายกิจการยังส่งผลกระทบเชิงลบต่อยอดขาย -3.4 เปอร์เซ็นต์ โดย</w:t>
      </w:r>
      <w:r w:rsidR="00D819F9">
        <w:rPr>
          <w:rFonts w:ascii="Noto Sans Thai" w:hAnsi="Noto Sans Thai" w:cs="Noto Sans Thai" w:hint="cs"/>
          <w:szCs w:val="22"/>
          <w:cs/>
          <w:lang w:val="th" w:bidi="th-TH"/>
        </w:rPr>
        <w:t>มีสาเหตุ</w:t>
      </w:r>
      <w:r w:rsidRPr="00232FF5">
        <w:rPr>
          <w:rFonts w:ascii="Noto Sans Thai" w:hAnsi="Noto Sans Thai" w:cs="Noto Sans Thai"/>
          <w:szCs w:val="22"/>
          <w:lang w:val="th"/>
        </w:rPr>
        <w:t>หลักจากการขายธุรกิจแบรนด์ผู้ค้าปลีกในอเมริกาเหนือในเดือนเมษายน 2025 ยอดขาย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ที่มาจากตัวธุรกิจเอง</w:t>
      </w:r>
      <w:r w:rsidRPr="00232FF5">
        <w:rPr>
          <w:rFonts w:ascii="Noto Sans Thai" w:hAnsi="Noto Sans Thai" w:cs="Noto Sans Thai"/>
          <w:szCs w:val="22"/>
          <w:lang w:val="th"/>
        </w:rPr>
        <w:t>เพิ่มขึ้น 0.3 เปอร์เซ็นต์ การเพิ่มขึ้นของยอดขายดังกล่าวได้รับแรงหนุนจากการปรับราคาที่ดี ขณะที่ปริมาณยอดขายลดลงเล็กน้อย</w:t>
      </w:r>
      <w:bookmarkStart w:id="7" w:name="_Hlk190100714"/>
      <w:r w:rsidRPr="00232FF5">
        <w:rPr>
          <w:rFonts w:ascii="Noto Sans Thai" w:hAnsi="Noto Sans Thai" w:cs="Noto Sans Thai"/>
          <w:szCs w:val="22"/>
          <w:lang w:val="th"/>
        </w:rPr>
        <w:t xml:space="preserve"> 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กำไรจากการดำเนินงานที่ปรับแล้ว</w:t>
      </w:r>
      <w:r w:rsidRPr="00232FF5">
        <w:rPr>
          <w:rFonts w:ascii="Noto Sans Thai" w:hAnsi="Noto Sans Thai" w:cs="Noto Sans Thai"/>
          <w:szCs w:val="22"/>
          <w:lang w:val="th"/>
        </w:rPr>
        <w:t xml:space="preserve">อยู่ที่ 1,400 ล้านยูโร ซึ่งเกือบอยู่ในระดับเดียวกับปีก่อน ในทางตรงกันข้าม อัตรากำไรขั้นต้นปรับตัวดีขึ้นอย่างมีนัยสำคัญ 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อัตราผลตอบแทนต่อยอดขายที่ปรับแล้ว</w:t>
      </w:r>
      <w:r w:rsidRPr="00232FF5">
        <w:rPr>
          <w:rFonts w:ascii="Noto Sans Thai" w:hAnsi="Noto Sans Thai" w:cs="Noto Sans Thai"/>
          <w:szCs w:val="22"/>
          <w:lang w:val="th"/>
        </w:rPr>
        <w:t>อยู่ที่ 14.5 เปอร์เซ็นต์ ซึ่งเพิ่มขึ้นอย่างมีนัยสำคัญเมื่อเทียบกับปีก่อน</w:t>
      </w:r>
      <w:bookmarkEnd w:id="7"/>
    </w:p>
    <w:p w14:paraId="6C0C5E75" w14:textId="77777777" w:rsidR="00242C71" w:rsidRPr="00232FF5" w:rsidRDefault="00242C71" w:rsidP="00232FF5">
      <w:pPr>
        <w:jc w:val="left"/>
        <w:rPr>
          <w:rFonts w:ascii="Noto Sans Thai" w:hAnsi="Noto Sans Thai" w:cs="Noto Sans Thai"/>
          <w:szCs w:val="22"/>
        </w:rPr>
      </w:pPr>
    </w:p>
    <w:p w14:paraId="39AAD420" w14:textId="5EA8D10F" w:rsidR="00A540B0" w:rsidRPr="00232FF5" w:rsidRDefault="00FB398A" w:rsidP="00232FF5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แนวโน้มปี 2026</w:t>
      </w:r>
    </w:p>
    <w:p w14:paraId="186840F7" w14:textId="1ABC0991" w:rsidR="00A540B0" w:rsidRDefault="00305132" w:rsidP="00232FF5">
      <w:pPr>
        <w:jc w:val="left"/>
        <w:rPr>
          <w:rFonts w:ascii="Noto Sans Thai" w:hAnsi="Noto Sans Thai" w:cs="Noto Sans Thai"/>
          <w:szCs w:val="22"/>
          <w:lang w:bidi="th-TH"/>
        </w:rPr>
      </w:pPr>
      <w:r w:rsidRPr="005A0CC9">
        <w:rPr>
          <w:rFonts w:ascii="Noto Sans Thai" w:hAnsi="Noto Sans Thai" w:cs="Noto Sans Thai"/>
          <w:szCs w:val="22"/>
          <w:cs/>
          <w:lang w:bidi="th-TH"/>
        </w:rPr>
        <w:t xml:space="preserve">หลังจากการเติบโตในระดับปานกลางในปีงบประมาณที่ผ่านมา คาดว่าเศรษฐกิจโลกจะยังคงขยายตัวในอัตราที่ชะลอตัวในปี </w:t>
      </w:r>
      <w:r w:rsidRPr="005A0CC9">
        <w:rPr>
          <w:rFonts w:ascii="Noto Sans Thai" w:hAnsi="Noto Sans Thai" w:cs="Noto Sans Thai"/>
          <w:szCs w:val="22"/>
          <w:lang w:bidi="th-TH"/>
        </w:rPr>
        <w:t xml:space="preserve">2026 </w:t>
      </w:r>
    </w:p>
    <w:p w14:paraId="3AE9F945" w14:textId="040EA1F7" w:rsidR="005A0CC9" w:rsidRDefault="005A0CC9" w:rsidP="00232FF5">
      <w:pPr>
        <w:jc w:val="left"/>
        <w:rPr>
          <w:rFonts w:ascii="Noto Sans Thai" w:hAnsi="Noto Sans Thai" w:cs="Noto Sans Thai"/>
          <w:szCs w:val="22"/>
          <w:lang w:bidi="th-TH"/>
        </w:rPr>
      </w:pPr>
      <w:r w:rsidRPr="005A0CC9">
        <w:rPr>
          <w:rFonts w:ascii="Noto Sans Thai" w:hAnsi="Noto Sans Thai" w:cs="Noto Sans Thai"/>
          <w:szCs w:val="22"/>
          <w:cs/>
          <w:lang w:bidi="th-TH"/>
        </w:rPr>
        <w:t>การพัฒนาเศรษฐกิจโลกยังคงได้รับอิทธิพลจากความไม่แน่นอนทางภูมิรัฐศาสตร์อย่างต่อเนื่อง และระดับราคาสินค้าที่สูงโดยรวม ในบริบทนี้ จึงคาดว่าความต้องการภาคอุตสาหกรรมและความต้องการของผู้บริโภคในพื้นที่ธุรกิจที่เกี่ยวข้องกับกิจกรรมสินค้าอุปโภคบริโภคของเฮงเค็ล จะเพิ่มขึ้นเพียงในระดับปานกลาง</w:t>
      </w:r>
    </w:p>
    <w:p w14:paraId="27629CAF" w14:textId="77777777" w:rsidR="005A0CC9" w:rsidRDefault="005A0CC9" w:rsidP="00232FF5">
      <w:pPr>
        <w:jc w:val="left"/>
        <w:rPr>
          <w:rFonts w:ascii="Noto Sans Thai" w:hAnsi="Noto Sans Thai" w:cs="Noto Sans Thai"/>
          <w:szCs w:val="22"/>
          <w:lang w:bidi="th-TH"/>
        </w:rPr>
      </w:pPr>
    </w:p>
    <w:p w14:paraId="5BC2FF69" w14:textId="6B1219A9" w:rsidR="00A540B0" w:rsidRPr="00232FF5" w:rsidRDefault="00FB398A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การแปลงยอดขายในสกุลเงินต่างประเทศคาดว่าจะส่งผลกระทบเชิงลบในช่วงเปอร์เซ็นต์หลักเดียวระดับต่ำ ราคาวัตถุดิบทางตรงคาดว่าจะเพิ่มขึ้นในช่วงเปอร์เซ็นต์หลักเดียวระดับต่ำเมื่อเทียบกับค่าเฉลี่ยทั้งปี 2025</w:t>
      </w:r>
    </w:p>
    <w:p w14:paraId="6EFB10DD" w14:textId="77777777" w:rsidR="001F0F3B" w:rsidRPr="00232FF5" w:rsidRDefault="001F0F3B" w:rsidP="00232FF5">
      <w:pPr>
        <w:jc w:val="left"/>
        <w:rPr>
          <w:rFonts w:ascii="Noto Sans Thai" w:hAnsi="Noto Sans Thai" w:cs="Noto Sans Thai"/>
        </w:rPr>
      </w:pPr>
    </w:p>
    <w:p w14:paraId="30C5A6C2" w14:textId="1DAEE5E8" w:rsidR="00833FE6" w:rsidRPr="00833FE6" w:rsidRDefault="00833FE6" w:rsidP="00833FE6">
      <w:pPr>
        <w:jc w:val="left"/>
        <w:rPr>
          <w:rFonts w:ascii="Noto Sans Thai" w:hAnsi="Noto Sans Thai" w:cs="Noto Sans Thai"/>
          <w:szCs w:val="22"/>
          <w:lang w:bidi="th-TH"/>
        </w:rPr>
      </w:pPr>
      <w:r w:rsidRPr="00833FE6">
        <w:rPr>
          <w:rFonts w:ascii="Noto Sans Thai" w:hAnsi="Noto Sans Thai" w:cs="Noto Sans Thai"/>
          <w:szCs w:val="22"/>
          <w:cs/>
          <w:lang w:bidi="th-TH"/>
        </w:rPr>
        <w:t>เมื่อพิจารณาจากสมมติฐานเหล่านี้</w:t>
      </w:r>
      <w:r>
        <w:rPr>
          <w:rFonts w:ascii="Noto Sans Thai" w:hAnsi="Noto Sans Thai" w:cs="Noto Sans Thai"/>
          <w:szCs w:val="22"/>
          <w:lang w:bidi="th-TH"/>
        </w:rPr>
        <w:t xml:space="preserve"> Henkel 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คาดว่าจะสามารถสร้างการเติบโตของยอดขายแบบออร์แกนิกระหว่าง </w:t>
      </w:r>
      <w:r w:rsidRPr="00833FE6">
        <w:rPr>
          <w:rFonts w:ascii="Noto Sans Thai" w:hAnsi="Noto Sans Thai" w:cs="Noto Sans Thai"/>
          <w:szCs w:val="22"/>
          <w:lang w:bidi="th-TH"/>
        </w:rPr>
        <w:t>1.0–3.0</w:t>
      </w:r>
      <w:r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lang w:val="th"/>
        </w:rPr>
        <w:t>เปอร์เซ็นต์</w:t>
      </w:r>
      <w:r w:rsidRPr="00833FE6"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ในปีงบประมาณ </w:t>
      </w:r>
      <w:r w:rsidRPr="00833FE6">
        <w:rPr>
          <w:rFonts w:ascii="Noto Sans Thai" w:hAnsi="Noto Sans Thai" w:cs="Noto Sans Thai"/>
          <w:szCs w:val="22"/>
          <w:lang w:bidi="th-TH"/>
        </w:rPr>
        <w:t xml:space="preserve">2026 </w:t>
      </w:r>
      <w:r w:rsidRPr="00833FE6">
        <w:rPr>
          <w:rFonts w:ascii="Noto Sans Thai" w:hAnsi="Noto Sans Thai" w:cs="Noto Sans Thai"/>
          <w:szCs w:val="22"/>
          <w:cs/>
          <w:lang w:bidi="th-TH"/>
        </w:rPr>
        <w:t>โดยคาดว่าหน่วยธุรกิจ</w:t>
      </w:r>
      <w:r w:rsidRPr="00833FE6">
        <w:rPr>
          <w:rFonts w:ascii="Noto Sans Thai" w:hAnsi="Noto Sans Thai" w:cs="Noto Sans Thai"/>
          <w:lang w:val="th"/>
        </w:rPr>
        <w:t>เทคโนโลยีกาว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จะเติบโตแบบออร์แกนิกระหว่าง </w:t>
      </w:r>
      <w:r w:rsidRPr="00833FE6">
        <w:rPr>
          <w:rFonts w:ascii="Noto Sans Thai" w:hAnsi="Noto Sans Thai" w:cs="Noto Sans Thai"/>
          <w:szCs w:val="22"/>
          <w:lang w:bidi="th-TH"/>
        </w:rPr>
        <w:t xml:space="preserve">1.0–3.0% </w:t>
      </w:r>
      <w:r w:rsidRPr="00833FE6">
        <w:rPr>
          <w:rFonts w:ascii="Noto Sans Thai" w:hAnsi="Noto Sans Thai" w:cs="Noto Sans Thai"/>
          <w:szCs w:val="22"/>
          <w:cs/>
          <w:lang w:bidi="th-TH"/>
        </w:rPr>
        <w:t>และหน่วยธุรกิจ</w:t>
      </w:r>
      <w:r w:rsidRPr="00833FE6">
        <w:rPr>
          <w:rFonts w:ascii="Noto Sans Thai" w:hAnsi="Noto Sans Thai" w:cs="Noto Sans Thai"/>
          <w:lang w:val="th"/>
        </w:rPr>
        <w:t>คอนซูเมอร์แบรนด์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จะเติบโตระหว่าง </w:t>
      </w:r>
      <w:r w:rsidRPr="00833FE6">
        <w:rPr>
          <w:rFonts w:ascii="Noto Sans Thai" w:hAnsi="Noto Sans Thai" w:cs="Noto Sans Thai"/>
          <w:szCs w:val="22"/>
          <w:lang w:bidi="th-TH"/>
        </w:rPr>
        <w:t>0.5–2.5</w:t>
      </w:r>
      <w:r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lang w:val="th"/>
        </w:rPr>
        <w:t>เปอร์เซ็นต์</w:t>
      </w:r>
      <w:r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อัตราผลตอบแทนจากยอดขายที่ปรับแล้ว คาดว่าจะอยู่ในช่วง </w:t>
      </w:r>
      <w:r w:rsidRPr="00833FE6">
        <w:rPr>
          <w:rFonts w:ascii="Noto Sans Thai" w:hAnsi="Noto Sans Thai" w:cs="Noto Sans Thai"/>
          <w:szCs w:val="22"/>
          <w:lang w:bidi="th-TH"/>
        </w:rPr>
        <w:t>14.5–16.0</w:t>
      </w:r>
      <w:r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lang w:val="th"/>
        </w:rPr>
        <w:t>เปอร์เซ็นต์</w:t>
      </w:r>
      <w:r w:rsidRPr="00833FE6"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>สำหรับหน่วยธุรกิจ</w:t>
      </w:r>
      <w:r w:rsidRPr="00833FE6">
        <w:rPr>
          <w:rFonts w:ascii="Noto Sans Thai" w:hAnsi="Noto Sans Thai" w:cs="Noto Sans Thai"/>
          <w:lang w:val="th"/>
        </w:rPr>
        <w:t>เทคโนโลยีกาว</w:t>
      </w:r>
      <w:r>
        <w:rPr>
          <w:rFonts w:ascii="Noto Sans Thai" w:hAnsi="Noto Sans Thai" w:cs="Noto Sans Thai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คาดว่าอัตราผลตอบแทนจากยอดขายที่ปรับปรุงแล้วจะอยู่ระหว่าง </w:t>
      </w:r>
      <w:r w:rsidRPr="00833FE6">
        <w:rPr>
          <w:rFonts w:ascii="Noto Sans Thai" w:hAnsi="Noto Sans Thai" w:cs="Noto Sans Thai"/>
          <w:szCs w:val="22"/>
          <w:lang w:bidi="th-TH"/>
        </w:rPr>
        <w:t>16.5–18.0</w:t>
      </w:r>
      <w:r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lang w:val="th"/>
        </w:rPr>
        <w:t>เปอร์เซ็นต์</w:t>
      </w:r>
      <w:r w:rsidRPr="00833FE6"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>และสำหรับหน่วยธุรกิจ</w:t>
      </w:r>
      <w:r w:rsidRPr="00833FE6">
        <w:rPr>
          <w:rFonts w:ascii="Noto Sans Thai" w:hAnsi="Noto Sans Thai" w:cs="Noto Sans Thai"/>
          <w:lang w:val="th"/>
        </w:rPr>
        <w:t>คอนซูเมอร์แบรนด์</w:t>
      </w:r>
      <w:r>
        <w:rPr>
          <w:rFonts w:ascii="Noto Sans Thai" w:hAnsi="Noto Sans Thai" w:cs="Noto Sans Thai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 xml:space="preserve">อยู่ระหว่าง </w:t>
      </w:r>
      <w:r w:rsidRPr="00833FE6">
        <w:rPr>
          <w:rFonts w:ascii="Noto Sans Thai" w:hAnsi="Noto Sans Thai" w:cs="Noto Sans Thai"/>
          <w:szCs w:val="22"/>
          <w:lang w:bidi="th-TH"/>
        </w:rPr>
        <w:t>14.0–15.5</w:t>
      </w:r>
      <w:r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lang w:val="th"/>
        </w:rPr>
        <w:t>เปอร์เซ็นต์</w:t>
      </w:r>
      <w:r w:rsidR="00450590">
        <w:rPr>
          <w:rFonts w:ascii="Noto Sans Thai" w:hAnsi="Noto Sans Thai" w:cs="Noto Sans Thai"/>
          <w:szCs w:val="22"/>
          <w:lang w:bidi="th-TH"/>
        </w:rPr>
        <w:t xml:space="preserve"> </w:t>
      </w:r>
      <w:r w:rsidRPr="00833FE6">
        <w:rPr>
          <w:rFonts w:ascii="Noto Sans Thai" w:hAnsi="Noto Sans Thai" w:cs="Noto Sans Thai"/>
          <w:szCs w:val="22"/>
          <w:cs/>
          <w:lang w:bidi="th-TH"/>
        </w:rPr>
        <w:t>สำหรับกำไรต่อหุ้นบุริมสิทธิที่ปรับแล้ว เมื่อคำนวณที่อัตราแลกเปลี่ยนคงที่ คาดว่าจะเพิ่มขึ้นในช่วงเปอร์เซ็นต์หลักเดียวตั้งแต่</w:t>
      </w:r>
      <w:r w:rsidR="00450590">
        <w:rPr>
          <w:rFonts w:ascii="Noto Sans Thai" w:hAnsi="Noto Sans Thai" w:cs="Noto Sans Thai" w:hint="cs"/>
          <w:szCs w:val="22"/>
          <w:cs/>
          <w:lang w:bidi="th-TH"/>
        </w:rPr>
        <w:t>ระดับ</w:t>
      </w:r>
      <w:r w:rsidRPr="00833FE6">
        <w:rPr>
          <w:rFonts w:ascii="Noto Sans Thai" w:hAnsi="Noto Sans Thai" w:cs="Noto Sans Thai"/>
          <w:szCs w:val="22"/>
          <w:cs/>
          <w:lang w:bidi="th-TH"/>
        </w:rPr>
        <w:t>ต่ำจนถึง</w:t>
      </w:r>
      <w:r w:rsidR="00450590">
        <w:rPr>
          <w:rFonts w:ascii="Noto Sans Thai" w:hAnsi="Noto Sans Thai" w:cs="Noto Sans Thai" w:hint="cs"/>
          <w:szCs w:val="22"/>
          <w:cs/>
          <w:lang w:bidi="th-TH"/>
        </w:rPr>
        <w:t>ระดับ</w:t>
      </w:r>
      <w:r w:rsidRPr="00833FE6">
        <w:rPr>
          <w:rFonts w:ascii="Noto Sans Thai" w:hAnsi="Noto Sans Thai" w:cs="Noto Sans Thai"/>
          <w:szCs w:val="22"/>
          <w:cs/>
          <w:lang w:bidi="th-TH"/>
        </w:rPr>
        <w:t>สูง</w:t>
      </w:r>
    </w:p>
    <w:p w14:paraId="37D1C39B" w14:textId="77777777" w:rsidR="00452CC2" w:rsidRDefault="00452CC2" w:rsidP="00232FF5">
      <w:pPr>
        <w:jc w:val="left"/>
        <w:rPr>
          <w:rFonts w:ascii="Noto Sans Thai" w:hAnsi="Noto Sans Thai" w:cs="Noto Sans Thai"/>
          <w:b/>
          <w:bCs/>
          <w:szCs w:val="22"/>
          <w:lang w:bidi="th-TH"/>
        </w:rPr>
      </w:pPr>
    </w:p>
    <w:p w14:paraId="282D382E" w14:textId="27C66C03" w:rsidR="006E1A70" w:rsidRPr="00232FF5" w:rsidRDefault="00467CC0" w:rsidP="00232FF5">
      <w:pPr>
        <w:jc w:val="left"/>
        <w:rPr>
          <w:rFonts w:ascii="Noto Sans Thai" w:hAnsi="Noto Sans Thai" w:cs="Noto Sans Thai"/>
          <w:b/>
          <w:bCs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ความก้าวหน้าในกระบวนการเปลี่ยนผ่านของบริษัท</w:t>
      </w:r>
    </w:p>
    <w:p w14:paraId="4790C752" w14:textId="2EC5B2DF" w:rsidR="00875A71" w:rsidRDefault="00875A71" w:rsidP="00232FF5">
      <w:pPr>
        <w:jc w:val="left"/>
        <w:rPr>
          <w:rFonts w:ascii="Noto Sans Thai" w:hAnsi="Noto Sans Thai" w:cs="Noto Sans Thai"/>
          <w:szCs w:val="22"/>
          <w:lang w:val="th" w:bidi="th-TH"/>
        </w:rPr>
      </w:pPr>
      <w:r w:rsidRPr="00232FF5">
        <w:rPr>
          <w:rFonts w:ascii="Noto Sans Thai" w:hAnsi="Noto Sans Thai" w:cs="Noto Sans Thai"/>
          <w:szCs w:val="22"/>
          <w:lang w:val="th"/>
        </w:rPr>
        <w:lastRenderedPageBreak/>
        <w:t xml:space="preserve">ในช่วงหลายปีที่ผ่านมา Henkel ได้ปรับโฉมตัวเองครั้งใหญ่ในหลายด้าน และได้ดำเนินตามวาระเชิงกลยุทธ์เพื่อการเติบโตอย่างมีเป้าหมายอย่างต่อเนื่อง ปัจจัยสำคัญประการหนึ่งของความสำเร็จในระยะยาวคือความพร้อมที่จะพัฒนาอย่างต่อเนื่องและมีบทบาทเชิงรุกในการขับเคลื่อนการเปลี่ยนแปลง </w:t>
      </w:r>
    </w:p>
    <w:p w14:paraId="7313C95D" w14:textId="77777777" w:rsidR="00AA3BB9" w:rsidRDefault="00AA3BB9" w:rsidP="00232FF5">
      <w:pPr>
        <w:jc w:val="left"/>
        <w:rPr>
          <w:rFonts w:ascii="Noto Sans Thai" w:hAnsi="Noto Sans Thai" w:cs="Noto Sans Thai"/>
          <w:szCs w:val="22"/>
          <w:lang w:val="th" w:bidi="th-TH"/>
        </w:rPr>
      </w:pPr>
    </w:p>
    <w:p w14:paraId="29ED0BF6" w14:textId="251A3DDC" w:rsidR="006E1A70" w:rsidRPr="00232FF5" w:rsidRDefault="00B2292F" w:rsidP="00232FF5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ธุรกิจคอนซูเมอร์แบรนด์: การควบรวมกิจการเสร็จสิ้นอย่างประสบความสำเร็จ</w:t>
      </w:r>
    </w:p>
    <w:p w14:paraId="18CACE59" w14:textId="212BCE46" w:rsidR="0024732C" w:rsidRPr="00232FF5" w:rsidRDefault="00FB4BF5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การควบรวมธุรกิจสินค้าอุปโภคบริโภคเข้ากับหน่วยธุรกิจ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 xml:space="preserve">คอนซูเมอร์แบรนด์ </w:t>
      </w:r>
      <w:r w:rsidRPr="00232FF5">
        <w:rPr>
          <w:rFonts w:ascii="Noto Sans Thai" w:hAnsi="Noto Sans Thai" w:cs="Noto Sans Thai"/>
          <w:szCs w:val="22"/>
          <w:lang w:val="th"/>
        </w:rPr>
        <w:t xml:space="preserve">ซึ่งประกาศไว้ตั้งแต่ต้นปี 2022 ได้เสร็จสิ้นลงเมื่อสิ้นสุดปีงบประมาณ 2025 โดยรวมแล้ว การประหยัดต้นทุนต่อปีตามเป้าหมายเดิมที่ตั้งไว้ที่ 525 ล้านยูโร </w:t>
      </w:r>
      <w:r w:rsidR="00A06F93" w:rsidRPr="00A06F93">
        <w:rPr>
          <w:rFonts w:ascii="Noto Sans Thai" w:hAnsi="Noto Sans Thai" w:cs="Noto Sans Thai"/>
          <w:szCs w:val="22"/>
          <w:cs/>
          <w:lang w:bidi="th-TH"/>
        </w:rPr>
        <w:t>ถูกทำ</w:t>
      </w:r>
      <w:r w:rsidRPr="00232FF5">
        <w:rPr>
          <w:rFonts w:ascii="Noto Sans Thai" w:hAnsi="Noto Sans Thai" w:cs="Noto Sans Thai"/>
          <w:szCs w:val="22"/>
          <w:lang w:val="th"/>
        </w:rPr>
        <w:t xml:space="preserve">ได้เกินเป้าหมายภายในสิ้นปีงบประมาณ 2025 </w:t>
      </w:r>
      <w:r w:rsidR="00A06F93" w:rsidRPr="00A06F93">
        <w:rPr>
          <w:rFonts w:ascii="Noto Sans Thai" w:hAnsi="Noto Sans Thai" w:cs="Noto Sans Thai"/>
          <w:szCs w:val="22"/>
          <w:cs/>
          <w:lang w:bidi="th-TH"/>
        </w:rPr>
        <w:t>ส่งผลให้การบูรณาการ</w:t>
      </w:r>
      <w:r w:rsidRPr="00232FF5">
        <w:rPr>
          <w:rFonts w:ascii="Noto Sans Thai" w:hAnsi="Noto Sans Thai" w:cs="Noto Sans Thai"/>
          <w:szCs w:val="22"/>
          <w:lang w:val="th"/>
        </w:rPr>
        <w:t>หน่วยธุรกิจคอนซูเมอร์แบรนด์</w:t>
      </w:r>
      <w:r w:rsidR="00A06F93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="00A06F93" w:rsidRPr="00A06F93">
        <w:rPr>
          <w:rFonts w:ascii="Noto Sans Thai" w:hAnsi="Noto Sans Thai" w:cs="Noto Sans Thai"/>
          <w:szCs w:val="22"/>
          <w:cs/>
          <w:lang w:bidi="th-TH"/>
        </w:rPr>
        <w:t>เสร็จสมบูรณ์เรียบร้อย</w:t>
      </w:r>
      <w:r w:rsidRPr="00232FF5">
        <w:rPr>
          <w:rFonts w:ascii="Noto Sans Thai" w:hAnsi="Noto Sans Thai" w:cs="Noto Sans Thai"/>
          <w:szCs w:val="22"/>
          <w:lang w:val="th"/>
        </w:rPr>
        <w:t>เร็วกว่า</w:t>
      </w:r>
      <w:bookmarkStart w:id="8" w:name="_Hlk190100871"/>
      <w:r w:rsidR="00A06F93" w:rsidRPr="00A06F93">
        <w:rPr>
          <w:rFonts w:ascii="Noto Sans Thai" w:hAnsi="Noto Sans Thai" w:cs="Noto Sans Thai"/>
          <w:szCs w:val="22"/>
          <w:cs/>
          <w:lang w:bidi="th-TH"/>
        </w:rPr>
        <w:t>กำหนดเดิมหนึ่งปี</w:t>
      </w:r>
    </w:p>
    <w:p w14:paraId="3268C71E" w14:textId="77777777" w:rsidR="00A06F93" w:rsidRPr="00232FF5" w:rsidRDefault="00A06F93" w:rsidP="00232FF5">
      <w:pPr>
        <w:jc w:val="left"/>
        <w:rPr>
          <w:rFonts w:ascii="Noto Sans Thai" w:hAnsi="Noto Sans Thai" w:cs="Noto Sans Thai"/>
          <w:szCs w:val="22"/>
          <w:lang w:bidi="th-TH"/>
        </w:rPr>
      </w:pPr>
    </w:p>
    <w:p w14:paraId="3817138C" w14:textId="25E4A8B8" w:rsidR="004D1DBD" w:rsidRPr="00232FF5" w:rsidRDefault="004D1DBD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ในขณะเดียวกัน หน่วยธุรกิจคอนซูเมอร์แบรนด์ยังคงมุ่งเน้นอย่างต่อเนื่องไปที่แบรนด์และธุรกิจที่แข็งแกร่งที่มีอัตรากำไรขั้นต้นสูง ตลอดจนการเป็นผู้นำในตลาดและหมวดหมู่ผลิตภัณฑ์</w:t>
      </w:r>
      <w:r w:rsidRPr="00232FF5">
        <w:rPr>
          <w:rFonts w:ascii="Noto Sans Thai" w:hAnsi="Noto Sans Thai" w:cs="Noto Sans Thai"/>
          <w:lang w:val="th"/>
        </w:rPr>
        <w:t xml:space="preserve"> </w:t>
      </w:r>
      <w:r w:rsidRPr="00232FF5">
        <w:rPr>
          <w:rFonts w:ascii="Noto Sans Thai" w:hAnsi="Noto Sans Thai" w:cs="Noto Sans Thai"/>
          <w:szCs w:val="22"/>
          <w:lang w:val="th"/>
        </w:rPr>
        <w:t xml:space="preserve">การมุ่งเน้นไปที่แบรนด์และธุรกิจที่มีการเติบโตสูงและอัตรากำไรสูงนี้ให้ผลลัพธ์ที่ชัดเจน: แบรนด์สิบอันดับแรกภายในธุรกิจคอนซูเมอร์แบรนด์ ซึ่งคิดเป็นเกือบ 60 เปอร์เซ็นต์ของรายได้ในปี 2025 มีการเติบโตอย่างแข็งแกร่งมาก ควบคู่กับการเพิ่มขึ้นของปริมาณยอดขายในเชิงบวก </w:t>
      </w:r>
    </w:p>
    <w:bookmarkEnd w:id="8"/>
    <w:p w14:paraId="35A24017" w14:textId="77777777" w:rsidR="00DA6DF7" w:rsidRPr="00232FF5" w:rsidRDefault="00DA6DF7" w:rsidP="00232FF5">
      <w:pPr>
        <w:jc w:val="left"/>
        <w:rPr>
          <w:rFonts w:ascii="Noto Sans Thai" w:hAnsi="Noto Sans Thai" w:cs="Noto Sans Thai"/>
          <w:szCs w:val="22"/>
        </w:rPr>
      </w:pPr>
    </w:p>
    <w:p w14:paraId="2FA5E8DB" w14:textId="62CC6605" w:rsidR="004D1DBD" w:rsidRPr="00232FF5" w:rsidRDefault="004D1DBD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ความสำคัญของการรวมธุรกิจสินค้าอุปโภคบริโภคให้เป็นหนึ่งเดียวเห็นได้ชัดเป็นพิเศษเมื่อพิจารณาผลการดำเนินงานในช่วงสามปีที่ผ่านมา นับตั้งแต่มีการจัดตั้งหน่วยธุรกิจใหม่นี้ ในปีงบประมาณ 2022 อัตราผลตอบแทนต่อยอดขายรวมที่ปรับแล้วของธุรกิจที่เกี่ยวข้องอยู่ที่ 8.3 เปอร์เซ็นต์ ภายในสิ้นปีงบประมาณ 2025 ตัวเลขดังกล่าวเพิ่มขึ้นเป็น 14.5 เปอร์เซ็นต์ ซึ่งแสดงให้เห็นถึงการปรับปรุงเพิ่มขึ้น 6.2 จุดเปอร์เซ็นต์ภายในระยะเวลาสามปี</w:t>
      </w:r>
      <w:r w:rsidR="00154D13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Pr="00232FF5">
        <w:rPr>
          <w:rFonts w:ascii="Noto Sans Thai" w:hAnsi="Noto Sans Thai" w:cs="Noto Sans Thai"/>
          <w:szCs w:val="22"/>
          <w:lang w:val="th"/>
        </w:rPr>
        <w:t>โดยในช่วงเวลาดังกล่าวยังมีการเพิ่มการลงทุนในแบรนด์และศักยภาพด้านนวัตกรรมภายในหน่วยธุรกิจนี้อย่างมีนัยสำคัญด้วย</w:t>
      </w:r>
    </w:p>
    <w:p w14:paraId="5321A51A" w14:textId="4AA495EE" w:rsidR="00875A71" w:rsidRPr="00232FF5" w:rsidRDefault="00875A71" w:rsidP="00232FF5">
      <w:pPr>
        <w:spacing w:line="240" w:lineRule="auto"/>
        <w:jc w:val="left"/>
        <w:rPr>
          <w:rFonts w:ascii="Noto Sans Thai" w:hAnsi="Noto Sans Thai" w:cs="Noto Sans Thai"/>
          <w:b/>
          <w:bCs/>
          <w:szCs w:val="22"/>
        </w:rPr>
      </w:pPr>
    </w:p>
    <w:p w14:paraId="2024FF95" w14:textId="793747AD" w:rsidR="00E21F5D" w:rsidRPr="00232FF5" w:rsidRDefault="00E21F5D" w:rsidP="00232FF5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การดำเนินการตามวาระเชิงกลยุทธ์อย่างต่อเนื่อง</w:t>
      </w:r>
    </w:p>
    <w:p w14:paraId="466DB146" w14:textId="77777777" w:rsidR="00E21F5D" w:rsidRPr="00232FF5" w:rsidRDefault="00E21F5D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ท่ามกลางสภาพแวดล้อมทางเศรษฐกิจมหภาคและภูมิรัฐศาสตร์ที่ท้าทาย Henkel ยังคงดำเนินการตามวาระเชิงกลยุทธ์อย่างต่อเนื่องในปีงบประมาณที่ผ่านมา และมีความก้าวหน้าที่สำคัญในทุกด้าน บริษัทได้พัฒนาพอร์ตโฟลิโอธุรกิจและแบรนด์เพิ่มเติม เสริมสร้างความได้เปรียบในการแข่งขันด้านนวัตกรรม ความยั่งยืน และการเปลี่ยนผ่านสู่ดิจิทัล ปรับปรุงกระบวนการทางธุรกิจให้เหมาะสม และเสริมความแข็งแกร่งให้กับวัฒนธรรมองค์กร</w:t>
      </w:r>
    </w:p>
    <w:p w14:paraId="02BF1EFC" w14:textId="6BA87244" w:rsidR="005110D3" w:rsidRPr="00232FF5" w:rsidRDefault="005110D3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</w:p>
    <w:p w14:paraId="4AAE23F0" w14:textId="103288C6" w:rsidR="00E21F5D" w:rsidRPr="00232FF5" w:rsidRDefault="00E21F5D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lastRenderedPageBreak/>
        <w:t>Henkel ได้พัฒนาพอร์ตโฟลิโอเพิ่มเติมโดยการยุติหรือถอนการลงทุนกิจกรรมทางธุรกิจบางส่วน รวมถึงการเข้าซื้อกิจการ ในฐานะส่วนหนึ่งของ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การบริหารจัดการพอร์ตโฟลิโอเชิงรุก</w:t>
      </w:r>
      <w:r w:rsidRPr="00232FF5">
        <w:rPr>
          <w:rFonts w:ascii="Noto Sans Thai" w:hAnsi="Noto Sans Thai" w:cs="Noto Sans Thai"/>
          <w:szCs w:val="22"/>
          <w:lang w:val="th"/>
        </w:rPr>
        <w:t xml:space="preserve"> Henkel ได้ดำเนินมาตรการด้านพอร์ตโฟลิโอที่ประกาศไว้ตั้งแต่เริ่มต้นการควบรวมธุรกิจสินค้าอุปโภคบริโภคที่เดิมแยกจากกันให้เสร็จสมบูรณ์ ด้วยการถอนการลงทุนธุรกิจแบรนด์ผู้ค้าปลีกในอเมริกาเหนือ ซึ่งเสร็จสิ้นอย่างประสบความสำเร็จในฤดูใบไม้ผลิปี 2025 ตั้งแต่ต้นปี 2022 เป็นต้นมา Henkel ได้ขายหรือยุติแบรนด์และกิจกรรมทางธุรกิจที่มียอดขายรวมมากกว่า 1 พันล้านยูโรเล็กน้อย </w:t>
      </w:r>
    </w:p>
    <w:p w14:paraId="0F99C05C" w14:textId="77777777" w:rsidR="00E21F5D" w:rsidRPr="00232FF5" w:rsidRDefault="00E21F5D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</w:p>
    <w:p w14:paraId="021BE4F3" w14:textId="13188DDC" w:rsidR="00DD5FF5" w:rsidRPr="00232FF5" w:rsidRDefault="00E21F5D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การขยายพอร์ตโฟลิโอผ่าน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การเข้าซื้อกิจการ</w:t>
      </w:r>
      <w:r w:rsidRPr="00232FF5">
        <w:rPr>
          <w:rFonts w:ascii="Noto Sans Thai" w:hAnsi="Noto Sans Thai" w:cs="Noto Sans Thai"/>
          <w:szCs w:val="22"/>
          <w:lang w:val="th"/>
        </w:rPr>
        <w:t xml:space="preserve">อย่างมีเป้าหมายยังเป็นส่วนหนึ่งอันสำคัญของวาระการเติบโตของ Henkel ในปี 2025 Henkel ได้ลงนามในข้อตกลงเพื่อเข้าซื้อกิจการ ATP Adhesive Systems AG บริษัทที่ตั้งอยู่ในสวิตเซอร์แลนด์แห่งนี้เป็นผู้ให้บริการชั้นนำด้านเทปกาวชนิดพิเศษประสิทธิภาพสูงที่มีส่วนประกอบของน้ำ สำหรับตลาดปลายทางที่หลากหลาย รวมถึงยานยนต์ อิเล็กทรอนิกส์ การแพทย์ งานก่อสร้าง และอุตสาหกรรมกราฟิก ATP มีการดำเนินธุรกิจอย่างแข็งแกร่งในอเมริกาเหนือและยุโรป และมียอดขายประมาณ 270 ล้านยูโรในปีงบประมาณ 2025 </w:t>
      </w:r>
    </w:p>
    <w:p w14:paraId="086542D4" w14:textId="77777777" w:rsidR="00DD5FF5" w:rsidRPr="00232FF5" w:rsidRDefault="00DD5FF5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</w:p>
    <w:p w14:paraId="76CA2124" w14:textId="5E91954D" w:rsidR="00DD5FF5" w:rsidRPr="00232FF5" w:rsidRDefault="00DD5FF5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 xml:space="preserve">ในเดือนกุมภาพันธ์ 2026 Henkel ได้ตกลงเข้าซื้อกิจการ Stahl Group ซึ่งตั้งอยู่ในเนเธอร์แลนด์ บริษัทเป็นผู้ให้บริการระดับโลกด้านสารเคลือบชนิดพิเศษประสิทธิภาพสูงสำหรับวัสดุที่มีความยืดหยุ่น โดยให้บริการแก่บริษัทชั้นนำทั่วโลกในตลาดยานยนต์ แฟชั่นและไลฟ์สไตล์ และบรรจุภัณฑ์ ในปีงบประมาณ 2025 Stahl มียอดขายประมาณ 725 ล้านยูโร และมีโครงสร้างการดำเนินธุรกิจในระดับภูมิภาคที่สมดุล </w:t>
      </w:r>
    </w:p>
    <w:p w14:paraId="46DB7840" w14:textId="77777777" w:rsidR="00DD5FF5" w:rsidRPr="00232FF5" w:rsidRDefault="00DD5FF5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</w:p>
    <w:p w14:paraId="2248A617" w14:textId="4E9A55C6" w:rsidR="00EA5996" w:rsidRPr="00232FF5" w:rsidRDefault="00EA5996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นอกจากนี้ ในช่วงต้นเดือนมีนาคม Henkel ยังได้ลงนามในข้อตกลงเพื่อเข้าซื้อกิจการ “Not Your Mother's” ซึ่งเป็นหนึ่งในแบรนด์ผลิตภัณฑ์ดูแลและจัดแต่งทรงผมสำหรับผู้บริโภคชั้นนำในอเมริกาเหนือ การเข้าซื้อกิจการครั้งนี้ช่วยเสริมความแข็งแกร่งให้กับตำแหน่งของ Henkel ในธุรกิจผลิตภัณฑ์ดูแลเส้นผม ซึ่งเป็นหนึ่งในหมวดหมู่หลักของหน่วยธุรกิจคอนซูเมอร์แบรนด์ “Not Your Mother's” เป็นแบรนด์ผลิตภัณฑ์ดูแลเส้นผมที่ประสบความสำเร็จและเติบโตอย่างรวดเร็ว โดยมีผลิตภัณฑ์หลากหลาย เช่น แชมพู ครีมนวดผม ผลิตภัณฑ์บำรุง และผลิตภัณฑ์จัดแต่งทรงผม ในปีงบประมาณ 2025 แบรนด์นี้มียอดขายประมาณ 190 ล้านยูโร พร้อมการเติบโตในระดับสองหลักและความสามารถในการทำกำไรในระดับสูง</w:t>
      </w:r>
    </w:p>
    <w:p w14:paraId="40FD5790" w14:textId="77777777" w:rsidR="00EA5996" w:rsidRPr="00232FF5" w:rsidRDefault="00EA5996" w:rsidP="00232FF5">
      <w:pPr>
        <w:autoSpaceDE w:val="0"/>
        <w:autoSpaceDN w:val="0"/>
        <w:adjustRightInd w:val="0"/>
        <w:jc w:val="left"/>
        <w:rPr>
          <w:rFonts w:ascii="Noto Sans Thai" w:hAnsi="Noto Sans Thai" w:cs="Noto Sans Thai"/>
          <w:bCs/>
          <w:szCs w:val="22"/>
        </w:rPr>
      </w:pPr>
    </w:p>
    <w:p w14:paraId="7255BCCF" w14:textId="23C1D3D8" w:rsidR="00C249E3" w:rsidRPr="00232FF5" w:rsidRDefault="00C249E3" w:rsidP="00232FF5">
      <w:pPr>
        <w:pStyle w:val="Topline"/>
        <w:spacing w:before="0" w:after="0"/>
        <w:jc w:val="left"/>
        <w:rPr>
          <w:rFonts w:ascii="Noto Sans Thai" w:hAnsi="Noto Sans Thai" w:cs="Noto Sans Thai"/>
        </w:rPr>
      </w:pPr>
      <w:r w:rsidRPr="00232FF5">
        <w:rPr>
          <w:rFonts w:ascii="Noto Sans Thai" w:hAnsi="Noto Sans Thai" w:cs="Noto Sans Thai"/>
          <w:lang w:val="th"/>
        </w:rPr>
        <w:t>ธุรกรรมล่าสุดเหล่านี้ ซึ่งยังคงอยู่ภายใต้เงื่อนไขการปิดธุรกรรมตามปกติและการอนุมัติตามกฎหมายต่อต้านการผูกขาด จะช่วย</w:t>
      </w:r>
      <w:r w:rsidRPr="00232FF5">
        <w:rPr>
          <w:rFonts w:ascii="Noto Sans Thai" w:hAnsi="Noto Sans Thai" w:cs="Noto Sans Thai"/>
          <w:b/>
          <w:bCs/>
          <w:lang w:val="th"/>
        </w:rPr>
        <w:t>เพิ่มยอดขายรวมประมาณ 1.2 พันล้านยูโร</w:t>
      </w:r>
      <w:r w:rsidRPr="00232FF5">
        <w:rPr>
          <w:rFonts w:ascii="Noto Sans Thai" w:hAnsi="Noto Sans Thai" w:cs="Noto Sans Thai"/>
          <w:lang w:val="th"/>
        </w:rPr>
        <w:t xml:space="preserve"> และ</w:t>
      </w:r>
      <w:r w:rsidRPr="00232FF5">
        <w:rPr>
          <w:rFonts w:ascii="Noto Sans Thai" w:hAnsi="Noto Sans Thai" w:cs="Noto Sans Thai"/>
          <w:b/>
          <w:bCs/>
          <w:lang w:val="th"/>
        </w:rPr>
        <w:t>เสริมศักยภาพการเติบโต</w:t>
      </w:r>
      <w:r w:rsidRPr="00232FF5">
        <w:rPr>
          <w:rFonts w:ascii="Noto Sans Thai" w:hAnsi="Noto Sans Thai" w:cs="Noto Sans Thai"/>
          <w:lang w:val="th"/>
        </w:rPr>
        <w:t>ให้กับธุรกิจเทคโนโลยีกาวที่เป็นผู้นำระดับโลกและหน่วยธุรกิจคอนซูเมอร์แบรนด์</w:t>
      </w:r>
    </w:p>
    <w:p w14:paraId="2C100848" w14:textId="77777777" w:rsidR="00DD5FF5" w:rsidRPr="00232FF5" w:rsidRDefault="00DD5FF5" w:rsidP="00232FF5">
      <w:pPr>
        <w:pStyle w:val="Topline"/>
        <w:spacing w:before="0" w:after="0"/>
        <w:jc w:val="left"/>
        <w:rPr>
          <w:rFonts w:ascii="Noto Sans Thai" w:hAnsi="Noto Sans Thai" w:cs="Noto Sans Thai"/>
        </w:rPr>
      </w:pPr>
    </w:p>
    <w:p w14:paraId="5475D3A1" w14:textId="779AEDAA" w:rsidR="00B027BA" w:rsidRPr="00232FF5" w:rsidRDefault="00E21F5D" w:rsidP="00232FF5">
      <w:pPr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lastRenderedPageBreak/>
        <w:t>ในปี 2025 Henkel ได้เปิดตัว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นวัตกรรม</w:t>
      </w:r>
      <w:r w:rsidRPr="00232FF5">
        <w:rPr>
          <w:rFonts w:ascii="Noto Sans Thai" w:hAnsi="Noto Sans Thai" w:cs="Noto Sans Thai"/>
          <w:szCs w:val="22"/>
          <w:lang w:val="th"/>
        </w:rPr>
        <w:t xml:space="preserve">มากมายสู่ตลาด เพื่อตอบสนองแนวโน้มสำคัญและสร้างคุณค่าให้กับลูกค้าและผู้บริโภค </w:t>
      </w:r>
      <w:bookmarkStart w:id="9" w:name="_Hlk190180076"/>
      <w:r w:rsidRPr="00232FF5">
        <w:rPr>
          <w:rFonts w:ascii="Noto Sans Thai" w:hAnsi="Noto Sans Thai" w:cs="Noto Sans Thai"/>
          <w:szCs w:val="22"/>
          <w:lang w:val="th"/>
        </w:rPr>
        <w:t>ในตลาดสินค้าอุปโภคบริโภค นวัตกรรมเป็นปัจจัยสำคัญต่อความสำเร็จในการสร้างความแตกต่าง หนึ่งในตัวอย่างคือผลิตภัณฑ์ย้อมผม Creme Supreme รุ่นใหม่จาก Schwarzkopf Henkel ได้พัฒนา Creme Supreme ซึ่งเป็นเทคโนโลยีใหม่ที่ช่วยเสริมความแข็งแรงและบำรุงโครงสร้างเส้นผมผ่านเทคโนโลยีการยึดเกาะระดับไมโคร โดยได้รับแรงบันดาลใจจากการใช้งานในร้านทำผมมืออาชีพ เทคโนโลยีการยึดเกาะระดับไมโครเหล่านี้ช่วยยึดเส้นใยผมเข้าด้วยกันได้อย่างมีประสิทธิภาพมากขึ้น และสร้างชั้นปกป้องพิเศษรอบเส้นผม ส่งผลให้เส้นผมแตกหักลดน้อยลงอย่างมาก ซึ่งเป็นหนึ่งในความกังวลหลักของผู้บริโภคเมื่อทำการย้อมผม</w:t>
      </w:r>
    </w:p>
    <w:p w14:paraId="2F9AD5B3" w14:textId="6D4C1F41" w:rsidR="00D64961" w:rsidRPr="00232FF5" w:rsidRDefault="007B2C2C" w:rsidP="00232FF5">
      <w:pPr>
        <w:jc w:val="left"/>
        <w:rPr>
          <w:rFonts w:ascii="Noto Sans Thai" w:hAnsi="Noto Sans Thai" w:cs="Noto Sans Thai"/>
          <w:bCs/>
          <w:szCs w:val="22"/>
          <w:lang w:bidi="th-TH"/>
        </w:rPr>
      </w:pPr>
      <w:r w:rsidRPr="00232FF5">
        <w:rPr>
          <w:rFonts w:ascii="Noto Sans Thai" w:hAnsi="Noto Sans Thai" w:cs="Noto Sans Thai"/>
          <w:szCs w:val="22"/>
          <w:lang w:val="th"/>
        </w:rPr>
        <w:t>แนวคิด “House of Hair” ยังมีบทบาทสำคัญในการพัฒนานวัตกรรมในหมวดหมู่ผลิตภัณฑ์ดูแลเส้นผมอีกด้วย ตั้งแต่เดือนมีนาคม 2025 เป็นต้นมา Henkel ได้รวมศูนย์กิจกรรมหลักของธุรกิจผลิตภัณฑ์เครื่องสำอางสำหรับเส้นผมไว้ที่เมืองฮัมบูร์ก ประเทศเยอรมนี ในสถานที่แห่งเดียว ได้แก่ การวิจัยและพัฒนา ซาลอนทดสอบ การตลาด และสถาบันการศึกษาด้านเส้นผม ที่นี่ ผู้เชี่ยวชาญมากกว่า 300 คนทำงานร่วมกันอย่างใกล้ชิดเพื่อพัฒนาผลิตภัณฑ์นวัตกรรม นอกจากฮัมบูร์กแล้ว ยังมีสถานที่อีกสี่แห่งในลอสแอนเจลิส โตเกียว เซี่ยงไฮ้ และกัวดาลาฮารา สถานที่แต่ละแห่งมีบทบาทสําคัญในการพัฒนาผลิตภัณฑ์เครื่องสำอางสำหรับเส้นผม</w:t>
      </w:r>
      <w:r w:rsidR="00E13D80">
        <w:rPr>
          <w:rFonts w:ascii="Noto Sans Thai" w:hAnsi="Noto Sans Thai" w:cs="Noto Sans Thai" w:hint="cs"/>
          <w:szCs w:val="22"/>
          <w:cs/>
          <w:lang w:bidi="th-TH"/>
        </w:rPr>
        <w:t>โดย</w:t>
      </w:r>
      <w:r w:rsidR="00E13D80">
        <w:rPr>
          <w:rFonts w:ascii="Noto Sans Thai" w:hAnsi="Noto Sans Thai" w:cs="Noto Sans Thai" w:hint="cs"/>
          <w:szCs w:val="22"/>
          <w:cs/>
          <w:lang w:val="th" w:bidi="th-TH"/>
        </w:rPr>
        <w:t>ยึด</w:t>
      </w:r>
      <w:r w:rsidRPr="00232FF5">
        <w:rPr>
          <w:rFonts w:ascii="Noto Sans Thai" w:hAnsi="Noto Sans Thai" w:cs="Noto Sans Thai"/>
          <w:szCs w:val="22"/>
          <w:lang w:val="th"/>
        </w:rPr>
        <w:t>ลูกค้า</w:t>
      </w:r>
      <w:r w:rsidR="00E13D80">
        <w:rPr>
          <w:rFonts w:ascii="Noto Sans Thai" w:hAnsi="Noto Sans Thai" w:cs="Noto Sans Thai" w:hint="cs"/>
          <w:szCs w:val="22"/>
          <w:cs/>
          <w:lang w:val="th" w:bidi="th-TH"/>
        </w:rPr>
        <w:t>เป็นศูนย์กลาง</w:t>
      </w:r>
      <w:r w:rsidRPr="00232FF5">
        <w:rPr>
          <w:rFonts w:ascii="Noto Sans Thai" w:hAnsi="Noto Sans Thai" w:cs="Noto Sans Thai"/>
          <w:szCs w:val="22"/>
          <w:lang w:val="th"/>
        </w:rPr>
        <w:t xml:space="preserve"> </w:t>
      </w:r>
      <w:r w:rsidR="00E13D80">
        <w:rPr>
          <w:rFonts w:ascii="Noto Sans Thai" w:hAnsi="Noto Sans Thai" w:cs="Noto Sans Thai" w:hint="cs"/>
          <w:szCs w:val="22"/>
          <w:cs/>
          <w:lang w:val="th" w:bidi="th-TH"/>
        </w:rPr>
        <w:t>เพื่อ</w:t>
      </w:r>
      <w:r w:rsidRPr="00232FF5">
        <w:rPr>
          <w:rFonts w:ascii="Noto Sans Thai" w:hAnsi="Noto Sans Thai" w:cs="Noto Sans Thai"/>
          <w:szCs w:val="22"/>
          <w:lang w:val="th"/>
        </w:rPr>
        <w:t>ตอบสนองความต้องการของลูกค้า</w:t>
      </w:r>
      <w:r w:rsidR="00E13D80" w:rsidRPr="00E13D80">
        <w:rPr>
          <w:rFonts w:ascii="Noto Sans Thai" w:hAnsi="Noto Sans Thai" w:cs="Noto Sans Thai"/>
          <w:szCs w:val="22"/>
          <w:cs/>
          <w:lang w:val="th" w:bidi="th-TH"/>
        </w:rPr>
        <w:t>ในแต่ละภูมิภาคที่มีความแตกต่างกันได้อย่างตรงจุด</w:t>
      </w:r>
    </w:p>
    <w:p w14:paraId="2FE51A11" w14:textId="77777777" w:rsidR="00B027BA" w:rsidRPr="00232FF5" w:rsidRDefault="00B027BA" w:rsidP="00232FF5">
      <w:pPr>
        <w:jc w:val="left"/>
        <w:rPr>
          <w:rFonts w:ascii="Noto Sans Thai" w:hAnsi="Noto Sans Thai" w:cs="Noto Sans Thai"/>
          <w:bCs/>
          <w:szCs w:val="22"/>
        </w:rPr>
      </w:pPr>
    </w:p>
    <w:p w14:paraId="7B6A7686" w14:textId="205968ED" w:rsidR="00545516" w:rsidRPr="00232FF5" w:rsidRDefault="00545516" w:rsidP="00232FF5">
      <w:pPr>
        <w:jc w:val="left"/>
        <w:rPr>
          <w:rFonts w:ascii="Noto Sans Thai" w:hAnsi="Noto Sans Thai" w:cs="Noto Sans Thai"/>
          <w:bCs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 xml:space="preserve">นวัตกรรมยังเป็นปัจจัยสำคัญต่อความสำเร็จของหน่วยธุรกิจเทคโนโลยีกาวเช่นกัน ดังนั้น Henkel จึงยังคงลงทุนอย่างต่อเนื่องเพื่อวางตำแหน่งของบริษัทให้ประสบความสำเร็จในสภาพแวดล้อมการแข่งขัน หนึ่งในจุดมุ่งเน้นสำคัญคือการขยายเครือข่ายศูนย์วิจัยและนวัตกรรมที่ทันสมัย “Inspiration Centers” ดังกล่าวได้เปิดดำเนินการมาระยะหนึ่งแล้วในเมืองดึสเซลดอร์ฟ เมืองมุมไบ ประเทศอินเดีย และรัฐนิวเจอร์ซีย์ ประเทศสหรัฐอเมริกา ในปี 2025 Henkel ได้เปิด Inspiration Center อีกแห่งหนึ่งในเซี่ยงไฮ้สําหรับภูมิภาคเอเชียแปซิฟิก ด้วยเงินลงทุน 60 ล้านยูโร นักวิจัยและนักพัฒนามากกว่า 500 คนทำงานในศูนย์แห่งนี้ร่วมกับลูกค้าจากหลากหลายอุตสาหกรรม </w:t>
      </w:r>
    </w:p>
    <w:bookmarkEnd w:id="9"/>
    <w:p w14:paraId="14D137F5" w14:textId="77777777" w:rsidR="00A2751B" w:rsidRPr="00232FF5" w:rsidRDefault="00A2751B" w:rsidP="00232FF5">
      <w:pPr>
        <w:jc w:val="left"/>
        <w:rPr>
          <w:rFonts w:ascii="Noto Sans Thai" w:hAnsi="Noto Sans Thai" w:cs="Noto Sans Thai"/>
          <w:bCs/>
          <w:szCs w:val="22"/>
        </w:rPr>
      </w:pPr>
    </w:p>
    <w:p w14:paraId="7AAEEAC0" w14:textId="57B0E1CB" w:rsidR="00E810D3" w:rsidRPr="00232FF5" w:rsidRDefault="00E810D3" w:rsidP="00232FF5">
      <w:pPr>
        <w:jc w:val="left"/>
        <w:rPr>
          <w:rFonts w:ascii="Noto Sans Thai" w:hAnsi="Noto Sans Thai" w:cs="Noto Sans Thai"/>
          <w:bCs/>
          <w:szCs w:val="22"/>
        </w:rPr>
      </w:pPr>
      <w:bookmarkStart w:id="10" w:name="_Hlk190180237"/>
      <w:r w:rsidRPr="00232FF5">
        <w:rPr>
          <w:rFonts w:ascii="Noto Sans Thai" w:hAnsi="Noto Sans Thai" w:cs="Noto Sans Thai"/>
          <w:szCs w:val="22"/>
          <w:lang w:val="th"/>
        </w:rPr>
        <w:t>หนึ่งในลำดับความสำคัญด้าน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ความยั่งยืน</w:t>
      </w:r>
      <w:r w:rsidRPr="00232FF5">
        <w:rPr>
          <w:rFonts w:ascii="Noto Sans Thai" w:hAnsi="Noto Sans Thai" w:cs="Noto Sans Thai"/>
          <w:szCs w:val="22"/>
          <w:lang w:val="th"/>
        </w:rPr>
        <w:t xml:space="preserve">ของ Henkel ยังคงเป็นการลดการปล่อยก๊าซเรือนกระจกตลอดห่วงโซ่คุณค่า ภายในปี 2045 บริษัทตั้งเป้าลดการปล่อยก๊าซเรือนกระจกแบบสัมบูรณ์ในขอบเขต 1, 2 และ 3 ลง 90 เปอร์เซ็นต์ (เมื่อเทียบกับปีฐาน 2021) และบรรลุเป้าหมายการปล่อยก๊าซสุทธิเป็นศูนย์ ในทั้งสามหมวดหมู่ของขอบเขต Henkel มีความก้าวหน้าในปีที่ผ่านมา และได้ลดการปล่อยก๊าซลงแล้ว 29 เปอร์เซ็นต์นับตั้งแต่ปีฐาน 2021 นอกจากนี้ Henkel ยังสามารถปรับปรุงผลการดำเนินงานในด้านห่วงโซ่อุปทานที่ยั่งยืนได้อีกด้วย สัดส่วนของวัตถุดิบจากปาล์มที่จัดหาอย่างมีความรับผิดชอบและได้รับการรับรองขณะนี้อยู่ที่ 98 เปอร์เซ็นต์ </w:t>
      </w:r>
      <w:r w:rsidRPr="00232FF5">
        <w:rPr>
          <w:rFonts w:ascii="Noto Sans Thai" w:hAnsi="Noto Sans Thai" w:cs="Noto Sans Thai"/>
          <w:szCs w:val="22"/>
          <w:lang w:val="th"/>
        </w:rPr>
        <w:lastRenderedPageBreak/>
        <w:t>บริษัทยังได้ปรับปรุงผลการดำเนินงานในด้านการประเมินความยั่งยืนระดับนานาชาติที่ได้รับการยอมรับอีกด้วย หนึ่งในความสำเร็จที่สำคัญคือ Henkel ได้รับคะแนนระดับ A ในหมวดหมู่สภาพภูมิอากาศของการประเมิน CDP ปี 2025 เป็นครั้งแรก Henkel ยังปรับปรุงผลการดำเนินงานในการประเมิน EcoVadis ล่าสุด และได้รับรางวัลระดับ Gold อีกครั้งด้วย</w:t>
      </w:r>
    </w:p>
    <w:bookmarkEnd w:id="10"/>
    <w:p w14:paraId="0671982D" w14:textId="77777777" w:rsidR="00C9109C" w:rsidRPr="00232FF5" w:rsidRDefault="00C9109C" w:rsidP="00232FF5">
      <w:pPr>
        <w:jc w:val="left"/>
        <w:rPr>
          <w:rFonts w:ascii="Noto Sans Thai" w:hAnsi="Noto Sans Thai" w:cs="Noto Sans Thai"/>
          <w:szCs w:val="22"/>
        </w:rPr>
      </w:pPr>
    </w:p>
    <w:p w14:paraId="13AF8950" w14:textId="77D5FC72" w:rsidR="00062741" w:rsidRPr="00232FF5" w:rsidRDefault="00062741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>นอกจากนี้ Henkel ยังมีความก้าวหน้าเพิ่มเติมในด้าน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การเปลี่ยนผ่านสู่ดิจิทัล</w:t>
      </w:r>
      <w:r w:rsidRPr="00232FF5">
        <w:rPr>
          <w:rFonts w:ascii="Noto Sans Thai" w:hAnsi="Noto Sans Thai" w:cs="Noto Sans Thai"/>
          <w:szCs w:val="22"/>
          <w:lang w:val="th"/>
        </w:rPr>
        <w:t xml:space="preserve"> </w:t>
      </w:r>
      <w:bookmarkStart w:id="11" w:name="_Hlk190182641"/>
      <w:r w:rsidRPr="00232FF5">
        <w:rPr>
          <w:rFonts w:ascii="Noto Sans Thai" w:hAnsi="Noto Sans Thai" w:cs="Noto Sans Thai"/>
          <w:szCs w:val="22"/>
          <w:lang w:val="th"/>
        </w:rPr>
        <w:t>ในปี 2025 ความก้าวหน้าอย่างรวดเร็วในด้านปัญญาประดิษฐ์ (AI) เป็นประเด็นสำคัญที่โดดเด่น ปัญญาประดิษฐ์จะมีอิทธิพลอย่างมีนัยสำคัญต่อวิธีการดำเนินธุรกิจของบริษัทในอนาคต Henkel ได้นำเทคโนโลยี AI ไปใช้ในงานจริงหลากหลายด้าน ทั้งในธุรกิจอุตสาหกรรมและธุรกิจสินค้าอุปโภคบริโภค ในปี 2025 Henkel ได้เปิดตัวโฆษณาทางโทรทัศน์ที่ใช้ปัญญาประดิษฐ์เชิงสร้างสรรค์เป็นครั้งแรกในเยอรมนี โดยนำ White Lady อันเป็นสัญลักษณ์ของ Persil ก้าวเข้าสู่ยุคใหม่ นอกจากนี้ AI ยังถูกนำมาใช้ในการทำให้กระบวนการทำงานในห้องปฏิบัติการพัฒนากาวเป็นระบบอัตโนมัติอีกด้วย ในการผลิตแบตเตอรี่ Henkel ใช้การจำลองที่ขับเคลื่อนด้วย AI และโซลูชันการแยกชิ้นส่วนที่เป็นนวัตกรรมใหม่ เพื่อช่วยให้ลูกค้าลดระยะเวลาและต้นทุนในการพัฒนา รวมถึงเพิ่มประสิทธิภาพการทำงานให้เหมาะสมที่สุด</w:t>
      </w:r>
    </w:p>
    <w:p w14:paraId="61B25AFC" w14:textId="77777777" w:rsidR="00062741" w:rsidRPr="00232FF5" w:rsidRDefault="00062741" w:rsidP="00232FF5">
      <w:pPr>
        <w:jc w:val="left"/>
        <w:rPr>
          <w:rFonts w:ascii="Noto Sans Thai" w:hAnsi="Noto Sans Thai" w:cs="Noto Sans Thai"/>
          <w:szCs w:val="22"/>
        </w:rPr>
      </w:pPr>
    </w:p>
    <w:p w14:paraId="752AC14F" w14:textId="4E4246AC" w:rsidR="005F750F" w:rsidRPr="00232FF5" w:rsidRDefault="00E810D3" w:rsidP="00232FF5">
      <w:pPr>
        <w:jc w:val="left"/>
        <w:rPr>
          <w:rFonts w:ascii="Noto Sans Thai" w:hAnsi="Noto Sans Thai" w:cs="Noto Sans Thai"/>
          <w:szCs w:val="22"/>
        </w:rPr>
      </w:pPr>
      <w:bookmarkStart w:id="12" w:name="_Hlk190182811"/>
      <w:bookmarkEnd w:id="11"/>
      <w:r w:rsidRPr="00232FF5">
        <w:rPr>
          <w:rFonts w:ascii="Noto Sans Thai" w:hAnsi="Noto Sans Thai" w:cs="Noto Sans Thai"/>
          <w:szCs w:val="22"/>
          <w:lang w:val="th"/>
        </w:rPr>
        <w:t>ในฐานะส่วนหนึ่งของกลยุทธ์การเติบโตในระยะยาว Henkel กําลังปรับหน่วยธุรกิจให้สอดคล้องกับความต้องการของตลาดที่มีการเปลี่ยนแปลงและความคาดหวังของลูกค้าที่เปลี่ยนแปลงอยู่เสมอ เพื่อให้บรรลุความสําเร็จระยะยาวด้วย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รูปแบบการดําเนินงานที่พร้อมสําหรับอนาคต</w:t>
      </w:r>
      <w:r w:rsidRPr="00232FF5">
        <w:rPr>
          <w:rFonts w:ascii="Noto Sans Thai" w:hAnsi="Noto Sans Thai" w:cs="Noto Sans Thai"/>
          <w:szCs w:val="22"/>
          <w:lang w:val="th"/>
        </w:rPr>
        <w:t xml:space="preserve"> </w:t>
      </w:r>
      <w:bookmarkStart w:id="13" w:name="_Hlk191457890"/>
      <w:bookmarkStart w:id="14" w:name="_Hlk222133417"/>
      <w:r w:rsidRPr="00232FF5">
        <w:rPr>
          <w:rFonts w:ascii="Noto Sans Thai" w:hAnsi="Noto Sans Thai" w:cs="Noto Sans Thai"/>
          <w:szCs w:val="22"/>
          <w:lang w:val="th"/>
        </w:rPr>
        <w:t>ในเดือนมีนาคม 2025 Henkel ได้ประกาศว่าจะประเมินความเป็นไปได้ในการจัดตั้งนิติบุคคลแยกต่างหากในเยอรมนีและบางประเทศสำหรับสองหน่วยธุรกิจ ได้แก่ ธุรกิจเทคโนโลยีกาว (HAT) และธุรกิจคอนซูเมอร์แบรนด์ (HCB) ขั้นตอนนี้ยังเชื่อมโยงกับการเตรียมการสำหรับการย้ายระบบไปสู่ SAP S/4HANA คณะกรรมการบริหารได้หารืออย่างรอบคอบและเห็นชอบข้อเสนอนี้ร่วมกับหน่วยงานกำกับดูแลที่เกี่ยวข้อง ดังนั้น ขั้นตอนแรกที่ตั้งใจไว้คือการจัดตั้งนิติบุคคลแยกต่างหากสำหรับสองหน่วยธุรกิจที่มีอยู่ในปัจจุบันในเยอรมนี การดำเนินการดังกล่าวมีเป้าหมายเพื่อทำให้กระบวนการและโครงสร้างของ Henkel มีความคล่องตัวมากขึ้น และสามารถรองรับความต้องการของธุรกิจในอนาคต รวมถึงวาระการเติบโตของกลุ่มบริษัท Henkel ได้ดียิ่งขึ้น การบริหารเชิงกลยุทธ์และการดำเนินงานของกลุ่มบริษัทและหน่วยธุรกิจจะยังคงไม่เปลี่ยนแปลง ข้อเสนอนี้จะถูกนำเสนอต่อที่ประชุมสามัญประจําปี 2026 เพื่อให้ผู้ถือหุ้นพิจารณาลงมติ</w:t>
      </w:r>
    </w:p>
    <w:bookmarkEnd w:id="13"/>
    <w:bookmarkEnd w:id="14"/>
    <w:p w14:paraId="3A1D5552" w14:textId="77777777" w:rsidR="008B3182" w:rsidRPr="00232FF5" w:rsidRDefault="008B3182" w:rsidP="00232FF5">
      <w:pPr>
        <w:jc w:val="left"/>
        <w:rPr>
          <w:rFonts w:ascii="Noto Sans Thai" w:hAnsi="Noto Sans Thai" w:cs="Noto Sans Thai"/>
          <w:szCs w:val="22"/>
        </w:rPr>
      </w:pPr>
    </w:p>
    <w:bookmarkEnd w:id="12"/>
    <w:p w14:paraId="18EADE9F" w14:textId="12F5C88C" w:rsidR="003A11DF" w:rsidRPr="00232FF5" w:rsidRDefault="003A11DF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 xml:space="preserve">ที่ Henkel 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วัฒนธรรมองค์กร</w:t>
      </w:r>
      <w:r w:rsidRPr="00232FF5">
        <w:rPr>
          <w:rFonts w:ascii="Noto Sans Thai" w:hAnsi="Noto Sans Thai" w:cs="Noto Sans Thai"/>
          <w:szCs w:val="22"/>
          <w:lang w:val="th"/>
        </w:rPr>
        <w:t xml:space="preserve">ที่แข็งแกร่งเป็นรากฐานของวาระการเติบโตอย่างมีเป้าหมาย วัฒนธรรมดังกล่าวมีลักษณะเด่นจากการทำงานร่วมกันบนพื้นฐานของความไว้วางใจระหว่างหน่วยธุรกิจ </w:t>
      </w:r>
      <w:r w:rsidRPr="00232FF5">
        <w:rPr>
          <w:rFonts w:ascii="Noto Sans Thai" w:hAnsi="Noto Sans Thai" w:cs="Noto Sans Thai"/>
          <w:szCs w:val="22"/>
          <w:lang w:val="th"/>
        </w:rPr>
        <w:lastRenderedPageBreak/>
        <w:t>ข้ามพรมแดนประเทศ และระหว่างทีมต่าง ๆ ตลอดจนการส่งเสริมให้พนักงานมีอำนาจในการรับผิดชอบและมีบทบาทเชิงรุกในการกำหนดผลลัพธ์ของงาน วัฒนธรรมลักษณะนี้ต้องได้รับการส่งเสริมอย่างต่อเนื่อง เพื่อให้เข้าใจมุมมองของพนักงานในเรื่องนี้ Henkel ได้ดำเนินการสำรวจที่เรียกว่า pulse checks มาเป็นเวลาหลายปีแล้ว โดยจัดขึ้นเดือนละครั้งกับพนักงานที่ถูกสุ่มเลือกจำนวน 5,000 คน แบบสำรวจที่ไม่ระบุตัวตนเหล่านี้ให้ข้อมูลเชิงลึกที่มีคุณค่าในประเด็นต่าง ๆ เช่น การทำงานร่วมกัน ความรับผิดชอบ นวัตกรรม ความหลากหลาย และความสอดคล้องกับกลยุทธ์ระยะยาวของ Henkel ผลการสำรวจในปี 2025 แสดงให้เห็นว่า Henkel มีความก้าวหน้าอย่างมีนัยสำคัญในด้านเหล่านี้ สิ่งนี้ยืนยันว่าความคิดริเริ่มและมาตรการที่หลากหลายซึ่งดำเนินการในช่วงหลายปีที่ผ่านมาได้ส่งผลอย่างเป็นรูปธรรม และวัฒนธรรมองค์กรได้รับการเสริมสร้างให้แข็งแกร่งขึ้นอย่างต่อเนื่อง</w:t>
      </w:r>
    </w:p>
    <w:p w14:paraId="1A3BACE2" w14:textId="77777777" w:rsidR="00607621" w:rsidRPr="00232FF5" w:rsidRDefault="00607621" w:rsidP="00232FF5">
      <w:pPr>
        <w:jc w:val="left"/>
        <w:rPr>
          <w:rFonts w:ascii="Noto Sans Thai" w:hAnsi="Noto Sans Thai" w:cs="Noto Sans Thai"/>
          <w:szCs w:val="22"/>
        </w:rPr>
      </w:pPr>
    </w:p>
    <w:p w14:paraId="4312476B" w14:textId="4C1895EA" w:rsidR="00FE00EA" w:rsidRPr="00232FF5" w:rsidRDefault="00FE00EA" w:rsidP="00232FF5">
      <w:pPr>
        <w:spacing w:after="120"/>
        <w:jc w:val="left"/>
        <w:rPr>
          <w:rFonts w:ascii="Noto Sans Thai" w:hAnsi="Noto Sans Thai" w:cs="Noto Sans Thai"/>
          <w:b/>
          <w:bCs/>
          <w:szCs w:val="22"/>
        </w:rPr>
      </w:pPr>
      <w:r w:rsidRPr="00232FF5">
        <w:rPr>
          <w:rFonts w:ascii="Noto Sans Thai" w:hAnsi="Noto Sans Thai" w:cs="Noto Sans Thai"/>
          <w:b/>
          <w:bCs/>
          <w:szCs w:val="22"/>
          <w:lang w:val="th"/>
        </w:rPr>
        <w:t>Henkel ฉลองครบรอบ 150 ปีแห่งประวัติ</w:t>
      </w:r>
      <w:r w:rsidR="00647AD4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ศาส</w:t>
      </w:r>
      <w:r w:rsidR="00011789">
        <w:rPr>
          <w:rFonts w:ascii="Noto Sans Thai" w:hAnsi="Noto Sans Thai" w:cs="Noto Sans Thai" w:hint="cs"/>
          <w:b/>
          <w:bCs/>
          <w:szCs w:val="22"/>
          <w:cs/>
          <w:lang w:val="th" w:bidi="th-TH"/>
        </w:rPr>
        <w:t>ตร์</w:t>
      </w:r>
      <w:r w:rsidRPr="00232FF5">
        <w:rPr>
          <w:rFonts w:ascii="Noto Sans Thai" w:hAnsi="Noto Sans Thai" w:cs="Noto Sans Thai"/>
          <w:b/>
          <w:bCs/>
          <w:szCs w:val="22"/>
          <w:lang w:val="th"/>
        </w:rPr>
        <w:t>ความสำเร็จของบริษัท</w:t>
      </w:r>
    </w:p>
    <w:p w14:paraId="1E91AE04" w14:textId="15B1477F" w:rsidR="00062741" w:rsidRPr="00232FF5" w:rsidRDefault="00062741" w:rsidP="00232FF5">
      <w:pPr>
        <w:jc w:val="left"/>
        <w:rPr>
          <w:rFonts w:ascii="Noto Sans Thai" w:hAnsi="Noto Sans Thai" w:cs="Noto Sans Thai"/>
          <w:szCs w:val="22"/>
        </w:rPr>
      </w:pPr>
      <w:bookmarkStart w:id="15" w:name="_Hlk190182989"/>
      <w:r w:rsidRPr="00232FF5">
        <w:rPr>
          <w:rFonts w:ascii="Noto Sans Thai" w:hAnsi="Noto Sans Thai" w:cs="Noto Sans Thai"/>
          <w:szCs w:val="22"/>
          <w:lang w:val="th"/>
        </w:rPr>
        <w:t>“ปี 2025 เป็นอีกหนึ่งปีที่ประสบความสำเร็จ ซึ่งเราได้ก้าวข้ามความท้าทายอีกครั้ง พร้อมทั้งสร้างความก้าวหน้า เราบรรลุเป้าหมายทางการเงินได้เป็นส่วนใหญ่ เราได้ดำเนินวาระการเติบโตอย่างมีเป้าหมายอย่างต่อเนื่องในทุกมิติของกลยุทธ์ และสามารถดำเนินการผสานรวมธุรกิจสินค้าอุปโภคบริโภคของเราได้สำเร็จ เรากำลังเดินมาถูกทาง และการเปลี่ยนผ่านของบริษัทได้แสดงให้เห็นถึงผลลัพธ์ที่จับต้องได้แล้ว” Carsten Knobel กล่าวสรุป</w:t>
      </w:r>
    </w:p>
    <w:p w14:paraId="5720D19B" w14:textId="77777777" w:rsidR="00F460F3" w:rsidRPr="00232FF5" w:rsidRDefault="00F460F3" w:rsidP="00232FF5">
      <w:pPr>
        <w:jc w:val="left"/>
        <w:rPr>
          <w:rFonts w:ascii="Noto Sans Thai" w:hAnsi="Noto Sans Thai" w:cs="Noto Sans Thai"/>
          <w:szCs w:val="22"/>
        </w:rPr>
      </w:pPr>
    </w:p>
    <w:p w14:paraId="65AD4A67" w14:textId="6BB96DCF" w:rsidR="00062741" w:rsidRPr="00232FF5" w:rsidRDefault="00CF4145" w:rsidP="00232FF5">
      <w:pPr>
        <w:jc w:val="left"/>
        <w:rPr>
          <w:rFonts w:ascii="Noto Sans Thai" w:hAnsi="Noto Sans Thai" w:cs="Noto Sans Thai"/>
          <w:szCs w:val="22"/>
        </w:rPr>
      </w:pPr>
      <w:r w:rsidRPr="00232FF5">
        <w:rPr>
          <w:rFonts w:ascii="Noto Sans Thai" w:hAnsi="Noto Sans Thai" w:cs="Noto Sans Thai"/>
          <w:szCs w:val="22"/>
          <w:lang w:val="th"/>
        </w:rPr>
        <w:t xml:space="preserve">“ขณะนี้เรากำลังก้าวเข้าสู่ปี 2026 ซึ่งเป็นปีที่น่าตื่นเต้น เพราะเราเฉลิมฉลองครบรอบ 150 ปีของบริษัท แน่นอนว่าเราภาคภูมิใจในมรดกของเรา แต่สำหรับเรา นั่นไม่ใช่เหตุผลที่จะหยุดนิ่ง ในทางกลับกัน มันเป็นแรงผลักดันสำหรับเส้นทางข้างหน้า เราพร้อมสำหรับอนาคต เช่นเดียวกับที่ผ่านมา เราจะยังคงยึดจิตวิญญาณแห่งการบุกเบิกในการพัฒนาผลิตภัณฑ์และโซลูชันที่มุ่งสู่อนาคต เพื่อคนรุ่นต่อไป ทั้งหมดนี้สอดคล้องอย่างยิ่งกับเป้าหมายของเรา: </w:t>
      </w:r>
      <w:r w:rsidR="00A157C2" w:rsidRPr="006F7DBD">
        <w:rPr>
          <w:sz w:val="18"/>
          <w:szCs w:val="18"/>
        </w:rPr>
        <w:t>Pioneers at heart for the good of generations.</w:t>
      </w:r>
      <w:r w:rsidRPr="00232FF5">
        <w:rPr>
          <w:rFonts w:ascii="Noto Sans Thai" w:hAnsi="Noto Sans Thai" w:cs="Noto Sans Thai"/>
          <w:szCs w:val="22"/>
          <w:lang w:val="th"/>
        </w:rPr>
        <w:t>” Carsten Knobel กล่าวต่อ</w:t>
      </w:r>
    </w:p>
    <w:bookmarkEnd w:id="15"/>
    <w:p w14:paraId="33E22388" w14:textId="77777777" w:rsidR="00B312F1" w:rsidRPr="00232FF5" w:rsidRDefault="00B312F1" w:rsidP="00232FF5">
      <w:pPr>
        <w:spacing w:line="240" w:lineRule="auto"/>
        <w:jc w:val="left"/>
        <w:rPr>
          <w:rFonts w:ascii="Noto Sans Thai" w:eastAsia="PMingLiU" w:hAnsi="Noto Sans Thai" w:cs="Noto Sans Thai"/>
          <w:b/>
          <w:bCs/>
          <w:sz w:val="18"/>
        </w:rPr>
      </w:pPr>
    </w:p>
    <w:p w14:paraId="32D90A78" w14:textId="77777777" w:rsidR="00062741" w:rsidRPr="00232FF5" w:rsidRDefault="00062741" w:rsidP="00232FF5">
      <w:pPr>
        <w:spacing w:line="240" w:lineRule="auto"/>
        <w:jc w:val="left"/>
        <w:rPr>
          <w:rFonts w:ascii="Noto Sans Thai" w:eastAsia="PMingLiU" w:hAnsi="Noto Sans Thai" w:cs="Noto Sans Thai"/>
          <w:b/>
          <w:bCs/>
          <w:sz w:val="18"/>
        </w:rPr>
      </w:pPr>
    </w:p>
    <w:p w14:paraId="040883CB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123249B3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3780BCDF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3AC03AB5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3664DA2A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15850FB6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39505EB8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713E4B28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1CCC40E9" w14:textId="77777777" w:rsidR="00232FF5" w:rsidRDefault="00232FF5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1147D3DC" w14:textId="77777777" w:rsidR="00245E2A" w:rsidRDefault="00245E2A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</w:p>
    <w:p w14:paraId="680187D5" w14:textId="26727D90" w:rsidR="00292C23" w:rsidRPr="00232FF5" w:rsidRDefault="00292C23" w:rsidP="00232FF5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  <w:r w:rsidRPr="00232FF5">
        <w:rPr>
          <w:rFonts w:ascii="Noto Sans Thai" w:hAnsi="Noto Sans Thai" w:cs="Noto Sans Thai"/>
          <w:b/>
          <w:bCs/>
          <w:sz w:val="18"/>
          <w:szCs w:val="18"/>
          <w:lang w:val="th"/>
        </w:rPr>
        <w:lastRenderedPageBreak/>
        <w:t>เกี่ยวกับ Henkel</w:t>
      </w:r>
    </w:p>
    <w:p w14:paraId="1DC4E6EC" w14:textId="1D0F97FA" w:rsidR="00292C23" w:rsidRPr="00232FF5" w:rsidRDefault="00292C23" w:rsidP="00232FF5">
      <w:pPr>
        <w:jc w:val="left"/>
        <w:rPr>
          <w:rFonts w:ascii="Noto Sans Thai" w:hAnsi="Noto Sans Thai" w:cs="Noto Sans Thai"/>
          <w:sz w:val="18"/>
          <w:szCs w:val="18"/>
        </w:rPr>
      </w:pPr>
      <w:r w:rsidRPr="00232FF5">
        <w:rPr>
          <w:rFonts w:ascii="Noto Sans Thai" w:hAnsi="Noto Sans Thai" w:cs="Noto Sans Thai"/>
          <w:sz w:val="18"/>
          <w:szCs w:val="18"/>
          <w:lang w:val="th"/>
        </w:rPr>
        <w:t xml:space="preserve">ด้วยแบรนด์ นวัตกรรม และเทคโนโลยีของเรา ทําให้เราครองตำแหน่งผู้นําตลาดทั่วโลกในธุรกิจอุตสาหกรรมและธุรกิจสินค้าอุปโภคบริโภค หน่วยธุรกิจเทคโนโลยีกาวเป็นผู้นำตลาดระดับโลกในอุตสาหกรรมกาว ซีลแลนท์ และสารเคลือบผิว ธุรกิจคอนซูเมอร์แบรนด์ครองตำแหน่งผู้นำในธุรกิจผลิตภัณฑ์ดูแลเส้นผม ผลิตภัณฑ์ซักล้างและดูแลบ้านในหลายตลาดและหลากหลายหมวดหมู่ธุรกิจทั่วโลก แบรนด์ระดับต้น ๆ สามแบรนด์ของเราคือ Loctite, Persil และ Schwarzkopf ในปีงบประมาณ 2025 บริษัท Henkel มีรายงานยอดขายประมาณ 20.5 พันล้านยูโร และผลกําไรจากการดําเนินงานที่ปรับแล้วประมาณ 3.0 พันล้านยูโร หุ้นบุริมสิทธิของ Henkel จดทะเบียนในดัชนีหุ้น DAX ของเยอรมัน ความยั่งยืนเป็นสิ่งที่ Henkel ยึดมั่นมายาวนาน และบริษัทมีกลยุทธ์ความยั่งยืนที่ชัดเจนพร้อมเป้าหมายเฉพาะ Henkel ก่อตั้งขึ้นในปี 1876 และปัจจุบันมีทีมงานที่มีความหลากหลายจากเพื่อนร่วมงานประมาณ 47,000 คนทั่วโลก ซึ่งรวมกันเป็นวัฒนธรรมองค์กรที่แข็งแกร่ง ยึดมั่นค่านิยมเดียวกัน และมีวัตถุประสงค์ร่วมกัน: "Pioneers at heart for the good of generations.” (บุกเบิกด้วยหัวใจเพื่อสิ่งที่ดีแก่คนรุ่นหลัง) ดูข้อมูลเพิ่มเติมได้ที่ </w:t>
      </w:r>
      <w:hyperlink r:id="rId12" w:history="1">
        <w:r w:rsidRPr="00232FF5">
          <w:rPr>
            <w:rFonts w:ascii="Noto Sans Thai" w:hAnsi="Noto Sans Thai" w:cs="Noto Sans Thai"/>
            <w:color w:val="0000FF"/>
            <w:sz w:val="18"/>
            <w:szCs w:val="18"/>
            <w:u w:val="single"/>
            <w:lang w:val="th"/>
          </w:rPr>
          <w:t>www.henkel.com</w:t>
        </w:r>
      </w:hyperlink>
      <w:r w:rsidRPr="00232FF5">
        <w:rPr>
          <w:rFonts w:ascii="Noto Sans Thai" w:hAnsi="Noto Sans Thai" w:cs="Noto Sans Thai"/>
          <w:sz w:val="18"/>
          <w:szCs w:val="18"/>
          <w:lang w:val="th"/>
        </w:rPr>
        <w:t xml:space="preserve"> </w:t>
      </w:r>
    </w:p>
    <w:p w14:paraId="25DBBED5" w14:textId="77777777" w:rsidR="00292C23" w:rsidRPr="00232FF5" w:rsidRDefault="00292C23" w:rsidP="00232FF5">
      <w:pPr>
        <w:jc w:val="left"/>
        <w:rPr>
          <w:rFonts w:ascii="Noto Sans Thai" w:hAnsi="Noto Sans Thai" w:cs="Noto Sans Thai"/>
          <w:sz w:val="14"/>
          <w:szCs w:val="14"/>
        </w:rPr>
      </w:pPr>
    </w:p>
    <w:p w14:paraId="7A34B5B6" w14:textId="77777777" w:rsidR="00292C23" w:rsidRPr="00232FF5" w:rsidRDefault="00292C23" w:rsidP="00232FF5">
      <w:pPr>
        <w:jc w:val="left"/>
        <w:rPr>
          <w:rFonts w:ascii="Noto Sans Thai" w:hAnsi="Noto Sans Thai" w:cs="Noto Sans Thai"/>
          <w:sz w:val="14"/>
          <w:szCs w:val="14"/>
        </w:rPr>
      </w:pPr>
    </w:p>
    <w:p w14:paraId="532BFA22" w14:textId="77777777" w:rsidR="00292C23" w:rsidRPr="00232FF5" w:rsidRDefault="00292C23" w:rsidP="00232FF5">
      <w:pPr>
        <w:spacing w:after="160" w:line="240" w:lineRule="auto"/>
        <w:jc w:val="left"/>
        <w:rPr>
          <w:rFonts w:ascii="Noto Sans Thai" w:hAnsi="Noto Sans Thai" w:cs="Noto Sans Thai"/>
          <w:sz w:val="14"/>
          <w:szCs w:val="14"/>
        </w:rPr>
      </w:pPr>
      <w:r w:rsidRPr="00232FF5">
        <w:rPr>
          <w:rFonts w:ascii="Noto Sans Thai" w:hAnsi="Noto Sans Thai" w:cs="Noto Sans Thai"/>
          <w:sz w:val="14"/>
          <w:szCs w:val="14"/>
          <w:lang w:val="th"/>
        </w:rPr>
        <w:t>เอกสารนี้ประกอบด้วยคําแถลงที่อ้างถึงการพัฒนาธุรกิจในอนาคต ผลการดําเนินงานทางการเงิน และเหตุการณ์หรือการพัฒนาอื่น ๆ ที่เกี่ยวข้องกับ Henkel ในอนาคต ซึ่งอาจถือเป็นคําแถลงการคาดการณ์ล่วงหน้า คําแถลงต่าง ๆ อย่างเช่น "คาดหวัง" "ตั้งใจ" "วางแผน" "คาดการณ์" "เชื่อ" "ประเมิน" และคําที่คล้ายคลึงกันเป็นลักษณะของคําแถลงเกี่ยวกับอนาคต คําแถลงดังกล่าวอ้างอิงตามการประเมินและสมมติฐานปัจจุบันของฝ่ายบริหารของบริษัท Henkel AG &amp; Co. KGaA คําแถลงเหล่านี้ไม่ได้หมายความถึงการรับประกันว่าความคาดหวังเหล่านั้นจะพิสูจน์ได้ว่ามีความถูกต้อง ผลการดําเนินงานในอนาคตและผลลัพธ์ที่เกิดขึ้นจริงของ Henkel AG &amp; Co. KGaA และบริษัทในเครือขึ้นอยู่กับความเสี่ยงและความไม่แน่นอนหลายประการ และอาจแตกต่างอย่างมีนัยสําคัญ (ทั้งในเชิงบวกและเชิงลบ) จากคําแถลงที่คาดการณ์ล่วงหน้า ปัจจัยหลายประการเหล่านี้อยู่นอกเหนือการควบคุมของ Henkel และไม่สามารถประเมินได้ล่วงหน้าอย่างถูกต้อง เช่น สภาพแวดล้อมทางเศรษฐกิจในอนาคต และการกระทําของคู่แข่งและบุคคลอื่น ๆ ที่เกี่ยวข้องในตลาด Henkel ไม่มีแผนหรือสัญญาว่าจะปรับปรุงคําแถลงการคาดการณ์ล่วงหน้านี้</w:t>
      </w:r>
    </w:p>
    <w:p w14:paraId="5927BD4C" w14:textId="77777777" w:rsidR="00292C23" w:rsidRPr="00232FF5" w:rsidRDefault="00292C23" w:rsidP="00232FF5">
      <w:pPr>
        <w:spacing w:after="160" w:line="240" w:lineRule="auto"/>
        <w:jc w:val="left"/>
        <w:rPr>
          <w:rFonts w:ascii="Noto Sans Thai" w:hAnsi="Noto Sans Thai" w:cs="Noto Sans Thai"/>
          <w:sz w:val="14"/>
          <w:szCs w:val="14"/>
        </w:rPr>
      </w:pPr>
      <w:r w:rsidRPr="00232FF5">
        <w:rPr>
          <w:rFonts w:ascii="Noto Sans Thai" w:hAnsi="Noto Sans Thai" w:cs="Noto Sans Thai"/>
          <w:sz w:val="14"/>
          <w:szCs w:val="14"/>
          <w:lang w:val="th"/>
        </w:rPr>
        <w:t>เอกสารนี้ประกอบด้วยตัวชี้วัดทางการเงินเพิ่มเติมที่ไม่ได้นิยามไว้อย่างชัดเจนในกรอบการรายงานทางการเงินที่เกี่ยวข้อง และเป็นหรืออาจเป็นมาตรการทางเลือกในการวัดผลการดำเนินงาน ผู้อ่านไม่ควรมองว่าตัวชี้วัดทางการเงินเพิ่มเติมเหล่านี้แยกกันหรือเป็นทางเลือกแทนการวัดสินทรัพย์สุทธิและสถานะทางการเงินหรือผลลัพธ์จากการดําเนินงานของ Henkel ตามที่นําเสนอตามกรอบการรายงานทางการเงินที่เกี่ยวข้องในงบแสดงฐานะทางการเงินรวม (Consolidated Financial Statement) บริษัทอื่น ๆ ที่รายงานหรืออธิบายตัวชี้วัดผลการดำเนินงานทางเลือกที่มีชื่อคล้ายคลึงกันอาจมีการคํานวณด้วยวิธีที่แตกต่างกัน</w:t>
      </w:r>
    </w:p>
    <w:p w14:paraId="6495E95E" w14:textId="77777777" w:rsidR="00292C23" w:rsidRPr="00232FF5" w:rsidRDefault="00292C23" w:rsidP="00232FF5">
      <w:pPr>
        <w:spacing w:after="160" w:line="240" w:lineRule="auto"/>
        <w:jc w:val="left"/>
        <w:rPr>
          <w:rFonts w:ascii="Noto Sans Thai" w:hAnsi="Noto Sans Thai" w:cs="Noto Sans Thai"/>
          <w:sz w:val="14"/>
          <w:szCs w:val="14"/>
        </w:rPr>
      </w:pPr>
      <w:r w:rsidRPr="00232FF5">
        <w:rPr>
          <w:rFonts w:ascii="Noto Sans Thai" w:hAnsi="Noto Sans Thai" w:cs="Noto Sans Thai"/>
          <w:sz w:val="14"/>
          <w:szCs w:val="14"/>
          <w:lang w:val="th"/>
        </w:rPr>
        <w:t>เอกสารฉบับนี้จัดทำขึ้นเพื่อวัตถุประสงค์ในการให้ข้อมูลเท่านั้น และไม่ได้มีจุดมุ่งหมายเพื่อใช้เป็นคำแนะนำในการลงทุน การเสนอขาย หรือการชักชวนให้เสนอซื้อหลักทรัพย์ใด ๆ</w:t>
      </w:r>
    </w:p>
    <w:p w14:paraId="6626B667" w14:textId="77777777" w:rsidR="00292C23" w:rsidRPr="00232FF5" w:rsidRDefault="00292C23" w:rsidP="00232FF5">
      <w:pPr>
        <w:tabs>
          <w:tab w:val="left" w:pos="1080"/>
          <w:tab w:val="left" w:pos="4500"/>
        </w:tabs>
        <w:spacing w:line="264" w:lineRule="auto"/>
        <w:jc w:val="left"/>
        <w:rPr>
          <w:rFonts w:ascii="Noto Sans Thai" w:eastAsia="PMingLiU" w:hAnsi="Noto Sans Thai" w:cs="Noto Sans Thai"/>
          <w:b/>
          <w:sz w:val="18"/>
          <w:szCs w:val="18"/>
        </w:rPr>
      </w:pPr>
    </w:p>
    <w:p w14:paraId="763085E6" w14:textId="0579D4F4" w:rsidR="00292C23" w:rsidRPr="00232FF5" w:rsidRDefault="00292C23" w:rsidP="00232FF5">
      <w:pPr>
        <w:spacing w:line="240" w:lineRule="auto"/>
        <w:jc w:val="left"/>
        <w:rPr>
          <w:rFonts w:ascii="Noto Sans Thai" w:hAnsi="Noto Sans Thai" w:cs="Noto Sans Thai"/>
          <w:b/>
          <w:sz w:val="18"/>
          <w:szCs w:val="18"/>
        </w:rPr>
      </w:pPr>
    </w:p>
    <w:p w14:paraId="6D912826" w14:textId="5149EBD1" w:rsidR="00613E37" w:rsidRPr="00232FF5" w:rsidRDefault="00613E37" w:rsidP="00232FF5">
      <w:pPr>
        <w:spacing w:line="240" w:lineRule="auto"/>
        <w:jc w:val="left"/>
        <w:rPr>
          <w:rFonts w:ascii="Noto Sans Thai" w:hAnsi="Noto Sans Thai" w:cs="Noto Sans Thai"/>
          <w:b/>
          <w:sz w:val="18"/>
          <w:szCs w:val="18"/>
        </w:rPr>
      </w:pPr>
      <w:r w:rsidRPr="00232FF5">
        <w:rPr>
          <w:rFonts w:ascii="Noto Sans Thai" w:hAnsi="Noto Sans Thai" w:cs="Noto Sans Thai"/>
          <w:b/>
          <w:bCs/>
          <w:sz w:val="18"/>
          <w:szCs w:val="18"/>
          <w:lang w:val="th"/>
        </w:rPr>
        <w:t>ข้อมูลติดต่อ</w:t>
      </w:r>
    </w:p>
    <w:p w14:paraId="74BE1DFB" w14:textId="77777777" w:rsidR="00613E37" w:rsidRPr="00232FF5" w:rsidRDefault="00613E37" w:rsidP="00232FF5">
      <w:pPr>
        <w:jc w:val="left"/>
        <w:rPr>
          <w:rFonts w:ascii="Noto Sans Thai" w:hAnsi="Noto Sans Thai" w:cs="Noto Sans Thai"/>
          <w:b/>
          <w:sz w:val="18"/>
          <w:szCs w:val="18"/>
        </w:rPr>
      </w:pPr>
    </w:p>
    <w:p w14:paraId="3C9120D7" w14:textId="77777777" w:rsidR="00613E37" w:rsidRPr="00232FF5" w:rsidRDefault="00613E37" w:rsidP="00232FF5">
      <w:pPr>
        <w:jc w:val="left"/>
        <w:rPr>
          <w:rFonts w:ascii="Noto Sans Thai" w:hAnsi="Noto Sans Thai" w:cs="Noto Sans Thai"/>
          <w:b/>
          <w:sz w:val="18"/>
          <w:szCs w:val="18"/>
        </w:rPr>
      </w:pPr>
      <w:r w:rsidRPr="00232FF5">
        <w:rPr>
          <w:rFonts w:ascii="Noto Sans Thai" w:hAnsi="Noto Sans Thai" w:cs="Noto Sans Thai"/>
          <w:b/>
          <w:bCs/>
          <w:sz w:val="18"/>
          <w:szCs w:val="18"/>
          <w:lang w:val="th"/>
        </w:rPr>
        <w:t>Cheerio Chan</w:t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</w:p>
    <w:p w14:paraId="26A5BF49" w14:textId="77777777" w:rsidR="00613E37" w:rsidRPr="00232FF5" w:rsidRDefault="00613E37" w:rsidP="00232FF5">
      <w:pPr>
        <w:jc w:val="left"/>
        <w:rPr>
          <w:rFonts w:ascii="Noto Sans Thai" w:hAnsi="Noto Sans Thai" w:cs="Noto Sans Thai"/>
          <w:bCs/>
          <w:sz w:val="18"/>
          <w:szCs w:val="18"/>
        </w:rPr>
      </w:pPr>
      <w:r w:rsidRPr="00232FF5">
        <w:rPr>
          <w:rFonts w:ascii="Noto Sans Thai" w:hAnsi="Noto Sans Thai" w:cs="Noto Sans Thai"/>
          <w:sz w:val="18"/>
          <w:szCs w:val="18"/>
          <w:lang w:val="th"/>
        </w:rPr>
        <w:t>+65 8799 3216</w:t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</w:p>
    <w:p w14:paraId="23552B25" w14:textId="3FA80B91" w:rsidR="00A15D78" w:rsidRPr="00232FF5" w:rsidRDefault="00613E37" w:rsidP="00232FF5">
      <w:pPr>
        <w:jc w:val="left"/>
        <w:rPr>
          <w:rStyle w:val="Hyperlink"/>
          <w:rFonts w:ascii="Noto Sans Thai" w:hAnsi="Noto Sans Thai" w:cs="Noto Sans Thai"/>
        </w:rPr>
      </w:pPr>
      <w:r w:rsidRPr="00232FF5">
        <w:rPr>
          <w:rFonts w:ascii="Noto Sans Thai" w:hAnsi="Noto Sans Thai" w:cs="Noto Sans Thai"/>
          <w:sz w:val="18"/>
          <w:szCs w:val="18"/>
          <w:lang w:val="th"/>
        </w:rPr>
        <w:t>cheerio.chan@henkel.com</w:t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  <w:r w:rsidRPr="00232FF5">
        <w:rPr>
          <w:rFonts w:ascii="Noto Sans Thai" w:hAnsi="Noto Sans Thai" w:cs="Noto Sans Thai"/>
          <w:sz w:val="18"/>
          <w:szCs w:val="18"/>
          <w:lang w:val="th"/>
        </w:rPr>
        <w:tab/>
      </w:r>
    </w:p>
    <w:sectPr w:rsidR="00A15D78" w:rsidRPr="00232FF5" w:rsidSect="00C65957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246A" w14:textId="77777777" w:rsidR="008B4E1F" w:rsidRDefault="008B4E1F">
      <w:r>
        <w:separator/>
      </w:r>
    </w:p>
  </w:endnote>
  <w:endnote w:type="continuationSeparator" w:id="0">
    <w:p w14:paraId="4A98398E" w14:textId="77777777" w:rsidR="008B4E1F" w:rsidRDefault="008B4E1F">
      <w:r>
        <w:continuationSeparator/>
      </w:r>
    </w:p>
  </w:endnote>
  <w:endnote w:type="continuationNotice" w:id="1">
    <w:p w14:paraId="039B12E9" w14:textId="77777777" w:rsidR="008B4E1F" w:rsidRDefault="008B4E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Thai">
    <w:altName w:val="Browallia New"/>
    <w:panose1 w:val="020B0502040504020204"/>
    <w:charset w:val="00"/>
    <w:family w:val="swiss"/>
    <w:pitch w:val="variable"/>
    <w:sig w:usb0="81000067" w:usb1="00002000" w:usb2="00000000" w:usb3="00000000" w:csb0="0001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74CEDE3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bCs w:val="0"/>
        <w:lang w:val="th"/>
      </w:rPr>
      <w:t>Henkel AG &amp; Co. KGaA</w:t>
    </w:r>
    <w:r>
      <w:rPr>
        <w:bCs w:val="0"/>
        <w:lang w:val="th"/>
      </w:rPr>
      <w:tab/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2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fldSimple w:instr="NUMPAGES  \* Arabic  \* MERGEFORMAT">
      <w:r>
        <w:rPr>
          <w:bCs w:val="0"/>
          <w:lang w:val="th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3CE1EBA8" w:rsidR="00CF6F33" w:rsidRPr="00992A11" w:rsidRDefault="006D006A" w:rsidP="00992A11">
    <w:pPr>
      <w:pStyle w:val="Footer"/>
    </w:pPr>
    <w:r>
      <w:rPr>
        <w:bCs w:val="0"/>
        <w:lang w:val="th"/>
      </w:rPr>
      <w:drawing>
        <wp:anchor distT="0" distB="0" distL="114300" distR="114300" simplePos="0" relativeHeight="251660289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lang w:val="th"/>
      </w:rPr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NUMPAGES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9B61" w14:textId="77777777" w:rsidR="008B4E1F" w:rsidRDefault="008B4E1F">
      <w:r>
        <w:separator/>
      </w:r>
    </w:p>
  </w:footnote>
  <w:footnote w:type="continuationSeparator" w:id="0">
    <w:p w14:paraId="2C73E080" w14:textId="77777777" w:rsidR="008B4E1F" w:rsidRDefault="008B4E1F">
      <w:r>
        <w:continuationSeparator/>
      </w:r>
    </w:p>
  </w:footnote>
  <w:footnote w:type="continuationNotice" w:id="1">
    <w:p w14:paraId="4805DD46" w14:textId="77777777" w:rsidR="008B4E1F" w:rsidRDefault="008B4E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05DAD93D" w:rsidR="00CF6F33" w:rsidRPr="00232FF5" w:rsidRDefault="0059722C" w:rsidP="00EB46D9">
    <w:pPr>
      <w:pStyle w:val="Header"/>
      <w:rPr>
        <w:rFonts w:ascii="Noto Sans Thai" w:hAnsi="Noto Sans Thai" w:cs="Noto Sans Thai"/>
      </w:rPr>
    </w:pPr>
    <w:r>
      <w:rPr>
        <w:b w:val="0"/>
        <w:bCs w:val="0"/>
        <w:noProof/>
        <w:lang w:val="th"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  <w:lang w:val="t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8350C8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Pr="00232FF5">
      <w:rPr>
        <w:rFonts w:ascii="Noto Sans Thai" w:hAnsi="Noto Sans Thai" w:cs="Noto Sans Thai"/>
        <w:noProof/>
        <w:lang w:val="th"/>
      </w:rPr>
      <w:t>ข่าว</w:t>
    </w:r>
    <w:r w:rsidRPr="00232FF5">
      <w:rPr>
        <w:rFonts w:ascii="Noto Sans Thai" w:hAnsi="Noto Sans Thai" w:cs="Noto Sans Thai"/>
        <w:lang w:val="th"/>
      </w:rPr>
      <w:t>ประชาสัมพันธ์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B67"/>
    <w:multiLevelType w:val="multilevel"/>
    <w:tmpl w:val="42E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2993">
    <w:abstractNumId w:val="1"/>
  </w:num>
  <w:num w:numId="2" w16cid:durableId="165293174">
    <w:abstractNumId w:val="0"/>
  </w:num>
  <w:num w:numId="3" w16cid:durableId="1508134485">
    <w:abstractNumId w:val="8"/>
  </w:num>
  <w:num w:numId="4" w16cid:durableId="1234970366">
    <w:abstractNumId w:val="5"/>
  </w:num>
  <w:num w:numId="5" w16cid:durableId="1008554684">
    <w:abstractNumId w:val="3"/>
  </w:num>
  <w:num w:numId="6" w16cid:durableId="933825870">
    <w:abstractNumId w:val="6"/>
  </w:num>
  <w:num w:numId="7" w16cid:durableId="912852597">
    <w:abstractNumId w:val="4"/>
  </w:num>
  <w:num w:numId="8" w16cid:durableId="1625698526">
    <w:abstractNumId w:val="7"/>
  </w:num>
  <w:num w:numId="9" w16cid:durableId="200142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0883"/>
    <w:rsid w:val="00002AA4"/>
    <w:rsid w:val="00005267"/>
    <w:rsid w:val="00005415"/>
    <w:rsid w:val="00006346"/>
    <w:rsid w:val="000069EB"/>
    <w:rsid w:val="00006A45"/>
    <w:rsid w:val="00007410"/>
    <w:rsid w:val="00011789"/>
    <w:rsid w:val="00011DDB"/>
    <w:rsid w:val="00013644"/>
    <w:rsid w:val="00014FC1"/>
    <w:rsid w:val="00016137"/>
    <w:rsid w:val="00016A4F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5CCB"/>
    <w:rsid w:val="000471D0"/>
    <w:rsid w:val="000510FC"/>
    <w:rsid w:val="00051555"/>
    <w:rsid w:val="000517E2"/>
    <w:rsid w:val="00051E86"/>
    <w:rsid w:val="00054AFE"/>
    <w:rsid w:val="0005544E"/>
    <w:rsid w:val="00055CE4"/>
    <w:rsid w:val="000575F9"/>
    <w:rsid w:val="000618FC"/>
    <w:rsid w:val="00062741"/>
    <w:rsid w:val="0006442E"/>
    <w:rsid w:val="00065466"/>
    <w:rsid w:val="000665F3"/>
    <w:rsid w:val="00066A9C"/>
    <w:rsid w:val="00067071"/>
    <w:rsid w:val="00067F67"/>
    <w:rsid w:val="00070652"/>
    <w:rsid w:val="00070757"/>
    <w:rsid w:val="00071284"/>
    <w:rsid w:val="0007275A"/>
    <w:rsid w:val="00073AED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29D4"/>
    <w:rsid w:val="0008357F"/>
    <w:rsid w:val="00083A35"/>
    <w:rsid w:val="00083A61"/>
    <w:rsid w:val="00083DAB"/>
    <w:rsid w:val="0008406B"/>
    <w:rsid w:val="00084918"/>
    <w:rsid w:val="00085F9F"/>
    <w:rsid w:val="00090DB6"/>
    <w:rsid w:val="00090E73"/>
    <w:rsid w:val="00091F11"/>
    <w:rsid w:val="00092511"/>
    <w:rsid w:val="00093255"/>
    <w:rsid w:val="00094235"/>
    <w:rsid w:val="0009476D"/>
    <w:rsid w:val="00096AD4"/>
    <w:rsid w:val="000979FE"/>
    <w:rsid w:val="000A0598"/>
    <w:rsid w:val="000A05E0"/>
    <w:rsid w:val="000A06FB"/>
    <w:rsid w:val="000A31D3"/>
    <w:rsid w:val="000A50CF"/>
    <w:rsid w:val="000A511E"/>
    <w:rsid w:val="000A64B3"/>
    <w:rsid w:val="000A6C25"/>
    <w:rsid w:val="000B005C"/>
    <w:rsid w:val="000B10DE"/>
    <w:rsid w:val="000B2623"/>
    <w:rsid w:val="000B2E86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10A"/>
    <w:rsid w:val="000C27E5"/>
    <w:rsid w:val="000C30D6"/>
    <w:rsid w:val="000C47D1"/>
    <w:rsid w:val="000C50A1"/>
    <w:rsid w:val="000C56DD"/>
    <w:rsid w:val="000C63F4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21E4"/>
    <w:rsid w:val="000E2F62"/>
    <w:rsid w:val="000E38ED"/>
    <w:rsid w:val="000E45C7"/>
    <w:rsid w:val="000E67D5"/>
    <w:rsid w:val="000E755E"/>
    <w:rsid w:val="000E7F24"/>
    <w:rsid w:val="000F03BE"/>
    <w:rsid w:val="000F10AC"/>
    <w:rsid w:val="000F1757"/>
    <w:rsid w:val="000F225B"/>
    <w:rsid w:val="000F333E"/>
    <w:rsid w:val="000F3949"/>
    <w:rsid w:val="000F41BC"/>
    <w:rsid w:val="000F48E9"/>
    <w:rsid w:val="000F4DAE"/>
    <w:rsid w:val="000F7ADB"/>
    <w:rsid w:val="000F7FAF"/>
    <w:rsid w:val="00100D8B"/>
    <w:rsid w:val="00102045"/>
    <w:rsid w:val="00102264"/>
    <w:rsid w:val="00103537"/>
    <w:rsid w:val="0010421C"/>
    <w:rsid w:val="0010465B"/>
    <w:rsid w:val="001050D7"/>
    <w:rsid w:val="0010570F"/>
    <w:rsid w:val="00105975"/>
    <w:rsid w:val="00110090"/>
    <w:rsid w:val="00110407"/>
    <w:rsid w:val="0011116D"/>
    <w:rsid w:val="00111386"/>
    <w:rsid w:val="001118DF"/>
    <w:rsid w:val="00111F4D"/>
    <w:rsid w:val="001125B2"/>
    <w:rsid w:val="00112A28"/>
    <w:rsid w:val="00113571"/>
    <w:rsid w:val="00114DDF"/>
    <w:rsid w:val="00114FAA"/>
    <w:rsid w:val="00115230"/>
    <w:rsid w:val="00115AE1"/>
    <w:rsid w:val="00115B5F"/>
    <w:rsid w:val="001162B4"/>
    <w:rsid w:val="00116DF3"/>
    <w:rsid w:val="00122B90"/>
    <w:rsid w:val="00122CBC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B99"/>
    <w:rsid w:val="0013569C"/>
    <w:rsid w:val="00135939"/>
    <w:rsid w:val="001369E3"/>
    <w:rsid w:val="001375DD"/>
    <w:rsid w:val="00142EFB"/>
    <w:rsid w:val="001438BF"/>
    <w:rsid w:val="001443BD"/>
    <w:rsid w:val="00144A87"/>
    <w:rsid w:val="001452C6"/>
    <w:rsid w:val="00145B62"/>
    <w:rsid w:val="00146193"/>
    <w:rsid w:val="00147E09"/>
    <w:rsid w:val="00152022"/>
    <w:rsid w:val="00152026"/>
    <w:rsid w:val="00152392"/>
    <w:rsid w:val="00152A41"/>
    <w:rsid w:val="001544C3"/>
    <w:rsid w:val="00154D13"/>
    <w:rsid w:val="00154D75"/>
    <w:rsid w:val="001564BB"/>
    <w:rsid w:val="001577E9"/>
    <w:rsid w:val="00157A59"/>
    <w:rsid w:val="00157F37"/>
    <w:rsid w:val="0016138C"/>
    <w:rsid w:val="00162D60"/>
    <w:rsid w:val="001640D5"/>
    <w:rsid w:val="001653D7"/>
    <w:rsid w:val="001659FB"/>
    <w:rsid w:val="001660F1"/>
    <w:rsid w:val="00171763"/>
    <w:rsid w:val="00171D3F"/>
    <w:rsid w:val="00172151"/>
    <w:rsid w:val="00172C99"/>
    <w:rsid w:val="001731CE"/>
    <w:rsid w:val="001742EE"/>
    <w:rsid w:val="00175C72"/>
    <w:rsid w:val="00177D1E"/>
    <w:rsid w:val="00180F93"/>
    <w:rsid w:val="00181B06"/>
    <w:rsid w:val="0018672E"/>
    <w:rsid w:val="001928FC"/>
    <w:rsid w:val="00193BD5"/>
    <w:rsid w:val="00194571"/>
    <w:rsid w:val="00196308"/>
    <w:rsid w:val="0019782F"/>
    <w:rsid w:val="00197969"/>
    <w:rsid w:val="00197E9B"/>
    <w:rsid w:val="001A1185"/>
    <w:rsid w:val="001A2F80"/>
    <w:rsid w:val="001A3D77"/>
    <w:rsid w:val="001A4A02"/>
    <w:rsid w:val="001B0084"/>
    <w:rsid w:val="001B2049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43A5"/>
    <w:rsid w:val="001C4BE1"/>
    <w:rsid w:val="001C5338"/>
    <w:rsid w:val="001C5847"/>
    <w:rsid w:val="001C7F21"/>
    <w:rsid w:val="001D1497"/>
    <w:rsid w:val="001D5534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5BA"/>
    <w:rsid w:val="001E3A31"/>
    <w:rsid w:val="001E4690"/>
    <w:rsid w:val="001E49D3"/>
    <w:rsid w:val="001E4CCB"/>
    <w:rsid w:val="001E51A6"/>
    <w:rsid w:val="001E6D05"/>
    <w:rsid w:val="001E73E8"/>
    <w:rsid w:val="001E7C28"/>
    <w:rsid w:val="001F0C14"/>
    <w:rsid w:val="001F0F3B"/>
    <w:rsid w:val="001F11A1"/>
    <w:rsid w:val="001F1AB5"/>
    <w:rsid w:val="001F1BDF"/>
    <w:rsid w:val="001F1D6D"/>
    <w:rsid w:val="001F35F8"/>
    <w:rsid w:val="001F39FC"/>
    <w:rsid w:val="001F4AC3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528D"/>
    <w:rsid w:val="0020543B"/>
    <w:rsid w:val="00205A66"/>
    <w:rsid w:val="002063CF"/>
    <w:rsid w:val="00206613"/>
    <w:rsid w:val="0020756B"/>
    <w:rsid w:val="00207E75"/>
    <w:rsid w:val="00210D43"/>
    <w:rsid w:val="00210D86"/>
    <w:rsid w:val="002110BE"/>
    <w:rsid w:val="0021158F"/>
    <w:rsid w:val="00212488"/>
    <w:rsid w:val="002129A6"/>
    <w:rsid w:val="002151DB"/>
    <w:rsid w:val="00220628"/>
    <w:rsid w:val="00221A45"/>
    <w:rsid w:val="00221BA0"/>
    <w:rsid w:val="00223EE1"/>
    <w:rsid w:val="00224CB4"/>
    <w:rsid w:val="002260C7"/>
    <w:rsid w:val="002304D2"/>
    <w:rsid w:val="002310E3"/>
    <w:rsid w:val="00232594"/>
    <w:rsid w:val="00232FF5"/>
    <w:rsid w:val="002338C1"/>
    <w:rsid w:val="00233D04"/>
    <w:rsid w:val="00234ABD"/>
    <w:rsid w:val="00236491"/>
    <w:rsid w:val="00236C3B"/>
    <w:rsid w:val="00236E2A"/>
    <w:rsid w:val="00237F62"/>
    <w:rsid w:val="00241E10"/>
    <w:rsid w:val="00242C71"/>
    <w:rsid w:val="0024586A"/>
    <w:rsid w:val="00245E2A"/>
    <w:rsid w:val="0024601F"/>
    <w:rsid w:val="002464E3"/>
    <w:rsid w:val="0024732C"/>
    <w:rsid w:val="002502E1"/>
    <w:rsid w:val="00250C98"/>
    <w:rsid w:val="00250F80"/>
    <w:rsid w:val="0025124F"/>
    <w:rsid w:val="002518A2"/>
    <w:rsid w:val="002528B3"/>
    <w:rsid w:val="00253854"/>
    <w:rsid w:val="0025551F"/>
    <w:rsid w:val="00255F8C"/>
    <w:rsid w:val="00256174"/>
    <w:rsid w:val="00256F0C"/>
    <w:rsid w:val="00257231"/>
    <w:rsid w:val="00260318"/>
    <w:rsid w:val="00261C23"/>
    <w:rsid w:val="00262C05"/>
    <w:rsid w:val="0027036E"/>
    <w:rsid w:val="002715AF"/>
    <w:rsid w:val="002717F0"/>
    <w:rsid w:val="0027214F"/>
    <w:rsid w:val="0027301C"/>
    <w:rsid w:val="00273099"/>
    <w:rsid w:val="0027523B"/>
    <w:rsid w:val="00281D14"/>
    <w:rsid w:val="00282C13"/>
    <w:rsid w:val="002833D8"/>
    <w:rsid w:val="002836D7"/>
    <w:rsid w:val="00284538"/>
    <w:rsid w:val="00285669"/>
    <w:rsid w:val="002858F6"/>
    <w:rsid w:val="00286BF6"/>
    <w:rsid w:val="002903B7"/>
    <w:rsid w:val="002919AD"/>
    <w:rsid w:val="00292C23"/>
    <w:rsid w:val="00295E54"/>
    <w:rsid w:val="002962D7"/>
    <w:rsid w:val="00296C33"/>
    <w:rsid w:val="002A0D7B"/>
    <w:rsid w:val="002A0DF7"/>
    <w:rsid w:val="002A268C"/>
    <w:rsid w:val="002A2975"/>
    <w:rsid w:val="002A460D"/>
    <w:rsid w:val="002A505B"/>
    <w:rsid w:val="002A5EE9"/>
    <w:rsid w:val="002A60E0"/>
    <w:rsid w:val="002A69D0"/>
    <w:rsid w:val="002A72F8"/>
    <w:rsid w:val="002B1AA8"/>
    <w:rsid w:val="002B1E87"/>
    <w:rsid w:val="002B4583"/>
    <w:rsid w:val="002B687A"/>
    <w:rsid w:val="002C1344"/>
    <w:rsid w:val="002C252E"/>
    <w:rsid w:val="002C3A2A"/>
    <w:rsid w:val="002C458A"/>
    <w:rsid w:val="002C6093"/>
    <w:rsid w:val="002C6552"/>
    <w:rsid w:val="002C6773"/>
    <w:rsid w:val="002C6F51"/>
    <w:rsid w:val="002C73EC"/>
    <w:rsid w:val="002D0FE0"/>
    <w:rsid w:val="002D269A"/>
    <w:rsid w:val="002D2A3D"/>
    <w:rsid w:val="002D3E72"/>
    <w:rsid w:val="002D3EAC"/>
    <w:rsid w:val="002D46A9"/>
    <w:rsid w:val="002D535D"/>
    <w:rsid w:val="002D5D1D"/>
    <w:rsid w:val="002D6EFD"/>
    <w:rsid w:val="002D74CF"/>
    <w:rsid w:val="002D77FD"/>
    <w:rsid w:val="002D7B8C"/>
    <w:rsid w:val="002E0A45"/>
    <w:rsid w:val="002E0B17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2A7B"/>
    <w:rsid w:val="002F4AB2"/>
    <w:rsid w:val="002F4F67"/>
    <w:rsid w:val="002F5010"/>
    <w:rsid w:val="002F5944"/>
    <w:rsid w:val="002F7BC2"/>
    <w:rsid w:val="002F7E11"/>
    <w:rsid w:val="003002BA"/>
    <w:rsid w:val="0030037C"/>
    <w:rsid w:val="003008B9"/>
    <w:rsid w:val="00304087"/>
    <w:rsid w:val="00305132"/>
    <w:rsid w:val="003053DC"/>
    <w:rsid w:val="003054B0"/>
    <w:rsid w:val="003057B1"/>
    <w:rsid w:val="003062AD"/>
    <w:rsid w:val="00310ACD"/>
    <w:rsid w:val="00312C23"/>
    <w:rsid w:val="0031379F"/>
    <w:rsid w:val="00313A9C"/>
    <w:rsid w:val="0031621E"/>
    <w:rsid w:val="00316A16"/>
    <w:rsid w:val="00316B30"/>
    <w:rsid w:val="00320228"/>
    <w:rsid w:val="00320372"/>
    <w:rsid w:val="00320A26"/>
    <w:rsid w:val="003212F3"/>
    <w:rsid w:val="00321344"/>
    <w:rsid w:val="00321622"/>
    <w:rsid w:val="00321788"/>
    <w:rsid w:val="00323FA3"/>
    <w:rsid w:val="00325064"/>
    <w:rsid w:val="00325EC9"/>
    <w:rsid w:val="00326735"/>
    <w:rsid w:val="003279C6"/>
    <w:rsid w:val="0032B295"/>
    <w:rsid w:val="00331A3E"/>
    <w:rsid w:val="0033451C"/>
    <w:rsid w:val="00335660"/>
    <w:rsid w:val="00335FBD"/>
    <w:rsid w:val="0033649A"/>
    <w:rsid w:val="00336854"/>
    <w:rsid w:val="0033769B"/>
    <w:rsid w:val="00337A89"/>
    <w:rsid w:val="0034015C"/>
    <w:rsid w:val="00341409"/>
    <w:rsid w:val="00341CAE"/>
    <w:rsid w:val="003442F4"/>
    <w:rsid w:val="00344546"/>
    <w:rsid w:val="003455CF"/>
    <w:rsid w:val="0034716E"/>
    <w:rsid w:val="00350CB4"/>
    <w:rsid w:val="00353705"/>
    <w:rsid w:val="00355536"/>
    <w:rsid w:val="003562E8"/>
    <w:rsid w:val="00357F94"/>
    <w:rsid w:val="003614D7"/>
    <w:rsid w:val="0036357D"/>
    <w:rsid w:val="00363637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EE9"/>
    <w:rsid w:val="00376FFC"/>
    <w:rsid w:val="00377CBB"/>
    <w:rsid w:val="00382CCB"/>
    <w:rsid w:val="00382DA3"/>
    <w:rsid w:val="00384F62"/>
    <w:rsid w:val="00385438"/>
    <w:rsid w:val="003858E5"/>
    <w:rsid w:val="003877B6"/>
    <w:rsid w:val="00391539"/>
    <w:rsid w:val="003921B7"/>
    <w:rsid w:val="00392D73"/>
    <w:rsid w:val="00393887"/>
    <w:rsid w:val="00393F1B"/>
    <w:rsid w:val="00394C6B"/>
    <w:rsid w:val="0039610B"/>
    <w:rsid w:val="00396442"/>
    <w:rsid w:val="00397C2B"/>
    <w:rsid w:val="003A11DF"/>
    <w:rsid w:val="003A290F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F2E"/>
    <w:rsid w:val="003B38CC"/>
    <w:rsid w:val="003B390A"/>
    <w:rsid w:val="003B3D53"/>
    <w:rsid w:val="003B4E3A"/>
    <w:rsid w:val="003B60C3"/>
    <w:rsid w:val="003B6373"/>
    <w:rsid w:val="003B79E1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7959"/>
    <w:rsid w:val="003D3968"/>
    <w:rsid w:val="003D42AF"/>
    <w:rsid w:val="003D4899"/>
    <w:rsid w:val="003D4AD2"/>
    <w:rsid w:val="003D5E11"/>
    <w:rsid w:val="003D73C0"/>
    <w:rsid w:val="003E031D"/>
    <w:rsid w:val="003E1833"/>
    <w:rsid w:val="003E6DA3"/>
    <w:rsid w:val="003E7305"/>
    <w:rsid w:val="003F0C1C"/>
    <w:rsid w:val="003F1AF3"/>
    <w:rsid w:val="003F25E4"/>
    <w:rsid w:val="003F3798"/>
    <w:rsid w:val="003F4804"/>
    <w:rsid w:val="003F4AAA"/>
    <w:rsid w:val="003F4D8D"/>
    <w:rsid w:val="003F4E93"/>
    <w:rsid w:val="003F5708"/>
    <w:rsid w:val="003F66A4"/>
    <w:rsid w:val="00401508"/>
    <w:rsid w:val="00401688"/>
    <w:rsid w:val="004024D9"/>
    <w:rsid w:val="0040257E"/>
    <w:rsid w:val="0040386D"/>
    <w:rsid w:val="00404188"/>
    <w:rsid w:val="00406435"/>
    <w:rsid w:val="004066F9"/>
    <w:rsid w:val="00406CBE"/>
    <w:rsid w:val="004073DC"/>
    <w:rsid w:val="004137C0"/>
    <w:rsid w:val="004138F3"/>
    <w:rsid w:val="00416595"/>
    <w:rsid w:val="00420F5B"/>
    <w:rsid w:val="00421F20"/>
    <w:rsid w:val="0042238F"/>
    <w:rsid w:val="00423B63"/>
    <w:rsid w:val="00427BEA"/>
    <w:rsid w:val="00430120"/>
    <w:rsid w:val="004302F3"/>
    <w:rsid w:val="004313E7"/>
    <w:rsid w:val="00432542"/>
    <w:rsid w:val="004339B2"/>
    <w:rsid w:val="00441889"/>
    <w:rsid w:val="00442A82"/>
    <w:rsid w:val="0044344E"/>
    <w:rsid w:val="00444A70"/>
    <w:rsid w:val="0044763B"/>
    <w:rsid w:val="00450590"/>
    <w:rsid w:val="0045217D"/>
    <w:rsid w:val="00452696"/>
    <w:rsid w:val="00452726"/>
    <w:rsid w:val="00452CC2"/>
    <w:rsid w:val="00453F32"/>
    <w:rsid w:val="00454DAA"/>
    <w:rsid w:val="00456765"/>
    <w:rsid w:val="00456A53"/>
    <w:rsid w:val="00456F1E"/>
    <w:rsid w:val="0046213C"/>
    <w:rsid w:val="00462518"/>
    <w:rsid w:val="0046266D"/>
    <w:rsid w:val="004629B3"/>
    <w:rsid w:val="0046376E"/>
    <w:rsid w:val="00463B50"/>
    <w:rsid w:val="00464251"/>
    <w:rsid w:val="00464860"/>
    <w:rsid w:val="0046587C"/>
    <w:rsid w:val="0046690F"/>
    <w:rsid w:val="00467CC0"/>
    <w:rsid w:val="00471116"/>
    <w:rsid w:val="00472FEC"/>
    <w:rsid w:val="00473A2A"/>
    <w:rsid w:val="00473B89"/>
    <w:rsid w:val="004747D0"/>
    <w:rsid w:val="00476830"/>
    <w:rsid w:val="004770F6"/>
    <w:rsid w:val="004812D2"/>
    <w:rsid w:val="00483B28"/>
    <w:rsid w:val="00484218"/>
    <w:rsid w:val="004858E1"/>
    <w:rsid w:val="00485EF2"/>
    <w:rsid w:val="004864A1"/>
    <w:rsid w:val="0048769E"/>
    <w:rsid w:val="00487A1F"/>
    <w:rsid w:val="00490A03"/>
    <w:rsid w:val="00490B0D"/>
    <w:rsid w:val="00490E5D"/>
    <w:rsid w:val="004918A4"/>
    <w:rsid w:val="00492B0A"/>
    <w:rsid w:val="00492D88"/>
    <w:rsid w:val="00493327"/>
    <w:rsid w:val="0049382E"/>
    <w:rsid w:val="0049391A"/>
    <w:rsid w:val="00494DBE"/>
    <w:rsid w:val="0049531C"/>
    <w:rsid w:val="00495CE6"/>
    <w:rsid w:val="00497D5E"/>
    <w:rsid w:val="00497EB9"/>
    <w:rsid w:val="004A144D"/>
    <w:rsid w:val="004A1D27"/>
    <w:rsid w:val="004A2176"/>
    <w:rsid w:val="004A2703"/>
    <w:rsid w:val="004A323C"/>
    <w:rsid w:val="004A4D16"/>
    <w:rsid w:val="004A63EC"/>
    <w:rsid w:val="004B0801"/>
    <w:rsid w:val="004B1117"/>
    <w:rsid w:val="004B1A6B"/>
    <w:rsid w:val="004B1FC8"/>
    <w:rsid w:val="004B339A"/>
    <w:rsid w:val="004B39DA"/>
    <w:rsid w:val="004B54E8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33BA"/>
    <w:rsid w:val="004C47EA"/>
    <w:rsid w:val="004C4FEB"/>
    <w:rsid w:val="004C6570"/>
    <w:rsid w:val="004C678C"/>
    <w:rsid w:val="004C6B79"/>
    <w:rsid w:val="004C7345"/>
    <w:rsid w:val="004D059B"/>
    <w:rsid w:val="004D09F9"/>
    <w:rsid w:val="004D0E64"/>
    <w:rsid w:val="004D144F"/>
    <w:rsid w:val="004D1DBD"/>
    <w:rsid w:val="004D304E"/>
    <w:rsid w:val="004D4543"/>
    <w:rsid w:val="004D48A8"/>
    <w:rsid w:val="004D4CB6"/>
    <w:rsid w:val="004D4DCB"/>
    <w:rsid w:val="004D6EA2"/>
    <w:rsid w:val="004E0907"/>
    <w:rsid w:val="004E20CF"/>
    <w:rsid w:val="004E2324"/>
    <w:rsid w:val="004E28C9"/>
    <w:rsid w:val="004E3341"/>
    <w:rsid w:val="004E3406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50159C"/>
    <w:rsid w:val="005022B7"/>
    <w:rsid w:val="00502E62"/>
    <w:rsid w:val="005044C2"/>
    <w:rsid w:val="00504D38"/>
    <w:rsid w:val="00506B8A"/>
    <w:rsid w:val="005110D3"/>
    <w:rsid w:val="00511161"/>
    <w:rsid w:val="00511BE5"/>
    <w:rsid w:val="0051333B"/>
    <w:rsid w:val="0051413C"/>
    <w:rsid w:val="00515F4A"/>
    <w:rsid w:val="0051693C"/>
    <w:rsid w:val="00520A65"/>
    <w:rsid w:val="005218B8"/>
    <w:rsid w:val="00521B13"/>
    <w:rsid w:val="0052212B"/>
    <w:rsid w:val="005221A8"/>
    <w:rsid w:val="005230C7"/>
    <w:rsid w:val="0052474F"/>
    <w:rsid w:val="0052625A"/>
    <w:rsid w:val="005266EA"/>
    <w:rsid w:val="00527072"/>
    <w:rsid w:val="005272FE"/>
    <w:rsid w:val="0053001D"/>
    <w:rsid w:val="00533B0D"/>
    <w:rsid w:val="00534B46"/>
    <w:rsid w:val="00535018"/>
    <w:rsid w:val="005355DB"/>
    <w:rsid w:val="00535866"/>
    <w:rsid w:val="00536CBD"/>
    <w:rsid w:val="00540358"/>
    <w:rsid w:val="00540A05"/>
    <w:rsid w:val="00540D47"/>
    <w:rsid w:val="00540E25"/>
    <w:rsid w:val="005428D7"/>
    <w:rsid w:val="00542D43"/>
    <w:rsid w:val="00543DEF"/>
    <w:rsid w:val="00545516"/>
    <w:rsid w:val="005463C3"/>
    <w:rsid w:val="005465A3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3009"/>
    <w:rsid w:val="005635B7"/>
    <w:rsid w:val="005652E8"/>
    <w:rsid w:val="0056772E"/>
    <w:rsid w:val="00567A17"/>
    <w:rsid w:val="005735E2"/>
    <w:rsid w:val="0057384B"/>
    <w:rsid w:val="0057392C"/>
    <w:rsid w:val="0057446D"/>
    <w:rsid w:val="00576311"/>
    <w:rsid w:val="0057667C"/>
    <w:rsid w:val="00576BDA"/>
    <w:rsid w:val="00577DB4"/>
    <w:rsid w:val="005826DA"/>
    <w:rsid w:val="00582943"/>
    <w:rsid w:val="00582D0E"/>
    <w:rsid w:val="00582E09"/>
    <w:rsid w:val="005833F0"/>
    <w:rsid w:val="005835F4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722C"/>
    <w:rsid w:val="005977A6"/>
    <w:rsid w:val="00597D07"/>
    <w:rsid w:val="00597DD6"/>
    <w:rsid w:val="005A0CC9"/>
    <w:rsid w:val="005A16E6"/>
    <w:rsid w:val="005A1746"/>
    <w:rsid w:val="005A30D7"/>
    <w:rsid w:val="005A3846"/>
    <w:rsid w:val="005A678F"/>
    <w:rsid w:val="005A7DE8"/>
    <w:rsid w:val="005A7E97"/>
    <w:rsid w:val="005B2CD2"/>
    <w:rsid w:val="005B632A"/>
    <w:rsid w:val="005B6788"/>
    <w:rsid w:val="005B6A58"/>
    <w:rsid w:val="005C4C2F"/>
    <w:rsid w:val="005C5A83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D1"/>
    <w:rsid w:val="005E060E"/>
    <w:rsid w:val="005E0C30"/>
    <w:rsid w:val="005E1DCB"/>
    <w:rsid w:val="005E2A31"/>
    <w:rsid w:val="005E33E0"/>
    <w:rsid w:val="005E3FBB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600998"/>
    <w:rsid w:val="00600ACF"/>
    <w:rsid w:val="006019EB"/>
    <w:rsid w:val="00601CC1"/>
    <w:rsid w:val="006022D0"/>
    <w:rsid w:val="006027A1"/>
    <w:rsid w:val="00605DFE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3E37"/>
    <w:rsid w:val="006144B1"/>
    <w:rsid w:val="00615A5C"/>
    <w:rsid w:val="00615D73"/>
    <w:rsid w:val="00616C7F"/>
    <w:rsid w:val="006177FF"/>
    <w:rsid w:val="0062077F"/>
    <w:rsid w:val="00621BC7"/>
    <w:rsid w:val="00622033"/>
    <w:rsid w:val="0062460B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A5C"/>
    <w:rsid w:val="006460E5"/>
    <w:rsid w:val="00647A78"/>
    <w:rsid w:val="00647AB9"/>
    <w:rsid w:val="00647AD4"/>
    <w:rsid w:val="00647C4B"/>
    <w:rsid w:val="00650894"/>
    <w:rsid w:val="0065112B"/>
    <w:rsid w:val="00652091"/>
    <w:rsid w:val="00652229"/>
    <w:rsid w:val="00652793"/>
    <w:rsid w:val="006528DE"/>
    <w:rsid w:val="006541A1"/>
    <w:rsid w:val="00656CD5"/>
    <w:rsid w:val="00657789"/>
    <w:rsid w:val="00660320"/>
    <w:rsid w:val="0066187E"/>
    <w:rsid w:val="00662375"/>
    <w:rsid w:val="006626CA"/>
    <w:rsid w:val="00663487"/>
    <w:rsid w:val="00664340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B19"/>
    <w:rsid w:val="006938EE"/>
    <w:rsid w:val="00694195"/>
    <w:rsid w:val="0069650C"/>
    <w:rsid w:val="006A0A3C"/>
    <w:rsid w:val="006A196C"/>
    <w:rsid w:val="006A1ED8"/>
    <w:rsid w:val="006A3D5B"/>
    <w:rsid w:val="006A442A"/>
    <w:rsid w:val="006A59E9"/>
    <w:rsid w:val="006A5AB1"/>
    <w:rsid w:val="006A6F2B"/>
    <w:rsid w:val="006A75B8"/>
    <w:rsid w:val="006A79F0"/>
    <w:rsid w:val="006B048F"/>
    <w:rsid w:val="006B359D"/>
    <w:rsid w:val="006B47EE"/>
    <w:rsid w:val="006B499F"/>
    <w:rsid w:val="006B54C6"/>
    <w:rsid w:val="006B617F"/>
    <w:rsid w:val="006B78E0"/>
    <w:rsid w:val="006C187E"/>
    <w:rsid w:val="006C1FB8"/>
    <w:rsid w:val="006C2BB0"/>
    <w:rsid w:val="006C2D94"/>
    <w:rsid w:val="006C33BE"/>
    <w:rsid w:val="006C4B3D"/>
    <w:rsid w:val="006C53D0"/>
    <w:rsid w:val="006C5B53"/>
    <w:rsid w:val="006C7E78"/>
    <w:rsid w:val="006D006A"/>
    <w:rsid w:val="006D064D"/>
    <w:rsid w:val="006D098F"/>
    <w:rsid w:val="006D0BDF"/>
    <w:rsid w:val="006D127F"/>
    <w:rsid w:val="006D20E3"/>
    <w:rsid w:val="006D2218"/>
    <w:rsid w:val="006D33E1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39A9"/>
    <w:rsid w:val="006F3D9D"/>
    <w:rsid w:val="006F524E"/>
    <w:rsid w:val="006F5D57"/>
    <w:rsid w:val="006F643F"/>
    <w:rsid w:val="006F670F"/>
    <w:rsid w:val="006F77F3"/>
    <w:rsid w:val="006F7DBD"/>
    <w:rsid w:val="0070063C"/>
    <w:rsid w:val="00700D69"/>
    <w:rsid w:val="00701947"/>
    <w:rsid w:val="0070243F"/>
    <w:rsid w:val="00702921"/>
    <w:rsid w:val="00703272"/>
    <w:rsid w:val="0070362C"/>
    <w:rsid w:val="00703652"/>
    <w:rsid w:val="00704020"/>
    <w:rsid w:val="00704044"/>
    <w:rsid w:val="00705B35"/>
    <w:rsid w:val="00705BBE"/>
    <w:rsid w:val="0070733C"/>
    <w:rsid w:val="007102D5"/>
    <w:rsid w:val="00710C5D"/>
    <w:rsid w:val="0071348C"/>
    <w:rsid w:val="00717273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30624"/>
    <w:rsid w:val="0073096C"/>
    <w:rsid w:val="0073100D"/>
    <w:rsid w:val="00731368"/>
    <w:rsid w:val="00733429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91D"/>
    <w:rsid w:val="00750EC4"/>
    <w:rsid w:val="00751831"/>
    <w:rsid w:val="0075201B"/>
    <w:rsid w:val="00753A24"/>
    <w:rsid w:val="00754294"/>
    <w:rsid w:val="0075430D"/>
    <w:rsid w:val="0075779F"/>
    <w:rsid w:val="0076106F"/>
    <w:rsid w:val="0076354B"/>
    <w:rsid w:val="00764668"/>
    <w:rsid w:val="007658F3"/>
    <w:rsid w:val="00765D0E"/>
    <w:rsid w:val="00765E3B"/>
    <w:rsid w:val="00765E87"/>
    <w:rsid w:val="00766EA2"/>
    <w:rsid w:val="00767034"/>
    <w:rsid w:val="00772188"/>
    <w:rsid w:val="0077222A"/>
    <w:rsid w:val="00773909"/>
    <w:rsid w:val="0077433B"/>
    <w:rsid w:val="00774E1E"/>
    <w:rsid w:val="0077544E"/>
    <w:rsid w:val="00776743"/>
    <w:rsid w:val="00776D7F"/>
    <w:rsid w:val="007813D0"/>
    <w:rsid w:val="007845AC"/>
    <w:rsid w:val="00785993"/>
    <w:rsid w:val="00785A0D"/>
    <w:rsid w:val="007863BF"/>
    <w:rsid w:val="007866E2"/>
    <w:rsid w:val="00786BA3"/>
    <w:rsid w:val="00790993"/>
    <w:rsid w:val="0079202F"/>
    <w:rsid w:val="0079203E"/>
    <w:rsid w:val="007934C3"/>
    <w:rsid w:val="00793FDA"/>
    <w:rsid w:val="00794903"/>
    <w:rsid w:val="00795486"/>
    <w:rsid w:val="00795AF2"/>
    <w:rsid w:val="00795E4F"/>
    <w:rsid w:val="007A0287"/>
    <w:rsid w:val="007A09FC"/>
    <w:rsid w:val="007A2AAD"/>
    <w:rsid w:val="007A3017"/>
    <w:rsid w:val="007A4432"/>
    <w:rsid w:val="007A59E9"/>
    <w:rsid w:val="007A6A5B"/>
    <w:rsid w:val="007A784E"/>
    <w:rsid w:val="007A7E31"/>
    <w:rsid w:val="007B02A0"/>
    <w:rsid w:val="007B0664"/>
    <w:rsid w:val="007B278C"/>
    <w:rsid w:val="007B2C2C"/>
    <w:rsid w:val="007B2DAD"/>
    <w:rsid w:val="007B3774"/>
    <w:rsid w:val="007B4939"/>
    <w:rsid w:val="007B499C"/>
    <w:rsid w:val="007B4D4B"/>
    <w:rsid w:val="007B58C6"/>
    <w:rsid w:val="007B76D8"/>
    <w:rsid w:val="007C0646"/>
    <w:rsid w:val="007C1ACD"/>
    <w:rsid w:val="007C1B2F"/>
    <w:rsid w:val="007C1E5E"/>
    <w:rsid w:val="007C1E9D"/>
    <w:rsid w:val="007C3AE3"/>
    <w:rsid w:val="007C6C51"/>
    <w:rsid w:val="007D0000"/>
    <w:rsid w:val="007D2A02"/>
    <w:rsid w:val="007D5EA2"/>
    <w:rsid w:val="007D6144"/>
    <w:rsid w:val="007D62A4"/>
    <w:rsid w:val="007D6CE5"/>
    <w:rsid w:val="007E0917"/>
    <w:rsid w:val="007E136B"/>
    <w:rsid w:val="007E1736"/>
    <w:rsid w:val="007E25DD"/>
    <w:rsid w:val="007E2887"/>
    <w:rsid w:val="007E3318"/>
    <w:rsid w:val="007E6EA1"/>
    <w:rsid w:val="007F0F16"/>
    <w:rsid w:val="007F0F63"/>
    <w:rsid w:val="007F2B1E"/>
    <w:rsid w:val="007F4590"/>
    <w:rsid w:val="007F62B4"/>
    <w:rsid w:val="007F7C05"/>
    <w:rsid w:val="007F7DF9"/>
    <w:rsid w:val="00800FD6"/>
    <w:rsid w:val="00801517"/>
    <w:rsid w:val="008019C0"/>
    <w:rsid w:val="00804966"/>
    <w:rsid w:val="0080510A"/>
    <w:rsid w:val="0080596A"/>
    <w:rsid w:val="00805CBF"/>
    <w:rsid w:val="00807195"/>
    <w:rsid w:val="00810AC4"/>
    <w:rsid w:val="0081218E"/>
    <w:rsid w:val="0081228B"/>
    <w:rsid w:val="00813492"/>
    <w:rsid w:val="00814784"/>
    <w:rsid w:val="00814DE2"/>
    <w:rsid w:val="00815599"/>
    <w:rsid w:val="00815D34"/>
    <w:rsid w:val="008177EE"/>
    <w:rsid w:val="00817895"/>
    <w:rsid w:val="00817AE8"/>
    <w:rsid w:val="00817DE8"/>
    <w:rsid w:val="008229F5"/>
    <w:rsid w:val="00824293"/>
    <w:rsid w:val="008259DE"/>
    <w:rsid w:val="0082699A"/>
    <w:rsid w:val="00827F2A"/>
    <w:rsid w:val="00832633"/>
    <w:rsid w:val="0083342C"/>
    <w:rsid w:val="00833869"/>
    <w:rsid w:val="00833CEB"/>
    <w:rsid w:val="00833FE6"/>
    <w:rsid w:val="0083662B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FD6"/>
    <w:rsid w:val="00855516"/>
    <w:rsid w:val="00855F22"/>
    <w:rsid w:val="00855FD0"/>
    <w:rsid w:val="0085658E"/>
    <w:rsid w:val="008568E6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6CDD"/>
    <w:rsid w:val="0087082E"/>
    <w:rsid w:val="008712FE"/>
    <w:rsid w:val="0087142D"/>
    <w:rsid w:val="00871B3F"/>
    <w:rsid w:val="00872928"/>
    <w:rsid w:val="00872DA6"/>
    <w:rsid w:val="00873416"/>
    <w:rsid w:val="00873956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25EE"/>
    <w:rsid w:val="00882DE4"/>
    <w:rsid w:val="0088313E"/>
    <w:rsid w:val="008849B2"/>
    <w:rsid w:val="0088596E"/>
    <w:rsid w:val="00885D26"/>
    <w:rsid w:val="00886C54"/>
    <w:rsid w:val="008870ED"/>
    <w:rsid w:val="0088726E"/>
    <w:rsid w:val="008877FC"/>
    <w:rsid w:val="00892132"/>
    <w:rsid w:val="008947FF"/>
    <w:rsid w:val="0089796A"/>
    <w:rsid w:val="0089799B"/>
    <w:rsid w:val="008979FA"/>
    <w:rsid w:val="008A2375"/>
    <w:rsid w:val="008A54B6"/>
    <w:rsid w:val="008A659E"/>
    <w:rsid w:val="008A7DEB"/>
    <w:rsid w:val="008B1B65"/>
    <w:rsid w:val="008B2185"/>
    <w:rsid w:val="008B3182"/>
    <w:rsid w:val="008B3557"/>
    <w:rsid w:val="008B39E0"/>
    <w:rsid w:val="008B4302"/>
    <w:rsid w:val="008B4E1F"/>
    <w:rsid w:val="008B605A"/>
    <w:rsid w:val="008B6086"/>
    <w:rsid w:val="008B760D"/>
    <w:rsid w:val="008C093B"/>
    <w:rsid w:val="008C0E76"/>
    <w:rsid w:val="008C2665"/>
    <w:rsid w:val="008C6041"/>
    <w:rsid w:val="008C74E3"/>
    <w:rsid w:val="008D0936"/>
    <w:rsid w:val="008D240D"/>
    <w:rsid w:val="008D403B"/>
    <w:rsid w:val="008D42DB"/>
    <w:rsid w:val="008D4707"/>
    <w:rsid w:val="008D6CC6"/>
    <w:rsid w:val="008D764F"/>
    <w:rsid w:val="008D76C5"/>
    <w:rsid w:val="008E0A04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D2F"/>
    <w:rsid w:val="008F510A"/>
    <w:rsid w:val="008F55A2"/>
    <w:rsid w:val="00900235"/>
    <w:rsid w:val="00900D3C"/>
    <w:rsid w:val="00906292"/>
    <w:rsid w:val="0091352F"/>
    <w:rsid w:val="00914B5B"/>
    <w:rsid w:val="009152B8"/>
    <w:rsid w:val="00917162"/>
    <w:rsid w:val="009172B9"/>
    <w:rsid w:val="009178AA"/>
    <w:rsid w:val="00920430"/>
    <w:rsid w:val="00921C0C"/>
    <w:rsid w:val="00923001"/>
    <w:rsid w:val="0092358D"/>
    <w:rsid w:val="009238BF"/>
    <w:rsid w:val="009251CC"/>
    <w:rsid w:val="0092680D"/>
    <w:rsid w:val="0092714E"/>
    <w:rsid w:val="00927661"/>
    <w:rsid w:val="00931E24"/>
    <w:rsid w:val="009324F0"/>
    <w:rsid w:val="00933130"/>
    <w:rsid w:val="0093478F"/>
    <w:rsid w:val="00936826"/>
    <w:rsid w:val="00940540"/>
    <w:rsid w:val="00940B3D"/>
    <w:rsid w:val="00942002"/>
    <w:rsid w:val="00942359"/>
    <w:rsid w:val="0094623A"/>
    <w:rsid w:val="00946FC5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55CA"/>
    <w:rsid w:val="00955D69"/>
    <w:rsid w:val="00956521"/>
    <w:rsid w:val="00957D2C"/>
    <w:rsid w:val="00960319"/>
    <w:rsid w:val="00960539"/>
    <w:rsid w:val="009605B1"/>
    <w:rsid w:val="00960CBC"/>
    <w:rsid w:val="00962591"/>
    <w:rsid w:val="00962AD4"/>
    <w:rsid w:val="00963A06"/>
    <w:rsid w:val="00965192"/>
    <w:rsid w:val="00965E50"/>
    <w:rsid w:val="009665D3"/>
    <w:rsid w:val="00967DD4"/>
    <w:rsid w:val="009700B1"/>
    <w:rsid w:val="00970ECF"/>
    <w:rsid w:val="00971261"/>
    <w:rsid w:val="00971FD4"/>
    <w:rsid w:val="009722CB"/>
    <w:rsid w:val="009739A0"/>
    <w:rsid w:val="00974EE4"/>
    <w:rsid w:val="00974F84"/>
    <w:rsid w:val="00975D5B"/>
    <w:rsid w:val="00976216"/>
    <w:rsid w:val="009767C7"/>
    <w:rsid w:val="00977D30"/>
    <w:rsid w:val="00980E69"/>
    <w:rsid w:val="009814BC"/>
    <w:rsid w:val="0098334C"/>
    <w:rsid w:val="00984643"/>
    <w:rsid w:val="0098576C"/>
    <w:rsid w:val="0098579A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63F4"/>
    <w:rsid w:val="009B7D1F"/>
    <w:rsid w:val="009C088E"/>
    <w:rsid w:val="009C09BB"/>
    <w:rsid w:val="009C17DC"/>
    <w:rsid w:val="009C37AB"/>
    <w:rsid w:val="009C4C7A"/>
    <w:rsid w:val="009C4D35"/>
    <w:rsid w:val="009C5E51"/>
    <w:rsid w:val="009C6158"/>
    <w:rsid w:val="009C6338"/>
    <w:rsid w:val="009C75A2"/>
    <w:rsid w:val="009C7B68"/>
    <w:rsid w:val="009D1522"/>
    <w:rsid w:val="009D51F0"/>
    <w:rsid w:val="009D61DC"/>
    <w:rsid w:val="009D7252"/>
    <w:rsid w:val="009D7652"/>
    <w:rsid w:val="009E1FF6"/>
    <w:rsid w:val="009E3CAF"/>
    <w:rsid w:val="009E3E5E"/>
    <w:rsid w:val="009E3F48"/>
    <w:rsid w:val="009E53A5"/>
    <w:rsid w:val="009E5EB4"/>
    <w:rsid w:val="009E7B37"/>
    <w:rsid w:val="009F4451"/>
    <w:rsid w:val="009F563C"/>
    <w:rsid w:val="009F610E"/>
    <w:rsid w:val="00A00DA9"/>
    <w:rsid w:val="00A00F7E"/>
    <w:rsid w:val="00A044D6"/>
    <w:rsid w:val="00A04ADB"/>
    <w:rsid w:val="00A04D8F"/>
    <w:rsid w:val="00A04F89"/>
    <w:rsid w:val="00A05F11"/>
    <w:rsid w:val="00A06F93"/>
    <w:rsid w:val="00A11E0F"/>
    <w:rsid w:val="00A12378"/>
    <w:rsid w:val="00A141E9"/>
    <w:rsid w:val="00A157C2"/>
    <w:rsid w:val="00A15B6B"/>
    <w:rsid w:val="00A15D78"/>
    <w:rsid w:val="00A15EBE"/>
    <w:rsid w:val="00A17F5B"/>
    <w:rsid w:val="00A216E5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51A0"/>
    <w:rsid w:val="00A36481"/>
    <w:rsid w:val="00A36675"/>
    <w:rsid w:val="00A3756F"/>
    <w:rsid w:val="00A42D6F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A48"/>
    <w:rsid w:val="00A629D6"/>
    <w:rsid w:val="00A63035"/>
    <w:rsid w:val="00A637C9"/>
    <w:rsid w:val="00A66DB1"/>
    <w:rsid w:val="00A67A92"/>
    <w:rsid w:val="00A70DC6"/>
    <w:rsid w:val="00A7315C"/>
    <w:rsid w:val="00A7420B"/>
    <w:rsid w:val="00A74FDC"/>
    <w:rsid w:val="00A77192"/>
    <w:rsid w:val="00A8089F"/>
    <w:rsid w:val="00A81C0A"/>
    <w:rsid w:val="00A820BE"/>
    <w:rsid w:val="00A842D5"/>
    <w:rsid w:val="00A87525"/>
    <w:rsid w:val="00A87870"/>
    <w:rsid w:val="00A903F3"/>
    <w:rsid w:val="00A90F18"/>
    <w:rsid w:val="00A90FFB"/>
    <w:rsid w:val="00A9149D"/>
    <w:rsid w:val="00A91A70"/>
    <w:rsid w:val="00A92FCD"/>
    <w:rsid w:val="00A9302F"/>
    <w:rsid w:val="00A957F6"/>
    <w:rsid w:val="00A959CF"/>
    <w:rsid w:val="00A9635E"/>
    <w:rsid w:val="00A97316"/>
    <w:rsid w:val="00A97BD8"/>
    <w:rsid w:val="00AA010B"/>
    <w:rsid w:val="00AA0D54"/>
    <w:rsid w:val="00AA1B85"/>
    <w:rsid w:val="00AA3290"/>
    <w:rsid w:val="00AA3BB9"/>
    <w:rsid w:val="00AA46F0"/>
    <w:rsid w:val="00AA6481"/>
    <w:rsid w:val="00AA7270"/>
    <w:rsid w:val="00AB08B8"/>
    <w:rsid w:val="00AB0C08"/>
    <w:rsid w:val="00AB12AC"/>
    <w:rsid w:val="00AB1CB6"/>
    <w:rsid w:val="00AB1D9A"/>
    <w:rsid w:val="00AB4A1F"/>
    <w:rsid w:val="00AB5C61"/>
    <w:rsid w:val="00AB7EAC"/>
    <w:rsid w:val="00AC304D"/>
    <w:rsid w:val="00AC3540"/>
    <w:rsid w:val="00AC3D15"/>
    <w:rsid w:val="00AC4D2E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712"/>
    <w:rsid w:val="00AD5A37"/>
    <w:rsid w:val="00AD6B50"/>
    <w:rsid w:val="00AE05A4"/>
    <w:rsid w:val="00AE177E"/>
    <w:rsid w:val="00AE25FC"/>
    <w:rsid w:val="00AE400C"/>
    <w:rsid w:val="00AE49F1"/>
    <w:rsid w:val="00AE4A1C"/>
    <w:rsid w:val="00AE4B7A"/>
    <w:rsid w:val="00AE5532"/>
    <w:rsid w:val="00AE74D8"/>
    <w:rsid w:val="00AF0B6F"/>
    <w:rsid w:val="00AF0F75"/>
    <w:rsid w:val="00AF1D69"/>
    <w:rsid w:val="00AF23A8"/>
    <w:rsid w:val="00AF30D0"/>
    <w:rsid w:val="00AF41FA"/>
    <w:rsid w:val="00AF4796"/>
    <w:rsid w:val="00AF4BDF"/>
    <w:rsid w:val="00AF71EB"/>
    <w:rsid w:val="00B00988"/>
    <w:rsid w:val="00B01405"/>
    <w:rsid w:val="00B027BA"/>
    <w:rsid w:val="00B052E8"/>
    <w:rsid w:val="00B05CCA"/>
    <w:rsid w:val="00B05ECC"/>
    <w:rsid w:val="00B06DC3"/>
    <w:rsid w:val="00B100C9"/>
    <w:rsid w:val="00B11099"/>
    <w:rsid w:val="00B116B7"/>
    <w:rsid w:val="00B14271"/>
    <w:rsid w:val="00B16270"/>
    <w:rsid w:val="00B20182"/>
    <w:rsid w:val="00B22578"/>
    <w:rsid w:val="00B2292F"/>
    <w:rsid w:val="00B23C16"/>
    <w:rsid w:val="00B23C52"/>
    <w:rsid w:val="00B24E86"/>
    <w:rsid w:val="00B259E1"/>
    <w:rsid w:val="00B2685D"/>
    <w:rsid w:val="00B26D1E"/>
    <w:rsid w:val="00B26EE8"/>
    <w:rsid w:val="00B30351"/>
    <w:rsid w:val="00B312F1"/>
    <w:rsid w:val="00B33837"/>
    <w:rsid w:val="00B33C2A"/>
    <w:rsid w:val="00B349F7"/>
    <w:rsid w:val="00B34A14"/>
    <w:rsid w:val="00B35967"/>
    <w:rsid w:val="00B35CBA"/>
    <w:rsid w:val="00B363D9"/>
    <w:rsid w:val="00B416D1"/>
    <w:rsid w:val="00B422EC"/>
    <w:rsid w:val="00B44875"/>
    <w:rsid w:val="00B44C07"/>
    <w:rsid w:val="00B46320"/>
    <w:rsid w:val="00B4657A"/>
    <w:rsid w:val="00B47F0A"/>
    <w:rsid w:val="00B50B6B"/>
    <w:rsid w:val="00B51D75"/>
    <w:rsid w:val="00B54329"/>
    <w:rsid w:val="00B54885"/>
    <w:rsid w:val="00B54BFF"/>
    <w:rsid w:val="00B554C9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19F6"/>
    <w:rsid w:val="00B726D4"/>
    <w:rsid w:val="00B72969"/>
    <w:rsid w:val="00B73A2D"/>
    <w:rsid w:val="00B758FD"/>
    <w:rsid w:val="00B76807"/>
    <w:rsid w:val="00B769E6"/>
    <w:rsid w:val="00B77D24"/>
    <w:rsid w:val="00B8214F"/>
    <w:rsid w:val="00B82654"/>
    <w:rsid w:val="00B82B43"/>
    <w:rsid w:val="00B82B48"/>
    <w:rsid w:val="00B84956"/>
    <w:rsid w:val="00B84F2C"/>
    <w:rsid w:val="00B85133"/>
    <w:rsid w:val="00B8643A"/>
    <w:rsid w:val="00B86A4F"/>
    <w:rsid w:val="00B91786"/>
    <w:rsid w:val="00B93035"/>
    <w:rsid w:val="00B93D17"/>
    <w:rsid w:val="00B940EB"/>
    <w:rsid w:val="00B9431C"/>
    <w:rsid w:val="00B95798"/>
    <w:rsid w:val="00B958E8"/>
    <w:rsid w:val="00B97E4A"/>
    <w:rsid w:val="00BA09B2"/>
    <w:rsid w:val="00BA0F35"/>
    <w:rsid w:val="00BA397D"/>
    <w:rsid w:val="00BA465D"/>
    <w:rsid w:val="00BA52C0"/>
    <w:rsid w:val="00BA5B46"/>
    <w:rsid w:val="00BA621C"/>
    <w:rsid w:val="00BA63D4"/>
    <w:rsid w:val="00BB2D73"/>
    <w:rsid w:val="00BB35AF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6C56"/>
    <w:rsid w:val="00BC6DE2"/>
    <w:rsid w:val="00BC6E62"/>
    <w:rsid w:val="00BD013A"/>
    <w:rsid w:val="00BD092F"/>
    <w:rsid w:val="00BD2510"/>
    <w:rsid w:val="00BD3A53"/>
    <w:rsid w:val="00BD4ECD"/>
    <w:rsid w:val="00BD5A19"/>
    <w:rsid w:val="00BD6539"/>
    <w:rsid w:val="00BD656A"/>
    <w:rsid w:val="00BD6D1B"/>
    <w:rsid w:val="00BE2403"/>
    <w:rsid w:val="00BE2D0A"/>
    <w:rsid w:val="00BE47D4"/>
    <w:rsid w:val="00BE66DB"/>
    <w:rsid w:val="00BE793A"/>
    <w:rsid w:val="00BE7A0B"/>
    <w:rsid w:val="00BF114D"/>
    <w:rsid w:val="00BF1B93"/>
    <w:rsid w:val="00BF2B82"/>
    <w:rsid w:val="00BF2CEB"/>
    <w:rsid w:val="00BF432A"/>
    <w:rsid w:val="00BF66DA"/>
    <w:rsid w:val="00BF6E82"/>
    <w:rsid w:val="00C0361D"/>
    <w:rsid w:val="00C041A4"/>
    <w:rsid w:val="00C060C7"/>
    <w:rsid w:val="00C06DCC"/>
    <w:rsid w:val="00C07F92"/>
    <w:rsid w:val="00C10EA4"/>
    <w:rsid w:val="00C11D25"/>
    <w:rsid w:val="00C13217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4279"/>
    <w:rsid w:val="00C249E3"/>
    <w:rsid w:val="00C24C17"/>
    <w:rsid w:val="00C27C4A"/>
    <w:rsid w:val="00C30DB8"/>
    <w:rsid w:val="00C31595"/>
    <w:rsid w:val="00C31B25"/>
    <w:rsid w:val="00C3309D"/>
    <w:rsid w:val="00C3411D"/>
    <w:rsid w:val="00C34357"/>
    <w:rsid w:val="00C34829"/>
    <w:rsid w:val="00C363B8"/>
    <w:rsid w:val="00C3758F"/>
    <w:rsid w:val="00C40B88"/>
    <w:rsid w:val="00C43DDD"/>
    <w:rsid w:val="00C44489"/>
    <w:rsid w:val="00C44FC2"/>
    <w:rsid w:val="00C47D87"/>
    <w:rsid w:val="00C47FCD"/>
    <w:rsid w:val="00C50FA6"/>
    <w:rsid w:val="00C53430"/>
    <w:rsid w:val="00C536E6"/>
    <w:rsid w:val="00C5376E"/>
    <w:rsid w:val="00C549AA"/>
    <w:rsid w:val="00C554C1"/>
    <w:rsid w:val="00C558F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5DCE"/>
    <w:rsid w:val="00C7750A"/>
    <w:rsid w:val="00C808A6"/>
    <w:rsid w:val="00C83BA4"/>
    <w:rsid w:val="00C84AC6"/>
    <w:rsid w:val="00C855DB"/>
    <w:rsid w:val="00C855F3"/>
    <w:rsid w:val="00C86270"/>
    <w:rsid w:val="00C90C20"/>
    <w:rsid w:val="00C9109C"/>
    <w:rsid w:val="00C948CF"/>
    <w:rsid w:val="00C95798"/>
    <w:rsid w:val="00C95A74"/>
    <w:rsid w:val="00C97091"/>
    <w:rsid w:val="00C97260"/>
    <w:rsid w:val="00C97391"/>
    <w:rsid w:val="00CA14A5"/>
    <w:rsid w:val="00CA14DA"/>
    <w:rsid w:val="00CA1AB8"/>
    <w:rsid w:val="00CA2001"/>
    <w:rsid w:val="00CA2B10"/>
    <w:rsid w:val="00CA3F11"/>
    <w:rsid w:val="00CA5256"/>
    <w:rsid w:val="00CA5564"/>
    <w:rsid w:val="00CB078E"/>
    <w:rsid w:val="00CB34EE"/>
    <w:rsid w:val="00CB3782"/>
    <w:rsid w:val="00CB4D20"/>
    <w:rsid w:val="00CB5B6C"/>
    <w:rsid w:val="00CB60EF"/>
    <w:rsid w:val="00CB74E3"/>
    <w:rsid w:val="00CC052E"/>
    <w:rsid w:val="00CC06E5"/>
    <w:rsid w:val="00CC09A3"/>
    <w:rsid w:val="00CC0B14"/>
    <w:rsid w:val="00CC5B9C"/>
    <w:rsid w:val="00CD02DF"/>
    <w:rsid w:val="00CD10A5"/>
    <w:rsid w:val="00CD16BE"/>
    <w:rsid w:val="00CD179F"/>
    <w:rsid w:val="00CD1F32"/>
    <w:rsid w:val="00CD2268"/>
    <w:rsid w:val="00CD4616"/>
    <w:rsid w:val="00CD4D3B"/>
    <w:rsid w:val="00CD50DC"/>
    <w:rsid w:val="00CD56AF"/>
    <w:rsid w:val="00CD5FFA"/>
    <w:rsid w:val="00CD608B"/>
    <w:rsid w:val="00CD61BB"/>
    <w:rsid w:val="00CE32F0"/>
    <w:rsid w:val="00CE33D5"/>
    <w:rsid w:val="00CE3664"/>
    <w:rsid w:val="00CE4712"/>
    <w:rsid w:val="00CE6073"/>
    <w:rsid w:val="00CE761C"/>
    <w:rsid w:val="00CF4145"/>
    <w:rsid w:val="00CF5D37"/>
    <w:rsid w:val="00CF6353"/>
    <w:rsid w:val="00CF6F33"/>
    <w:rsid w:val="00D02248"/>
    <w:rsid w:val="00D04429"/>
    <w:rsid w:val="00D046FC"/>
    <w:rsid w:val="00D04B47"/>
    <w:rsid w:val="00D04E37"/>
    <w:rsid w:val="00D063B8"/>
    <w:rsid w:val="00D06825"/>
    <w:rsid w:val="00D0702E"/>
    <w:rsid w:val="00D07467"/>
    <w:rsid w:val="00D076E6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30CC6"/>
    <w:rsid w:val="00D30DA4"/>
    <w:rsid w:val="00D31722"/>
    <w:rsid w:val="00D31EE2"/>
    <w:rsid w:val="00D3260C"/>
    <w:rsid w:val="00D3391A"/>
    <w:rsid w:val="00D33DB5"/>
    <w:rsid w:val="00D35790"/>
    <w:rsid w:val="00D36E28"/>
    <w:rsid w:val="00D41276"/>
    <w:rsid w:val="00D41971"/>
    <w:rsid w:val="00D439A0"/>
    <w:rsid w:val="00D442D5"/>
    <w:rsid w:val="00D45043"/>
    <w:rsid w:val="00D51576"/>
    <w:rsid w:val="00D519AF"/>
    <w:rsid w:val="00D532A9"/>
    <w:rsid w:val="00D5437A"/>
    <w:rsid w:val="00D5611E"/>
    <w:rsid w:val="00D5653B"/>
    <w:rsid w:val="00D56C30"/>
    <w:rsid w:val="00D5726D"/>
    <w:rsid w:val="00D572AC"/>
    <w:rsid w:val="00D6071F"/>
    <w:rsid w:val="00D61D6E"/>
    <w:rsid w:val="00D62580"/>
    <w:rsid w:val="00D62EF1"/>
    <w:rsid w:val="00D6309D"/>
    <w:rsid w:val="00D644CA"/>
    <w:rsid w:val="00D64961"/>
    <w:rsid w:val="00D64EA0"/>
    <w:rsid w:val="00D66FC2"/>
    <w:rsid w:val="00D7044E"/>
    <w:rsid w:val="00D704A8"/>
    <w:rsid w:val="00D76C7E"/>
    <w:rsid w:val="00D771DE"/>
    <w:rsid w:val="00D7776D"/>
    <w:rsid w:val="00D77ADC"/>
    <w:rsid w:val="00D819F9"/>
    <w:rsid w:val="00D81AEF"/>
    <w:rsid w:val="00D82A42"/>
    <w:rsid w:val="00D834F1"/>
    <w:rsid w:val="00D83609"/>
    <w:rsid w:val="00D83AA6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6FA9"/>
    <w:rsid w:val="00D97A5B"/>
    <w:rsid w:val="00D97D9B"/>
    <w:rsid w:val="00DA1E18"/>
    <w:rsid w:val="00DA2009"/>
    <w:rsid w:val="00DA295C"/>
    <w:rsid w:val="00DA3F5E"/>
    <w:rsid w:val="00DA585A"/>
    <w:rsid w:val="00DA6DF7"/>
    <w:rsid w:val="00DA7741"/>
    <w:rsid w:val="00DA7769"/>
    <w:rsid w:val="00DB01C3"/>
    <w:rsid w:val="00DB05B1"/>
    <w:rsid w:val="00DB122F"/>
    <w:rsid w:val="00DB2823"/>
    <w:rsid w:val="00DB2D74"/>
    <w:rsid w:val="00DB3786"/>
    <w:rsid w:val="00DB3FFA"/>
    <w:rsid w:val="00DB59E8"/>
    <w:rsid w:val="00DB5A79"/>
    <w:rsid w:val="00DB638B"/>
    <w:rsid w:val="00DC2465"/>
    <w:rsid w:val="00DC4BCA"/>
    <w:rsid w:val="00DC5E2C"/>
    <w:rsid w:val="00DC7D48"/>
    <w:rsid w:val="00DD0253"/>
    <w:rsid w:val="00DD145A"/>
    <w:rsid w:val="00DD512E"/>
    <w:rsid w:val="00DD5EC8"/>
    <w:rsid w:val="00DD5FF5"/>
    <w:rsid w:val="00DD61D4"/>
    <w:rsid w:val="00DD68D4"/>
    <w:rsid w:val="00DD7BEC"/>
    <w:rsid w:val="00DE083E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C8B"/>
    <w:rsid w:val="00DE7F97"/>
    <w:rsid w:val="00DF0AAF"/>
    <w:rsid w:val="00DF1010"/>
    <w:rsid w:val="00DF2244"/>
    <w:rsid w:val="00DF334D"/>
    <w:rsid w:val="00DF50AB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3ACC"/>
    <w:rsid w:val="00E13D80"/>
    <w:rsid w:val="00E14758"/>
    <w:rsid w:val="00E16099"/>
    <w:rsid w:val="00E16BDE"/>
    <w:rsid w:val="00E21088"/>
    <w:rsid w:val="00E21F5D"/>
    <w:rsid w:val="00E22B1C"/>
    <w:rsid w:val="00E23C5E"/>
    <w:rsid w:val="00E23E29"/>
    <w:rsid w:val="00E24632"/>
    <w:rsid w:val="00E25155"/>
    <w:rsid w:val="00E25AEA"/>
    <w:rsid w:val="00E27C2C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F70"/>
    <w:rsid w:val="00E41377"/>
    <w:rsid w:val="00E41985"/>
    <w:rsid w:val="00E42B89"/>
    <w:rsid w:val="00E430B8"/>
    <w:rsid w:val="00E446C1"/>
    <w:rsid w:val="00E452F4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578CB"/>
    <w:rsid w:val="00E60ECA"/>
    <w:rsid w:val="00E613AB"/>
    <w:rsid w:val="00E63517"/>
    <w:rsid w:val="00E637B6"/>
    <w:rsid w:val="00E6487C"/>
    <w:rsid w:val="00E654A9"/>
    <w:rsid w:val="00E658DC"/>
    <w:rsid w:val="00E663B6"/>
    <w:rsid w:val="00E66B13"/>
    <w:rsid w:val="00E66BBE"/>
    <w:rsid w:val="00E6780D"/>
    <w:rsid w:val="00E71DFE"/>
    <w:rsid w:val="00E728D3"/>
    <w:rsid w:val="00E72BDE"/>
    <w:rsid w:val="00E73083"/>
    <w:rsid w:val="00E758B9"/>
    <w:rsid w:val="00E76025"/>
    <w:rsid w:val="00E76B45"/>
    <w:rsid w:val="00E77C00"/>
    <w:rsid w:val="00E810D3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CA8"/>
    <w:rsid w:val="00E96643"/>
    <w:rsid w:val="00E96CE0"/>
    <w:rsid w:val="00E96EAF"/>
    <w:rsid w:val="00E97448"/>
    <w:rsid w:val="00EA044C"/>
    <w:rsid w:val="00EA1752"/>
    <w:rsid w:val="00EA1911"/>
    <w:rsid w:val="00EA1D90"/>
    <w:rsid w:val="00EA371E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A19"/>
    <w:rsid w:val="00EC4BA5"/>
    <w:rsid w:val="00EC52DA"/>
    <w:rsid w:val="00EC6F28"/>
    <w:rsid w:val="00EC7220"/>
    <w:rsid w:val="00ED0024"/>
    <w:rsid w:val="00ED0EA0"/>
    <w:rsid w:val="00ED0F85"/>
    <w:rsid w:val="00ED1B01"/>
    <w:rsid w:val="00ED2B5C"/>
    <w:rsid w:val="00ED3269"/>
    <w:rsid w:val="00ED3A18"/>
    <w:rsid w:val="00ED3AB7"/>
    <w:rsid w:val="00ED3C57"/>
    <w:rsid w:val="00EE1A8C"/>
    <w:rsid w:val="00EE3FED"/>
    <w:rsid w:val="00EE4643"/>
    <w:rsid w:val="00EE529F"/>
    <w:rsid w:val="00EE65B6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2350"/>
    <w:rsid w:val="00F02759"/>
    <w:rsid w:val="00F03B49"/>
    <w:rsid w:val="00F0448F"/>
    <w:rsid w:val="00F0716C"/>
    <w:rsid w:val="00F105AE"/>
    <w:rsid w:val="00F108A8"/>
    <w:rsid w:val="00F124C4"/>
    <w:rsid w:val="00F13319"/>
    <w:rsid w:val="00F14353"/>
    <w:rsid w:val="00F1628B"/>
    <w:rsid w:val="00F16990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6145"/>
    <w:rsid w:val="00F36227"/>
    <w:rsid w:val="00F37BDD"/>
    <w:rsid w:val="00F40716"/>
    <w:rsid w:val="00F41503"/>
    <w:rsid w:val="00F417D4"/>
    <w:rsid w:val="00F41D5C"/>
    <w:rsid w:val="00F432CF"/>
    <w:rsid w:val="00F437FD"/>
    <w:rsid w:val="00F43B69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53CE"/>
    <w:rsid w:val="00F56043"/>
    <w:rsid w:val="00F5664E"/>
    <w:rsid w:val="00F56BD8"/>
    <w:rsid w:val="00F56E86"/>
    <w:rsid w:val="00F56FA9"/>
    <w:rsid w:val="00F6171A"/>
    <w:rsid w:val="00F619BA"/>
    <w:rsid w:val="00F62306"/>
    <w:rsid w:val="00F635FC"/>
    <w:rsid w:val="00F63D03"/>
    <w:rsid w:val="00F65E2F"/>
    <w:rsid w:val="00F67385"/>
    <w:rsid w:val="00F67DF1"/>
    <w:rsid w:val="00F7054E"/>
    <w:rsid w:val="00F7137C"/>
    <w:rsid w:val="00F72A09"/>
    <w:rsid w:val="00F74E67"/>
    <w:rsid w:val="00F76734"/>
    <w:rsid w:val="00F76814"/>
    <w:rsid w:val="00F77A5F"/>
    <w:rsid w:val="00F8116B"/>
    <w:rsid w:val="00F8309B"/>
    <w:rsid w:val="00F833C9"/>
    <w:rsid w:val="00F836C8"/>
    <w:rsid w:val="00F85198"/>
    <w:rsid w:val="00F86971"/>
    <w:rsid w:val="00F90064"/>
    <w:rsid w:val="00F90BF7"/>
    <w:rsid w:val="00F94217"/>
    <w:rsid w:val="00F9586C"/>
    <w:rsid w:val="00F96AFD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B0147"/>
    <w:rsid w:val="00FB0F92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7B66"/>
    <w:rsid w:val="00FD0D94"/>
    <w:rsid w:val="00FD106C"/>
    <w:rsid w:val="00FD2BD3"/>
    <w:rsid w:val="00FD2DE3"/>
    <w:rsid w:val="00FD3DEF"/>
    <w:rsid w:val="00FD4CCA"/>
    <w:rsid w:val="00FD58B1"/>
    <w:rsid w:val="00FE00EA"/>
    <w:rsid w:val="00FE04BA"/>
    <w:rsid w:val="00FE234B"/>
    <w:rsid w:val="00FE2A9E"/>
    <w:rsid w:val="00FE34B3"/>
    <w:rsid w:val="00FE46B7"/>
    <w:rsid w:val="00FE48B9"/>
    <w:rsid w:val="00FE4CEC"/>
    <w:rsid w:val="00FE683A"/>
    <w:rsid w:val="00FF0420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DD79F36"/>
    <w:rsid w:val="11E43BAB"/>
    <w:rsid w:val="121534C5"/>
    <w:rsid w:val="161E678D"/>
    <w:rsid w:val="19090967"/>
    <w:rsid w:val="1B3C24C5"/>
    <w:rsid w:val="210B7837"/>
    <w:rsid w:val="23B4E6BE"/>
    <w:rsid w:val="24F18C83"/>
    <w:rsid w:val="25653D02"/>
    <w:rsid w:val="27AA7305"/>
    <w:rsid w:val="3310C0BE"/>
    <w:rsid w:val="38EF0D05"/>
    <w:rsid w:val="39A07357"/>
    <w:rsid w:val="42088138"/>
    <w:rsid w:val="511D528A"/>
    <w:rsid w:val="588ADAF6"/>
    <w:rsid w:val="5CE173D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09AA"/>
  <w15:chartTrackingRefBased/>
  <w15:docId w15:val="{D8A9B98D-733D-4FF4-9BF4-D50BB21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34"/>
    <w:qFormat/>
    <w:rsid w:val="00635616"/>
    <w:pPr>
      <w:ind w:left="720"/>
      <w:contextualSpacing/>
    </w:pPr>
  </w:style>
  <w:style w:type="character" w:styleId="CommentReference">
    <w:name w:val="annotation reference"/>
    <w:rsid w:val="008460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846017"/>
    <w:rPr>
      <w:rFonts w:ascii="Arial" w:hAnsi="Arial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20528D"/>
    <w:rPr>
      <w:rFonts w:ascii="Arial" w:hAnsi="Arial"/>
      <w:b/>
      <w:bCs/>
      <w:sz w:val="20"/>
      <w:szCs w:val="20"/>
      <w:lang w:val="de-DE"/>
    </w:rPr>
  </w:style>
  <w:style w:type="paragraph" w:styleId="Revision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Normal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FootnoteReference">
    <w:name w:val="footnote reference"/>
    <w:basedOn w:val="DefaultParagraphFont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Normal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DefaultParagraphFont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2f792e8-4dad-42c1-ad63-44982727bf4d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customXml/itemProps2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F5E823-FD9A-4CF5-8C4B-A2151B3E8D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11</Pages>
  <Words>955</Words>
  <Characters>22273</Characters>
  <Application>Microsoft Office Word</Application>
  <DocSecurity>0</DocSecurity>
  <Lines>384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23149</CharactersWithSpaces>
  <SharedDoc>false</SharedDoc>
  <HLinks>
    <vt:vector size="66" baseType="variant"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2228305</vt:i4>
      </vt:variant>
      <vt:variant>
        <vt:i4>24</vt:i4>
      </vt:variant>
      <vt:variant>
        <vt:i4>0</vt:i4>
      </vt:variant>
      <vt:variant>
        <vt:i4>5</vt:i4>
      </vt:variant>
      <vt:variant>
        <vt:lpwstr>mailto:linda.gehring@henkel.com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mailto:dennis.starke@henkel.com</vt:lpwstr>
      </vt:variant>
      <vt:variant>
        <vt:lpwstr/>
      </vt:variant>
      <vt:variant>
        <vt:i4>2687054</vt:i4>
      </vt:variant>
      <vt:variant>
        <vt:i4>18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1835116</vt:i4>
      </vt:variant>
      <vt:variant>
        <vt:i4>15</vt:i4>
      </vt:variant>
      <vt:variant>
        <vt:i4>0</vt:i4>
      </vt:variant>
      <vt:variant>
        <vt:i4>5</vt:i4>
      </vt:variant>
      <vt:variant>
        <vt:lpwstr>mailto:jennifer.ott@henkel.com</vt:lpwstr>
      </vt:variant>
      <vt:variant>
        <vt:lpwstr/>
      </vt:variant>
      <vt:variant>
        <vt:i4>7667735</vt:i4>
      </vt:variant>
      <vt:variant>
        <vt:i4>12</vt:i4>
      </vt:variant>
      <vt:variant>
        <vt:i4>0</vt:i4>
      </vt:variant>
      <vt:variant>
        <vt:i4>5</vt:i4>
      </vt:variant>
      <vt:variant>
        <vt:lpwstr>mailto:wulf.klueppelholz@henkel.com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mailto:manuel.boesing@henkel.com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mailto:lars.korinth@henkel.com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http://www.henkel.de/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Esther Rim</cp:lastModifiedBy>
  <cp:revision>6</cp:revision>
  <cp:lastPrinted>2026-02-11T08:17:00Z</cp:lastPrinted>
  <dcterms:created xsi:type="dcterms:W3CDTF">2026-03-19T01:11:00Z</dcterms:created>
  <dcterms:modified xsi:type="dcterms:W3CDTF">2026-03-19T09:20:00Z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