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007CCF7E" w:rsidR="005742B4" w:rsidRPr="00A110E3" w:rsidRDefault="00204A77">
      <w:pPr>
        <w:pStyle w:val="MonthDayYear"/>
        <w:rPr>
          <w:lang w:val="cs-CZ"/>
        </w:rPr>
      </w:pPr>
      <w:r>
        <w:rPr>
          <w:lang w:val="cs-CZ"/>
        </w:rPr>
        <w:t>11</w:t>
      </w:r>
      <w:r w:rsidR="004D74B9" w:rsidRPr="00A110E3">
        <w:rPr>
          <w:lang w:val="cs-CZ"/>
        </w:rPr>
        <w:t xml:space="preserve">. </w:t>
      </w:r>
      <w:r w:rsidR="00463F02" w:rsidRPr="001B648C">
        <w:rPr>
          <w:lang w:val="cs-CZ"/>
        </w:rPr>
        <w:t>břez</w:t>
      </w:r>
      <w:r w:rsidR="00463F02">
        <w:rPr>
          <w:lang w:val="cs-CZ"/>
        </w:rPr>
        <w:t>en</w:t>
      </w:r>
      <w:r w:rsidR="007D354B" w:rsidRPr="00A110E3">
        <w:rPr>
          <w:lang w:val="cs-CZ"/>
        </w:rPr>
        <w:t xml:space="preserve"> 202</w:t>
      </w:r>
      <w:r w:rsidR="00B01C48">
        <w:rPr>
          <w:lang w:val="cs-CZ"/>
        </w:rPr>
        <w:t>5</w:t>
      </w:r>
    </w:p>
    <w:p w14:paraId="0F252D76" w14:textId="77777777" w:rsidR="00F01C78" w:rsidRPr="00F01C78" w:rsidRDefault="00F01C78" w:rsidP="00F01C78">
      <w:pPr>
        <w:pStyle w:val="Topline"/>
        <w:spacing w:after="240"/>
        <w:rPr>
          <w:lang w:val="cs-CZ"/>
        </w:rPr>
      </w:pPr>
      <w:bookmarkStart w:id="0" w:name="_Hlk190695874"/>
      <w:r w:rsidRPr="00F01C78">
        <w:rPr>
          <w:lang w:val="cs-CZ" w:bidi="bo-CN"/>
        </w:rPr>
        <w:t xml:space="preserve">Společnost </w:t>
      </w:r>
      <w:proofErr w:type="spellStart"/>
      <w:r w:rsidRPr="00F01C78">
        <w:rPr>
          <w:lang w:val="cs-CZ" w:bidi="bo-CN"/>
        </w:rPr>
        <w:t>Henkel</w:t>
      </w:r>
      <w:proofErr w:type="spellEnd"/>
      <w:r w:rsidRPr="00F01C78">
        <w:rPr>
          <w:lang w:val="cs-CZ" w:bidi="bo-CN"/>
        </w:rPr>
        <w:t xml:space="preserve"> představila finanční výsledky pro rok 2025: Dividendy se budou dále zvyšovat </w:t>
      </w:r>
    </w:p>
    <w:bookmarkEnd w:id="0"/>
    <w:p w14:paraId="3B7D8427" w14:textId="77777777" w:rsidR="008245A9" w:rsidRPr="001B648C" w:rsidRDefault="008245A9" w:rsidP="008245A9">
      <w:pPr>
        <w:jc w:val="left"/>
        <w:rPr>
          <w:rStyle w:val="Headline"/>
          <w:rFonts w:cstheme="majorHAnsi"/>
          <w:lang w:val="cs-CZ"/>
        </w:rPr>
      </w:pPr>
      <w:proofErr w:type="spellStart"/>
      <w:r w:rsidRPr="001B648C">
        <w:rPr>
          <w:rStyle w:val="Headline"/>
          <w:rFonts w:cstheme="majorHAnsi"/>
          <w:lang w:val="cs-CZ" w:bidi="bo-CN"/>
        </w:rPr>
        <w:t>Henkel</w:t>
      </w:r>
      <w:proofErr w:type="spellEnd"/>
      <w:r w:rsidRPr="001B648C">
        <w:rPr>
          <w:rStyle w:val="Headline"/>
          <w:rFonts w:cstheme="majorHAnsi"/>
          <w:lang w:val="cs-CZ" w:bidi="bo-CN"/>
        </w:rPr>
        <w:t xml:space="preserve"> v roce 2025 zaznamenal organický růst a vyšší ziskovost díky inovacím a lepší efektivitě</w:t>
      </w:r>
    </w:p>
    <w:p w14:paraId="25914181" w14:textId="77777777" w:rsidR="0003352D" w:rsidRPr="008245A9" w:rsidRDefault="0003352D" w:rsidP="0003352D">
      <w:pPr>
        <w:rPr>
          <w:lang w:val="cs-CZ"/>
        </w:rPr>
      </w:pPr>
    </w:p>
    <w:p w14:paraId="022A8836" w14:textId="77777777" w:rsidR="001155C1" w:rsidRPr="001B648C" w:rsidRDefault="001155C1" w:rsidP="001155C1">
      <w:pPr>
        <w:pStyle w:val="Odsekzoznamu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357" w:right="-108" w:hanging="357"/>
        <w:contextualSpacing w:val="0"/>
        <w:jc w:val="left"/>
        <w:rPr>
          <w:rFonts w:asciiTheme="majorHAnsi" w:hAnsiTheme="majorHAnsi" w:cstheme="majorHAnsi"/>
          <w:b/>
          <w:lang w:val="cs-CZ"/>
        </w:rPr>
      </w:pPr>
      <w:bookmarkStart w:id="1" w:name="_Hlk64363173"/>
      <w:bookmarkStart w:id="2" w:name="_Hlk43712519"/>
      <w:r w:rsidRPr="001B648C">
        <w:rPr>
          <w:rFonts w:asciiTheme="majorHAnsi" w:hAnsiTheme="majorHAnsi" w:cstheme="majorHAnsi"/>
          <w:b/>
          <w:lang w:val="cs-CZ" w:bidi="bo-CN"/>
        </w:rPr>
        <w:t>Kladné obchodní výsledky pro finanční rok 2025</w:t>
      </w:r>
    </w:p>
    <w:bookmarkEnd w:id="1"/>
    <w:bookmarkEnd w:id="2"/>
    <w:p w14:paraId="34B825D5" w14:textId="77777777" w:rsidR="001155C1" w:rsidRPr="001B648C" w:rsidRDefault="001155C1" w:rsidP="001155C1">
      <w:pPr>
        <w:pStyle w:val="Odsekzoznamu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lang w:val="cs-CZ"/>
        </w:rPr>
      </w:pPr>
      <w:r w:rsidRPr="001B648C">
        <w:rPr>
          <w:rFonts w:asciiTheme="majorHAnsi" w:hAnsiTheme="majorHAnsi" w:cstheme="majorHAnsi"/>
          <w:b/>
          <w:lang w:val="cs-CZ" w:bidi="bo-CN"/>
        </w:rPr>
        <w:t>Obrat: 20,5 miliardy eur, organický růst 0,9 procenta</w:t>
      </w:r>
    </w:p>
    <w:p w14:paraId="17902849" w14:textId="77777777" w:rsidR="001155C1" w:rsidRPr="001B648C" w:rsidRDefault="001155C1" w:rsidP="001155C1">
      <w:pPr>
        <w:pStyle w:val="Odsekzoznamu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lang w:val="cs-CZ"/>
        </w:rPr>
      </w:pPr>
      <w:r w:rsidRPr="001B648C">
        <w:rPr>
          <w:rFonts w:asciiTheme="majorHAnsi" w:hAnsiTheme="majorHAnsi" w:cstheme="majorHAnsi"/>
          <w:b/>
          <w:lang w:val="cs-CZ" w:bidi="bo-CN"/>
        </w:rPr>
        <w:t>Provozní zisk (EBIT)*: 3,0 miliardy eur, mírně za úrovní předchozího roku z důvodu výrazně negativních kurzových vlivů</w:t>
      </w:r>
      <w:r w:rsidRPr="001B648C">
        <w:rPr>
          <w:rFonts w:asciiTheme="majorHAnsi" w:hAnsiTheme="majorHAnsi" w:cstheme="majorHAnsi"/>
          <w:b/>
          <w:lang w:val="cs-CZ"/>
        </w:rPr>
        <w:t xml:space="preserve"> o 0,9 procenta</w:t>
      </w:r>
    </w:p>
    <w:p w14:paraId="10664314" w14:textId="77777777" w:rsidR="001155C1" w:rsidRPr="001B648C" w:rsidRDefault="001155C1" w:rsidP="001155C1">
      <w:pPr>
        <w:pStyle w:val="Odsekzoznamu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lang w:val="cs-CZ"/>
        </w:rPr>
      </w:pPr>
      <w:r w:rsidRPr="001B648C">
        <w:rPr>
          <w:rFonts w:asciiTheme="majorHAnsi" w:hAnsiTheme="majorHAnsi" w:cstheme="majorHAnsi"/>
          <w:b/>
          <w:lang w:val="cs-CZ" w:bidi="bo-CN"/>
        </w:rPr>
        <w:t>Marže EBIT*: 14,8 procenta, zlepšení o 50 </w:t>
      </w:r>
      <w:proofErr w:type="spellStart"/>
      <w:r w:rsidRPr="001B648C">
        <w:rPr>
          <w:rFonts w:asciiTheme="majorHAnsi" w:hAnsiTheme="majorHAnsi" w:cstheme="majorHAnsi"/>
          <w:b/>
          <w:lang w:val="cs-CZ" w:bidi="bo-CN"/>
        </w:rPr>
        <w:t>bázických</w:t>
      </w:r>
      <w:proofErr w:type="spellEnd"/>
      <w:r w:rsidRPr="001B648C">
        <w:rPr>
          <w:rFonts w:asciiTheme="majorHAnsi" w:hAnsiTheme="majorHAnsi" w:cstheme="majorHAnsi"/>
          <w:b/>
          <w:lang w:val="cs-CZ" w:bidi="bo-CN"/>
        </w:rPr>
        <w:t xml:space="preserve"> bodů</w:t>
      </w:r>
    </w:p>
    <w:p w14:paraId="3E27FF7A" w14:textId="77777777" w:rsidR="001155C1" w:rsidRPr="001B648C" w:rsidRDefault="001155C1" w:rsidP="001155C1">
      <w:pPr>
        <w:pStyle w:val="Odsekzoznamu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lang w:val="cs-CZ"/>
        </w:rPr>
      </w:pPr>
      <w:r w:rsidRPr="001B648C">
        <w:rPr>
          <w:rFonts w:asciiTheme="majorHAnsi" w:hAnsiTheme="majorHAnsi" w:cstheme="majorHAnsi"/>
          <w:b/>
          <w:lang w:val="cs-CZ" w:bidi="bo-CN"/>
        </w:rPr>
        <w:t>Výnos na prioritní akcii (EPS)*: 5,33 eura, +4,7 procenta při konstantních měnových kurzech</w:t>
      </w:r>
    </w:p>
    <w:p w14:paraId="1F80C16A" w14:textId="77777777" w:rsidR="001155C1" w:rsidRPr="001B648C" w:rsidRDefault="001155C1" w:rsidP="001155C1">
      <w:pPr>
        <w:pStyle w:val="Odsekzoznamu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lang w:val="cs-CZ"/>
        </w:rPr>
      </w:pPr>
      <w:r w:rsidRPr="001B648C">
        <w:rPr>
          <w:rFonts w:asciiTheme="majorHAnsi" w:hAnsiTheme="majorHAnsi" w:cstheme="majorHAnsi"/>
          <w:b/>
          <w:lang w:val="cs-CZ" w:bidi="bo-CN"/>
        </w:rPr>
        <w:t xml:space="preserve">Silný volný cash </w:t>
      </w:r>
      <w:proofErr w:type="spellStart"/>
      <w:r w:rsidRPr="001B648C">
        <w:rPr>
          <w:rFonts w:asciiTheme="majorHAnsi" w:hAnsiTheme="majorHAnsi" w:cstheme="majorHAnsi"/>
          <w:b/>
          <w:lang w:val="cs-CZ" w:bidi="bo-CN"/>
        </w:rPr>
        <w:t>flow</w:t>
      </w:r>
      <w:proofErr w:type="spellEnd"/>
      <w:r w:rsidRPr="001B648C">
        <w:rPr>
          <w:rFonts w:asciiTheme="majorHAnsi" w:hAnsiTheme="majorHAnsi" w:cstheme="majorHAnsi"/>
          <w:b/>
          <w:lang w:val="cs-CZ" w:bidi="bo-CN"/>
        </w:rPr>
        <w:t xml:space="preserve"> přibližně 1,9 miliardy eur</w:t>
      </w:r>
    </w:p>
    <w:p w14:paraId="2988CE09" w14:textId="77777777" w:rsidR="001155C1" w:rsidRPr="001B648C" w:rsidRDefault="001155C1" w:rsidP="001155C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357" w:right="-108" w:hanging="357"/>
        <w:jc w:val="left"/>
        <w:rPr>
          <w:rFonts w:asciiTheme="majorHAnsi" w:hAnsiTheme="majorHAnsi" w:cstheme="majorHAnsi"/>
          <w:b/>
          <w:lang w:val="cs-CZ"/>
        </w:rPr>
      </w:pPr>
      <w:r w:rsidRPr="001B648C">
        <w:rPr>
          <w:rFonts w:asciiTheme="majorHAnsi" w:hAnsiTheme="majorHAnsi" w:cstheme="majorHAnsi"/>
          <w:b/>
          <w:lang w:val="cs-CZ" w:bidi="bo-CN"/>
        </w:rPr>
        <w:t>Zvýšení dividend o 1,5 procenta na 2,07 eura na prioritní akcii</w:t>
      </w:r>
    </w:p>
    <w:p w14:paraId="0054F089" w14:textId="77777777" w:rsidR="001155C1" w:rsidRPr="001B648C" w:rsidRDefault="001155C1" w:rsidP="001155C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357" w:right="-108" w:hanging="357"/>
        <w:jc w:val="left"/>
        <w:rPr>
          <w:rFonts w:asciiTheme="majorHAnsi" w:hAnsiTheme="majorHAnsi" w:cstheme="majorHAnsi"/>
          <w:b/>
          <w:lang w:val="cs-CZ"/>
        </w:rPr>
      </w:pPr>
      <w:r w:rsidRPr="001B648C">
        <w:rPr>
          <w:rFonts w:asciiTheme="majorHAnsi" w:hAnsiTheme="majorHAnsi" w:cstheme="majorHAnsi"/>
          <w:b/>
          <w:lang w:val="cs-CZ" w:bidi="bo-CN"/>
        </w:rPr>
        <w:t>Pokrok v implementaci agendy pro smysluplný růst</w:t>
      </w:r>
    </w:p>
    <w:p w14:paraId="559C7343" w14:textId="77777777" w:rsidR="001155C1" w:rsidRPr="001B648C" w:rsidRDefault="001155C1" w:rsidP="001155C1">
      <w:pPr>
        <w:pStyle w:val="Odsekzoznamu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lang w:val="cs-CZ"/>
        </w:rPr>
      </w:pPr>
      <w:bookmarkStart w:id="3" w:name="_Hlk157433806"/>
      <w:r w:rsidRPr="001B648C">
        <w:rPr>
          <w:rFonts w:asciiTheme="majorHAnsi" w:hAnsiTheme="majorHAnsi" w:cstheme="majorHAnsi"/>
          <w:b/>
          <w:lang w:val="cs-CZ" w:bidi="bo-CN"/>
        </w:rPr>
        <w:t>Sloučení spotřebitelských divizí dokončeno v předstihu</w:t>
      </w:r>
    </w:p>
    <w:bookmarkEnd w:id="3"/>
    <w:p w14:paraId="6DFEB3B8" w14:textId="77777777" w:rsidR="001155C1" w:rsidRPr="001B648C" w:rsidRDefault="001155C1" w:rsidP="001155C1">
      <w:pPr>
        <w:pStyle w:val="Odsekzoznamu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lang w:val="cs-CZ"/>
        </w:rPr>
      </w:pPr>
      <w:r w:rsidRPr="001B648C">
        <w:rPr>
          <w:rFonts w:asciiTheme="majorHAnsi" w:hAnsiTheme="majorHAnsi" w:cstheme="majorHAnsi"/>
          <w:b/>
          <w:lang w:val="cs-CZ" w:bidi="bo-CN"/>
        </w:rPr>
        <w:t>Nejnovější akvizice posílily růstový potenciál obou obchodních divizí</w:t>
      </w:r>
    </w:p>
    <w:p w14:paraId="5F419506" w14:textId="77777777" w:rsidR="001155C1" w:rsidRPr="001B648C" w:rsidRDefault="001155C1" w:rsidP="001155C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ind w:left="357" w:right="-108" w:hanging="357"/>
        <w:jc w:val="left"/>
        <w:rPr>
          <w:rFonts w:asciiTheme="majorHAnsi" w:hAnsiTheme="majorHAnsi" w:cstheme="majorHAnsi"/>
          <w:b/>
          <w:lang w:val="cs-CZ"/>
        </w:rPr>
      </w:pPr>
      <w:r w:rsidRPr="001B648C">
        <w:rPr>
          <w:rFonts w:asciiTheme="majorHAnsi" w:hAnsiTheme="majorHAnsi" w:cstheme="majorHAnsi"/>
          <w:b/>
          <w:lang w:val="cs-CZ" w:bidi="bo-CN"/>
        </w:rPr>
        <w:t>Výhled pro finanční rok 2026: Očekává se další růst tržeb i zisku</w:t>
      </w:r>
    </w:p>
    <w:p w14:paraId="71FEF8B1" w14:textId="77777777" w:rsidR="001155C1" w:rsidRPr="001B648C" w:rsidRDefault="001155C1" w:rsidP="001155C1">
      <w:pPr>
        <w:pStyle w:val="Odsekzoznamu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66" w:lineRule="auto"/>
        <w:ind w:left="567" w:right="-108" w:hanging="283"/>
        <w:contextualSpacing w:val="0"/>
        <w:jc w:val="left"/>
        <w:rPr>
          <w:rFonts w:asciiTheme="majorHAnsi" w:hAnsiTheme="majorHAnsi" w:cstheme="majorHAnsi"/>
          <w:b/>
          <w:lang w:val="cs-CZ"/>
        </w:rPr>
      </w:pPr>
      <w:r w:rsidRPr="001B648C">
        <w:rPr>
          <w:rFonts w:asciiTheme="majorHAnsi" w:hAnsiTheme="majorHAnsi" w:cstheme="majorHAnsi"/>
          <w:b/>
          <w:lang w:val="cs-CZ" w:bidi="bo-CN"/>
        </w:rPr>
        <w:t>Organický růst obratu:</w:t>
      </w:r>
      <w:r w:rsidRPr="001B648C">
        <w:rPr>
          <w:rFonts w:asciiTheme="majorHAnsi" w:hAnsiTheme="majorHAnsi" w:cstheme="majorHAnsi"/>
          <w:b/>
          <w:lang w:val="cs-CZ"/>
        </w:rPr>
        <w:t xml:space="preserve"> </w:t>
      </w:r>
      <w:r w:rsidRPr="001B648C">
        <w:rPr>
          <w:rFonts w:asciiTheme="majorHAnsi" w:hAnsiTheme="majorHAnsi" w:cstheme="majorHAnsi"/>
          <w:b/>
          <w:lang w:val="cs-CZ" w:bidi="bo-CN"/>
        </w:rPr>
        <w:t>1,0 až 3,0 procenta</w:t>
      </w:r>
    </w:p>
    <w:p w14:paraId="5D97A59F" w14:textId="77777777" w:rsidR="001155C1" w:rsidRPr="001B648C" w:rsidRDefault="001155C1" w:rsidP="001155C1">
      <w:pPr>
        <w:pStyle w:val="Odsekzoznamu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66" w:lineRule="auto"/>
        <w:ind w:left="567" w:right="-108" w:hanging="283"/>
        <w:contextualSpacing w:val="0"/>
        <w:jc w:val="left"/>
        <w:rPr>
          <w:rFonts w:asciiTheme="majorHAnsi" w:hAnsiTheme="majorHAnsi" w:cstheme="majorHAnsi"/>
          <w:b/>
          <w:lang w:val="cs-CZ"/>
        </w:rPr>
      </w:pPr>
      <w:r w:rsidRPr="001B648C">
        <w:rPr>
          <w:rFonts w:asciiTheme="majorHAnsi" w:hAnsiTheme="majorHAnsi" w:cstheme="majorHAnsi"/>
          <w:b/>
          <w:lang w:val="cs-CZ" w:bidi="bo-CN"/>
        </w:rPr>
        <w:t>Marže EBIT*:</w:t>
      </w:r>
      <w:r w:rsidRPr="001B648C">
        <w:rPr>
          <w:rFonts w:asciiTheme="majorHAnsi" w:hAnsiTheme="majorHAnsi" w:cstheme="majorHAnsi"/>
          <w:b/>
          <w:lang w:val="cs-CZ"/>
        </w:rPr>
        <w:t xml:space="preserve"> </w:t>
      </w:r>
      <w:r w:rsidRPr="001B648C">
        <w:rPr>
          <w:rFonts w:asciiTheme="majorHAnsi" w:hAnsiTheme="majorHAnsi" w:cstheme="majorHAnsi"/>
          <w:b/>
          <w:lang w:val="cs-CZ" w:bidi="bo-CN"/>
        </w:rPr>
        <w:t>14,5 až 16,0 procenta</w:t>
      </w:r>
    </w:p>
    <w:p w14:paraId="1DB9A067" w14:textId="77777777" w:rsidR="001155C1" w:rsidRPr="001B648C" w:rsidRDefault="001155C1" w:rsidP="001155C1">
      <w:pPr>
        <w:pStyle w:val="Odsekzoznamu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 w:line="266" w:lineRule="auto"/>
        <w:ind w:left="567" w:right="-108" w:hanging="283"/>
        <w:contextualSpacing w:val="0"/>
        <w:jc w:val="left"/>
        <w:rPr>
          <w:rFonts w:asciiTheme="majorHAnsi" w:hAnsiTheme="majorHAnsi" w:cstheme="majorHAnsi"/>
          <w:b/>
          <w:lang w:val="cs-CZ"/>
        </w:rPr>
      </w:pPr>
      <w:r w:rsidRPr="001B648C">
        <w:rPr>
          <w:rFonts w:asciiTheme="majorHAnsi" w:hAnsiTheme="majorHAnsi" w:cstheme="majorHAnsi"/>
          <w:b/>
          <w:lang w:val="cs-CZ" w:bidi="bo-CN"/>
        </w:rPr>
        <w:t>Výnos na prioritní akcii (EPS)*:</w:t>
      </w:r>
      <w:r w:rsidRPr="001B648C">
        <w:rPr>
          <w:rFonts w:asciiTheme="majorHAnsi" w:hAnsiTheme="majorHAnsi" w:cstheme="majorHAnsi"/>
          <w:b/>
          <w:lang w:val="cs-CZ"/>
        </w:rPr>
        <w:t xml:space="preserve"> </w:t>
      </w:r>
      <w:r w:rsidRPr="001B648C">
        <w:rPr>
          <w:rFonts w:asciiTheme="majorHAnsi" w:hAnsiTheme="majorHAnsi" w:cstheme="majorHAnsi"/>
          <w:b/>
          <w:lang w:val="cs-CZ" w:bidi="bo-CN"/>
        </w:rPr>
        <w:t>zvýšení ve dolní až horní polovině jednociferného procentuálního pásma (při konstantních měnových kurzech)</w:t>
      </w:r>
    </w:p>
    <w:p w14:paraId="754B4883" w14:textId="77777777" w:rsidR="001155C1" w:rsidRPr="001B648C" w:rsidRDefault="001155C1" w:rsidP="001155C1">
      <w:pPr>
        <w:rPr>
          <w:b/>
          <w:bCs/>
          <w:lang w:val="cs-CZ"/>
        </w:rPr>
      </w:pPr>
    </w:p>
    <w:p w14:paraId="6429B329" w14:textId="77777777" w:rsidR="001155C1" w:rsidRPr="001B648C" w:rsidRDefault="001155C1" w:rsidP="001155C1">
      <w:pPr>
        <w:rPr>
          <w:b/>
          <w:bCs/>
          <w:lang w:val="cs-CZ"/>
        </w:rPr>
      </w:pPr>
      <w:r w:rsidRPr="001B648C">
        <w:rPr>
          <w:b/>
          <w:bCs/>
          <w:noProof/>
          <w:sz w:val="24"/>
          <w:lang w:val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41216F" wp14:editId="7CAC7ACF">
                <wp:simplePos x="0" y="0"/>
                <wp:positionH relativeFrom="margin">
                  <wp:posOffset>-40005</wp:posOffset>
                </wp:positionH>
                <wp:positionV relativeFrom="paragraph">
                  <wp:posOffset>1682321</wp:posOffset>
                </wp:positionV>
                <wp:extent cx="5413973" cy="232834"/>
                <wp:effectExtent l="0" t="0" r="0" b="0"/>
                <wp:wrapNone/>
                <wp:docPr id="214901967" name="Textfeld 214901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3973" cy="232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61D25" w14:textId="77777777" w:rsidR="001155C1" w:rsidRPr="001155C1" w:rsidRDefault="001155C1" w:rsidP="001155C1">
                            <w:pPr>
                              <w:pStyle w:val="He04Funote"/>
                              <w:rPr>
                                <w:sz w:val="12"/>
                                <w:szCs w:val="12"/>
                                <w:lang w:val="pl-PL"/>
                              </w:rPr>
                            </w:pPr>
                            <w:r w:rsidRPr="001155C1">
                              <w:rPr>
                                <w:sz w:val="12"/>
                                <w:szCs w:val="12"/>
                                <w:lang w:val="pl-PL"/>
                              </w:rPr>
                              <w:t xml:space="preserve">* </w:t>
                            </w:r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>Upraven</w:t>
                            </w:r>
                            <w:r>
                              <w:rPr>
                                <w:sz w:val="12"/>
                                <w:szCs w:val="12"/>
                                <w:lang w:val="sk-SK"/>
                              </w:rPr>
                              <w:t>o</w:t>
                            </w:r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 xml:space="preserve"> o </w:t>
                            </w:r>
                            <w:proofErr w:type="spellStart"/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>jednor</w:t>
                            </w:r>
                            <w:r>
                              <w:rPr>
                                <w:sz w:val="12"/>
                                <w:szCs w:val="12"/>
                                <w:lang w:val="sk-SK"/>
                              </w:rPr>
                              <w:t>á</w:t>
                            </w:r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>zové</w:t>
                            </w:r>
                            <w:proofErr w:type="spellEnd"/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 xml:space="preserve"> výda</w:t>
                            </w:r>
                            <w:r>
                              <w:rPr>
                                <w:sz w:val="12"/>
                                <w:szCs w:val="12"/>
                                <w:lang w:val="sk-SK"/>
                              </w:rPr>
                              <w:t>je</w:t>
                            </w:r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 xml:space="preserve"> a </w:t>
                            </w:r>
                            <w:proofErr w:type="spellStart"/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>p</w:t>
                            </w:r>
                            <w:r>
                              <w:rPr>
                                <w:sz w:val="12"/>
                                <w:szCs w:val="12"/>
                                <w:lang w:val="sk-SK"/>
                              </w:rPr>
                              <w:t>ř</w:t>
                            </w:r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>íjmy</w:t>
                            </w:r>
                            <w:proofErr w:type="spellEnd"/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 xml:space="preserve"> a </w:t>
                            </w:r>
                            <w:proofErr w:type="spellStart"/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>re</w:t>
                            </w:r>
                            <w:r>
                              <w:rPr>
                                <w:sz w:val="12"/>
                                <w:szCs w:val="12"/>
                                <w:lang w:val="sk-SK"/>
                              </w:rPr>
                              <w:t>s</w:t>
                            </w:r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>trukturalizačn</w:t>
                            </w:r>
                            <w:r>
                              <w:rPr>
                                <w:sz w:val="12"/>
                                <w:szCs w:val="12"/>
                                <w:lang w:val="sk-SK"/>
                              </w:rPr>
                              <w:t>í</w:t>
                            </w:r>
                            <w:proofErr w:type="spellEnd"/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 xml:space="preserve"> výda</w:t>
                            </w:r>
                            <w:r>
                              <w:rPr>
                                <w:sz w:val="12"/>
                                <w:szCs w:val="12"/>
                                <w:lang w:val="sk-SK"/>
                              </w:rPr>
                              <w:t>je</w:t>
                            </w:r>
                            <w:r w:rsidRPr="00C66812">
                              <w:rPr>
                                <w:sz w:val="12"/>
                                <w:szCs w:val="12"/>
                                <w:lang w:val="sk-S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1216F" id="_x0000_t202" coordsize="21600,21600" o:spt="202" path="m,l,21600r21600,l21600,xe">
                <v:stroke joinstyle="miter"/>
                <v:path gradientshapeok="t" o:connecttype="rect"/>
              </v:shapetype>
              <v:shape id="Textfeld 214901967" o:spid="_x0000_s1026" type="#_x0000_t202" style="position:absolute;left:0;text-align:left;margin-left:-3.15pt;margin-top:132.45pt;width:426.3pt;height:1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" stroked="f">
                <v:textbox>
                  <w:txbxContent>
                    <w:p w14:paraId="73161D25" w14:textId="77777777" w:rsidR="001155C1" w:rsidRPr="001155C1" w:rsidRDefault="001155C1" w:rsidP="001155C1">
                      <w:pPr>
                        <w:pStyle w:val="He04Funote"/>
                        <w:rPr>
                          <w:sz w:val="12"/>
                          <w:szCs w:val="12"/>
                          <w:lang w:val="pl-PL"/>
                        </w:rPr>
                      </w:pPr>
                      <w:r w:rsidRPr="001155C1">
                        <w:rPr>
                          <w:sz w:val="12"/>
                          <w:szCs w:val="12"/>
                          <w:lang w:val="pl-PL"/>
                        </w:rPr>
                        <w:t xml:space="preserve">* </w:t>
                      </w:r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>Upraven</w:t>
                      </w:r>
                      <w:r>
                        <w:rPr>
                          <w:sz w:val="12"/>
                          <w:szCs w:val="12"/>
                          <w:lang w:val="sk-SK"/>
                        </w:rPr>
                        <w:t>o</w:t>
                      </w:r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 xml:space="preserve"> o </w:t>
                      </w:r>
                      <w:proofErr w:type="spellStart"/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>jednor</w:t>
                      </w:r>
                      <w:r>
                        <w:rPr>
                          <w:sz w:val="12"/>
                          <w:szCs w:val="12"/>
                          <w:lang w:val="sk-SK"/>
                        </w:rPr>
                        <w:t>á</w:t>
                      </w:r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>zové</w:t>
                      </w:r>
                      <w:proofErr w:type="spellEnd"/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 xml:space="preserve"> výda</w:t>
                      </w:r>
                      <w:r>
                        <w:rPr>
                          <w:sz w:val="12"/>
                          <w:szCs w:val="12"/>
                          <w:lang w:val="sk-SK"/>
                        </w:rPr>
                        <w:t>je</w:t>
                      </w:r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 xml:space="preserve"> a </w:t>
                      </w:r>
                      <w:proofErr w:type="spellStart"/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>p</w:t>
                      </w:r>
                      <w:r>
                        <w:rPr>
                          <w:sz w:val="12"/>
                          <w:szCs w:val="12"/>
                          <w:lang w:val="sk-SK"/>
                        </w:rPr>
                        <w:t>ř</w:t>
                      </w:r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>íjmy</w:t>
                      </w:r>
                      <w:proofErr w:type="spellEnd"/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 xml:space="preserve"> a </w:t>
                      </w:r>
                      <w:proofErr w:type="spellStart"/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>re</w:t>
                      </w:r>
                      <w:r>
                        <w:rPr>
                          <w:sz w:val="12"/>
                          <w:szCs w:val="12"/>
                          <w:lang w:val="sk-SK"/>
                        </w:rPr>
                        <w:t>s</w:t>
                      </w:r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>trukturalizačn</w:t>
                      </w:r>
                      <w:r>
                        <w:rPr>
                          <w:sz w:val="12"/>
                          <w:szCs w:val="12"/>
                          <w:lang w:val="sk-SK"/>
                        </w:rPr>
                        <w:t>í</w:t>
                      </w:r>
                      <w:proofErr w:type="spellEnd"/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 xml:space="preserve"> výda</w:t>
                      </w:r>
                      <w:r>
                        <w:rPr>
                          <w:sz w:val="12"/>
                          <w:szCs w:val="12"/>
                          <w:lang w:val="sk-SK"/>
                        </w:rPr>
                        <w:t>je</w:t>
                      </w:r>
                      <w:r w:rsidRPr="00C66812">
                        <w:rPr>
                          <w:sz w:val="12"/>
                          <w:szCs w:val="12"/>
                          <w:lang w:val="sk-SK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648C">
        <w:rPr>
          <w:b/>
          <w:bCs/>
          <w:lang w:val="cs-CZ"/>
        </w:rPr>
        <w:t xml:space="preserve">Düsseldorf – </w:t>
      </w:r>
      <w:r w:rsidRPr="001B648C">
        <w:rPr>
          <w:b/>
          <w:bCs/>
          <w:lang w:val="cs-CZ" w:bidi="bo-CN"/>
        </w:rPr>
        <w:t xml:space="preserve">Společnost </w:t>
      </w:r>
      <w:proofErr w:type="spellStart"/>
      <w:r w:rsidRPr="001B648C">
        <w:rPr>
          <w:b/>
          <w:bCs/>
          <w:lang w:val="cs-CZ" w:bidi="bo-CN"/>
        </w:rPr>
        <w:t>Henkel</w:t>
      </w:r>
      <w:proofErr w:type="spellEnd"/>
      <w:r w:rsidRPr="001B648C">
        <w:rPr>
          <w:b/>
          <w:bCs/>
          <w:lang w:val="cs-CZ" w:bidi="bo-CN"/>
        </w:rPr>
        <w:t xml:space="preserve"> dosáhla celkově dobrých výsledků v náročném finančním roce 2025, který se nesl ve znamení mírného globálního hospodářského růstu a složitého geopolitického prostředí.</w:t>
      </w:r>
      <w:r w:rsidRPr="001B648C">
        <w:rPr>
          <w:b/>
          <w:bCs/>
          <w:lang w:val="cs-CZ"/>
        </w:rPr>
        <w:t xml:space="preserve"> </w:t>
      </w:r>
      <w:r w:rsidRPr="001B648C">
        <w:rPr>
          <w:b/>
          <w:bCs/>
          <w:lang w:val="cs-CZ" w:bidi="bo-CN"/>
        </w:rPr>
        <w:t xml:space="preserve">Obrat na úrovni skupiny dosáhl 20,5 miliardy eur a upravená marže EBIT vzrostla o 50 </w:t>
      </w:r>
      <w:proofErr w:type="spellStart"/>
      <w:r w:rsidRPr="001B648C">
        <w:rPr>
          <w:b/>
          <w:bCs/>
          <w:lang w:val="cs-CZ" w:bidi="bo-CN"/>
        </w:rPr>
        <w:t>bázických</w:t>
      </w:r>
      <w:proofErr w:type="spellEnd"/>
      <w:r w:rsidRPr="001B648C">
        <w:rPr>
          <w:b/>
          <w:bCs/>
          <w:lang w:val="cs-CZ" w:bidi="bo-CN"/>
        </w:rPr>
        <w:t xml:space="preserve"> bodů na úroveň 14,8 procenta.</w:t>
      </w:r>
      <w:r w:rsidRPr="001B648C">
        <w:rPr>
          <w:b/>
          <w:bCs/>
          <w:lang w:val="cs-CZ"/>
        </w:rPr>
        <w:t xml:space="preserve"> </w:t>
      </w:r>
      <w:r w:rsidRPr="001B648C">
        <w:rPr>
          <w:b/>
          <w:bCs/>
          <w:lang w:val="cs-CZ" w:bidi="bo-CN"/>
        </w:rPr>
        <w:t>Upravený výnos na prioritní akcii se při konstantních měnových kurzech zvýšil o 4,7 procenta.</w:t>
      </w:r>
    </w:p>
    <w:p w14:paraId="2ECB298D" w14:textId="77777777" w:rsidR="001155C1" w:rsidRPr="001B648C" w:rsidRDefault="001155C1" w:rsidP="001155C1">
      <w:pPr>
        <w:rPr>
          <w:b/>
          <w:bCs/>
          <w:lang w:val="cs-CZ"/>
        </w:rPr>
      </w:pPr>
      <w:bookmarkStart w:id="4" w:name="_Hlk190074952"/>
      <w:r w:rsidRPr="001B648C">
        <w:rPr>
          <w:b/>
          <w:bCs/>
          <w:lang w:val="cs-CZ" w:bidi="bo-CN"/>
        </w:rPr>
        <w:lastRenderedPageBreak/>
        <w:t xml:space="preserve">„Naše podnikatelské prostředí bylo a nadále je poznamenané velkými výzvami včetně vojenských konfliktů, geopolitického napětí v mnoha částech světa a rozsáhlých obchodních a celních sporů. Výsledná nejistota oslabila spotřebitelskou náladu i průmyslovou poptávku. S válkou na Blízkém východě, která začala na konci února, se nejistota opět výrazně prohloubila,“ řekl předseda představenstva společnosti </w:t>
      </w:r>
      <w:proofErr w:type="spellStart"/>
      <w:r w:rsidRPr="001B648C">
        <w:rPr>
          <w:b/>
          <w:bCs/>
          <w:lang w:val="cs-CZ" w:bidi="bo-CN"/>
        </w:rPr>
        <w:t>Henkel</w:t>
      </w:r>
      <w:proofErr w:type="spellEnd"/>
      <w:r w:rsidRPr="001B648C">
        <w:rPr>
          <w:b/>
          <w:bCs/>
          <w:lang w:val="cs-CZ" w:bidi="bo-CN"/>
        </w:rPr>
        <w:t xml:space="preserve"> </w:t>
      </w:r>
      <w:proofErr w:type="spellStart"/>
      <w:r w:rsidRPr="001B648C">
        <w:rPr>
          <w:b/>
          <w:bCs/>
          <w:lang w:val="cs-CZ" w:bidi="bo-CN"/>
        </w:rPr>
        <w:t>Carsten</w:t>
      </w:r>
      <w:proofErr w:type="spellEnd"/>
      <w:r w:rsidRPr="001B648C">
        <w:rPr>
          <w:b/>
          <w:bCs/>
          <w:lang w:val="cs-CZ" w:bidi="bo-CN"/>
        </w:rPr>
        <w:t xml:space="preserve"> </w:t>
      </w:r>
      <w:proofErr w:type="spellStart"/>
      <w:r w:rsidRPr="001B648C">
        <w:rPr>
          <w:b/>
          <w:bCs/>
          <w:lang w:val="cs-CZ" w:bidi="bo-CN"/>
        </w:rPr>
        <w:t>Knobel</w:t>
      </w:r>
      <w:proofErr w:type="spellEnd"/>
      <w:r w:rsidRPr="001B648C">
        <w:rPr>
          <w:b/>
          <w:bCs/>
          <w:lang w:val="cs-CZ" w:bidi="bo-CN"/>
        </w:rPr>
        <w:t>.</w:t>
      </w:r>
      <w:r w:rsidRPr="001B648C">
        <w:rPr>
          <w:b/>
          <w:bCs/>
          <w:lang w:val="cs-CZ"/>
        </w:rPr>
        <w:t xml:space="preserve"> </w:t>
      </w:r>
      <w:r w:rsidRPr="001B648C">
        <w:rPr>
          <w:b/>
          <w:bCs/>
          <w:lang w:val="cs-CZ" w:bidi="bo-CN"/>
        </w:rPr>
        <w:t xml:space="preserve">„Navzdory přetrvávajícím náročným ekonomickým podmínkám jsme v roce 2025 úspěšně posunuli </w:t>
      </w:r>
      <w:proofErr w:type="spellStart"/>
      <w:r w:rsidRPr="001B648C">
        <w:rPr>
          <w:b/>
          <w:bCs/>
          <w:lang w:val="cs-CZ" w:bidi="bo-CN"/>
        </w:rPr>
        <w:t>Henkel</w:t>
      </w:r>
      <w:proofErr w:type="spellEnd"/>
      <w:r w:rsidRPr="001B648C">
        <w:rPr>
          <w:b/>
          <w:bCs/>
          <w:lang w:val="cs-CZ" w:bidi="bo-CN"/>
        </w:rPr>
        <w:t xml:space="preserve"> kupředu. Dosáhli jsme klíčových cílů, nebo jsme je dokonce překročili a pokračovali jsme v transformaci naší společnosti. Zvýšili jsme organický obrat a výrazně jsme zlepšili ziskovost firmy. Chceme, aby se naši akcionáři podíleli na úspěšném vývoji společnosti. Proto navrhneme zvýšení dividendy o 1,5 procenta.“</w:t>
      </w:r>
    </w:p>
    <w:bookmarkEnd w:id="4"/>
    <w:p w14:paraId="4305D127" w14:textId="77777777" w:rsidR="001155C1" w:rsidRPr="001B648C" w:rsidRDefault="001155C1" w:rsidP="001155C1">
      <w:pPr>
        <w:rPr>
          <w:b/>
          <w:bCs/>
          <w:lang w:val="cs-CZ"/>
        </w:rPr>
      </w:pPr>
    </w:p>
    <w:p w14:paraId="51359138" w14:textId="77777777" w:rsidR="001155C1" w:rsidRPr="001B648C" w:rsidRDefault="001155C1" w:rsidP="001155C1">
      <w:pPr>
        <w:rPr>
          <w:b/>
          <w:bCs/>
          <w:lang w:val="cs-CZ"/>
        </w:rPr>
      </w:pPr>
      <w:r w:rsidRPr="001B648C">
        <w:rPr>
          <w:b/>
          <w:bCs/>
          <w:lang w:val="cs-CZ" w:bidi="bo-CN"/>
        </w:rPr>
        <w:t xml:space="preserve">„Organicky jsme zvýšili obrat a dále jsme zlepšili ziskovost v obou obchodních divizích, </w:t>
      </w:r>
      <w:proofErr w:type="spellStart"/>
      <w:r w:rsidRPr="001B648C">
        <w:rPr>
          <w:b/>
          <w:bCs/>
          <w:lang w:val="cs-CZ" w:bidi="bo-CN"/>
        </w:rPr>
        <w:t>Adhesive</w:t>
      </w:r>
      <w:proofErr w:type="spellEnd"/>
      <w:r w:rsidRPr="001B648C">
        <w:rPr>
          <w:b/>
          <w:bCs/>
          <w:lang w:val="cs-CZ" w:bidi="bo-CN"/>
        </w:rPr>
        <w:t xml:space="preserve"> Technologies i </w:t>
      </w:r>
      <w:proofErr w:type="spellStart"/>
      <w:r w:rsidRPr="001B648C">
        <w:rPr>
          <w:b/>
          <w:bCs/>
          <w:lang w:val="cs-CZ" w:bidi="bo-CN"/>
        </w:rPr>
        <w:t>Consumer</w:t>
      </w:r>
      <w:proofErr w:type="spellEnd"/>
      <w:r w:rsidRPr="001B648C">
        <w:rPr>
          <w:b/>
          <w:bCs/>
          <w:lang w:val="cs-CZ" w:bidi="bo-CN"/>
        </w:rPr>
        <w:t xml:space="preserve"> </w:t>
      </w:r>
      <w:proofErr w:type="spellStart"/>
      <w:r w:rsidRPr="001B648C">
        <w:rPr>
          <w:b/>
          <w:bCs/>
          <w:lang w:val="cs-CZ" w:bidi="bo-CN"/>
        </w:rPr>
        <w:t>Brands</w:t>
      </w:r>
      <w:proofErr w:type="spellEnd"/>
      <w:r w:rsidRPr="001B648C">
        <w:rPr>
          <w:b/>
          <w:bCs/>
          <w:lang w:val="cs-CZ" w:bidi="bo-CN"/>
        </w:rPr>
        <w:t xml:space="preserve">. Dosáhli jsme toho hlavně díky dalším inovacím, pokračujícím úsporným opatřením, zvyšování efektivity a silnějšímu růstu v segmentech s vysokou marží. Nárůst marže v divizi </w:t>
      </w:r>
      <w:proofErr w:type="spellStart"/>
      <w:r w:rsidRPr="001B648C">
        <w:rPr>
          <w:b/>
          <w:bCs/>
          <w:lang w:val="cs-CZ" w:bidi="bo-CN"/>
        </w:rPr>
        <w:t>Consumer</w:t>
      </w:r>
      <w:proofErr w:type="spellEnd"/>
      <w:r w:rsidRPr="001B648C">
        <w:rPr>
          <w:b/>
          <w:bCs/>
          <w:lang w:val="cs-CZ" w:bidi="bo-CN"/>
        </w:rPr>
        <w:t xml:space="preserve"> </w:t>
      </w:r>
      <w:proofErr w:type="spellStart"/>
      <w:r w:rsidRPr="001B648C">
        <w:rPr>
          <w:b/>
          <w:bCs/>
          <w:lang w:val="cs-CZ" w:bidi="bo-CN"/>
        </w:rPr>
        <w:t>Brands</w:t>
      </w:r>
      <w:proofErr w:type="spellEnd"/>
      <w:r w:rsidRPr="001B648C">
        <w:rPr>
          <w:b/>
          <w:bCs/>
          <w:lang w:val="cs-CZ" w:bidi="bo-CN"/>
        </w:rPr>
        <w:t xml:space="preserve"> byl podpořen ukončením integračního procesu, pokračujícími úsporami a další valorizací, tedy cíleným zlepšováním produktového portfolia. Zároveň jsme pokračovali v investicích do budoucnosti obou divizí: do posilování našich značek, inovací, udržitelnosti a digitalizace. V uplynulých třech měsících jsme navíc v obou divizích uzavřeli akvizice s kombinovaným objemem obratu na úrovni přibližně 1,2 miliardy eur, abychom posílili naše podnikání a rozšířili jeho růstový potenciál. Výsledky za rok 2025 jasně ukazují, že naše strategie udržitelného, smysluplného růstu nás vede správným směrem a efektivně připravuje společnost na budoucnost. To se odráží také v našem výhledu pro finanční rok 2026, ve kterém očekáváme další růst obratu a zisku, přestože začátek roku může být mírně slabší. Chtěl bych poděkovat všem zaměstnancům za jejich mimořádný výkon. Díky jejich týmové práci a výjimečnému nasazení jsme opět úspěšně provedli naši společnost náročným prostředím,“ zhodnotil loňský rok </w:t>
      </w:r>
      <w:proofErr w:type="spellStart"/>
      <w:r w:rsidRPr="001B648C">
        <w:rPr>
          <w:b/>
          <w:bCs/>
          <w:lang w:val="cs-CZ" w:bidi="bo-CN"/>
        </w:rPr>
        <w:t>Knobel</w:t>
      </w:r>
      <w:proofErr w:type="spellEnd"/>
      <w:r w:rsidRPr="001B648C">
        <w:rPr>
          <w:b/>
          <w:bCs/>
          <w:lang w:val="cs-CZ" w:bidi="bo-CN"/>
        </w:rPr>
        <w:t>.</w:t>
      </w:r>
    </w:p>
    <w:p w14:paraId="0F10F933" w14:textId="77777777" w:rsidR="001155C1" w:rsidRPr="001B648C" w:rsidRDefault="001155C1" w:rsidP="001155C1">
      <w:pPr>
        <w:spacing w:after="120"/>
        <w:rPr>
          <w:b/>
          <w:bCs/>
          <w:lang w:val="cs-CZ" w:eastAsia="de-DE"/>
        </w:rPr>
      </w:pPr>
    </w:p>
    <w:p w14:paraId="1934C391" w14:textId="77777777" w:rsidR="001155C1" w:rsidRPr="001B648C" w:rsidRDefault="001155C1" w:rsidP="001155C1">
      <w:pPr>
        <w:spacing w:after="120"/>
        <w:rPr>
          <w:b/>
          <w:bCs/>
          <w:lang w:val="cs-CZ" w:eastAsia="de-DE"/>
        </w:rPr>
      </w:pPr>
      <w:r w:rsidRPr="001B648C">
        <w:rPr>
          <w:b/>
          <w:bCs/>
          <w:lang w:val="cs-CZ" w:eastAsia="de-DE" w:bidi="bo-CN"/>
        </w:rPr>
        <w:t>Obrat a výnosy na úrovni skupiny za finanční rok 2025</w:t>
      </w:r>
    </w:p>
    <w:p w14:paraId="183F4155" w14:textId="77777777" w:rsidR="001155C1" w:rsidRPr="001B648C" w:rsidRDefault="001155C1" w:rsidP="001155C1">
      <w:pPr>
        <w:rPr>
          <w:lang w:val="cs-CZ" w:bidi="bo-CN"/>
        </w:rPr>
      </w:pPr>
      <w:r w:rsidRPr="001B648C">
        <w:rPr>
          <w:b/>
          <w:bCs/>
          <w:lang w:val="cs-CZ" w:bidi="bo-CN"/>
        </w:rPr>
        <w:t xml:space="preserve">Obrat na úrovni skupiny </w:t>
      </w:r>
      <w:r w:rsidRPr="001B648C">
        <w:rPr>
          <w:lang w:val="cs-CZ" w:bidi="bo-CN"/>
        </w:rPr>
        <w:t>dosáhl ve finančním roce 2025 celkové hodnoty 20 495 milionů eur, což v nominálním vyjádření představuje meziroční pokles o 5,1 procenta.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>Negativní vliv kurzového vývoje na obrat představoval 4,2 procenta.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>Po upravení o kurzové vlivy obrat klesl o 0,8 procenta.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 xml:space="preserve">Negativní vliv na obrat měly i akvizice a prodeje, a to ve výši 1,7 procenta, zejména z důvodu prodeje severoamerické maloobchodní divize </w:t>
      </w:r>
      <w:proofErr w:type="spellStart"/>
      <w:r w:rsidRPr="001B648C">
        <w:rPr>
          <w:lang w:val="cs-CZ" w:bidi="bo-CN"/>
        </w:rPr>
        <w:t>Retailer</w:t>
      </w:r>
      <w:proofErr w:type="spellEnd"/>
      <w:r w:rsidRPr="001B648C">
        <w:rPr>
          <w:lang w:val="cs-CZ" w:bidi="bo-CN"/>
        </w:rPr>
        <w:t xml:space="preserve"> </w:t>
      </w:r>
      <w:proofErr w:type="spellStart"/>
      <w:r w:rsidRPr="001B648C">
        <w:rPr>
          <w:lang w:val="cs-CZ" w:bidi="bo-CN"/>
        </w:rPr>
        <w:t>Brands</w:t>
      </w:r>
      <w:proofErr w:type="spellEnd"/>
      <w:r w:rsidRPr="001B648C">
        <w:rPr>
          <w:lang w:val="cs-CZ" w:bidi="bo-CN"/>
        </w:rPr>
        <w:t xml:space="preserve"> z portfolia divize </w:t>
      </w:r>
      <w:proofErr w:type="spellStart"/>
      <w:r w:rsidRPr="001B648C">
        <w:rPr>
          <w:lang w:val="cs-CZ" w:bidi="bo-CN"/>
        </w:rPr>
        <w:t>Consumer</w:t>
      </w:r>
      <w:proofErr w:type="spellEnd"/>
      <w:r w:rsidRPr="001B648C">
        <w:rPr>
          <w:lang w:val="cs-CZ" w:bidi="bo-CN"/>
        </w:rPr>
        <w:t xml:space="preserve"> </w:t>
      </w:r>
      <w:proofErr w:type="spellStart"/>
      <w:r w:rsidRPr="001B648C">
        <w:rPr>
          <w:lang w:val="cs-CZ" w:bidi="bo-CN"/>
        </w:rPr>
        <w:t>Brands</w:t>
      </w:r>
      <w:proofErr w:type="spellEnd"/>
      <w:r w:rsidRPr="001B648C">
        <w:rPr>
          <w:lang w:val="cs-CZ" w:bidi="bo-CN"/>
        </w:rPr>
        <w:t>.</w:t>
      </w:r>
      <w:r w:rsidRPr="001B648C">
        <w:rPr>
          <w:lang w:val="cs-CZ"/>
        </w:rPr>
        <w:t xml:space="preserve"> </w:t>
      </w:r>
      <w:r w:rsidRPr="001B648C">
        <w:rPr>
          <w:b/>
          <w:bCs/>
          <w:lang w:val="cs-CZ" w:bidi="bo-CN"/>
        </w:rPr>
        <w:t xml:space="preserve">Organicky, </w:t>
      </w:r>
      <w:r w:rsidRPr="001B648C">
        <w:rPr>
          <w:lang w:val="cs-CZ" w:bidi="bo-CN"/>
        </w:rPr>
        <w:t>tj. po úpravě o kurzové vlivy a vlivy akvizic a prodeje,</w:t>
      </w:r>
      <w:r w:rsidRPr="001B648C">
        <w:rPr>
          <w:b/>
          <w:bCs/>
          <w:lang w:val="cs-CZ" w:bidi="bo-CN"/>
        </w:rPr>
        <w:t xml:space="preserve"> se </w:t>
      </w:r>
      <w:r w:rsidRPr="001B648C">
        <w:rPr>
          <w:b/>
          <w:bCs/>
          <w:lang w:val="cs-CZ" w:bidi="bo-CN"/>
        </w:rPr>
        <w:lastRenderedPageBreak/>
        <w:t>obrat zvýšil</w:t>
      </w:r>
      <w:r w:rsidRPr="001B648C">
        <w:rPr>
          <w:lang w:val="cs-CZ" w:bidi="bo-CN"/>
        </w:rPr>
        <w:t xml:space="preserve"> o 0,9 procenta.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>Zvýšení táhl hlavně nárůst cen, protože objem prodeje zůstal meziročně nezměněný.</w:t>
      </w:r>
    </w:p>
    <w:p w14:paraId="4DBA216F" w14:textId="77777777" w:rsidR="001155C1" w:rsidRPr="001B648C" w:rsidRDefault="001155C1" w:rsidP="001155C1">
      <w:pPr>
        <w:rPr>
          <w:lang w:val="cs-CZ"/>
        </w:rPr>
      </w:pPr>
    </w:p>
    <w:p w14:paraId="78A18B11" w14:textId="77777777" w:rsidR="001155C1" w:rsidRPr="001B648C" w:rsidRDefault="001155C1" w:rsidP="001155C1">
      <w:pPr>
        <w:rPr>
          <w:lang w:val="cs-CZ"/>
        </w:rPr>
      </w:pPr>
      <w:r w:rsidRPr="001B648C">
        <w:rPr>
          <w:lang w:val="cs-CZ" w:bidi="bo-CN"/>
        </w:rPr>
        <w:t xml:space="preserve">Obchodní divize </w:t>
      </w:r>
      <w:proofErr w:type="spellStart"/>
      <w:r w:rsidRPr="001B648C">
        <w:rPr>
          <w:b/>
          <w:bCs/>
          <w:lang w:val="cs-CZ" w:bidi="bo-CN"/>
        </w:rPr>
        <w:t>Adhesive</w:t>
      </w:r>
      <w:proofErr w:type="spellEnd"/>
      <w:r w:rsidRPr="001B648C">
        <w:rPr>
          <w:lang w:val="cs-CZ" w:bidi="bo-CN"/>
        </w:rPr>
        <w:t xml:space="preserve"> </w:t>
      </w:r>
      <w:r w:rsidRPr="001B648C">
        <w:rPr>
          <w:b/>
          <w:bCs/>
          <w:lang w:val="cs-CZ" w:bidi="bo-CN"/>
        </w:rPr>
        <w:t>Technologies</w:t>
      </w:r>
      <w:r w:rsidRPr="001B648C">
        <w:rPr>
          <w:lang w:val="cs-CZ" w:bidi="bo-CN"/>
        </w:rPr>
        <w:t xml:space="preserve"> zaznamenala pozitivní organický růst obratu ve výši 1,5 procenta, jehož hlavním zdrojem byly segmenty mobility a elektronického průmyslu.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 xml:space="preserve">Ke kladnému vývoji organického obratu divize </w:t>
      </w:r>
      <w:proofErr w:type="spellStart"/>
      <w:r w:rsidRPr="001B648C">
        <w:rPr>
          <w:b/>
          <w:bCs/>
          <w:lang w:val="cs-CZ" w:bidi="bo-CN"/>
        </w:rPr>
        <w:t>Consumer</w:t>
      </w:r>
      <w:proofErr w:type="spellEnd"/>
      <w:r w:rsidRPr="001B648C">
        <w:rPr>
          <w:lang w:val="cs-CZ" w:bidi="bo-CN"/>
        </w:rPr>
        <w:t xml:space="preserve"> </w:t>
      </w:r>
      <w:proofErr w:type="spellStart"/>
      <w:r w:rsidRPr="001B648C">
        <w:rPr>
          <w:b/>
          <w:bCs/>
          <w:lang w:val="cs-CZ" w:bidi="bo-CN"/>
        </w:rPr>
        <w:t>Brands</w:t>
      </w:r>
      <w:proofErr w:type="spellEnd"/>
      <w:r w:rsidRPr="001B648C">
        <w:rPr>
          <w:lang w:val="cs-CZ" w:bidi="bo-CN"/>
        </w:rPr>
        <w:t xml:space="preserve"> ve výši 0,3 procenta přispěl zejména segment vlasové kosmetiky.</w:t>
      </w:r>
    </w:p>
    <w:p w14:paraId="68611305" w14:textId="77777777" w:rsidR="001155C1" w:rsidRPr="001B648C" w:rsidRDefault="001155C1" w:rsidP="001155C1">
      <w:pPr>
        <w:rPr>
          <w:lang w:val="cs-CZ"/>
        </w:rPr>
      </w:pPr>
    </w:p>
    <w:p w14:paraId="6F238CCB" w14:textId="77777777" w:rsidR="001155C1" w:rsidRPr="001B648C" w:rsidRDefault="001155C1" w:rsidP="001155C1">
      <w:pPr>
        <w:rPr>
          <w:lang w:val="cs-CZ"/>
        </w:rPr>
      </w:pPr>
      <w:r w:rsidRPr="001B648C">
        <w:rPr>
          <w:b/>
          <w:bCs/>
          <w:lang w:val="cs-CZ" w:bidi="bo-CN"/>
        </w:rPr>
        <w:t xml:space="preserve">Upravený provozní zisk (upravený EBIT) </w:t>
      </w:r>
      <w:r w:rsidRPr="001B648C">
        <w:rPr>
          <w:lang w:val="cs-CZ" w:bidi="bo-CN"/>
        </w:rPr>
        <w:t>dosáhl 3 026 milionů eur, čímž zaostal za loňskou hodnotou, zejména z důvodu výrazně negativních kurzových vlivů (2024: 3 089 milionů eur).</w:t>
      </w:r>
    </w:p>
    <w:p w14:paraId="41DD29C1" w14:textId="77777777" w:rsidR="001155C1" w:rsidRPr="001B648C" w:rsidRDefault="001155C1" w:rsidP="001155C1">
      <w:pPr>
        <w:rPr>
          <w:lang w:val="cs-CZ"/>
        </w:rPr>
      </w:pPr>
    </w:p>
    <w:p w14:paraId="5C979B11" w14:textId="77777777" w:rsidR="001155C1" w:rsidRPr="001B648C" w:rsidRDefault="001155C1" w:rsidP="001155C1">
      <w:pPr>
        <w:rPr>
          <w:lang w:val="cs-CZ"/>
        </w:rPr>
      </w:pPr>
      <w:r w:rsidRPr="001B648C">
        <w:rPr>
          <w:lang w:val="cs-CZ" w:bidi="bo-CN"/>
        </w:rPr>
        <w:t xml:space="preserve">Naopak, </w:t>
      </w:r>
      <w:r w:rsidRPr="001B648C">
        <w:rPr>
          <w:b/>
          <w:bCs/>
          <w:lang w:val="cs-CZ" w:bidi="bo-CN"/>
        </w:rPr>
        <w:t>upravená rentabilita tržeb (upravená marže EBIT)</w:t>
      </w:r>
      <w:r w:rsidRPr="001B648C">
        <w:rPr>
          <w:lang w:val="cs-CZ" w:bidi="bo-CN"/>
        </w:rPr>
        <w:t xml:space="preserve"> se zvýšila na 14,8 procenta (2024: 14,3 procenta).</w:t>
      </w:r>
    </w:p>
    <w:p w14:paraId="3F24BFBB" w14:textId="77777777" w:rsidR="001155C1" w:rsidRPr="001B648C" w:rsidRDefault="001155C1" w:rsidP="001155C1">
      <w:pPr>
        <w:rPr>
          <w:lang w:val="cs-CZ"/>
        </w:rPr>
      </w:pPr>
    </w:p>
    <w:p w14:paraId="7FDC39A1" w14:textId="77777777" w:rsidR="001155C1" w:rsidRPr="001B648C" w:rsidRDefault="001155C1" w:rsidP="001155C1">
      <w:pPr>
        <w:rPr>
          <w:lang w:val="cs-CZ"/>
        </w:rPr>
      </w:pPr>
      <w:bookmarkStart w:id="5" w:name="_Hlk190081485"/>
      <w:r w:rsidRPr="001B648C">
        <w:rPr>
          <w:b/>
          <w:bCs/>
          <w:lang w:val="cs-CZ" w:bidi="bo-CN"/>
        </w:rPr>
        <w:t xml:space="preserve">Upravený výnos na prioritní akcii </w:t>
      </w:r>
      <w:r w:rsidRPr="001B648C">
        <w:rPr>
          <w:lang w:val="cs-CZ" w:bidi="bo-CN"/>
        </w:rPr>
        <w:t>mírně klesl o 0,6 procenta na 5,33 eura (2024: 5,36 procenta).</w:t>
      </w:r>
      <w:r w:rsidRPr="001B648C">
        <w:rPr>
          <w:lang w:val="cs-CZ"/>
        </w:rPr>
        <w:t xml:space="preserve"> Při </w:t>
      </w:r>
      <w:r w:rsidRPr="001B648C">
        <w:rPr>
          <w:lang w:val="cs-CZ" w:bidi="bo-CN"/>
        </w:rPr>
        <w:t>konstantních měnových kurzech představovalo zvýšení upraveného výnosu na prioritní akcii 4,7 procenta.</w:t>
      </w:r>
    </w:p>
    <w:p w14:paraId="3E9BC761" w14:textId="77777777" w:rsidR="001155C1" w:rsidRPr="001B648C" w:rsidRDefault="001155C1" w:rsidP="001155C1">
      <w:pPr>
        <w:rPr>
          <w:lang w:val="cs-CZ"/>
        </w:rPr>
      </w:pPr>
    </w:p>
    <w:bookmarkEnd w:id="5"/>
    <w:p w14:paraId="793CB1AC" w14:textId="77777777" w:rsidR="001155C1" w:rsidRPr="001B648C" w:rsidRDefault="001155C1" w:rsidP="001155C1">
      <w:pPr>
        <w:rPr>
          <w:lang w:val="cs-CZ"/>
        </w:rPr>
      </w:pPr>
      <w:r w:rsidRPr="001B648C">
        <w:rPr>
          <w:b/>
          <w:bCs/>
          <w:lang w:val="cs-CZ" w:bidi="bo-CN"/>
        </w:rPr>
        <w:t>Čistý pracovní kapitál</w:t>
      </w:r>
      <w:r w:rsidRPr="001B648C">
        <w:rPr>
          <w:lang w:val="cs-CZ" w:bidi="bo-CN"/>
        </w:rPr>
        <w:t xml:space="preserve"> vyjádřený jako podíl k obratu se meziročně zvýšil a dosáhl úrovně 3,8 procenta (2024: 3,0 procenta).</w:t>
      </w:r>
    </w:p>
    <w:p w14:paraId="287900BB" w14:textId="77777777" w:rsidR="001155C1" w:rsidRPr="001B648C" w:rsidRDefault="001155C1" w:rsidP="001155C1">
      <w:pPr>
        <w:rPr>
          <w:lang w:val="cs-CZ"/>
        </w:rPr>
      </w:pPr>
    </w:p>
    <w:p w14:paraId="451DD97B" w14:textId="77777777" w:rsidR="001155C1" w:rsidRPr="001B648C" w:rsidRDefault="001155C1" w:rsidP="001155C1">
      <w:pPr>
        <w:rPr>
          <w:lang w:val="cs-CZ"/>
        </w:rPr>
      </w:pPr>
      <w:r w:rsidRPr="001B648C">
        <w:rPr>
          <w:b/>
          <w:bCs/>
          <w:lang w:val="cs-CZ" w:bidi="bo-CN"/>
        </w:rPr>
        <w:t xml:space="preserve">Volný cash </w:t>
      </w:r>
      <w:proofErr w:type="spellStart"/>
      <w:r w:rsidRPr="001B648C">
        <w:rPr>
          <w:b/>
          <w:bCs/>
          <w:lang w:val="cs-CZ" w:bidi="bo-CN"/>
        </w:rPr>
        <w:t>flow</w:t>
      </w:r>
      <w:proofErr w:type="spellEnd"/>
      <w:r w:rsidRPr="001B648C">
        <w:rPr>
          <w:lang w:val="cs-CZ" w:bidi="bo-CN"/>
        </w:rPr>
        <w:t xml:space="preserve"> ve výši 1 850 milionů eur zaostal za hodnotou z loňského roku (2024: 2 362 milionů eur).</w:t>
      </w:r>
      <w:r w:rsidRPr="001B648C">
        <w:rPr>
          <w:lang w:val="cs-CZ"/>
        </w:rPr>
        <w:t xml:space="preserve"> </w:t>
      </w:r>
      <w:bookmarkStart w:id="6" w:name="_Hlk190081658"/>
      <w:r w:rsidRPr="001B648C">
        <w:rPr>
          <w:lang w:val="cs-CZ" w:bidi="bo-CN"/>
        </w:rPr>
        <w:t>Tento vývoj byl způsoben změnami v čistém pracovním kapitálu a kurzovými rozdíly z měnové konverze.</w:t>
      </w:r>
    </w:p>
    <w:p w14:paraId="252D0B78" w14:textId="77777777" w:rsidR="001155C1" w:rsidRPr="001B648C" w:rsidRDefault="001155C1" w:rsidP="001155C1">
      <w:pPr>
        <w:rPr>
          <w:lang w:val="cs-CZ"/>
        </w:rPr>
      </w:pPr>
    </w:p>
    <w:p w14:paraId="4C1DAE85" w14:textId="77777777" w:rsidR="001155C1" w:rsidRPr="001B648C" w:rsidRDefault="001155C1" w:rsidP="001155C1">
      <w:pPr>
        <w:rPr>
          <w:lang w:val="cs-CZ"/>
        </w:rPr>
      </w:pPr>
      <w:r w:rsidRPr="001B648C">
        <w:rPr>
          <w:lang w:val="cs-CZ" w:bidi="bo-CN"/>
        </w:rPr>
        <w:t xml:space="preserve">Navzdory zápornému cashflow do programu dividend a zpětného odkoupení akcií se </w:t>
      </w:r>
      <w:r w:rsidRPr="001B648C">
        <w:rPr>
          <w:b/>
          <w:bCs/>
          <w:lang w:val="cs-CZ" w:bidi="bo-CN"/>
        </w:rPr>
        <w:t xml:space="preserve">čistá finanční pozice </w:t>
      </w:r>
      <w:r w:rsidRPr="001B648C">
        <w:rPr>
          <w:lang w:val="cs-CZ" w:bidi="bo-CN"/>
        </w:rPr>
        <w:t>meziročně zlepšila na 109 milionů eur (k 31. prosinci 2024: -93 milionů eur).</w:t>
      </w:r>
    </w:p>
    <w:bookmarkEnd w:id="6"/>
    <w:p w14:paraId="29BCF970" w14:textId="77777777" w:rsidR="001155C1" w:rsidRPr="001B648C" w:rsidRDefault="001155C1" w:rsidP="001155C1">
      <w:pPr>
        <w:rPr>
          <w:lang w:val="cs-CZ"/>
        </w:rPr>
      </w:pPr>
    </w:p>
    <w:p w14:paraId="51B9FE5A" w14:textId="77777777" w:rsidR="001155C1" w:rsidRPr="001B648C" w:rsidRDefault="001155C1" w:rsidP="001155C1">
      <w:pPr>
        <w:rPr>
          <w:lang w:val="cs-CZ"/>
        </w:rPr>
      </w:pPr>
      <w:r w:rsidRPr="001B648C">
        <w:rPr>
          <w:lang w:val="cs-CZ" w:bidi="bo-CN"/>
        </w:rPr>
        <w:t xml:space="preserve">Představenstvo, dozorčí rada a výbor akcionářů předloží řádné valné hromadě, která se bude konat 27. dubna 2026, návrh na zvýšení </w:t>
      </w:r>
      <w:r w:rsidRPr="001B648C">
        <w:rPr>
          <w:b/>
          <w:bCs/>
          <w:lang w:val="cs-CZ" w:bidi="bo-CN"/>
        </w:rPr>
        <w:t xml:space="preserve">dividend </w:t>
      </w:r>
      <w:r w:rsidRPr="001B648C">
        <w:rPr>
          <w:lang w:val="cs-CZ" w:bidi="bo-CN"/>
        </w:rPr>
        <w:t>o 1,5 procenta ve srovnání s loňským rokem, tedy na 2,07 eura na prioritní a 2,05 eura na kmenovou akcii.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 xml:space="preserve">Zvýšení dividendy je možné díky dobrým finančním výsledkům v uplynulém finančním roce a silné finanční pozici skupiny </w:t>
      </w:r>
      <w:proofErr w:type="spellStart"/>
      <w:r w:rsidRPr="001B648C">
        <w:rPr>
          <w:lang w:val="cs-CZ" w:bidi="bo-CN"/>
        </w:rPr>
        <w:t>Henkel</w:t>
      </w:r>
      <w:proofErr w:type="spellEnd"/>
      <w:r w:rsidRPr="001B648C">
        <w:rPr>
          <w:lang w:val="cs-CZ" w:bidi="bo-CN"/>
        </w:rPr>
        <w:t>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>Výplatní poměr dividend zůstává nezměněn na úrovni 37,9 procenta, a tak se nachází v cílovém rozpětí 30 až 40 procent.</w:t>
      </w:r>
    </w:p>
    <w:p w14:paraId="675F932B" w14:textId="77777777" w:rsidR="001155C1" w:rsidRPr="001B648C" w:rsidRDefault="001155C1" w:rsidP="001155C1">
      <w:pPr>
        <w:rPr>
          <w:lang w:val="cs-CZ"/>
        </w:rPr>
      </w:pPr>
    </w:p>
    <w:p w14:paraId="589DB59B" w14:textId="77777777" w:rsidR="001155C1" w:rsidRPr="001B648C" w:rsidRDefault="001155C1" w:rsidP="001155C1">
      <w:pPr>
        <w:spacing w:line="240" w:lineRule="auto"/>
        <w:jc w:val="left"/>
        <w:rPr>
          <w:b/>
          <w:bCs/>
          <w:lang w:val="cs-CZ" w:eastAsia="de-DE"/>
        </w:rPr>
      </w:pPr>
      <w:r w:rsidRPr="001B648C">
        <w:rPr>
          <w:b/>
          <w:bCs/>
          <w:lang w:val="cs-CZ" w:eastAsia="de-DE"/>
        </w:rPr>
        <w:br w:type="page"/>
      </w:r>
    </w:p>
    <w:p w14:paraId="354CE51C" w14:textId="77777777" w:rsidR="001155C1" w:rsidRPr="001B648C" w:rsidRDefault="001155C1" w:rsidP="001155C1">
      <w:pPr>
        <w:spacing w:after="120"/>
        <w:rPr>
          <w:b/>
          <w:bCs/>
          <w:lang w:val="cs-CZ" w:eastAsia="de-DE"/>
        </w:rPr>
      </w:pPr>
      <w:r w:rsidRPr="001B648C">
        <w:rPr>
          <w:b/>
          <w:bCs/>
          <w:lang w:val="cs-CZ" w:eastAsia="de-DE" w:bidi="bo-CN"/>
        </w:rPr>
        <w:lastRenderedPageBreak/>
        <w:t>Výsledky obchodních divizí za finanční rok 2025</w:t>
      </w:r>
    </w:p>
    <w:p w14:paraId="61FE28EE" w14:textId="77777777" w:rsidR="001155C1" w:rsidRPr="001B648C" w:rsidRDefault="001155C1" w:rsidP="001155C1">
      <w:pPr>
        <w:rPr>
          <w:lang w:val="cs-CZ"/>
        </w:rPr>
      </w:pPr>
      <w:r w:rsidRPr="001B648C">
        <w:rPr>
          <w:b/>
          <w:bCs/>
          <w:lang w:val="cs-CZ" w:bidi="bo-CN"/>
        </w:rPr>
        <w:t>Obrat</w:t>
      </w:r>
      <w:r w:rsidRPr="001B648C">
        <w:rPr>
          <w:lang w:val="cs-CZ" w:bidi="bo-CN"/>
        </w:rPr>
        <w:t xml:space="preserve"> obchodní divize </w:t>
      </w:r>
      <w:proofErr w:type="spellStart"/>
      <w:r w:rsidRPr="001B648C">
        <w:rPr>
          <w:b/>
          <w:bCs/>
          <w:lang w:val="cs-CZ" w:bidi="bo-CN"/>
        </w:rPr>
        <w:t>Adhesive</w:t>
      </w:r>
      <w:proofErr w:type="spellEnd"/>
      <w:r w:rsidRPr="001B648C">
        <w:rPr>
          <w:b/>
          <w:bCs/>
          <w:lang w:val="cs-CZ" w:bidi="bo-CN"/>
        </w:rPr>
        <w:t xml:space="preserve"> Technologies se</w:t>
      </w:r>
      <w:r w:rsidRPr="001B648C">
        <w:rPr>
          <w:lang w:val="cs-CZ" w:bidi="bo-CN"/>
        </w:rPr>
        <w:t xml:space="preserve"> v nominálním vyjádření meziročně snížil o 2,8 procenta na celkovou hodnotu 10 667 milionů eur.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>Kurzové vlivy snížily obrat o 4,1 procenta,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>negativní přínos akvizic a prodejů činil 0,1 procenta.</w:t>
      </w:r>
      <w:r w:rsidRPr="001B648C">
        <w:rPr>
          <w:lang w:val="cs-CZ"/>
        </w:rPr>
        <w:t xml:space="preserve"> </w:t>
      </w:r>
      <w:r w:rsidRPr="001B648C">
        <w:rPr>
          <w:b/>
          <w:bCs/>
          <w:lang w:val="cs-CZ" w:bidi="bo-CN"/>
        </w:rPr>
        <w:t xml:space="preserve">Organicky se </w:t>
      </w:r>
      <w:r w:rsidRPr="001B648C">
        <w:rPr>
          <w:lang w:val="cs-CZ" w:bidi="bo-CN"/>
        </w:rPr>
        <w:t>však obrat zvýšil o 1,5 procenta.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 xml:space="preserve">Tento růst obratu byl způsoben zejména pozitivním vývojem objemů v druhé polovině roku ve srovnání s předchozím rokem, což bylo výsledkem mírně oživené poptávky na některých klíčových koncových trzích. Ceny se ve srovnání s loňským rokem také vyvíjely příznivě. </w:t>
      </w:r>
      <w:r w:rsidRPr="001B648C">
        <w:rPr>
          <w:b/>
          <w:bCs/>
          <w:lang w:val="cs-CZ" w:bidi="bo-CN"/>
        </w:rPr>
        <w:t>Upravený provozní zisk</w:t>
      </w:r>
      <w:r w:rsidRPr="001B648C">
        <w:rPr>
          <w:lang w:val="cs-CZ" w:bidi="bo-CN"/>
        </w:rPr>
        <w:t xml:space="preserve"> byl meziročně mírně nižší a dosáhl 1 779 milionů eur. Hrubá marže zůstala na nezměněné vysoké úrovni z předchozího roku. </w:t>
      </w:r>
      <w:r w:rsidRPr="001B648C">
        <w:rPr>
          <w:b/>
          <w:bCs/>
          <w:lang w:val="cs-CZ" w:bidi="bo-CN"/>
        </w:rPr>
        <w:t>Upravená rentabilita tržeb</w:t>
      </w:r>
      <w:r w:rsidRPr="001B648C">
        <w:rPr>
          <w:lang w:val="cs-CZ" w:bidi="bo-CN"/>
        </w:rPr>
        <w:t xml:space="preserve"> se meziročně mírně zvýšila a dosáhla 16,7 procenta.</w:t>
      </w:r>
    </w:p>
    <w:p w14:paraId="6E75106B" w14:textId="77777777" w:rsidR="001155C1" w:rsidRPr="001B648C" w:rsidRDefault="001155C1" w:rsidP="001155C1">
      <w:pPr>
        <w:rPr>
          <w:lang w:val="cs-CZ"/>
        </w:rPr>
      </w:pPr>
    </w:p>
    <w:p w14:paraId="1C03D089" w14:textId="77777777" w:rsidR="001155C1" w:rsidRPr="001B648C" w:rsidRDefault="001155C1" w:rsidP="001155C1">
      <w:pPr>
        <w:rPr>
          <w:lang w:val="cs-CZ"/>
        </w:rPr>
      </w:pPr>
      <w:r w:rsidRPr="001B648C">
        <w:rPr>
          <w:b/>
          <w:bCs/>
          <w:lang w:val="cs-CZ" w:bidi="bo-CN"/>
        </w:rPr>
        <w:t>Obrat</w:t>
      </w:r>
      <w:r w:rsidRPr="001B648C">
        <w:rPr>
          <w:lang w:val="cs-CZ" w:bidi="bo-CN"/>
        </w:rPr>
        <w:t xml:space="preserve"> obchodní divize </w:t>
      </w:r>
      <w:proofErr w:type="spellStart"/>
      <w:r w:rsidRPr="001B648C">
        <w:rPr>
          <w:b/>
          <w:bCs/>
          <w:lang w:val="cs-CZ" w:bidi="bo-CN"/>
        </w:rPr>
        <w:t>Consumer</w:t>
      </w:r>
      <w:proofErr w:type="spellEnd"/>
      <w:r w:rsidRPr="001B648C">
        <w:rPr>
          <w:b/>
          <w:bCs/>
          <w:lang w:val="cs-CZ" w:bidi="bo-CN"/>
        </w:rPr>
        <w:t xml:space="preserve"> </w:t>
      </w:r>
      <w:proofErr w:type="spellStart"/>
      <w:r w:rsidRPr="001B648C">
        <w:rPr>
          <w:b/>
          <w:bCs/>
          <w:lang w:val="cs-CZ" w:bidi="bo-CN"/>
        </w:rPr>
        <w:t>Brands</w:t>
      </w:r>
      <w:proofErr w:type="spellEnd"/>
      <w:r w:rsidRPr="001B648C">
        <w:rPr>
          <w:lang w:val="cs-CZ" w:bidi="bo-CN"/>
        </w:rPr>
        <w:t xml:space="preserve"> dosáhl celkové výše 9 677 milionů eur a v nominálním vyjádření se meziročně snížil o 7,5 procenta.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>Kurzové vlivy snížily obrat o 4,4 procenta.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 xml:space="preserve">Negativní vliv na obrat měly i akvizice a prodeje, a to ve výši 3,4 procenta, zejména z důvodu prodeje severoamerické maloobchodní divize </w:t>
      </w:r>
      <w:proofErr w:type="spellStart"/>
      <w:r w:rsidRPr="001B648C">
        <w:rPr>
          <w:lang w:val="cs-CZ" w:bidi="bo-CN"/>
        </w:rPr>
        <w:t>Retailer</w:t>
      </w:r>
      <w:proofErr w:type="spellEnd"/>
      <w:r w:rsidRPr="001B648C">
        <w:rPr>
          <w:lang w:val="cs-CZ" w:bidi="bo-CN"/>
        </w:rPr>
        <w:t xml:space="preserve"> </w:t>
      </w:r>
      <w:proofErr w:type="spellStart"/>
      <w:r w:rsidRPr="001B648C">
        <w:rPr>
          <w:lang w:val="cs-CZ" w:bidi="bo-CN"/>
        </w:rPr>
        <w:t>Brands</w:t>
      </w:r>
      <w:proofErr w:type="spellEnd"/>
      <w:r w:rsidRPr="001B648C">
        <w:rPr>
          <w:lang w:val="cs-CZ" w:bidi="bo-CN"/>
        </w:rPr>
        <w:t xml:space="preserve"> v dubnu 2025.</w:t>
      </w:r>
      <w:r w:rsidRPr="001B648C">
        <w:rPr>
          <w:lang w:val="cs-CZ"/>
        </w:rPr>
        <w:t xml:space="preserve"> </w:t>
      </w:r>
      <w:r w:rsidRPr="001B648C">
        <w:rPr>
          <w:b/>
          <w:bCs/>
          <w:lang w:val="cs-CZ" w:bidi="bo-CN"/>
        </w:rPr>
        <w:t xml:space="preserve">Organický </w:t>
      </w:r>
      <w:r w:rsidRPr="001B648C">
        <w:rPr>
          <w:lang w:val="cs-CZ" w:bidi="bo-CN"/>
        </w:rPr>
        <w:t>obrat vzrostl o 0,3 procenta.</w:t>
      </w:r>
      <w:r w:rsidRPr="001B648C">
        <w:rPr>
          <w:lang w:val="cs-CZ"/>
        </w:rPr>
        <w:t xml:space="preserve"> </w:t>
      </w:r>
      <w:bookmarkStart w:id="7" w:name="_Hlk190100714"/>
      <w:r w:rsidRPr="001B648C">
        <w:rPr>
          <w:lang w:val="cs-CZ" w:bidi="bo-CN"/>
        </w:rPr>
        <w:t>K tomuto zvýšení přispěl zejména cenový vývoj, zatímco objem prodeje se mírně snížil.</w:t>
      </w:r>
      <w:r w:rsidRPr="001B648C">
        <w:rPr>
          <w:lang w:val="cs-CZ"/>
        </w:rPr>
        <w:t xml:space="preserve"> </w:t>
      </w:r>
      <w:r w:rsidRPr="001B648C">
        <w:rPr>
          <w:b/>
          <w:bCs/>
          <w:lang w:val="cs-CZ" w:bidi="bo-CN"/>
        </w:rPr>
        <w:t>Upravený provozní zisk</w:t>
      </w:r>
      <w:r w:rsidRPr="001B648C">
        <w:rPr>
          <w:lang w:val="cs-CZ" w:bidi="bo-CN"/>
        </w:rPr>
        <w:t xml:space="preserve"> ve výši 1 400 milionů eur byl téměř na úrovni předchozího roku.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>Hrubá marže se naopak výrazně zvýšila.</w:t>
      </w:r>
      <w:r w:rsidRPr="001B648C">
        <w:rPr>
          <w:lang w:val="cs-CZ"/>
        </w:rPr>
        <w:t xml:space="preserve"> </w:t>
      </w:r>
      <w:r w:rsidRPr="001B648C">
        <w:rPr>
          <w:b/>
          <w:bCs/>
          <w:lang w:val="cs-CZ" w:bidi="bo-CN"/>
        </w:rPr>
        <w:t xml:space="preserve">Upravená rentabilita tržeb </w:t>
      </w:r>
      <w:r w:rsidRPr="001B648C">
        <w:rPr>
          <w:lang w:val="cs-CZ" w:bidi="bo-CN"/>
        </w:rPr>
        <w:t>zaznamenala výrazný meziroční růst a dosáhla úrovně 14,5 procenta.</w:t>
      </w:r>
      <w:bookmarkEnd w:id="7"/>
    </w:p>
    <w:p w14:paraId="5963CE64" w14:textId="77777777" w:rsidR="001155C1" w:rsidRPr="001B648C" w:rsidRDefault="001155C1" w:rsidP="001155C1">
      <w:pPr>
        <w:rPr>
          <w:lang w:val="cs-CZ"/>
        </w:rPr>
      </w:pPr>
    </w:p>
    <w:p w14:paraId="64F1BC20" w14:textId="77777777" w:rsidR="001155C1" w:rsidRPr="001B648C" w:rsidRDefault="001155C1" w:rsidP="001155C1">
      <w:pPr>
        <w:spacing w:after="120"/>
        <w:rPr>
          <w:b/>
          <w:bCs/>
          <w:lang w:val="cs-CZ" w:eastAsia="de-DE"/>
        </w:rPr>
      </w:pPr>
      <w:r w:rsidRPr="001B648C">
        <w:rPr>
          <w:b/>
          <w:bCs/>
          <w:lang w:val="cs-CZ" w:eastAsia="de-DE" w:bidi="bo-CN"/>
        </w:rPr>
        <w:t>Výhled pro rok 2026</w:t>
      </w:r>
    </w:p>
    <w:p w14:paraId="28CB03C0" w14:textId="77777777" w:rsidR="001155C1" w:rsidRPr="001B648C" w:rsidRDefault="001155C1" w:rsidP="001155C1">
      <w:pPr>
        <w:rPr>
          <w:lang w:val="cs-CZ"/>
        </w:rPr>
      </w:pPr>
      <w:r w:rsidRPr="001B648C">
        <w:rPr>
          <w:lang w:val="cs-CZ" w:bidi="bo-CN"/>
        </w:rPr>
        <w:t xml:space="preserve">Po mírném růstu v uplynulém finančním roce se očekává, že globální hospodářský výkon bude v roce 2026 pokračovat v utlumeném tempu. Předpokládá se, že globální ekonomický vývoj bude i nadále ovlivňován přetrvávajícími geopolitickými nejistotami a celkově zvýšenou cenovou hladinou. V tomto kontextu se očekává jen mírný nárůst průmyslové i spotřebitelské poptávky v oblastech relevantních pro spotřebitelský segment společnosti </w:t>
      </w:r>
      <w:proofErr w:type="spellStart"/>
      <w:r w:rsidRPr="001B648C">
        <w:rPr>
          <w:lang w:val="cs-CZ" w:bidi="bo-CN"/>
        </w:rPr>
        <w:t>Henkel</w:t>
      </w:r>
      <w:proofErr w:type="spellEnd"/>
      <w:r w:rsidRPr="001B648C">
        <w:rPr>
          <w:lang w:val="cs-CZ" w:bidi="bo-CN"/>
        </w:rPr>
        <w:t>.</w:t>
      </w:r>
    </w:p>
    <w:p w14:paraId="0F5B945A" w14:textId="77777777" w:rsidR="001155C1" w:rsidRPr="001B648C" w:rsidRDefault="001155C1" w:rsidP="001155C1">
      <w:pPr>
        <w:rPr>
          <w:lang w:val="cs-CZ"/>
        </w:rPr>
      </w:pPr>
    </w:p>
    <w:p w14:paraId="4756EBA1" w14:textId="77777777" w:rsidR="001155C1" w:rsidRPr="001B648C" w:rsidRDefault="001155C1" w:rsidP="001155C1">
      <w:pPr>
        <w:rPr>
          <w:lang w:val="cs-CZ"/>
        </w:rPr>
      </w:pPr>
      <w:r w:rsidRPr="001B648C">
        <w:rPr>
          <w:lang w:val="cs-CZ" w:bidi="bo-CN"/>
        </w:rPr>
        <w:t>Očekává se, že kurzové vlivy budou mít negativní dopad v dolní polovině jednociferného procentuálního pásma. V podobném rozsahu by měly ve srovnání s průměrem z roku 2025 růst i ceny přímých vstupních surovin.</w:t>
      </w:r>
    </w:p>
    <w:p w14:paraId="6C9A5C66" w14:textId="77777777" w:rsidR="001155C1" w:rsidRPr="001B648C" w:rsidRDefault="001155C1" w:rsidP="001155C1">
      <w:pPr>
        <w:rPr>
          <w:lang w:val="cs-CZ" w:bidi="bo-CN"/>
        </w:rPr>
      </w:pPr>
    </w:p>
    <w:p w14:paraId="78D797E2" w14:textId="77777777" w:rsidR="001155C1" w:rsidRPr="001B648C" w:rsidRDefault="001155C1" w:rsidP="001155C1">
      <w:pPr>
        <w:rPr>
          <w:lang w:val="cs-CZ"/>
        </w:rPr>
      </w:pPr>
      <w:r w:rsidRPr="001B648C">
        <w:rPr>
          <w:lang w:val="cs-CZ" w:bidi="bo-CN"/>
        </w:rPr>
        <w:t xml:space="preserve">Na základě těchto předpokladů společnost </w:t>
      </w:r>
      <w:proofErr w:type="spellStart"/>
      <w:r w:rsidRPr="001B648C">
        <w:rPr>
          <w:lang w:val="cs-CZ" w:bidi="bo-CN"/>
        </w:rPr>
        <w:t>Henkel</w:t>
      </w:r>
      <w:proofErr w:type="spellEnd"/>
      <w:r w:rsidRPr="001B648C">
        <w:rPr>
          <w:lang w:val="cs-CZ" w:bidi="bo-CN"/>
        </w:rPr>
        <w:t xml:space="preserve"> očekává ve finančním roce 2026 </w:t>
      </w:r>
      <w:r w:rsidRPr="001B648C">
        <w:rPr>
          <w:b/>
          <w:bCs/>
          <w:lang w:val="cs-CZ" w:bidi="bo-CN"/>
        </w:rPr>
        <w:t>organický růst obratu</w:t>
      </w:r>
      <w:r w:rsidRPr="001B648C">
        <w:rPr>
          <w:lang w:val="cs-CZ" w:bidi="bo-CN"/>
        </w:rPr>
        <w:t xml:space="preserve"> v rozpětí 1,0 až 3,0 procenta.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 xml:space="preserve">Organický růst v uvedeném rozsahu se očekává u obchodní divize </w:t>
      </w:r>
      <w:proofErr w:type="spellStart"/>
      <w:r w:rsidRPr="001B648C">
        <w:rPr>
          <w:lang w:val="cs-CZ" w:bidi="bo-CN"/>
        </w:rPr>
        <w:t>Adhesive</w:t>
      </w:r>
      <w:proofErr w:type="spellEnd"/>
      <w:r w:rsidRPr="001B648C">
        <w:rPr>
          <w:lang w:val="cs-CZ" w:bidi="bo-CN"/>
        </w:rPr>
        <w:t xml:space="preserve"> Technologies, zatímco u divize </w:t>
      </w:r>
      <w:proofErr w:type="spellStart"/>
      <w:r w:rsidRPr="001B648C">
        <w:rPr>
          <w:lang w:val="cs-CZ" w:bidi="bo-CN"/>
        </w:rPr>
        <w:t>Consumer</w:t>
      </w:r>
      <w:proofErr w:type="spellEnd"/>
      <w:r w:rsidRPr="001B648C">
        <w:rPr>
          <w:lang w:val="cs-CZ" w:bidi="bo-CN"/>
        </w:rPr>
        <w:t xml:space="preserve"> </w:t>
      </w:r>
      <w:proofErr w:type="spellStart"/>
      <w:r w:rsidRPr="001B648C">
        <w:rPr>
          <w:lang w:val="cs-CZ" w:bidi="bo-CN"/>
        </w:rPr>
        <w:t>Brands</w:t>
      </w:r>
      <w:proofErr w:type="spellEnd"/>
      <w:r w:rsidRPr="001B648C">
        <w:rPr>
          <w:lang w:val="cs-CZ" w:bidi="bo-CN"/>
        </w:rPr>
        <w:t xml:space="preserve"> se předpokládá růst v rozmezí 0,5 až 2,5 procenta.</w:t>
      </w:r>
      <w:r w:rsidRPr="001B648C">
        <w:rPr>
          <w:lang w:val="cs-CZ"/>
        </w:rPr>
        <w:t xml:space="preserve"> </w:t>
      </w:r>
      <w:r w:rsidRPr="001B648C">
        <w:rPr>
          <w:bCs/>
          <w:lang w:val="cs-CZ" w:bidi="bo-CN"/>
        </w:rPr>
        <w:t>Očekávaná</w:t>
      </w:r>
      <w:r w:rsidRPr="001B648C">
        <w:rPr>
          <w:b/>
          <w:lang w:val="cs-CZ" w:bidi="bo-CN"/>
        </w:rPr>
        <w:t xml:space="preserve"> upravená rentabilita tržeb (upravená marže EBIT)</w:t>
      </w:r>
      <w:r w:rsidRPr="001B648C">
        <w:rPr>
          <w:bCs/>
          <w:lang w:val="cs-CZ" w:bidi="bo-CN"/>
        </w:rPr>
        <w:t xml:space="preserve"> se pohybuje v rozsahu 14,5 až 16,0 procent.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 xml:space="preserve">U divize </w:t>
      </w:r>
      <w:proofErr w:type="spellStart"/>
      <w:r w:rsidRPr="001B648C">
        <w:rPr>
          <w:lang w:val="cs-CZ" w:bidi="bo-CN"/>
        </w:rPr>
        <w:t>Adhesive</w:t>
      </w:r>
      <w:proofErr w:type="spellEnd"/>
      <w:r w:rsidRPr="001B648C">
        <w:rPr>
          <w:lang w:val="cs-CZ" w:bidi="bo-CN"/>
        </w:rPr>
        <w:t xml:space="preserve"> Technologies by se upravená rentabilita tržeb měla pohybovat mezi 16,5 až 18,0 procenty, u divize </w:t>
      </w:r>
      <w:proofErr w:type="spellStart"/>
      <w:r w:rsidRPr="001B648C">
        <w:rPr>
          <w:lang w:val="cs-CZ" w:bidi="bo-CN"/>
        </w:rPr>
        <w:t>Consumer</w:t>
      </w:r>
      <w:proofErr w:type="spellEnd"/>
      <w:r w:rsidRPr="001B648C">
        <w:rPr>
          <w:lang w:val="cs-CZ" w:bidi="bo-CN"/>
        </w:rPr>
        <w:t xml:space="preserve"> </w:t>
      </w:r>
      <w:proofErr w:type="spellStart"/>
      <w:r w:rsidRPr="001B648C">
        <w:rPr>
          <w:lang w:val="cs-CZ" w:bidi="bo-CN"/>
        </w:rPr>
        <w:lastRenderedPageBreak/>
        <w:t>Brands</w:t>
      </w:r>
      <w:proofErr w:type="spellEnd"/>
      <w:r w:rsidRPr="001B648C">
        <w:rPr>
          <w:lang w:val="cs-CZ" w:bidi="bo-CN"/>
        </w:rPr>
        <w:t xml:space="preserve"> by to mělo být 14,0 až 15,5 procenta.</w:t>
      </w:r>
      <w:r w:rsidRPr="001B648C">
        <w:rPr>
          <w:lang w:val="cs-CZ"/>
        </w:rPr>
        <w:t xml:space="preserve"> </w:t>
      </w:r>
      <w:r w:rsidRPr="001B648C">
        <w:rPr>
          <w:lang w:val="cs-CZ" w:bidi="bo-CN"/>
        </w:rPr>
        <w:t xml:space="preserve">V případě </w:t>
      </w:r>
      <w:r w:rsidRPr="001B648C">
        <w:rPr>
          <w:b/>
          <w:bCs/>
          <w:lang w:val="cs-CZ" w:bidi="bo-CN"/>
        </w:rPr>
        <w:t>upraveného zisku na prioritní akcii (EPS)</w:t>
      </w:r>
      <w:r w:rsidRPr="001B648C">
        <w:rPr>
          <w:lang w:val="cs-CZ" w:bidi="bo-CN"/>
        </w:rPr>
        <w:t xml:space="preserve"> při konstantních měnových kurzech společnost </w:t>
      </w:r>
      <w:proofErr w:type="spellStart"/>
      <w:r w:rsidRPr="001B648C">
        <w:rPr>
          <w:lang w:val="cs-CZ" w:bidi="bo-CN"/>
        </w:rPr>
        <w:t>Henkel</w:t>
      </w:r>
      <w:proofErr w:type="spellEnd"/>
      <w:r w:rsidRPr="001B648C">
        <w:rPr>
          <w:lang w:val="cs-CZ" w:bidi="bo-CN"/>
        </w:rPr>
        <w:t xml:space="preserve"> očekává jejich zvýšení v dolní až horní polovině jednociferného procentuálního rozsahu.</w:t>
      </w:r>
    </w:p>
    <w:p w14:paraId="01EAA96C" w14:textId="77777777" w:rsidR="001155C1" w:rsidRPr="001B648C" w:rsidRDefault="001155C1" w:rsidP="001155C1">
      <w:pPr>
        <w:rPr>
          <w:b/>
          <w:bCs/>
          <w:lang w:val="cs-CZ" w:eastAsia="de-DE"/>
        </w:rPr>
      </w:pPr>
    </w:p>
    <w:p w14:paraId="22725280" w14:textId="77777777" w:rsidR="001155C1" w:rsidRPr="001B648C" w:rsidRDefault="001155C1" w:rsidP="001155C1">
      <w:pPr>
        <w:spacing w:after="120"/>
        <w:jc w:val="left"/>
        <w:rPr>
          <w:b/>
          <w:bCs/>
          <w:lang w:val="cs-CZ" w:eastAsia="de-DE" w:bidi="bo-CN"/>
        </w:rPr>
      </w:pPr>
      <w:r w:rsidRPr="001B648C">
        <w:rPr>
          <w:b/>
          <w:bCs/>
          <w:lang w:val="cs-CZ" w:eastAsia="de-DE" w:bidi="bo-CN"/>
        </w:rPr>
        <w:t>Hlavní pokrok v transformačním procesu</w:t>
      </w:r>
    </w:p>
    <w:p w14:paraId="16D3D02C" w14:textId="77777777" w:rsidR="001155C1" w:rsidRPr="001B648C" w:rsidRDefault="001155C1" w:rsidP="001155C1">
      <w:pPr>
        <w:rPr>
          <w:lang w:val="cs-CZ" w:bidi="bo-CN"/>
        </w:rPr>
      </w:pPr>
      <w:r w:rsidRPr="001B648C">
        <w:rPr>
          <w:lang w:val="cs-CZ" w:bidi="bo-CN"/>
        </w:rPr>
        <w:t xml:space="preserve">V uplynulých letech se společnost </w:t>
      </w:r>
      <w:proofErr w:type="spellStart"/>
      <w:r w:rsidRPr="001B648C">
        <w:rPr>
          <w:lang w:val="cs-CZ" w:bidi="bo-CN"/>
        </w:rPr>
        <w:t>Henkel</w:t>
      </w:r>
      <w:proofErr w:type="spellEnd"/>
      <w:r w:rsidRPr="001B648C">
        <w:rPr>
          <w:lang w:val="cs-CZ" w:bidi="bo-CN"/>
        </w:rPr>
        <w:t xml:space="preserve"> zásadně „obnovila“ v mnoha oblastech a důsledně realizovala svou strategickou agendu zaměřenou na smysluplný růst. Klíčovým faktorem dlouhodobého úspěchu je ochota neustále se rozvíjet a aktivně formovat změny.</w:t>
      </w:r>
    </w:p>
    <w:p w14:paraId="56E5E008" w14:textId="77777777" w:rsidR="001155C1" w:rsidRPr="001B648C" w:rsidRDefault="001155C1" w:rsidP="001155C1">
      <w:pPr>
        <w:rPr>
          <w:lang w:val="cs-CZ"/>
        </w:rPr>
      </w:pPr>
    </w:p>
    <w:p w14:paraId="4BD067A6" w14:textId="77777777" w:rsidR="001155C1" w:rsidRPr="001B648C" w:rsidRDefault="001155C1" w:rsidP="001155C1">
      <w:pPr>
        <w:spacing w:after="120"/>
        <w:jc w:val="left"/>
        <w:rPr>
          <w:b/>
          <w:bCs/>
          <w:lang w:val="cs-CZ" w:eastAsia="de-DE"/>
        </w:rPr>
      </w:pPr>
      <w:proofErr w:type="spellStart"/>
      <w:r w:rsidRPr="001B648C">
        <w:rPr>
          <w:b/>
          <w:bCs/>
          <w:lang w:val="cs-CZ" w:eastAsia="de-DE" w:bidi="bo-CN"/>
        </w:rPr>
        <w:t>Consumer</w:t>
      </w:r>
      <w:proofErr w:type="spellEnd"/>
      <w:r w:rsidRPr="001B648C">
        <w:rPr>
          <w:b/>
          <w:bCs/>
          <w:lang w:val="cs-CZ" w:eastAsia="de-DE" w:bidi="bo-CN"/>
        </w:rPr>
        <w:t xml:space="preserve"> </w:t>
      </w:r>
      <w:proofErr w:type="spellStart"/>
      <w:r w:rsidRPr="001B648C">
        <w:rPr>
          <w:b/>
          <w:bCs/>
          <w:lang w:val="cs-CZ" w:eastAsia="de-DE" w:bidi="bo-CN"/>
        </w:rPr>
        <w:t>Brands</w:t>
      </w:r>
      <w:proofErr w:type="spellEnd"/>
      <w:r w:rsidRPr="001B648C">
        <w:rPr>
          <w:b/>
          <w:bCs/>
          <w:lang w:val="cs-CZ" w:eastAsia="de-DE" w:bidi="bo-CN"/>
        </w:rPr>
        <w:t>:</w:t>
      </w:r>
      <w:r w:rsidRPr="001B648C">
        <w:rPr>
          <w:b/>
          <w:bCs/>
          <w:lang w:val="cs-CZ" w:eastAsia="de-DE"/>
        </w:rPr>
        <w:t xml:space="preserve"> </w:t>
      </w:r>
      <w:r w:rsidRPr="001B648C">
        <w:rPr>
          <w:b/>
          <w:bCs/>
          <w:lang w:val="cs-CZ" w:eastAsia="de-DE" w:bidi="bo-CN"/>
        </w:rPr>
        <w:t>Sloučení úspěšně ukončeno</w:t>
      </w:r>
    </w:p>
    <w:p w14:paraId="152535DB" w14:textId="77777777" w:rsidR="001155C1" w:rsidRPr="001B648C" w:rsidRDefault="001155C1" w:rsidP="001155C1">
      <w:pPr>
        <w:rPr>
          <w:lang w:val="cs-CZ"/>
        </w:rPr>
      </w:pPr>
      <w:bookmarkStart w:id="8" w:name="_Hlk190100871"/>
      <w:r w:rsidRPr="001B648C">
        <w:rPr>
          <w:lang w:val="cs-CZ" w:bidi="bo-CN"/>
        </w:rPr>
        <w:t xml:space="preserve">Sloučení spotřebitelských segmentů do jedné obchodní divize </w:t>
      </w:r>
      <w:proofErr w:type="spellStart"/>
      <w:r w:rsidRPr="001B648C">
        <w:rPr>
          <w:b/>
          <w:bCs/>
          <w:lang w:val="cs-CZ" w:bidi="bo-CN"/>
        </w:rPr>
        <w:t>Consumer</w:t>
      </w:r>
      <w:proofErr w:type="spellEnd"/>
      <w:r w:rsidRPr="001B648C">
        <w:rPr>
          <w:b/>
          <w:bCs/>
          <w:lang w:val="cs-CZ" w:bidi="bo-CN"/>
        </w:rPr>
        <w:t xml:space="preserve"> </w:t>
      </w:r>
      <w:proofErr w:type="spellStart"/>
      <w:r w:rsidRPr="001B648C">
        <w:rPr>
          <w:b/>
          <w:bCs/>
          <w:lang w:val="cs-CZ" w:bidi="bo-CN"/>
        </w:rPr>
        <w:t>Brands</w:t>
      </w:r>
      <w:proofErr w:type="spellEnd"/>
      <w:r w:rsidRPr="001B648C">
        <w:rPr>
          <w:lang w:val="cs-CZ" w:bidi="bo-CN"/>
        </w:rPr>
        <w:t xml:space="preserve">, které bylo oznámeno počátkem roku 2022, se podařilo zrealizovat již koncem finančního roku 2025 a zároveň došlo k překročení původně plánované roční úspory ve výši 525 milionů eur. Integrace divize </w:t>
      </w:r>
      <w:proofErr w:type="spellStart"/>
      <w:r w:rsidRPr="001B648C">
        <w:rPr>
          <w:lang w:val="cs-CZ" w:bidi="bo-CN"/>
        </w:rPr>
        <w:t>Consumer</w:t>
      </w:r>
      <w:proofErr w:type="spellEnd"/>
      <w:r w:rsidRPr="001B648C">
        <w:rPr>
          <w:lang w:val="cs-CZ" w:bidi="bo-CN"/>
        </w:rPr>
        <w:t xml:space="preserve"> </w:t>
      </w:r>
      <w:proofErr w:type="spellStart"/>
      <w:r w:rsidRPr="001B648C">
        <w:rPr>
          <w:lang w:val="cs-CZ" w:bidi="bo-CN"/>
        </w:rPr>
        <w:t>Brands</w:t>
      </w:r>
      <w:proofErr w:type="spellEnd"/>
      <w:r w:rsidRPr="001B648C">
        <w:rPr>
          <w:lang w:val="cs-CZ" w:bidi="bo-CN"/>
        </w:rPr>
        <w:t xml:space="preserve"> se tak oproti plánu úspěšně dokončila o rok dříve.</w:t>
      </w:r>
    </w:p>
    <w:p w14:paraId="4F8FD146" w14:textId="77777777" w:rsidR="001155C1" w:rsidRPr="001B648C" w:rsidRDefault="001155C1" w:rsidP="001155C1">
      <w:pPr>
        <w:rPr>
          <w:lang w:val="cs-CZ" w:eastAsia="de-DE"/>
        </w:rPr>
      </w:pPr>
    </w:p>
    <w:p w14:paraId="5B5C458B" w14:textId="77777777" w:rsidR="001155C1" w:rsidRPr="001B648C" w:rsidRDefault="001155C1" w:rsidP="001155C1">
      <w:pPr>
        <w:rPr>
          <w:lang w:val="cs-CZ"/>
        </w:rPr>
      </w:pPr>
      <w:r w:rsidRPr="001B648C">
        <w:rPr>
          <w:lang w:val="cs-CZ" w:eastAsia="de-DE" w:bidi="bo-CN"/>
        </w:rPr>
        <w:t xml:space="preserve">Zároveň se obchodní divize </w:t>
      </w:r>
      <w:proofErr w:type="spellStart"/>
      <w:r w:rsidRPr="001B648C">
        <w:rPr>
          <w:lang w:val="cs-CZ" w:eastAsia="de-DE" w:bidi="bo-CN"/>
        </w:rPr>
        <w:t>Consumer</w:t>
      </w:r>
      <w:proofErr w:type="spellEnd"/>
      <w:r w:rsidRPr="001B648C">
        <w:rPr>
          <w:lang w:val="cs-CZ" w:eastAsia="de-DE" w:bidi="bo-CN"/>
        </w:rPr>
        <w:t xml:space="preserve"> </w:t>
      </w:r>
      <w:proofErr w:type="spellStart"/>
      <w:r w:rsidRPr="001B648C">
        <w:rPr>
          <w:lang w:val="cs-CZ" w:eastAsia="de-DE" w:bidi="bo-CN"/>
        </w:rPr>
        <w:t>Brands</w:t>
      </w:r>
      <w:proofErr w:type="spellEnd"/>
      <w:r w:rsidRPr="001B648C">
        <w:rPr>
          <w:lang w:val="cs-CZ" w:eastAsia="de-DE" w:bidi="bo-CN"/>
        </w:rPr>
        <w:t xml:space="preserve"> důsledně soustředila na silné značky a obchodní oblasti s vysokými hrubými maržemi, jakož i na posilování své vedoucí pozice napříč trhy i kategoriemi. Tento důraz na značky a oblasti s vysokým růstovým potenciálem a vysokými maržemi se vyplácí: deset největších značek v rámci divize </w:t>
      </w:r>
      <w:proofErr w:type="spellStart"/>
      <w:r w:rsidRPr="001B648C">
        <w:rPr>
          <w:lang w:val="cs-CZ" w:eastAsia="de-DE" w:bidi="bo-CN"/>
        </w:rPr>
        <w:t>Consumer</w:t>
      </w:r>
      <w:proofErr w:type="spellEnd"/>
      <w:r w:rsidRPr="001B648C">
        <w:rPr>
          <w:lang w:val="cs-CZ" w:eastAsia="de-DE" w:bidi="bo-CN"/>
        </w:rPr>
        <w:t xml:space="preserve"> </w:t>
      </w:r>
      <w:proofErr w:type="spellStart"/>
      <w:r w:rsidRPr="001B648C">
        <w:rPr>
          <w:lang w:val="cs-CZ" w:eastAsia="de-DE" w:bidi="bo-CN"/>
        </w:rPr>
        <w:t>Brands</w:t>
      </w:r>
      <w:proofErr w:type="spellEnd"/>
      <w:r w:rsidRPr="001B648C">
        <w:rPr>
          <w:lang w:val="cs-CZ" w:eastAsia="de-DE" w:bidi="bo-CN"/>
        </w:rPr>
        <w:t>, které v roce 2025 tvořily takřka 60 procent tržeb, zaznamenalo velmi silný organický růst doprovázený pozitivním vývojem objemů.</w:t>
      </w:r>
    </w:p>
    <w:bookmarkEnd w:id="8"/>
    <w:p w14:paraId="7DE4BA89" w14:textId="77777777" w:rsidR="001155C1" w:rsidRPr="001B648C" w:rsidRDefault="001155C1" w:rsidP="001155C1">
      <w:pPr>
        <w:rPr>
          <w:lang w:val="cs-CZ"/>
        </w:rPr>
      </w:pPr>
    </w:p>
    <w:p w14:paraId="4AD52031" w14:textId="77777777" w:rsidR="001155C1" w:rsidRPr="001B648C" w:rsidRDefault="001155C1" w:rsidP="001155C1">
      <w:pPr>
        <w:rPr>
          <w:lang w:val="cs-CZ" w:eastAsia="de-DE" w:bidi="bo-CN"/>
        </w:rPr>
      </w:pPr>
      <w:r w:rsidRPr="001B648C">
        <w:rPr>
          <w:lang w:val="cs-CZ" w:eastAsia="de-DE" w:bidi="bo-CN"/>
        </w:rPr>
        <w:t>Význam konsolidace spotřebitelských oblastí je obzvláště zřetelný při pohledu na výkonnost za uplynulé tři roky, tedy od vzniku nové obchodní divize. Ve finančním roce 2022 dosahovala kombinovaná upravená rentabilita tržeb u těchto obchodních aktivit úrovně 8,3 procenta, přičemž do konce finančního roku 2025 se zvýšila na 14,5 procenta. Jde o zlepšení o 6,2 procentuálního bodu během tří let, během nichž zároveň výrazně rostly investice do značek a inovačních kapacit v rámci této obchodní divize.</w:t>
      </w:r>
    </w:p>
    <w:p w14:paraId="6D40CC8B" w14:textId="77777777" w:rsidR="001155C1" w:rsidRPr="001B648C" w:rsidRDefault="001155C1" w:rsidP="001155C1">
      <w:pPr>
        <w:spacing w:after="120"/>
        <w:rPr>
          <w:b/>
          <w:bCs/>
          <w:lang w:val="cs-CZ" w:eastAsia="de-DE" w:bidi="bo-CN"/>
        </w:rPr>
      </w:pPr>
    </w:p>
    <w:p w14:paraId="69F3DB0B" w14:textId="77777777" w:rsidR="001155C1" w:rsidRPr="001B648C" w:rsidRDefault="001155C1" w:rsidP="001155C1">
      <w:pPr>
        <w:spacing w:after="120"/>
        <w:rPr>
          <w:b/>
          <w:bCs/>
          <w:lang w:val="cs-CZ" w:eastAsia="de-DE"/>
        </w:rPr>
      </w:pPr>
      <w:r w:rsidRPr="001B648C">
        <w:rPr>
          <w:b/>
          <w:bCs/>
          <w:lang w:val="cs-CZ" w:eastAsia="de-DE" w:bidi="bo-CN"/>
        </w:rPr>
        <w:t>Konzistentní implementace strategické agendy</w:t>
      </w:r>
    </w:p>
    <w:p w14:paraId="4B271A39" w14:textId="77777777" w:rsidR="001155C1" w:rsidRPr="001B648C" w:rsidRDefault="001155C1" w:rsidP="001155C1">
      <w:pPr>
        <w:autoSpaceDE w:val="0"/>
        <w:autoSpaceDN w:val="0"/>
        <w:adjustRightInd w:val="0"/>
        <w:rPr>
          <w:bCs/>
          <w:lang w:val="cs-CZ"/>
        </w:rPr>
      </w:pPr>
      <w:r w:rsidRPr="001B648C">
        <w:rPr>
          <w:bCs/>
          <w:lang w:val="cs-CZ" w:bidi="bo-CN"/>
        </w:rPr>
        <w:t xml:space="preserve">V náročném makroekonomickém a geopolitickém prostředí společnost </w:t>
      </w:r>
      <w:proofErr w:type="spellStart"/>
      <w:r w:rsidRPr="001B648C">
        <w:rPr>
          <w:bCs/>
          <w:lang w:val="cs-CZ" w:bidi="bo-CN"/>
        </w:rPr>
        <w:t>Henkel</w:t>
      </w:r>
      <w:proofErr w:type="spellEnd"/>
      <w:r w:rsidRPr="001B648C">
        <w:rPr>
          <w:bCs/>
          <w:lang w:val="cs-CZ" w:bidi="bo-CN"/>
        </w:rPr>
        <w:t xml:space="preserve"> v uplynulém finančním roce nadále důsledně realizovala svou strategickou agendu a dosáhla významného pokroku ve všech jejích oblastech. Společnost dále rozvíjela své podnikatelské aktivity a portfolio značek, posílila své konkurenční výhody v oblasti inovací, udržitelnosti a digitalizace, optimalizovala obchodní procesy a upevnila svou firemní kulturu.</w:t>
      </w:r>
    </w:p>
    <w:p w14:paraId="3625E5C2" w14:textId="77777777" w:rsidR="001155C1" w:rsidRPr="001B648C" w:rsidRDefault="001155C1" w:rsidP="001155C1">
      <w:pPr>
        <w:autoSpaceDE w:val="0"/>
        <w:autoSpaceDN w:val="0"/>
        <w:adjustRightInd w:val="0"/>
        <w:rPr>
          <w:bCs/>
          <w:lang w:val="cs-CZ" w:bidi="bo-CN"/>
        </w:rPr>
      </w:pPr>
    </w:p>
    <w:p w14:paraId="66EC1047" w14:textId="77777777" w:rsidR="001155C1" w:rsidRPr="001B648C" w:rsidRDefault="001155C1" w:rsidP="001155C1">
      <w:pPr>
        <w:autoSpaceDE w:val="0"/>
        <w:autoSpaceDN w:val="0"/>
        <w:adjustRightInd w:val="0"/>
        <w:rPr>
          <w:bCs/>
          <w:lang w:val="cs-CZ"/>
        </w:rPr>
      </w:pPr>
      <w:r w:rsidRPr="001B648C">
        <w:rPr>
          <w:bCs/>
          <w:lang w:val="cs-CZ" w:bidi="bo-CN"/>
        </w:rPr>
        <w:lastRenderedPageBreak/>
        <w:t xml:space="preserve">V rámci </w:t>
      </w:r>
      <w:r w:rsidRPr="001B648C">
        <w:rPr>
          <w:b/>
          <w:lang w:val="cs-CZ" w:bidi="bo-CN"/>
        </w:rPr>
        <w:t>aktivního řízení portfolia</w:t>
      </w:r>
      <w:r w:rsidRPr="001B648C">
        <w:rPr>
          <w:bCs/>
          <w:lang w:val="cs-CZ" w:bidi="bo-CN"/>
        </w:rPr>
        <w:t xml:space="preserve"> společnost </w:t>
      </w:r>
      <w:proofErr w:type="spellStart"/>
      <w:r w:rsidRPr="001B648C">
        <w:rPr>
          <w:bCs/>
          <w:lang w:val="cs-CZ" w:bidi="bo-CN"/>
        </w:rPr>
        <w:t>Henkel</w:t>
      </w:r>
      <w:proofErr w:type="spellEnd"/>
      <w:r w:rsidRPr="001B648C">
        <w:rPr>
          <w:bCs/>
          <w:lang w:val="cs-CZ" w:bidi="bo-CN"/>
        </w:rPr>
        <w:t xml:space="preserve"> dále rozvíjela své portfolio ukončováním nebo prodejem obchodních aktivit a realizací akvizic. Prodejem své severoamerické maloobchodní divize </w:t>
      </w:r>
      <w:proofErr w:type="spellStart"/>
      <w:r w:rsidRPr="001B648C">
        <w:rPr>
          <w:bCs/>
          <w:lang w:val="cs-CZ" w:bidi="bo-CN"/>
        </w:rPr>
        <w:t>Retailer</w:t>
      </w:r>
      <w:proofErr w:type="spellEnd"/>
      <w:r w:rsidRPr="001B648C">
        <w:rPr>
          <w:bCs/>
          <w:lang w:val="cs-CZ" w:bidi="bo-CN"/>
        </w:rPr>
        <w:t xml:space="preserve"> </w:t>
      </w:r>
      <w:proofErr w:type="spellStart"/>
      <w:r w:rsidRPr="001B648C">
        <w:rPr>
          <w:bCs/>
          <w:lang w:val="cs-CZ" w:bidi="bo-CN"/>
        </w:rPr>
        <w:t>Brands</w:t>
      </w:r>
      <w:proofErr w:type="spellEnd"/>
      <w:r w:rsidRPr="001B648C">
        <w:rPr>
          <w:bCs/>
          <w:lang w:val="cs-CZ" w:bidi="bo-CN"/>
        </w:rPr>
        <w:t>, který byl úspěšně dokončen na jaře 2025, společnost dokončila portfoliová opatření oznámená na začátku slučování původně samostatných spotřebitelských divizí. Od začátku roku 2022 tak společnost prodala nebo ukončila značky a aktivity s celkovým obratem mírně přes 1 miliardu eur.</w:t>
      </w:r>
    </w:p>
    <w:p w14:paraId="0939549B" w14:textId="77777777" w:rsidR="001155C1" w:rsidRPr="001B648C" w:rsidRDefault="001155C1" w:rsidP="001155C1">
      <w:pPr>
        <w:autoSpaceDE w:val="0"/>
        <w:autoSpaceDN w:val="0"/>
        <w:adjustRightInd w:val="0"/>
        <w:rPr>
          <w:bCs/>
          <w:lang w:val="cs-CZ"/>
        </w:rPr>
      </w:pPr>
    </w:p>
    <w:p w14:paraId="776F657E" w14:textId="77777777" w:rsidR="001155C1" w:rsidRPr="001B648C" w:rsidRDefault="001155C1" w:rsidP="001155C1">
      <w:pPr>
        <w:autoSpaceDE w:val="0"/>
        <w:autoSpaceDN w:val="0"/>
        <w:adjustRightInd w:val="0"/>
        <w:rPr>
          <w:bCs/>
          <w:lang w:val="cs-CZ"/>
        </w:rPr>
      </w:pPr>
      <w:r w:rsidRPr="001B648C">
        <w:rPr>
          <w:bCs/>
          <w:lang w:val="cs-CZ" w:bidi="bo-CN"/>
        </w:rPr>
        <w:t xml:space="preserve">Rozšiřování portfolia prostřednictvím cílených </w:t>
      </w:r>
      <w:r w:rsidRPr="001B648C">
        <w:rPr>
          <w:b/>
          <w:lang w:val="cs-CZ" w:bidi="bo-CN"/>
        </w:rPr>
        <w:t>akvizic</w:t>
      </w:r>
      <w:r w:rsidRPr="001B648C">
        <w:rPr>
          <w:bCs/>
          <w:lang w:val="cs-CZ" w:bidi="bo-CN"/>
        </w:rPr>
        <w:t xml:space="preserve"> je taktéž nedílnou </w:t>
      </w:r>
      <w:proofErr w:type="spellStart"/>
      <w:r w:rsidRPr="001B648C">
        <w:rPr>
          <w:bCs/>
          <w:lang w:val="cs-CZ" w:bidi="bo-CN"/>
        </w:rPr>
        <w:t>součastí</w:t>
      </w:r>
      <w:proofErr w:type="spellEnd"/>
      <w:r w:rsidRPr="001B648C">
        <w:rPr>
          <w:bCs/>
          <w:lang w:val="cs-CZ" w:bidi="bo-CN"/>
        </w:rPr>
        <w:t xml:space="preserve"> růstové agendy společnosti </w:t>
      </w:r>
      <w:proofErr w:type="spellStart"/>
      <w:r w:rsidRPr="001B648C">
        <w:rPr>
          <w:bCs/>
          <w:lang w:val="cs-CZ" w:bidi="bo-CN"/>
        </w:rPr>
        <w:t>Henkel</w:t>
      </w:r>
      <w:proofErr w:type="spellEnd"/>
      <w:r w:rsidRPr="001B648C">
        <w:rPr>
          <w:bCs/>
          <w:lang w:val="cs-CZ" w:bidi="bo-CN"/>
        </w:rPr>
        <w:t xml:space="preserve">. V roce 2025 podepsala dohodu o akvizici společnosti ATP </w:t>
      </w:r>
      <w:proofErr w:type="spellStart"/>
      <w:r w:rsidRPr="001B648C">
        <w:rPr>
          <w:bCs/>
          <w:lang w:val="cs-CZ" w:bidi="bo-CN"/>
        </w:rPr>
        <w:t>Adhesive</w:t>
      </w:r>
      <w:proofErr w:type="spellEnd"/>
      <w:r w:rsidRPr="001B648C">
        <w:rPr>
          <w:bCs/>
          <w:lang w:val="cs-CZ" w:bidi="bo-CN"/>
        </w:rPr>
        <w:t xml:space="preserve"> Systems AG. Tato švýcarská společnost je předním poskytovatelem vysoce výkonných specializovaných lepicích pásek na vodní bázi pro široké spektrum koncových trhů včetně automobilového průmyslu, elektroniky, medicíny, stavebnictví a grafického průmyslu. ATP má silné zastoupení v Severní Americe a Evropě a v roce 2025 dosáhla obratu přibližně 270 milionů eur</w:t>
      </w:r>
      <w:r w:rsidRPr="001B648C">
        <w:rPr>
          <w:bCs/>
          <w:lang w:val="cs-CZ"/>
        </w:rPr>
        <w:t>.</w:t>
      </w:r>
    </w:p>
    <w:p w14:paraId="079592E8" w14:textId="77777777" w:rsidR="001155C1" w:rsidRPr="001B648C" w:rsidRDefault="001155C1" w:rsidP="001155C1">
      <w:pPr>
        <w:autoSpaceDE w:val="0"/>
        <w:autoSpaceDN w:val="0"/>
        <w:adjustRightInd w:val="0"/>
        <w:rPr>
          <w:bCs/>
          <w:lang w:val="cs-CZ"/>
        </w:rPr>
      </w:pPr>
    </w:p>
    <w:p w14:paraId="103172C6" w14:textId="77777777" w:rsidR="001155C1" w:rsidRPr="001B648C" w:rsidRDefault="001155C1" w:rsidP="001155C1">
      <w:pPr>
        <w:autoSpaceDE w:val="0"/>
        <w:autoSpaceDN w:val="0"/>
        <w:adjustRightInd w:val="0"/>
        <w:rPr>
          <w:bCs/>
          <w:lang w:val="cs-CZ"/>
        </w:rPr>
      </w:pPr>
      <w:r w:rsidRPr="001B648C">
        <w:rPr>
          <w:bCs/>
          <w:lang w:val="cs-CZ" w:bidi="bo-CN"/>
        </w:rPr>
        <w:t xml:space="preserve">V únoru 2026 se společnost </w:t>
      </w:r>
      <w:proofErr w:type="spellStart"/>
      <w:r w:rsidRPr="001B648C">
        <w:rPr>
          <w:bCs/>
          <w:lang w:val="cs-CZ" w:bidi="bo-CN"/>
        </w:rPr>
        <w:t>Henkel</w:t>
      </w:r>
      <w:proofErr w:type="spellEnd"/>
      <w:r w:rsidRPr="001B648C">
        <w:rPr>
          <w:bCs/>
          <w:lang w:val="cs-CZ" w:bidi="bo-CN"/>
        </w:rPr>
        <w:t xml:space="preserve"> domluvila na akvizici skupiny Stahl se sídlem v Nizozemsku. Společnost je globálním hráčem v oblasti vysoce výkonných specializovaných povrchových úprav pro flexibilní materiály a své produkty dodává předním světovým společnostem v automobilovém průmyslu, segmentu módy a životního stylu a v obalovém průmyslu. Ve finančním roce 2025 dosáhla společnost Stahl obratu přibližně 725 milionů eur s vyváženým regionálním zastoupením.</w:t>
      </w:r>
    </w:p>
    <w:p w14:paraId="540CDB03" w14:textId="77777777" w:rsidR="001155C1" w:rsidRPr="001B648C" w:rsidRDefault="001155C1" w:rsidP="001155C1">
      <w:pPr>
        <w:autoSpaceDE w:val="0"/>
        <w:autoSpaceDN w:val="0"/>
        <w:adjustRightInd w:val="0"/>
        <w:rPr>
          <w:bCs/>
          <w:lang w:val="cs-CZ"/>
        </w:rPr>
      </w:pPr>
    </w:p>
    <w:p w14:paraId="0C3AEE11" w14:textId="77777777" w:rsidR="001155C1" w:rsidRPr="001B648C" w:rsidRDefault="001155C1" w:rsidP="001155C1">
      <w:pPr>
        <w:autoSpaceDE w:val="0"/>
        <w:autoSpaceDN w:val="0"/>
        <w:adjustRightInd w:val="0"/>
        <w:rPr>
          <w:bCs/>
          <w:lang w:val="cs-CZ"/>
        </w:rPr>
      </w:pPr>
      <w:r w:rsidRPr="001B648C">
        <w:rPr>
          <w:bCs/>
          <w:lang w:val="cs-CZ" w:bidi="bo-CN"/>
        </w:rPr>
        <w:t xml:space="preserve">Začátkem března podepsala společnost </w:t>
      </w:r>
      <w:proofErr w:type="spellStart"/>
      <w:r w:rsidRPr="001B648C">
        <w:rPr>
          <w:bCs/>
          <w:lang w:val="cs-CZ" w:bidi="bo-CN"/>
        </w:rPr>
        <w:t>Henkel</w:t>
      </w:r>
      <w:proofErr w:type="spellEnd"/>
      <w:r w:rsidRPr="001B648C">
        <w:rPr>
          <w:bCs/>
          <w:lang w:val="cs-CZ" w:bidi="bo-CN"/>
        </w:rPr>
        <w:t xml:space="preserve"> dohodu o akvizici značky „Not </w:t>
      </w:r>
      <w:proofErr w:type="spellStart"/>
      <w:r w:rsidRPr="001B648C">
        <w:rPr>
          <w:bCs/>
          <w:lang w:val="cs-CZ" w:bidi="bo-CN"/>
        </w:rPr>
        <w:t>Your</w:t>
      </w:r>
      <w:proofErr w:type="spellEnd"/>
      <w:r w:rsidRPr="001B648C">
        <w:rPr>
          <w:bCs/>
          <w:lang w:val="cs-CZ" w:bidi="bo-CN"/>
        </w:rPr>
        <w:t xml:space="preserve"> </w:t>
      </w:r>
      <w:proofErr w:type="spellStart"/>
      <w:r w:rsidRPr="001B648C">
        <w:rPr>
          <w:bCs/>
          <w:lang w:val="cs-CZ" w:bidi="bo-CN"/>
        </w:rPr>
        <w:t>Mother’s</w:t>
      </w:r>
      <w:proofErr w:type="spellEnd"/>
      <w:r w:rsidRPr="001B648C">
        <w:rPr>
          <w:bCs/>
          <w:lang w:val="cs-CZ" w:bidi="bo-CN"/>
        </w:rPr>
        <w:t xml:space="preserve">“, jedné z předních spotřebitelských značek v oblasti péče o vlasy a stylingu v Severní Americe. Tímto krokem </w:t>
      </w:r>
      <w:proofErr w:type="spellStart"/>
      <w:r w:rsidRPr="001B648C">
        <w:rPr>
          <w:bCs/>
          <w:lang w:val="cs-CZ" w:bidi="bo-CN"/>
        </w:rPr>
        <w:t>Henkel</w:t>
      </w:r>
      <w:proofErr w:type="spellEnd"/>
      <w:r w:rsidRPr="001B648C">
        <w:rPr>
          <w:bCs/>
          <w:lang w:val="cs-CZ" w:bidi="bo-CN"/>
        </w:rPr>
        <w:t xml:space="preserve"> posiluje svou pozici v segmentu péče o vlasy, který patří ke klíčovým kategoriím v rámci obchodní divize </w:t>
      </w:r>
      <w:proofErr w:type="spellStart"/>
      <w:r w:rsidRPr="001B648C">
        <w:rPr>
          <w:bCs/>
          <w:lang w:val="cs-CZ" w:bidi="bo-CN"/>
        </w:rPr>
        <w:t>Consumer</w:t>
      </w:r>
      <w:proofErr w:type="spellEnd"/>
      <w:r w:rsidRPr="001B648C">
        <w:rPr>
          <w:bCs/>
          <w:lang w:val="cs-CZ" w:bidi="bo-CN"/>
        </w:rPr>
        <w:t xml:space="preserve"> </w:t>
      </w:r>
      <w:proofErr w:type="spellStart"/>
      <w:r w:rsidRPr="001B648C">
        <w:rPr>
          <w:bCs/>
          <w:lang w:val="cs-CZ" w:bidi="bo-CN"/>
        </w:rPr>
        <w:t>Brands</w:t>
      </w:r>
      <w:proofErr w:type="spellEnd"/>
      <w:r w:rsidRPr="001B648C">
        <w:rPr>
          <w:bCs/>
          <w:lang w:val="cs-CZ" w:bidi="bo-CN"/>
        </w:rPr>
        <w:t xml:space="preserve">. „Not </w:t>
      </w:r>
      <w:proofErr w:type="spellStart"/>
      <w:r w:rsidRPr="001B648C">
        <w:rPr>
          <w:bCs/>
          <w:lang w:val="cs-CZ" w:bidi="bo-CN"/>
        </w:rPr>
        <w:t>Your</w:t>
      </w:r>
      <w:proofErr w:type="spellEnd"/>
      <w:r w:rsidRPr="001B648C">
        <w:rPr>
          <w:bCs/>
          <w:lang w:val="cs-CZ" w:bidi="bo-CN"/>
        </w:rPr>
        <w:t xml:space="preserve"> </w:t>
      </w:r>
      <w:proofErr w:type="spellStart"/>
      <w:r w:rsidRPr="001B648C">
        <w:rPr>
          <w:bCs/>
          <w:lang w:val="cs-CZ" w:bidi="bo-CN"/>
        </w:rPr>
        <w:t>Mother’s</w:t>
      </w:r>
      <w:proofErr w:type="spellEnd"/>
      <w:r w:rsidRPr="001B648C">
        <w:rPr>
          <w:bCs/>
          <w:lang w:val="cs-CZ" w:bidi="bo-CN"/>
        </w:rPr>
        <w:t>“ je úspěšná, rychle rostoucí značka s rozsáhlým portfoliem šamponů, kondicionérů, pečujících produktů a stylingových přípravků. Ve finančním roce 2025 značka dosáhla obratu přibližně 190 milionů eur, přičemž zaznamenala dvojciferný růst a vysokou ziskovost.</w:t>
      </w:r>
    </w:p>
    <w:p w14:paraId="4BCBABD6" w14:textId="77777777" w:rsidR="001155C1" w:rsidRPr="001B648C" w:rsidRDefault="001155C1" w:rsidP="001155C1">
      <w:pPr>
        <w:autoSpaceDE w:val="0"/>
        <w:autoSpaceDN w:val="0"/>
        <w:adjustRightInd w:val="0"/>
        <w:rPr>
          <w:bCs/>
          <w:lang w:val="cs-CZ"/>
        </w:rPr>
      </w:pPr>
    </w:p>
    <w:p w14:paraId="5F8C0A48" w14:textId="77777777" w:rsidR="001155C1" w:rsidRPr="001B648C" w:rsidRDefault="001155C1" w:rsidP="001155C1">
      <w:pPr>
        <w:pStyle w:val="Topline"/>
        <w:spacing w:before="0" w:after="0"/>
        <w:rPr>
          <w:lang w:val="cs-CZ"/>
        </w:rPr>
      </w:pPr>
      <w:r w:rsidRPr="001B648C">
        <w:rPr>
          <w:lang w:val="cs-CZ" w:bidi="bo-CN"/>
        </w:rPr>
        <w:t xml:space="preserve">Tyto nejnovější transakce, které ještě podléhají obvyklým podmínkám uzavření a schválení ze strany orgánů pro hospodářskou soutěž, </w:t>
      </w:r>
      <w:r w:rsidRPr="001B648C">
        <w:rPr>
          <w:b/>
          <w:bCs/>
          <w:lang w:val="cs-CZ" w:bidi="bo-CN"/>
        </w:rPr>
        <w:t>představují dodatečný kombinovaný objem obratu přibližně 1,2 miliardy eur</w:t>
      </w:r>
      <w:r w:rsidRPr="001B648C">
        <w:rPr>
          <w:lang w:val="cs-CZ" w:bidi="bo-CN"/>
        </w:rPr>
        <w:t xml:space="preserve"> a </w:t>
      </w:r>
      <w:r w:rsidRPr="001B648C">
        <w:rPr>
          <w:b/>
          <w:bCs/>
          <w:lang w:val="cs-CZ" w:bidi="bo-CN"/>
        </w:rPr>
        <w:t>posilují růstový potenciál</w:t>
      </w:r>
      <w:r w:rsidRPr="001B648C">
        <w:rPr>
          <w:lang w:val="cs-CZ" w:bidi="bo-CN"/>
        </w:rPr>
        <w:t xml:space="preserve"> obchodních divizí </w:t>
      </w:r>
      <w:proofErr w:type="spellStart"/>
      <w:r w:rsidRPr="001B648C">
        <w:rPr>
          <w:lang w:val="cs-CZ" w:bidi="bo-CN"/>
        </w:rPr>
        <w:t>Adhesive</w:t>
      </w:r>
      <w:proofErr w:type="spellEnd"/>
      <w:r w:rsidRPr="001B648C">
        <w:rPr>
          <w:lang w:val="cs-CZ" w:bidi="bo-CN"/>
        </w:rPr>
        <w:t xml:space="preserve"> Technologies a </w:t>
      </w:r>
      <w:proofErr w:type="spellStart"/>
      <w:r w:rsidRPr="001B648C">
        <w:rPr>
          <w:lang w:val="cs-CZ" w:bidi="bo-CN"/>
        </w:rPr>
        <w:t>Consumer</w:t>
      </w:r>
      <w:proofErr w:type="spellEnd"/>
      <w:r w:rsidRPr="001B648C">
        <w:rPr>
          <w:lang w:val="cs-CZ" w:bidi="bo-CN"/>
        </w:rPr>
        <w:t xml:space="preserve"> </w:t>
      </w:r>
      <w:proofErr w:type="spellStart"/>
      <w:r w:rsidRPr="001B648C">
        <w:rPr>
          <w:lang w:val="cs-CZ" w:bidi="bo-CN"/>
        </w:rPr>
        <w:t>Brands</w:t>
      </w:r>
      <w:proofErr w:type="spellEnd"/>
      <w:r w:rsidRPr="001B648C">
        <w:rPr>
          <w:lang w:val="cs-CZ" w:bidi="bo-CN"/>
        </w:rPr>
        <w:t>.</w:t>
      </w:r>
    </w:p>
    <w:p w14:paraId="1A734852" w14:textId="77777777" w:rsidR="001155C1" w:rsidRPr="001B648C" w:rsidRDefault="001155C1" w:rsidP="001155C1">
      <w:pPr>
        <w:pStyle w:val="Topline"/>
        <w:spacing w:before="0" w:after="0"/>
        <w:rPr>
          <w:lang w:val="cs-CZ"/>
        </w:rPr>
      </w:pPr>
    </w:p>
    <w:p w14:paraId="53AA354C" w14:textId="77777777" w:rsidR="001155C1" w:rsidRPr="001B648C" w:rsidRDefault="001155C1" w:rsidP="001155C1">
      <w:pPr>
        <w:rPr>
          <w:bCs/>
          <w:lang w:val="cs-CZ"/>
        </w:rPr>
      </w:pPr>
      <w:r w:rsidRPr="001B648C">
        <w:rPr>
          <w:bCs/>
          <w:lang w:val="cs-CZ" w:bidi="bo-CN"/>
        </w:rPr>
        <w:t xml:space="preserve">V roce 2025 uvedla společnost </w:t>
      </w:r>
      <w:proofErr w:type="spellStart"/>
      <w:r w:rsidRPr="001B648C">
        <w:rPr>
          <w:bCs/>
          <w:lang w:val="cs-CZ" w:bidi="bo-CN"/>
        </w:rPr>
        <w:t>Henkel</w:t>
      </w:r>
      <w:proofErr w:type="spellEnd"/>
      <w:r w:rsidRPr="001B648C">
        <w:rPr>
          <w:bCs/>
          <w:lang w:val="cs-CZ" w:bidi="bo-CN"/>
        </w:rPr>
        <w:t xml:space="preserve"> na trh mnoho </w:t>
      </w:r>
      <w:r w:rsidRPr="001B648C">
        <w:rPr>
          <w:b/>
          <w:lang w:val="cs-CZ" w:bidi="bo-CN"/>
        </w:rPr>
        <w:t>inovací</w:t>
      </w:r>
      <w:r w:rsidRPr="001B648C">
        <w:rPr>
          <w:bCs/>
          <w:lang w:val="cs-CZ" w:bidi="bo-CN"/>
        </w:rPr>
        <w:t xml:space="preserve">, které reagují na důležité trendy a přinášejí hodnotu zákazníkům i spotřebitelům. Na trhu spotřebního zboží je inovace klíčovým faktorem úspěchu a diferenciace. Jedním z příkladů je nová barva na vlasy </w:t>
      </w:r>
      <w:proofErr w:type="spellStart"/>
      <w:r w:rsidRPr="001B648C">
        <w:rPr>
          <w:bCs/>
          <w:lang w:val="cs-CZ" w:bidi="bo-CN"/>
        </w:rPr>
        <w:t>Creme</w:t>
      </w:r>
      <w:proofErr w:type="spellEnd"/>
      <w:r w:rsidRPr="001B648C">
        <w:rPr>
          <w:bCs/>
          <w:lang w:val="cs-CZ" w:bidi="bo-CN"/>
        </w:rPr>
        <w:t xml:space="preserve"> </w:t>
      </w:r>
      <w:proofErr w:type="spellStart"/>
      <w:r w:rsidRPr="001B648C">
        <w:rPr>
          <w:bCs/>
          <w:lang w:val="cs-CZ" w:bidi="bo-CN"/>
        </w:rPr>
        <w:t>Supreme</w:t>
      </w:r>
      <w:proofErr w:type="spellEnd"/>
      <w:r w:rsidRPr="001B648C">
        <w:rPr>
          <w:bCs/>
          <w:lang w:val="cs-CZ" w:bidi="bo-CN"/>
        </w:rPr>
        <w:t xml:space="preserve"> od </w:t>
      </w:r>
      <w:r w:rsidRPr="001B648C">
        <w:rPr>
          <w:bCs/>
          <w:lang w:val="cs-CZ" w:bidi="bo-CN"/>
        </w:rPr>
        <w:lastRenderedPageBreak/>
        <w:t xml:space="preserve">značky </w:t>
      </w:r>
      <w:proofErr w:type="spellStart"/>
      <w:r w:rsidRPr="001B648C">
        <w:rPr>
          <w:bCs/>
          <w:lang w:val="cs-CZ" w:bidi="bo-CN"/>
        </w:rPr>
        <w:t>Schwarzkopf</w:t>
      </w:r>
      <w:proofErr w:type="spellEnd"/>
      <w:r w:rsidRPr="001B648C">
        <w:rPr>
          <w:bCs/>
          <w:lang w:val="cs-CZ" w:bidi="bo-CN"/>
        </w:rPr>
        <w:t xml:space="preserve">. </w:t>
      </w:r>
      <w:proofErr w:type="spellStart"/>
      <w:r w:rsidRPr="001B648C">
        <w:rPr>
          <w:bCs/>
          <w:lang w:val="cs-CZ" w:bidi="bo-CN"/>
        </w:rPr>
        <w:t>Henkel</w:t>
      </w:r>
      <w:proofErr w:type="spellEnd"/>
      <w:r w:rsidRPr="001B648C">
        <w:rPr>
          <w:bCs/>
          <w:lang w:val="cs-CZ" w:bidi="bo-CN"/>
        </w:rPr>
        <w:t xml:space="preserve">, inspirován přípravky profesionální vlasové kosmetiky, vyvinul </w:t>
      </w:r>
      <w:proofErr w:type="spellStart"/>
      <w:r w:rsidRPr="001B648C">
        <w:rPr>
          <w:bCs/>
          <w:lang w:val="cs-CZ" w:bidi="bo-CN"/>
        </w:rPr>
        <w:t>Creme</w:t>
      </w:r>
      <w:proofErr w:type="spellEnd"/>
      <w:r w:rsidRPr="001B648C">
        <w:rPr>
          <w:bCs/>
          <w:lang w:val="cs-CZ" w:bidi="bo-CN"/>
        </w:rPr>
        <w:t xml:space="preserve"> </w:t>
      </w:r>
      <w:proofErr w:type="spellStart"/>
      <w:r w:rsidRPr="001B648C">
        <w:rPr>
          <w:bCs/>
          <w:lang w:val="cs-CZ" w:bidi="bo-CN"/>
        </w:rPr>
        <w:t>Supreme</w:t>
      </w:r>
      <w:proofErr w:type="spellEnd"/>
      <w:r w:rsidRPr="001B648C">
        <w:rPr>
          <w:bCs/>
          <w:lang w:val="cs-CZ" w:bidi="bo-CN"/>
        </w:rPr>
        <w:t xml:space="preserve"> – novou technologii, která prostřednictvím </w:t>
      </w:r>
      <w:proofErr w:type="spellStart"/>
      <w:r w:rsidRPr="001B648C">
        <w:rPr>
          <w:bCs/>
          <w:lang w:val="cs-CZ" w:bidi="bo-CN"/>
        </w:rPr>
        <w:t>mikrovazeb</w:t>
      </w:r>
      <w:proofErr w:type="spellEnd"/>
      <w:r w:rsidRPr="001B648C">
        <w:rPr>
          <w:bCs/>
          <w:lang w:val="cs-CZ" w:bidi="bo-CN"/>
        </w:rPr>
        <w:t xml:space="preserve"> posiluje a vyživuje strukturu vlasů. Tyto </w:t>
      </w:r>
      <w:proofErr w:type="spellStart"/>
      <w:r w:rsidRPr="001B648C">
        <w:rPr>
          <w:bCs/>
          <w:lang w:val="cs-CZ" w:bidi="bo-CN"/>
        </w:rPr>
        <w:t>mikrovazby</w:t>
      </w:r>
      <w:proofErr w:type="spellEnd"/>
      <w:r w:rsidRPr="001B648C">
        <w:rPr>
          <w:bCs/>
          <w:lang w:val="cs-CZ" w:bidi="bo-CN"/>
        </w:rPr>
        <w:t xml:space="preserve"> účinněji spojují vlasová vlákna a kolem vlasu vytvářejí speciální ochrannou vrstvu. Výsledkem je výrazně menší lámavost, což je jeden z hlavních problémů, které spotřebitelé u barvení vlasů řeší.</w:t>
      </w:r>
    </w:p>
    <w:p w14:paraId="43CB97B3" w14:textId="77777777" w:rsidR="001155C1" w:rsidRPr="001B648C" w:rsidRDefault="001155C1" w:rsidP="001155C1">
      <w:pPr>
        <w:rPr>
          <w:bCs/>
          <w:lang w:val="cs-CZ"/>
        </w:rPr>
      </w:pPr>
      <w:bookmarkStart w:id="9" w:name="_Hlk190180076"/>
    </w:p>
    <w:p w14:paraId="748787DD" w14:textId="77777777" w:rsidR="001155C1" w:rsidRPr="001B648C" w:rsidRDefault="001155C1" w:rsidP="001155C1">
      <w:pPr>
        <w:rPr>
          <w:bCs/>
          <w:lang w:val="cs-CZ"/>
        </w:rPr>
      </w:pPr>
      <w:r w:rsidRPr="001B648C">
        <w:rPr>
          <w:bCs/>
          <w:lang w:val="cs-CZ" w:bidi="bo-CN"/>
        </w:rPr>
        <w:t xml:space="preserve">Koncept „House </w:t>
      </w:r>
      <w:proofErr w:type="spellStart"/>
      <w:r w:rsidRPr="001B648C">
        <w:rPr>
          <w:bCs/>
          <w:lang w:val="cs-CZ" w:bidi="bo-CN"/>
        </w:rPr>
        <w:t>of</w:t>
      </w:r>
      <w:proofErr w:type="spellEnd"/>
      <w:r w:rsidRPr="001B648C">
        <w:rPr>
          <w:bCs/>
          <w:lang w:val="cs-CZ" w:bidi="bo-CN"/>
        </w:rPr>
        <w:t xml:space="preserve"> </w:t>
      </w:r>
      <w:proofErr w:type="spellStart"/>
      <w:r w:rsidRPr="001B648C">
        <w:rPr>
          <w:bCs/>
          <w:lang w:val="cs-CZ" w:bidi="bo-CN"/>
        </w:rPr>
        <w:t>Hair</w:t>
      </w:r>
      <w:proofErr w:type="spellEnd"/>
      <w:r w:rsidRPr="001B648C">
        <w:rPr>
          <w:bCs/>
          <w:lang w:val="cs-CZ" w:bidi="bo-CN"/>
        </w:rPr>
        <w:t xml:space="preserve">“ také sehrává důležitou roli ve vývoji inovací v kategorii výrobků péče o vlasy. Od března 2025 </w:t>
      </w:r>
      <w:proofErr w:type="spellStart"/>
      <w:r w:rsidRPr="001B648C">
        <w:rPr>
          <w:bCs/>
          <w:lang w:val="cs-CZ" w:bidi="bo-CN"/>
        </w:rPr>
        <w:t>Henkel</w:t>
      </w:r>
      <w:proofErr w:type="spellEnd"/>
      <w:r w:rsidRPr="001B648C">
        <w:rPr>
          <w:bCs/>
          <w:lang w:val="cs-CZ" w:bidi="bo-CN"/>
        </w:rPr>
        <w:t xml:space="preserve"> soustředil hlavní oblasti svých německých aktivit v oblasti vlasové kosmetiky na jedno místo do Hamburku: výzkum a vývoj, testovací salony, marketing a </w:t>
      </w:r>
      <w:proofErr w:type="spellStart"/>
      <w:r w:rsidRPr="001B648C">
        <w:rPr>
          <w:bCs/>
          <w:lang w:val="cs-CZ" w:bidi="bo-CN"/>
        </w:rPr>
        <w:t>Academy</w:t>
      </w:r>
      <w:proofErr w:type="spellEnd"/>
      <w:r w:rsidRPr="001B648C">
        <w:rPr>
          <w:bCs/>
          <w:lang w:val="cs-CZ" w:bidi="bo-CN"/>
        </w:rPr>
        <w:t xml:space="preserve"> </w:t>
      </w:r>
      <w:proofErr w:type="spellStart"/>
      <w:r w:rsidRPr="001B648C">
        <w:rPr>
          <w:bCs/>
          <w:lang w:val="cs-CZ" w:bidi="bo-CN"/>
        </w:rPr>
        <w:t>of</w:t>
      </w:r>
      <w:proofErr w:type="spellEnd"/>
      <w:r w:rsidRPr="001B648C">
        <w:rPr>
          <w:bCs/>
          <w:lang w:val="cs-CZ" w:bidi="bo-CN"/>
        </w:rPr>
        <w:t xml:space="preserve"> </w:t>
      </w:r>
      <w:proofErr w:type="spellStart"/>
      <w:r w:rsidRPr="001B648C">
        <w:rPr>
          <w:bCs/>
          <w:lang w:val="cs-CZ" w:bidi="bo-CN"/>
        </w:rPr>
        <w:t>Hair</w:t>
      </w:r>
      <w:proofErr w:type="spellEnd"/>
      <w:r w:rsidRPr="001B648C">
        <w:rPr>
          <w:bCs/>
          <w:lang w:val="cs-CZ" w:bidi="bo-CN"/>
        </w:rPr>
        <w:t>. Na vývoji inovativních produktů zde společně pracuje přes 300 odborníků. Kromě Hamburku má společnost další čtyři podobné lokality, a to v Los Angeles, Tokiu, Šanghaji a Guadalajaře. Každé z těchto center hraje důležitou roli v zákaznicky orientovaném vývoji produktů vlasové kosmetiky, které cíleně reagují na regionálně rozdílné potřeby zákazníků.</w:t>
      </w:r>
    </w:p>
    <w:p w14:paraId="0E742153" w14:textId="77777777" w:rsidR="001155C1" w:rsidRPr="001B648C" w:rsidRDefault="001155C1" w:rsidP="001155C1">
      <w:pPr>
        <w:rPr>
          <w:bCs/>
          <w:lang w:val="cs-CZ"/>
        </w:rPr>
      </w:pPr>
    </w:p>
    <w:p w14:paraId="182F2055" w14:textId="77777777" w:rsidR="001155C1" w:rsidRPr="001B648C" w:rsidRDefault="001155C1" w:rsidP="001155C1">
      <w:pPr>
        <w:rPr>
          <w:bCs/>
          <w:lang w:val="cs-CZ"/>
        </w:rPr>
      </w:pPr>
      <w:r w:rsidRPr="001B648C">
        <w:rPr>
          <w:bCs/>
          <w:lang w:val="cs-CZ" w:bidi="bo-CN"/>
        </w:rPr>
        <w:t xml:space="preserve">Inovace jsou klíčovým faktorem úspěchu i u obchodní divize </w:t>
      </w:r>
      <w:proofErr w:type="spellStart"/>
      <w:r w:rsidRPr="001B648C">
        <w:rPr>
          <w:bCs/>
          <w:lang w:val="cs-CZ" w:bidi="bo-CN"/>
        </w:rPr>
        <w:t>Adhesive</w:t>
      </w:r>
      <w:proofErr w:type="spellEnd"/>
      <w:r w:rsidRPr="001B648C">
        <w:rPr>
          <w:bCs/>
          <w:lang w:val="cs-CZ" w:bidi="bo-CN"/>
        </w:rPr>
        <w:t xml:space="preserve"> Technologies. Společnost </w:t>
      </w:r>
      <w:proofErr w:type="spellStart"/>
      <w:r w:rsidRPr="001B648C">
        <w:rPr>
          <w:bCs/>
          <w:lang w:val="cs-CZ" w:bidi="bo-CN"/>
        </w:rPr>
        <w:t>Henkel</w:t>
      </w:r>
      <w:proofErr w:type="spellEnd"/>
      <w:r w:rsidRPr="001B648C">
        <w:rPr>
          <w:bCs/>
          <w:lang w:val="cs-CZ" w:bidi="bo-CN"/>
        </w:rPr>
        <w:t xml:space="preserve"> proto nadále důsledně investuje do posilování své tržní pozice v konkurenčním prostředí. Jedním z hlavních cílů je rozšiřování sítě moderních výzkumných a inovačních center. Tato tzv. „inspirační centra“ již několik let fungují v Düsseldorfu, indické Bombaji a v americkém New Jersey. V Šanghaji společnost otevřela v roce 2025 další centrum, které slouží asijsko-pacifickému trhu a do něhož investovala 60 milionů eur. V centru pracuje přes 500 výzkumníků a vývojářů spolu se zákazníky z různých odvětví.</w:t>
      </w:r>
    </w:p>
    <w:bookmarkEnd w:id="9"/>
    <w:p w14:paraId="62F812AD" w14:textId="77777777" w:rsidR="001155C1" w:rsidRPr="001B648C" w:rsidRDefault="001155C1" w:rsidP="001155C1">
      <w:pPr>
        <w:rPr>
          <w:bCs/>
          <w:lang w:val="cs-CZ"/>
        </w:rPr>
      </w:pPr>
    </w:p>
    <w:p w14:paraId="61F160B8" w14:textId="77777777" w:rsidR="001155C1" w:rsidRPr="001B648C" w:rsidRDefault="001155C1" w:rsidP="001155C1">
      <w:pPr>
        <w:rPr>
          <w:bCs/>
          <w:lang w:val="cs-CZ"/>
        </w:rPr>
      </w:pPr>
      <w:bookmarkStart w:id="10" w:name="_Hlk190180237"/>
      <w:r w:rsidRPr="001B648C">
        <w:rPr>
          <w:bCs/>
          <w:lang w:val="cs-CZ" w:bidi="bo-CN"/>
        </w:rPr>
        <w:t xml:space="preserve">Jednou z priorit společnosti </w:t>
      </w:r>
      <w:proofErr w:type="spellStart"/>
      <w:r w:rsidRPr="001B648C">
        <w:rPr>
          <w:bCs/>
          <w:lang w:val="cs-CZ" w:bidi="bo-CN"/>
        </w:rPr>
        <w:t>Henkel</w:t>
      </w:r>
      <w:proofErr w:type="spellEnd"/>
      <w:r w:rsidRPr="001B648C">
        <w:rPr>
          <w:bCs/>
          <w:lang w:val="cs-CZ" w:bidi="bo-CN"/>
        </w:rPr>
        <w:t xml:space="preserve"> v oblasti </w:t>
      </w:r>
      <w:r w:rsidRPr="001B648C">
        <w:rPr>
          <w:b/>
          <w:lang w:val="cs-CZ" w:bidi="bo-CN"/>
        </w:rPr>
        <w:t>udržitelnosti</w:t>
      </w:r>
      <w:r w:rsidRPr="001B648C">
        <w:rPr>
          <w:bCs/>
          <w:lang w:val="cs-CZ" w:bidi="bo-CN"/>
        </w:rPr>
        <w:t xml:space="preserve"> zůstává snižování emisí v rámci celého hodnotového řetězce. Do roku 2045 si společnost stanovila cíl snížit své absolutní emise skleníkových plynů v rozsahu </w:t>
      </w:r>
      <w:proofErr w:type="spellStart"/>
      <w:r w:rsidRPr="001B648C">
        <w:rPr>
          <w:bCs/>
          <w:lang w:val="cs-CZ" w:bidi="bo-CN"/>
        </w:rPr>
        <w:t>Scope</w:t>
      </w:r>
      <w:proofErr w:type="spellEnd"/>
      <w:r w:rsidRPr="001B648C">
        <w:rPr>
          <w:bCs/>
          <w:lang w:val="cs-CZ" w:bidi="bo-CN"/>
        </w:rPr>
        <w:t xml:space="preserve"> 1, 2 a</w:t>
      </w:r>
      <w:r>
        <w:rPr>
          <w:bCs/>
          <w:lang w:val="cs-CZ" w:bidi="bo-CN"/>
        </w:rPr>
        <w:t> </w:t>
      </w:r>
      <w:r w:rsidRPr="001B648C">
        <w:rPr>
          <w:bCs/>
          <w:lang w:val="cs-CZ" w:bidi="bo-CN"/>
        </w:rPr>
        <w:t>3 o 90 procent (ve srovnání s výchozím rokem 2021) a dosáhnout tak uhlíkové neutrality. V uplynulém roce dosáhla pokroku ve všech třech kategoriích a od výchozího roku 2021 se jí již podařilo snížit emise o 29 procent. Společnost dosáhla zlepšení i </w:t>
      </w:r>
      <w:proofErr w:type="gramStart"/>
      <w:r w:rsidRPr="001B648C">
        <w:rPr>
          <w:bCs/>
          <w:lang w:val="cs-CZ" w:bidi="bo-CN"/>
        </w:rPr>
        <w:t>v  oblasti</w:t>
      </w:r>
      <w:proofErr w:type="gramEnd"/>
      <w:r w:rsidRPr="001B648C">
        <w:rPr>
          <w:bCs/>
          <w:lang w:val="cs-CZ" w:bidi="bo-CN"/>
        </w:rPr>
        <w:t xml:space="preserve"> udržitelných dodavatelských řetězců. Podíl surovin z palem, které jsou zodpovědně získávány a certifikovány, dosáhl 98 procent. Společnost dále zlepšila své výsledky v mezinárodně uznávaných hodnoceních udržitelnosti. Mimo jiné poprvé získala hodnocení A v kategorii </w:t>
      </w:r>
      <w:proofErr w:type="spellStart"/>
      <w:r w:rsidRPr="001B648C">
        <w:rPr>
          <w:bCs/>
          <w:lang w:val="cs-CZ" w:bidi="bo-CN"/>
        </w:rPr>
        <w:t>Climate</w:t>
      </w:r>
      <w:proofErr w:type="spellEnd"/>
      <w:r w:rsidRPr="001B648C">
        <w:rPr>
          <w:bCs/>
          <w:lang w:val="cs-CZ" w:bidi="bo-CN"/>
        </w:rPr>
        <w:t xml:space="preserve"> v rámci hodnocení CDP 2025. </w:t>
      </w:r>
      <w:proofErr w:type="spellStart"/>
      <w:r w:rsidRPr="001B648C">
        <w:rPr>
          <w:bCs/>
          <w:lang w:val="cs-CZ" w:bidi="bo-CN"/>
        </w:rPr>
        <w:t>Henkel</w:t>
      </w:r>
      <w:proofErr w:type="spellEnd"/>
      <w:r w:rsidRPr="001B648C">
        <w:rPr>
          <w:bCs/>
          <w:lang w:val="cs-CZ" w:bidi="bo-CN"/>
        </w:rPr>
        <w:t xml:space="preserve"> také zlepšil své výsledky v nejnovějším hodnocení </w:t>
      </w:r>
      <w:proofErr w:type="spellStart"/>
      <w:r w:rsidRPr="001B648C">
        <w:rPr>
          <w:bCs/>
          <w:lang w:val="cs-CZ" w:bidi="bo-CN"/>
        </w:rPr>
        <w:t>EcoVadis</w:t>
      </w:r>
      <w:proofErr w:type="spellEnd"/>
      <w:r w:rsidRPr="001B648C">
        <w:rPr>
          <w:bCs/>
          <w:lang w:val="cs-CZ" w:bidi="bo-CN"/>
        </w:rPr>
        <w:t xml:space="preserve"> a opětovně získal ocenění Gold.</w:t>
      </w:r>
    </w:p>
    <w:bookmarkEnd w:id="10"/>
    <w:p w14:paraId="041865F0" w14:textId="77777777" w:rsidR="001155C1" w:rsidRPr="001B648C" w:rsidRDefault="001155C1" w:rsidP="001155C1">
      <w:pPr>
        <w:rPr>
          <w:lang w:val="cs-CZ" w:eastAsia="de-DE"/>
        </w:rPr>
      </w:pPr>
    </w:p>
    <w:p w14:paraId="370B5BAA" w14:textId="77777777" w:rsidR="001155C1" w:rsidRPr="001B648C" w:rsidRDefault="001155C1" w:rsidP="001155C1">
      <w:pPr>
        <w:rPr>
          <w:lang w:val="cs-CZ" w:eastAsia="de-DE"/>
        </w:rPr>
      </w:pPr>
      <w:r w:rsidRPr="001B648C">
        <w:rPr>
          <w:lang w:val="cs-CZ" w:eastAsia="de-DE" w:bidi="bo-CN"/>
        </w:rPr>
        <w:t xml:space="preserve">Společnost </w:t>
      </w:r>
      <w:proofErr w:type="spellStart"/>
      <w:r w:rsidRPr="001B648C">
        <w:rPr>
          <w:lang w:val="cs-CZ" w:eastAsia="de-DE" w:bidi="bo-CN"/>
        </w:rPr>
        <w:t>Henkel</w:t>
      </w:r>
      <w:proofErr w:type="spellEnd"/>
      <w:r w:rsidRPr="001B648C">
        <w:rPr>
          <w:lang w:val="cs-CZ" w:eastAsia="de-DE" w:bidi="bo-CN"/>
        </w:rPr>
        <w:t xml:space="preserve"> dosáhla dalšího pokroku i v oblasti </w:t>
      </w:r>
      <w:r w:rsidRPr="001B648C">
        <w:rPr>
          <w:b/>
          <w:bCs/>
          <w:lang w:val="cs-CZ" w:eastAsia="de-DE" w:bidi="bo-CN"/>
        </w:rPr>
        <w:t>digitalizace</w:t>
      </w:r>
      <w:r w:rsidRPr="001B648C">
        <w:rPr>
          <w:lang w:val="cs-CZ" w:eastAsia="de-DE" w:bidi="bo-CN"/>
        </w:rPr>
        <w:t xml:space="preserve">. V roce 2025 dominoval rychlý rozvoj umělé inteligence (AI), která bude mít zásadní vliv na to, jak bude společnost v budoucnu fungovat. </w:t>
      </w:r>
      <w:proofErr w:type="spellStart"/>
      <w:r w:rsidRPr="001B648C">
        <w:rPr>
          <w:lang w:val="cs-CZ" w:eastAsia="de-DE" w:bidi="bo-CN"/>
        </w:rPr>
        <w:t>Henkel</w:t>
      </w:r>
      <w:proofErr w:type="spellEnd"/>
      <w:r w:rsidRPr="001B648C">
        <w:rPr>
          <w:lang w:val="cs-CZ" w:eastAsia="de-DE" w:bidi="bo-CN"/>
        </w:rPr>
        <w:t xml:space="preserve"> implementuje technologie AI v mnoha praktických aplikacích napříč svými průmyslovými i spotřebitelskými aktivitami. V roce 2025 uvedla v Německu svůj </w:t>
      </w:r>
      <w:r w:rsidRPr="001B648C">
        <w:rPr>
          <w:lang w:val="cs-CZ" w:eastAsia="de-DE" w:bidi="bo-CN"/>
        </w:rPr>
        <w:lastRenderedPageBreak/>
        <w:t>první generativní televizní spot s podporou AI, kterým uvedla ikonickou „</w:t>
      </w:r>
      <w:proofErr w:type="spellStart"/>
      <w:r w:rsidRPr="001B648C">
        <w:rPr>
          <w:lang w:val="cs-CZ" w:eastAsia="de-DE" w:bidi="bo-CN"/>
        </w:rPr>
        <w:t>Persil</w:t>
      </w:r>
      <w:proofErr w:type="spellEnd"/>
      <w:r w:rsidRPr="001B648C">
        <w:rPr>
          <w:lang w:val="cs-CZ" w:eastAsia="de-DE" w:bidi="bo-CN"/>
        </w:rPr>
        <w:t xml:space="preserve"> </w:t>
      </w:r>
      <w:proofErr w:type="spellStart"/>
      <w:r w:rsidRPr="001B648C">
        <w:rPr>
          <w:lang w:val="cs-CZ" w:eastAsia="de-DE" w:bidi="bo-CN"/>
        </w:rPr>
        <w:t>White</w:t>
      </w:r>
      <w:proofErr w:type="spellEnd"/>
      <w:r w:rsidRPr="001B648C">
        <w:rPr>
          <w:lang w:val="cs-CZ" w:eastAsia="de-DE" w:bidi="bo-CN"/>
        </w:rPr>
        <w:t xml:space="preserve"> Lady“ do nové éry. Umělá inteligence se využívá také v automatizaci procesů ve vývojových laboratořích lepidel. V oblasti výroby baterií společnost využívá simulace s podporou AI a inovativní řešení pro rozebíratelné spoje (</w:t>
      </w:r>
      <w:proofErr w:type="spellStart"/>
      <w:r w:rsidRPr="001B648C">
        <w:rPr>
          <w:lang w:val="cs-CZ" w:eastAsia="de-DE" w:bidi="bo-CN"/>
        </w:rPr>
        <w:t>debonding</w:t>
      </w:r>
      <w:proofErr w:type="spellEnd"/>
      <w:r w:rsidRPr="001B648C">
        <w:rPr>
          <w:lang w:val="cs-CZ" w:eastAsia="de-DE" w:bidi="bo-CN"/>
        </w:rPr>
        <w:t>), která zákazníkům pomáhají zkracovat vývojové cykly, snižovat náklady a optimalizovat výkon.</w:t>
      </w:r>
    </w:p>
    <w:p w14:paraId="49C85A6E" w14:textId="77777777" w:rsidR="001155C1" w:rsidRPr="001B648C" w:rsidRDefault="001155C1" w:rsidP="001155C1">
      <w:pPr>
        <w:rPr>
          <w:lang w:val="cs-CZ" w:eastAsia="de-DE"/>
        </w:rPr>
      </w:pPr>
      <w:bookmarkStart w:id="11" w:name="_Hlk190182641"/>
    </w:p>
    <w:p w14:paraId="2642075A" w14:textId="77777777" w:rsidR="001155C1" w:rsidRPr="001B648C" w:rsidRDefault="001155C1" w:rsidP="001155C1">
      <w:pPr>
        <w:rPr>
          <w:lang w:val="cs-CZ" w:eastAsia="de-DE"/>
        </w:rPr>
      </w:pPr>
      <w:bookmarkStart w:id="12" w:name="_Hlk191457890"/>
      <w:bookmarkStart w:id="13" w:name="_Hlk222133417"/>
      <w:bookmarkStart w:id="14" w:name="_Hlk190182811"/>
      <w:bookmarkEnd w:id="11"/>
      <w:r w:rsidRPr="001B648C">
        <w:rPr>
          <w:lang w:val="cs-CZ" w:eastAsia="de-DE" w:bidi="bo-CN"/>
        </w:rPr>
        <w:t xml:space="preserve">V rámci své dlouhodobě růstové strategie společnost </w:t>
      </w:r>
      <w:proofErr w:type="spellStart"/>
      <w:r w:rsidRPr="001B648C">
        <w:rPr>
          <w:lang w:val="cs-CZ" w:eastAsia="de-DE" w:bidi="bo-CN"/>
        </w:rPr>
        <w:t>Henkel</w:t>
      </w:r>
      <w:proofErr w:type="spellEnd"/>
      <w:r w:rsidRPr="001B648C">
        <w:rPr>
          <w:lang w:val="cs-CZ" w:eastAsia="de-DE" w:bidi="bo-CN"/>
        </w:rPr>
        <w:t xml:space="preserve"> neustále přizpůsobuje své obchodní divize požadavkům dynamických trhů a měnícím se očekáváním zákazníků, aby dosáhla dlouhodobého úspěchu </w:t>
      </w:r>
      <w:r w:rsidRPr="001B648C">
        <w:rPr>
          <w:b/>
          <w:bCs/>
          <w:lang w:val="cs-CZ" w:eastAsia="de-DE" w:bidi="bo-CN"/>
        </w:rPr>
        <w:t>s provozními modely připravenými pro budoucnost</w:t>
      </w:r>
      <w:r w:rsidRPr="001B648C">
        <w:rPr>
          <w:lang w:val="cs-CZ" w:eastAsia="de-DE" w:bidi="bo-CN"/>
        </w:rPr>
        <w:t xml:space="preserve">. V březnu 2025 společnost oznámila, že bude posuzovat možnost vytvoření samostatných právních subjektů v Německu a vybraných zemích pro své dvě obchodní divize </w:t>
      </w:r>
      <w:proofErr w:type="spellStart"/>
      <w:r w:rsidRPr="001B648C">
        <w:rPr>
          <w:lang w:val="cs-CZ" w:eastAsia="de-DE" w:bidi="bo-CN"/>
        </w:rPr>
        <w:t>Adhesive</w:t>
      </w:r>
      <w:proofErr w:type="spellEnd"/>
      <w:r w:rsidRPr="001B648C">
        <w:rPr>
          <w:lang w:val="cs-CZ" w:eastAsia="de-DE" w:bidi="bo-CN"/>
        </w:rPr>
        <w:t xml:space="preserve"> Technologies (HAT) a </w:t>
      </w:r>
      <w:proofErr w:type="spellStart"/>
      <w:r w:rsidRPr="001B648C">
        <w:rPr>
          <w:lang w:val="cs-CZ" w:eastAsia="de-DE" w:bidi="bo-CN"/>
        </w:rPr>
        <w:t>Consumer</w:t>
      </w:r>
      <w:proofErr w:type="spellEnd"/>
      <w:r w:rsidRPr="001B648C">
        <w:rPr>
          <w:lang w:val="cs-CZ" w:eastAsia="de-DE" w:bidi="bo-CN"/>
        </w:rPr>
        <w:t xml:space="preserve"> </w:t>
      </w:r>
      <w:proofErr w:type="spellStart"/>
      <w:r w:rsidRPr="001B648C">
        <w:rPr>
          <w:lang w:val="cs-CZ" w:eastAsia="de-DE" w:bidi="bo-CN"/>
        </w:rPr>
        <w:t>Brands</w:t>
      </w:r>
      <w:proofErr w:type="spellEnd"/>
      <w:r w:rsidRPr="001B648C">
        <w:rPr>
          <w:lang w:val="cs-CZ" w:eastAsia="de-DE" w:bidi="bo-CN"/>
        </w:rPr>
        <w:t xml:space="preserve"> (HCB). Tento krok souvisí také s přípravami na migraci na systém SAP S/4HANA. Představenstvo společnosti o návrhu důkladně jednalo a schválilo jej společně s příslušnými </w:t>
      </w:r>
      <w:proofErr w:type="spellStart"/>
      <w:r w:rsidRPr="001B648C">
        <w:rPr>
          <w:lang w:val="cs-CZ" w:eastAsia="de-DE" w:bidi="bo-CN"/>
        </w:rPr>
        <w:t>dozorními</w:t>
      </w:r>
      <w:proofErr w:type="spellEnd"/>
      <w:r w:rsidRPr="001B648C">
        <w:rPr>
          <w:lang w:val="cs-CZ" w:eastAsia="de-DE" w:bidi="bo-CN"/>
        </w:rPr>
        <w:t xml:space="preserve"> orgány. V souladu s tím bude prvním plánovaným krokem vytvoření samostatných právních subjektů pro obě stávající obchodní divize v Německu. Tímto krokem chce společnost </w:t>
      </w:r>
      <w:proofErr w:type="spellStart"/>
      <w:r w:rsidRPr="001B648C">
        <w:rPr>
          <w:lang w:val="cs-CZ" w:eastAsia="de-DE" w:bidi="bo-CN"/>
        </w:rPr>
        <w:t>Henkel</w:t>
      </w:r>
      <w:proofErr w:type="spellEnd"/>
      <w:r w:rsidRPr="001B648C">
        <w:rPr>
          <w:lang w:val="cs-CZ" w:eastAsia="de-DE" w:bidi="bo-CN"/>
        </w:rPr>
        <w:t xml:space="preserve"> zvýšit agilitu svých procesů a struktur a lépe podpořit budoucí potřeby svých obchodních aktivit a růstovou agendu skupiny </w:t>
      </w:r>
      <w:proofErr w:type="spellStart"/>
      <w:r w:rsidRPr="001B648C">
        <w:rPr>
          <w:lang w:val="cs-CZ" w:eastAsia="de-DE" w:bidi="bo-CN"/>
        </w:rPr>
        <w:t>Henkel</w:t>
      </w:r>
      <w:proofErr w:type="spellEnd"/>
      <w:r w:rsidRPr="001B648C">
        <w:rPr>
          <w:lang w:val="cs-CZ" w:eastAsia="de-DE" w:bidi="bo-CN"/>
        </w:rPr>
        <w:t>. Strategické a operační řízení skupiny a jejích obchodních divizí zůstane nezměněné. Návrh bude předložen k rozhodnutí akcionářům na řádné valné hromadě v roce 2026.</w:t>
      </w:r>
    </w:p>
    <w:bookmarkEnd w:id="12"/>
    <w:bookmarkEnd w:id="13"/>
    <w:p w14:paraId="4E20D5EB" w14:textId="77777777" w:rsidR="001155C1" w:rsidRPr="001B648C" w:rsidRDefault="001155C1" w:rsidP="001155C1">
      <w:pPr>
        <w:rPr>
          <w:lang w:val="cs-CZ" w:eastAsia="de-DE"/>
        </w:rPr>
      </w:pPr>
    </w:p>
    <w:bookmarkEnd w:id="14"/>
    <w:p w14:paraId="5CBB8A7C" w14:textId="77777777" w:rsidR="001155C1" w:rsidRPr="001B648C" w:rsidRDefault="001155C1" w:rsidP="001155C1">
      <w:pPr>
        <w:rPr>
          <w:lang w:val="cs-CZ" w:eastAsia="de-DE"/>
        </w:rPr>
      </w:pPr>
      <w:r w:rsidRPr="001B648C">
        <w:rPr>
          <w:lang w:val="cs-CZ" w:eastAsia="de-DE" w:bidi="bo-CN"/>
        </w:rPr>
        <w:t xml:space="preserve">Ve společnosti </w:t>
      </w:r>
      <w:proofErr w:type="spellStart"/>
      <w:r w:rsidRPr="001B648C">
        <w:rPr>
          <w:lang w:val="cs-CZ" w:eastAsia="de-DE" w:bidi="bo-CN"/>
        </w:rPr>
        <w:t>Henkel</w:t>
      </w:r>
      <w:proofErr w:type="spellEnd"/>
      <w:r w:rsidRPr="001B648C">
        <w:rPr>
          <w:lang w:val="cs-CZ" w:eastAsia="de-DE" w:bidi="bo-CN"/>
        </w:rPr>
        <w:t xml:space="preserve"> tvoří silná </w:t>
      </w:r>
      <w:r w:rsidRPr="001B648C">
        <w:rPr>
          <w:b/>
          <w:bCs/>
          <w:lang w:val="cs-CZ" w:eastAsia="de-DE" w:bidi="bo-CN"/>
        </w:rPr>
        <w:t>firemní kultura</w:t>
      </w:r>
      <w:r w:rsidRPr="001B648C">
        <w:rPr>
          <w:lang w:val="cs-CZ" w:eastAsia="de-DE" w:bidi="bo-CN"/>
        </w:rPr>
        <w:t xml:space="preserve"> základ agendy zaměřené na smysluplný růst. Je charakterizována spoluprací založenou na důvěře napříč obchodními divizemi, zeměmi a týmy, jakož i posilováním zodpovědnosti zaměstnanců a jejich aktivním zapojováním do formování výsledků. Takovou kulturu je potřeba neustále rozvíjet. Aby společnost získala přehled o tom, jak ji zaměstnanci vnímají, již několik let realizuje tzv. </w:t>
      </w:r>
      <w:r w:rsidRPr="001B648C">
        <w:rPr>
          <w:i/>
          <w:iCs/>
          <w:lang w:val="cs-CZ" w:eastAsia="de-DE" w:bidi="bo-CN"/>
        </w:rPr>
        <w:t xml:space="preserve">pulse </w:t>
      </w:r>
      <w:proofErr w:type="spellStart"/>
      <w:r w:rsidRPr="001B648C">
        <w:rPr>
          <w:i/>
          <w:iCs/>
          <w:lang w:val="cs-CZ" w:eastAsia="de-DE" w:bidi="bo-CN"/>
        </w:rPr>
        <w:t>checks</w:t>
      </w:r>
      <w:proofErr w:type="spellEnd"/>
      <w:r w:rsidRPr="001B648C">
        <w:rPr>
          <w:lang w:val="cs-CZ" w:eastAsia="de-DE" w:bidi="bo-CN"/>
        </w:rPr>
        <w:t xml:space="preserve"> – měsíční průzkumy u 5 000 náhodně vybraných zaměstnanců. Tyto anonymní průzkumy poskytují cenné poznatky o tématech jako spolupráce, zodpovědnost, inovace, diverzita nebo soulad s dlouhodobou strategií společnosti </w:t>
      </w:r>
      <w:proofErr w:type="spellStart"/>
      <w:r w:rsidRPr="001B648C">
        <w:rPr>
          <w:lang w:val="cs-CZ" w:eastAsia="de-DE" w:bidi="bo-CN"/>
        </w:rPr>
        <w:t>Henkel</w:t>
      </w:r>
      <w:proofErr w:type="spellEnd"/>
      <w:r w:rsidRPr="001B648C">
        <w:rPr>
          <w:lang w:val="cs-CZ" w:eastAsia="de-DE" w:bidi="bo-CN"/>
        </w:rPr>
        <w:t>. Výsledky za rok 2025 ukazují, že společnost dosáhla v těchto oblastech významného pokroku. Potvrzuje to, že různorodé iniciativy a opatření zavedené v uplynulých letech přinášejí výsledky a firemní kultura neustále posiluje.</w:t>
      </w:r>
    </w:p>
    <w:p w14:paraId="21BCA964" w14:textId="77777777" w:rsidR="001155C1" w:rsidRPr="001B648C" w:rsidRDefault="001155C1" w:rsidP="001155C1">
      <w:pPr>
        <w:rPr>
          <w:lang w:val="cs-CZ" w:eastAsia="de-DE"/>
        </w:rPr>
      </w:pPr>
    </w:p>
    <w:p w14:paraId="5DBB1BD8" w14:textId="77777777" w:rsidR="001155C1" w:rsidRPr="001B648C" w:rsidRDefault="001155C1" w:rsidP="001155C1">
      <w:pPr>
        <w:spacing w:after="120"/>
        <w:rPr>
          <w:b/>
          <w:bCs/>
          <w:lang w:val="cs-CZ" w:eastAsia="de-DE"/>
        </w:rPr>
      </w:pPr>
      <w:proofErr w:type="spellStart"/>
      <w:r w:rsidRPr="001B648C">
        <w:rPr>
          <w:b/>
          <w:bCs/>
          <w:lang w:val="cs-CZ" w:eastAsia="de-DE" w:bidi="bo-CN"/>
        </w:rPr>
        <w:t>Henkel</w:t>
      </w:r>
      <w:proofErr w:type="spellEnd"/>
      <w:r w:rsidRPr="001B648C">
        <w:rPr>
          <w:b/>
          <w:bCs/>
          <w:lang w:val="cs-CZ" w:eastAsia="de-DE" w:bidi="bo-CN"/>
        </w:rPr>
        <w:t xml:space="preserve"> oslavuje 150 let úspěchů</w:t>
      </w:r>
    </w:p>
    <w:p w14:paraId="6E282859" w14:textId="77777777" w:rsidR="001155C1" w:rsidRPr="001B648C" w:rsidRDefault="001155C1" w:rsidP="001155C1">
      <w:pPr>
        <w:rPr>
          <w:lang w:val="cs-CZ"/>
        </w:rPr>
      </w:pPr>
      <w:bookmarkStart w:id="15" w:name="_Hlk190182989"/>
      <w:r w:rsidRPr="001B648C">
        <w:rPr>
          <w:lang w:val="cs-CZ" w:bidi="bo-CN"/>
        </w:rPr>
        <w:t xml:space="preserve">„Rok 2025 byl úspěšným rokem, v němž jsme opět zvládli velké výzvy a zároveň jsme dosáhli významného pokroku. Do velké míry jsme splnili naše finanční cíle. Napříč všemi strategickými dimenzemi jsme důsledně realizovali naši agendu zaměřenou na smysluplný růst a úspěšně jsme dokončili integraci našich spotřebitelských aktivit. Jsme na správné cestě a transformace naší společnosti přináší hmatatelné výsledky,“ shrnul loňský rok </w:t>
      </w:r>
      <w:proofErr w:type="spellStart"/>
      <w:r w:rsidRPr="001B648C">
        <w:rPr>
          <w:lang w:val="cs-CZ" w:bidi="bo-CN"/>
        </w:rPr>
        <w:t>Carsten</w:t>
      </w:r>
      <w:proofErr w:type="spellEnd"/>
      <w:r w:rsidRPr="001B648C">
        <w:rPr>
          <w:lang w:val="cs-CZ" w:bidi="bo-CN"/>
        </w:rPr>
        <w:t xml:space="preserve"> </w:t>
      </w:r>
      <w:proofErr w:type="spellStart"/>
      <w:r w:rsidRPr="001B648C">
        <w:rPr>
          <w:lang w:val="cs-CZ" w:bidi="bo-CN"/>
        </w:rPr>
        <w:t>Knobel</w:t>
      </w:r>
      <w:proofErr w:type="spellEnd"/>
      <w:r w:rsidRPr="001B648C">
        <w:rPr>
          <w:lang w:val="cs-CZ" w:bidi="bo-CN"/>
        </w:rPr>
        <w:t>.</w:t>
      </w:r>
    </w:p>
    <w:p w14:paraId="15A0DA57" w14:textId="77777777" w:rsidR="001155C1" w:rsidRPr="001B648C" w:rsidRDefault="001155C1" w:rsidP="001155C1">
      <w:pPr>
        <w:rPr>
          <w:lang w:val="cs-CZ"/>
        </w:rPr>
      </w:pPr>
    </w:p>
    <w:p w14:paraId="54C7E2E7" w14:textId="56E506C2" w:rsidR="00613F5D" w:rsidRPr="008113B1" w:rsidRDefault="001155C1" w:rsidP="001155C1">
      <w:pPr>
        <w:jc w:val="left"/>
        <w:rPr>
          <w:rStyle w:val="Headline"/>
          <w:sz w:val="40"/>
          <w:szCs w:val="40"/>
          <w:lang w:val="sk-SK"/>
        </w:rPr>
      </w:pPr>
      <w:r w:rsidRPr="001B648C">
        <w:rPr>
          <w:lang w:val="cs-CZ" w:bidi="bo-CN"/>
        </w:rPr>
        <w:lastRenderedPageBreak/>
        <w:t xml:space="preserve">„Nyní hledíme vpřed na vzrušující rok 2026, v němž oslavíme 150. výročí založení naší společnosti. Na naše dědictví jsme samozřejmě hrdí – ale pro nás to není důvod k zastavení. Naopak, je to zdroj motivace na cestu, která je před námi. Jsme připraveni na budoucnost. Tak jako v minulosti, i nyní budeme stavět na našem průkopnickém duchu, abychom vyvíjeli produkty a řešení orientované na budoucnost pro další generace. To je plně v souladu s naším posláním: </w:t>
      </w:r>
      <w:proofErr w:type="spellStart"/>
      <w:r w:rsidRPr="001B648C">
        <w:rPr>
          <w:i/>
          <w:iCs/>
          <w:lang w:val="cs-CZ" w:bidi="bo-CN"/>
        </w:rPr>
        <w:t>Pioneers</w:t>
      </w:r>
      <w:proofErr w:type="spellEnd"/>
      <w:r w:rsidRPr="001B648C">
        <w:rPr>
          <w:i/>
          <w:iCs/>
          <w:lang w:val="cs-CZ" w:bidi="bo-CN"/>
        </w:rPr>
        <w:t xml:space="preserve"> </w:t>
      </w:r>
      <w:proofErr w:type="spellStart"/>
      <w:r w:rsidRPr="001B648C">
        <w:rPr>
          <w:i/>
          <w:iCs/>
          <w:lang w:val="cs-CZ" w:bidi="bo-CN"/>
        </w:rPr>
        <w:t>at</w:t>
      </w:r>
      <w:proofErr w:type="spellEnd"/>
      <w:r w:rsidRPr="001B648C">
        <w:rPr>
          <w:i/>
          <w:iCs/>
          <w:lang w:val="cs-CZ" w:bidi="bo-CN"/>
        </w:rPr>
        <w:t xml:space="preserve"> </w:t>
      </w:r>
      <w:proofErr w:type="spellStart"/>
      <w:r w:rsidRPr="001B648C">
        <w:rPr>
          <w:i/>
          <w:iCs/>
          <w:lang w:val="cs-CZ" w:bidi="bo-CN"/>
        </w:rPr>
        <w:t>heart</w:t>
      </w:r>
      <w:proofErr w:type="spellEnd"/>
      <w:r w:rsidRPr="001B648C">
        <w:rPr>
          <w:i/>
          <w:iCs/>
          <w:lang w:val="cs-CZ" w:bidi="bo-CN"/>
        </w:rPr>
        <w:t xml:space="preserve"> </w:t>
      </w:r>
      <w:proofErr w:type="spellStart"/>
      <w:r w:rsidRPr="001B648C">
        <w:rPr>
          <w:i/>
          <w:iCs/>
          <w:lang w:val="cs-CZ" w:bidi="bo-CN"/>
        </w:rPr>
        <w:t>for</w:t>
      </w:r>
      <w:proofErr w:type="spellEnd"/>
      <w:r w:rsidRPr="001B648C">
        <w:rPr>
          <w:i/>
          <w:iCs/>
          <w:lang w:val="cs-CZ" w:bidi="bo-CN"/>
        </w:rPr>
        <w:t xml:space="preserve"> </w:t>
      </w:r>
      <w:proofErr w:type="spellStart"/>
      <w:r w:rsidRPr="001B648C">
        <w:rPr>
          <w:i/>
          <w:iCs/>
          <w:lang w:val="cs-CZ" w:bidi="bo-CN"/>
        </w:rPr>
        <w:t>the</w:t>
      </w:r>
      <w:proofErr w:type="spellEnd"/>
      <w:r w:rsidRPr="001B648C">
        <w:rPr>
          <w:i/>
          <w:iCs/>
          <w:lang w:val="cs-CZ" w:bidi="bo-CN"/>
        </w:rPr>
        <w:t xml:space="preserve"> </w:t>
      </w:r>
      <w:proofErr w:type="spellStart"/>
      <w:r w:rsidRPr="001B648C">
        <w:rPr>
          <w:i/>
          <w:iCs/>
          <w:lang w:val="cs-CZ" w:bidi="bo-CN"/>
        </w:rPr>
        <w:t>good</w:t>
      </w:r>
      <w:proofErr w:type="spellEnd"/>
      <w:r w:rsidRPr="001B648C">
        <w:rPr>
          <w:i/>
          <w:iCs/>
          <w:lang w:val="cs-CZ" w:bidi="bo-CN"/>
        </w:rPr>
        <w:t xml:space="preserve"> </w:t>
      </w:r>
      <w:proofErr w:type="spellStart"/>
      <w:r w:rsidRPr="001B648C">
        <w:rPr>
          <w:i/>
          <w:iCs/>
          <w:lang w:val="cs-CZ" w:bidi="bo-CN"/>
        </w:rPr>
        <w:t>of</w:t>
      </w:r>
      <w:proofErr w:type="spellEnd"/>
      <w:r w:rsidRPr="001B648C">
        <w:rPr>
          <w:i/>
          <w:iCs/>
          <w:lang w:val="cs-CZ" w:bidi="bo-CN"/>
        </w:rPr>
        <w:t xml:space="preserve"> </w:t>
      </w:r>
      <w:proofErr w:type="spellStart"/>
      <w:r w:rsidRPr="001B648C">
        <w:rPr>
          <w:i/>
          <w:iCs/>
          <w:lang w:val="cs-CZ" w:bidi="bo-CN"/>
        </w:rPr>
        <w:t>generations</w:t>
      </w:r>
      <w:proofErr w:type="spellEnd"/>
      <w:r w:rsidRPr="001B648C">
        <w:rPr>
          <w:lang w:val="cs-CZ" w:bidi="bo-CN"/>
        </w:rPr>
        <w:t>,“ dodal.</w:t>
      </w:r>
      <w:bookmarkEnd w:id="15"/>
    </w:p>
    <w:p w14:paraId="7178C33E" w14:textId="77777777" w:rsidR="00F75919" w:rsidRDefault="00F75919" w:rsidP="002F7A23">
      <w:pPr>
        <w:rPr>
          <w:rStyle w:val="Headline"/>
          <w:lang w:val="sk-SK"/>
        </w:rPr>
      </w:pPr>
    </w:p>
    <w:p w14:paraId="7DD4D096" w14:textId="77777777" w:rsidR="00F75919" w:rsidRDefault="00F75919" w:rsidP="002F7A23">
      <w:pPr>
        <w:rPr>
          <w:rStyle w:val="Headline"/>
          <w:lang w:val="sk-SK"/>
        </w:rPr>
      </w:pPr>
    </w:p>
    <w:p w14:paraId="76CCC920" w14:textId="40E72074" w:rsidR="005D6168" w:rsidRPr="005D6168" w:rsidRDefault="005D6168" w:rsidP="002F7A23">
      <w:pPr>
        <w:rPr>
          <w:b/>
          <w:bCs/>
          <w:sz w:val="18"/>
          <w:szCs w:val="18"/>
          <w:lang w:val="cs-CZ" w:bidi="bo-CN"/>
        </w:rPr>
      </w:pPr>
      <w:r w:rsidRPr="005D6168">
        <w:rPr>
          <w:b/>
          <w:bCs/>
          <w:sz w:val="18"/>
          <w:szCs w:val="18"/>
          <w:lang w:val="cs-CZ" w:bidi="bo-CN"/>
        </w:rPr>
        <w:t xml:space="preserve">O společnosti </w:t>
      </w:r>
      <w:proofErr w:type="spellStart"/>
      <w:r w:rsidRPr="005D6168">
        <w:rPr>
          <w:b/>
          <w:bCs/>
          <w:sz w:val="18"/>
          <w:szCs w:val="18"/>
          <w:lang w:val="cs-CZ" w:bidi="bo-CN"/>
        </w:rPr>
        <w:t>Henkel</w:t>
      </w:r>
      <w:proofErr w:type="spellEnd"/>
    </w:p>
    <w:p w14:paraId="294CC13E" w14:textId="427BE0B0" w:rsidR="005D6168" w:rsidRPr="008E58B1" w:rsidRDefault="005D6168" w:rsidP="002F7A23">
      <w:pPr>
        <w:rPr>
          <w:sz w:val="18"/>
          <w:szCs w:val="18"/>
          <w:lang w:val="pl-PL" w:bidi="bo-CN"/>
        </w:rPr>
      </w:pPr>
      <w:r w:rsidRPr="005D6168">
        <w:rPr>
          <w:sz w:val="18"/>
          <w:szCs w:val="18"/>
          <w:lang w:val="cs-CZ" w:bidi="bo-CN"/>
        </w:rPr>
        <w:t xml:space="preserve">Díky svým značkám, inovacím a technologiím je společnost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světovým lídrem na trzích s průmyslovým a spotřebním zbožím. Obchodní divize </w:t>
      </w:r>
      <w:proofErr w:type="spellStart"/>
      <w:r w:rsidRPr="005D6168">
        <w:rPr>
          <w:sz w:val="18"/>
          <w:szCs w:val="18"/>
          <w:lang w:val="cs-CZ" w:bidi="bo-CN"/>
        </w:rPr>
        <w:t>Adhesive</w:t>
      </w:r>
      <w:proofErr w:type="spellEnd"/>
      <w:r w:rsidRPr="005D6168">
        <w:rPr>
          <w:sz w:val="18"/>
          <w:szCs w:val="18"/>
          <w:lang w:val="cs-CZ" w:bidi="bo-CN"/>
        </w:rPr>
        <w:t xml:space="preserve"> Technologies je globálním lídrem na trhu se spojovacími a lepícími materiály</w:t>
      </w:r>
      <w:r w:rsidR="0081285E">
        <w:rPr>
          <w:sz w:val="18"/>
          <w:szCs w:val="18"/>
          <w:lang w:val="cs-CZ" w:bidi="bo-CN"/>
        </w:rPr>
        <w:t>, tmely</w:t>
      </w:r>
      <w:r w:rsidRPr="005D6168">
        <w:rPr>
          <w:sz w:val="18"/>
          <w:szCs w:val="18"/>
          <w:lang w:val="cs-CZ" w:bidi="bo-CN"/>
        </w:rPr>
        <w:t xml:space="preserve"> a funkčními nátěry. Obchodní divize </w:t>
      </w:r>
      <w:proofErr w:type="spellStart"/>
      <w:r w:rsidRPr="005D6168">
        <w:rPr>
          <w:sz w:val="18"/>
          <w:szCs w:val="18"/>
          <w:lang w:val="cs-CZ" w:bidi="bo-CN"/>
        </w:rPr>
        <w:t>Consumer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Brands</w:t>
      </w:r>
      <w:proofErr w:type="spellEnd"/>
      <w:r w:rsidRPr="005D6168">
        <w:rPr>
          <w:sz w:val="18"/>
          <w:szCs w:val="18"/>
          <w:lang w:val="cs-CZ" w:bidi="bo-CN"/>
        </w:rPr>
        <w:t xml:space="preserve"> se drží na předních místech na mnoha světových trzích především v segmentech vlasové kosmetiky a pracích a čistících prostředků pro domácnost. Mezi tři nejsilnější značky společnosti patří </w:t>
      </w:r>
      <w:proofErr w:type="spellStart"/>
      <w:r w:rsidRPr="005D6168">
        <w:rPr>
          <w:sz w:val="18"/>
          <w:szCs w:val="18"/>
          <w:lang w:val="cs-CZ" w:bidi="bo-CN"/>
        </w:rPr>
        <w:t>Loctite</w:t>
      </w:r>
      <w:proofErr w:type="spellEnd"/>
      <w:r w:rsidRPr="005D6168">
        <w:rPr>
          <w:sz w:val="18"/>
          <w:szCs w:val="18"/>
          <w:lang w:val="cs-CZ" w:bidi="bo-CN"/>
        </w:rPr>
        <w:t xml:space="preserve">, </w:t>
      </w:r>
      <w:proofErr w:type="spellStart"/>
      <w:r w:rsidRPr="005D6168">
        <w:rPr>
          <w:sz w:val="18"/>
          <w:szCs w:val="18"/>
          <w:lang w:val="cs-CZ" w:bidi="bo-CN"/>
        </w:rPr>
        <w:t>Persil</w:t>
      </w:r>
      <w:proofErr w:type="spellEnd"/>
      <w:r w:rsidRPr="005D6168">
        <w:rPr>
          <w:sz w:val="18"/>
          <w:szCs w:val="18"/>
          <w:lang w:val="cs-CZ" w:bidi="bo-CN"/>
        </w:rPr>
        <w:t xml:space="preserve"> a </w:t>
      </w:r>
      <w:proofErr w:type="spellStart"/>
      <w:r w:rsidRPr="005D6168">
        <w:rPr>
          <w:sz w:val="18"/>
          <w:szCs w:val="18"/>
          <w:lang w:val="cs-CZ" w:bidi="bo-CN"/>
        </w:rPr>
        <w:t>Schwarzkopf</w:t>
      </w:r>
      <w:proofErr w:type="spellEnd"/>
      <w:r w:rsidRPr="005D6168">
        <w:rPr>
          <w:sz w:val="18"/>
          <w:szCs w:val="18"/>
          <w:lang w:val="cs-CZ" w:bidi="bo-CN"/>
        </w:rPr>
        <w:t>. Ve finančním roce 202</w:t>
      </w:r>
      <w:r w:rsidR="00EA588A">
        <w:rPr>
          <w:sz w:val="18"/>
          <w:szCs w:val="18"/>
          <w:lang w:val="cs-CZ" w:bidi="bo-CN"/>
        </w:rPr>
        <w:t>4</w:t>
      </w:r>
      <w:r w:rsidRPr="005D6168">
        <w:rPr>
          <w:sz w:val="18"/>
          <w:szCs w:val="18"/>
          <w:lang w:val="cs-CZ" w:bidi="bo-CN"/>
        </w:rPr>
        <w:t xml:space="preserve"> vykázala společnost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obrat ve výši přes 2</w:t>
      </w:r>
      <w:r w:rsidR="00A07BEE">
        <w:rPr>
          <w:sz w:val="18"/>
          <w:szCs w:val="18"/>
          <w:lang w:val="cs-CZ" w:bidi="bo-CN"/>
        </w:rPr>
        <w:t>1,</w:t>
      </w:r>
      <w:r w:rsidR="00C23AAF">
        <w:rPr>
          <w:sz w:val="18"/>
          <w:szCs w:val="18"/>
          <w:lang w:val="cs-CZ" w:bidi="bo-CN"/>
        </w:rPr>
        <w:t>6</w:t>
      </w:r>
      <w:r w:rsidRPr="005D6168">
        <w:rPr>
          <w:sz w:val="18"/>
          <w:szCs w:val="18"/>
          <w:lang w:val="cs-CZ" w:bidi="bo-CN"/>
        </w:rPr>
        <w:t xml:space="preserve"> mld. eur a upravený provozní zisk přibližně ve výši </w:t>
      </w:r>
      <w:r w:rsidR="005D14CA">
        <w:rPr>
          <w:sz w:val="18"/>
          <w:szCs w:val="18"/>
          <w:lang w:val="cs-CZ" w:bidi="bo-CN"/>
        </w:rPr>
        <w:t>3</w:t>
      </w:r>
      <w:r w:rsidRPr="005D6168">
        <w:rPr>
          <w:sz w:val="18"/>
          <w:szCs w:val="18"/>
          <w:lang w:val="cs-CZ" w:bidi="bo-CN"/>
        </w:rPr>
        <w:t>,</w:t>
      </w:r>
      <w:r w:rsidR="005D14CA">
        <w:rPr>
          <w:sz w:val="18"/>
          <w:szCs w:val="18"/>
          <w:lang w:val="cs-CZ" w:bidi="bo-CN"/>
        </w:rPr>
        <w:t>1</w:t>
      </w:r>
      <w:r w:rsidRPr="005D6168">
        <w:rPr>
          <w:sz w:val="18"/>
          <w:szCs w:val="18"/>
          <w:lang w:val="cs-CZ" w:bidi="bo-CN"/>
        </w:rPr>
        <w:t xml:space="preserve"> mld. eur. Prioritní akcie společnosti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jsou kótovány na německém akciovém indexu DAX. Udržitelnost patří již dlouho k tradičním prioritám společnosti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, přičemž k plnění konkrétních cílů má společnost vypracovanou jasnou strategii dlouhodobé udržitelnosti. Společnost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byla založena v roce 1876 a dnes celosvětově zaměstnává přes </w:t>
      </w:r>
      <w:r w:rsidR="00A07BEE">
        <w:rPr>
          <w:sz w:val="18"/>
          <w:szCs w:val="18"/>
          <w:lang w:val="cs-CZ" w:bidi="bo-CN"/>
        </w:rPr>
        <w:t>4</w:t>
      </w:r>
      <w:r w:rsidR="007B5526">
        <w:rPr>
          <w:sz w:val="18"/>
          <w:szCs w:val="18"/>
          <w:lang w:val="cs-CZ" w:bidi="bo-CN"/>
        </w:rPr>
        <w:t>7</w:t>
      </w:r>
      <w:r w:rsidRPr="005D6168">
        <w:rPr>
          <w:sz w:val="18"/>
          <w:szCs w:val="18"/>
          <w:lang w:val="cs-CZ" w:bidi="bo-CN"/>
        </w:rPr>
        <w:t xml:space="preserve"> 000 zaměstnanců, již spojuje silná firemní kultura, společné hodnoty a společné poslání: „</w:t>
      </w:r>
      <w:proofErr w:type="spellStart"/>
      <w:r w:rsidRPr="005D6168">
        <w:rPr>
          <w:sz w:val="18"/>
          <w:szCs w:val="18"/>
          <w:lang w:val="cs-CZ" w:bidi="bo-CN"/>
        </w:rPr>
        <w:t>Pioneers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at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heart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for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the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good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of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generations</w:t>
      </w:r>
      <w:proofErr w:type="spellEnd"/>
      <w:r w:rsidRPr="005D6168">
        <w:rPr>
          <w:sz w:val="18"/>
          <w:szCs w:val="18"/>
          <w:lang w:val="cs-CZ" w:bidi="bo-CN"/>
        </w:rPr>
        <w:t>“. Více informací najdete na stránkách</w:t>
      </w:r>
      <w:r w:rsidRPr="008E58B1">
        <w:rPr>
          <w:sz w:val="18"/>
          <w:szCs w:val="18"/>
          <w:lang w:val="pl-PL" w:bidi="bo-CN"/>
        </w:rPr>
        <w:t xml:space="preserve"> </w:t>
      </w:r>
      <w:hyperlink r:id="rId10" w:history="1">
        <w:r w:rsidR="00A070EE" w:rsidRPr="008E58B1">
          <w:rPr>
            <w:rStyle w:val="Hypertextovprepojenie"/>
            <w:sz w:val="18"/>
            <w:szCs w:val="18"/>
            <w:lang w:val="pl-PL" w:bidi="bo-CN"/>
          </w:rPr>
          <w:t>www.henkel.com</w:t>
        </w:r>
      </w:hyperlink>
      <w:r w:rsidR="00A070EE" w:rsidRPr="008E58B1">
        <w:rPr>
          <w:sz w:val="18"/>
          <w:szCs w:val="18"/>
          <w:lang w:val="pl-PL" w:bidi="bo-CN"/>
        </w:rPr>
        <w:t>.</w:t>
      </w:r>
      <w:r w:rsidRPr="008E58B1">
        <w:rPr>
          <w:sz w:val="18"/>
          <w:szCs w:val="18"/>
          <w:lang w:val="pl-PL" w:bidi="bo-CN"/>
        </w:rPr>
        <w:t xml:space="preserve"> </w:t>
      </w:r>
    </w:p>
    <w:p w14:paraId="4F4668BC" w14:textId="77777777" w:rsidR="005D6168" w:rsidRPr="00B71239" w:rsidRDefault="005D6168" w:rsidP="002F7A23">
      <w:pPr>
        <w:rPr>
          <w:rFonts w:asciiTheme="majorHAnsi" w:hAnsiTheme="majorHAnsi" w:cstheme="majorHAnsi"/>
          <w:sz w:val="18"/>
          <w:szCs w:val="18"/>
          <w:lang w:val="sk-SK"/>
        </w:rPr>
      </w:pPr>
    </w:p>
    <w:p w14:paraId="5010685E" w14:textId="77777777" w:rsidR="003B16A3" w:rsidRPr="00A110E3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A110E3" w:rsidRDefault="00A110E3" w:rsidP="00A110E3">
      <w:pPr>
        <w:rPr>
          <w:rStyle w:val="AboutandContactHeadline"/>
          <w:lang w:val="cs-CZ"/>
        </w:rPr>
      </w:pPr>
      <w:r w:rsidRPr="00A110E3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 xml:space="preserve">Zuzana </w:t>
      </w:r>
      <w:proofErr w:type="spellStart"/>
      <w:r w:rsidRPr="00A110E3">
        <w:rPr>
          <w:rStyle w:val="AboutandContactHeadline"/>
          <w:b w:val="0"/>
          <w:bCs w:val="0"/>
          <w:lang w:val="cs-CZ"/>
        </w:rPr>
        <w:t>Kaňuchová</w:t>
      </w:r>
      <w:proofErr w:type="spellEnd"/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>Ředitelka korporátní komunikace</w:t>
      </w:r>
      <w:r w:rsidR="00AF0067">
        <w:rPr>
          <w:rStyle w:val="AboutandContactHeadline"/>
          <w:b w:val="0"/>
          <w:bCs w:val="0"/>
          <w:lang w:val="cs-CZ"/>
        </w:rPr>
        <w:t xml:space="preserve"> CEE</w:t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>Telef</w:t>
      </w:r>
      <w:r w:rsidR="00A070EE">
        <w:rPr>
          <w:rStyle w:val="AboutandContactHeadline"/>
          <w:b w:val="0"/>
          <w:bCs w:val="0"/>
          <w:lang w:val="cs-CZ"/>
        </w:rPr>
        <w:t>o</w:t>
      </w:r>
      <w:r w:rsidRPr="00A110E3">
        <w:rPr>
          <w:rStyle w:val="AboutandContactHeadline"/>
          <w:b w:val="0"/>
          <w:bCs w:val="0"/>
          <w:lang w:val="cs-CZ"/>
        </w:rPr>
        <w:t>n: +421 917 160 597</w:t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</w:p>
    <w:p w14:paraId="628BCDA9" w14:textId="564941E2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>E-mail:</w:t>
      </w:r>
      <w:r>
        <w:rPr>
          <w:rStyle w:val="AboutandContactHeadline"/>
          <w:b w:val="0"/>
          <w:bCs w:val="0"/>
          <w:lang w:val="cs-CZ"/>
        </w:rPr>
        <w:t xml:space="preserve"> </w:t>
      </w:r>
      <w:hyperlink r:id="rId11" w:history="1">
        <w:r w:rsidRPr="005B6D31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p w14:paraId="51AA2505" w14:textId="39C6A2F7" w:rsidR="005742B4" w:rsidRPr="00A110E3" w:rsidRDefault="005742B4" w:rsidP="00A110E3">
      <w:pPr>
        <w:rPr>
          <w:lang w:val="cs-CZ"/>
        </w:rPr>
      </w:pPr>
    </w:p>
    <w:sectPr w:rsidR="005742B4" w:rsidRPr="00A110E3">
      <w:footerReference w:type="default" r:id="rId12"/>
      <w:headerReference w:type="first" r:id="rId13"/>
      <w:footerReference w:type="first" r:id="rId14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49C8" w14:textId="77777777" w:rsidR="007A6111" w:rsidRDefault="007A6111">
      <w:pPr>
        <w:spacing w:line="240" w:lineRule="auto"/>
      </w:pPr>
      <w:r>
        <w:separator/>
      </w:r>
    </w:p>
  </w:endnote>
  <w:endnote w:type="continuationSeparator" w:id="0">
    <w:p w14:paraId="404740F7" w14:textId="77777777" w:rsidR="007A6111" w:rsidRDefault="007A6111">
      <w:pPr>
        <w:spacing w:line="240" w:lineRule="auto"/>
      </w:pPr>
      <w:r>
        <w:continuationSeparator/>
      </w:r>
    </w:p>
  </w:endnote>
  <w:endnote w:type="continuationNotice" w:id="1">
    <w:p w14:paraId="35BDB606" w14:textId="77777777" w:rsidR="007A6111" w:rsidRDefault="007A61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67D7FC71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fldSimple w:instr=" NUMPAGES ">
      <w:r w:rsidR="0003120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fldSimple w:instr=" NUMPAGES ">
      <w:r w:rsidR="0003120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E4FD" w14:textId="77777777" w:rsidR="007A6111" w:rsidRDefault="007A6111">
      <w:pPr>
        <w:spacing w:line="240" w:lineRule="auto"/>
      </w:pPr>
      <w:r>
        <w:separator/>
      </w:r>
    </w:p>
  </w:footnote>
  <w:footnote w:type="continuationSeparator" w:id="0">
    <w:p w14:paraId="3BCB3D7D" w14:textId="77777777" w:rsidR="007A6111" w:rsidRDefault="007A6111">
      <w:pPr>
        <w:spacing w:line="240" w:lineRule="auto"/>
      </w:pPr>
      <w:r>
        <w:continuationSeparator/>
      </w:r>
    </w:p>
  </w:footnote>
  <w:footnote w:type="continuationNotice" w:id="1">
    <w:p w14:paraId="25E7DED5" w14:textId="77777777" w:rsidR="007A6111" w:rsidRDefault="007A61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2408C0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EE68B8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74A06E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4CFBA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AA3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D4DBC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EEEE6A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764C6E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5C4D0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32D4E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B6FB3"/>
    <w:multiLevelType w:val="hybridMultilevel"/>
    <w:tmpl w:val="FD7E88F4"/>
    <w:lvl w:ilvl="0" w:tplc="A86EF7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22"/>
  </w:num>
  <w:num w:numId="2" w16cid:durableId="1933321731">
    <w:abstractNumId w:val="12"/>
  </w:num>
  <w:num w:numId="3" w16cid:durableId="1658875628">
    <w:abstractNumId w:val="13"/>
  </w:num>
  <w:num w:numId="4" w16cid:durableId="649406992">
    <w:abstractNumId w:val="21"/>
  </w:num>
  <w:num w:numId="5" w16cid:durableId="1575124407">
    <w:abstractNumId w:val="20"/>
  </w:num>
  <w:num w:numId="6" w16cid:durableId="271322993">
    <w:abstractNumId w:val="11"/>
  </w:num>
  <w:num w:numId="7" w16cid:durableId="165293174">
    <w:abstractNumId w:val="10"/>
  </w:num>
  <w:num w:numId="8" w16cid:durableId="1508134485">
    <w:abstractNumId w:val="19"/>
  </w:num>
  <w:num w:numId="9" w16cid:durableId="1234970366">
    <w:abstractNumId w:val="16"/>
  </w:num>
  <w:num w:numId="10" w16cid:durableId="1008554684">
    <w:abstractNumId w:val="14"/>
  </w:num>
  <w:num w:numId="11" w16cid:durableId="933825870">
    <w:abstractNumId w:val="17"/>
  </w:num>
  <w:num w:numId="12" w16cid:durableId="912852597">
    <w:abstractNumId w:val="15"/>
  </w:num>
  <w:num w:numId="13" w16cid:durableId="1625698526">
    <w:abstractNumId w:val="18"/>
  </w:num>
  <w:num w:numId="14" w16cid:durableId="1818106586">
    <w:abstractNumId w:val="8"/>
  </w:num>
  <w:num w:numId="15" w16cid:durableId="1620991478">
    <w:abstractNumId w:val="3"/>
  </w:num>
  <w:num w:numId="16" w16cid:durableId="1309625836">
    <w:abstractNumId w:val="2"/>
  </w:num>
  <w:num w:numId="17" w16cid:durableId="1571578557">
    <w:abstractNumId w:val="1"/>
  </w:num>
  <w:num w:numId="18" w16cid:durableId="37826050">
    <w:abstractNumId w:val="0"/>
  </w:num>
  <w:num w:numId="19" w16cid:durableId="1933317748">
    <w:abstractNumId w:val="9"/>
  </w:num>
  <w:num w:numId="20" w16cid:durableId="96760054">
    <w:abstractNumId w:val="7"/>
  </w:num>
  <w:num w:numId="21" w16cid:durableId="1154952093">
    <w:abstractNumId w:val="6"/>
  </w:num>
  <w:num w:numId="22" w16cid:durableId="1711151696">
    <w:abstractNumId w:val="5"/>
  </w:num>
  <w:num w:numId="23" w16cid:durableId="1880051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27474"/>
    <w:rsid w:val="00031201"/>
    <w:rsid w:val="0003352D"/>
    <w:rsid w:val="000424BC"/>
    <w:rsid w:val="00057BCB"/>
    <w:rsid w:val="000824CC"/>
    <w:rsid w:val="000C27F2"/>
    <w:rsid w:val="000C2EDF"/>
    <w:rsid w:val="000C68C2"/>
    <w:rsid w:val="000C708A"/>
    <w:rsid w:val="001127CC"/>
    <w:rsid w:val="001155C1"/>
    <w:rsid w:val="001166FA"/>
    <w:rsid w:val="001210EA"/>
    <w:rsid w:val="001633A4"/>
    <w:rsid w:val="001815FA"/>
    <w:rsid w:val="001C2600"/>
    <w:rsid w:val="00204A77"/>
    <w:rsid w:val="002056C6"/>
    <w:rsid w:val="002267FB"/>
    <w:rsid w:val="0024668B"/>
    <w:rsid w:val="00251645"/>
    <w:rsid w:val="002570B7"/>
    <w:rsid w:val="002606AC"/>
    <w:rsid w:val="00262DEE"/>
    <w:rsid w:val="002632F8"/>
    <w:rsid w:val="00284F28"/>
    <w:rsid w:val="00292775"/>
    <w:rsid w:val="002971C7"/>
    <w:rsid w:val="002B374E"/>
    <w:rsid w:val="002C7B7A"/>
    <w:rsid w:val="002D16D1"/>
    <w:rsid w:val="002D2EB4"/>
    <w:rsid w:val="002E2580"/>
    <w:rsid w:val="002E6F4F"/>
    <w:rsid w:val="002F40A5"/>
    <w:rsid w:val="002F7A23"/>
    <w:rsid w:val="00302C24"/>
    <w:rsid w:val="0031251D"/>
    <w:rsid w:val="00380FD9"/>
    <w:rsid w:val="003B16A3"/>
    <w:rsid w:val="003B176A"/>
    <w:rsid w:val="003F0A3E"/>
    <w:rsid w:val="00401E7C"/>
    <w:rsid w:val="004234CC"/>
    <w:rsid w:val="004436A5"/>
    <w:rsid w:val="00444954"/>
    <w:rsid w:val="0044732E"/>
    <w:rsid w:val="00452BD0"/>
    <w:rsid w:val="00463F02"/>
    <w:rsid w:val="00475F5B"/>
    <w:rsid w:val="004860A9"/>
    <w:rsid w:val="004867EE"/>
    <w:rsid w:val="0049634D"/>
    <w:rsid w:val="004A51B7"/>
    <w:rsid w:val="004D3C26"/>
    <w:rsid w:val="004D74B9"/>
    <w:rsid w:val="004E0C3C"/>
    <w:rsid w:val="00510511"/>
    <w:rsid w:val="00530DB3"/>
    <w:rsid w:val="00547AEC"/>
    <w:rsid w:val="005548CC"/>
    <w:rsid w:val="00562E09"/>
    <w:rsid w:val="005742B4"/>
    <w:rsid w:val="00576D32"/>
    <w:rsid w:val="005805AE"/>
    <w:rsid w:val="005B2D59"/>
    <w:rsid w:val="005B6D31"/>
    <w:rsid w:val="005D14CA"/>
    <w:rsid w:val="005D6168"/>
    <w:rsid w:val="005D7314"/>
    <w:rsid w:val="00613F5D"/>
    <w:rsid w:val="006325A8"/>
    <w:rsid w:val="006628C7"/>
    <w:rsid w:val="00671D41"/>
    <w:rsid w:val="00685597"/>
    <w:rsid w:val="0069283E"/>
    <w:rsid w:val="006B2F83"/>
    <w:rsid w:val="00703800"/>
    <w:rsid w:val="007120A4"/>
    <w:rsid w:val="007374D9"/>
    <w:rsid w:val="00751DC7"/>
    <w:rsid w:val="00752E89"/>
    <w:rsid w:val="00756362"/>
    <w:rsid w:val="00766B15"/>
    <w:rsid w:val="00785EB6"/>
    <w:rsid w:val="007A6111"/>
    <w:rsid w:val="007B081B"/>
    <w:rsid w:val="007B51A1"/>
    <w:rsid w:val="007B5526"/>
    <w:rsid w:val="007C2E65"/>
    <w:rsid w:val="007D354B"/>
    <w:rsid w:val="007E04AF"/>
    <w:rsid w:val="007E2C18"/>
    <w:rsid w:val="007E7322"/>
    <w:rsid w:val="007F0E27"/>
    <w:rsid w:val="008113B1"/>
    <w:rsid w:val="0081285E"/>
    <w:rsid w:val="008213CE"/>
    <w:rsid w:val="008245A9"/>
    <w:rsid w:val="00826F3B"/>
    <w:rsid w:val="00855268"/>
    <w:rsid w:val="008615FA"/>
    <w:rsid w:val="00894159"/>
    <w:rsid w:val="00894ACA"/>
    <w:rsid w:val="008A000B"/>
    <w:rsid w:val="008C1B92"/>
    <w:rsid w:val="008E58B1"/>
    <w:rsid w:val="00923F3E"/>
    <w:rsid w:val="009724C8"/>
    <w:rsid w:val="0097379C"/>
    <w:rsid w:val="00983543"/>
    <w:rsid w:val="009838CB"/>
    <w:rsid w:val="00983FDF"/>
    <w:rsid w:val="0099764C"/>
    <w:rsid w:val="009A3DB0"/>
    <w:rsid w:val="009D6F6D"/>
    <w:rsid w:val="009D7E04"/>
    <w:rsid w:val="00A070EE"/>
    <w:rsid w:val="00A07BEE"/>
    <w:rsid w:val="00A110E3"/>
    <w:rsid w:val="00A22F73"/>
    <w:rsid w:val="00A61100"/>
    <w:rsid w:val="00A823E6"/>
    <w:rsid w:val="00A8423C"/>
    <w:rsid w:val="00AB4F3A"/>
    <w:rsid w:val="00AD21A6"/>
    <w:rsid w:val="00AF0067"/>
    <w:rsid w:val="00B01C48"/>
    <w:rsid w:val="00B215A2"/>
    <w:rsid w:val="00B32931"/>
    <w:rsid w:val="00B36A15"/>
    <w:rsid w:val="00B92287"/>
    <w:rsid w:val="00BB0120"/>
    <w:rsid w:val="00BB5AB9"/>
    <w:rsid w:val="00BC2EAA"/>
    <w:rsid w:val="00BE5B94"/>
    <w:rsid w:val="00BF73A6"/>
    <w:rsid w:val="00C041CE"/>
    <w:rsid w:val="00C10CB4"/>
    <w:rsid w:val="00C14D8D"/>
    <w:rsid w:val="00C23AAF"/>
    <w:rsid w:val="00C53EEF"/>
    <w:rsid w:val="00C55F5A"/>
    <w:rsid w:val="00C56DDC"/>
    <w:rsid w:val="00C65781"/>
    <w:rsid w:val="00C930A3"/>
    <w:rsid w:val="00C93B8C"/>
    <w:rsid w:val="00CA5EA5"/>
    <w:rsid w:val="00CC371B"/>
    <w:rsid w:val="00CC4B03"/>
    <w:rsid w:val="00D30341"/>
    <w:rsid w:val="00D50214"/>
    <w:rsid w:val="00D737FF"/>
    <w:rsid w:val="00D93517"/>
    <w:rsid w:val="00DB288F"/>
    <w:rsid w:val="00DC71B1"/>
    <w:rsid w:val="00DE2E50"/>
    <w:rsid w:val="00E032E7"/>
    <w:rsid w:val="00E101EA"/>
    <w:rsid w:val="00E13823"/>
    <w:rsid w:val="00E35F87"/>
    <w:rsid w:val="00E4177E"/>
    <w:rsid w:val="00E653C4"/>
    <w:rsid w:val="00E832BF"/>
    <w:rsid w:val="00E86472"/>
    <w:rsid w:val="00EA4F2B"/>
    <w:rsid w:val="00EA588A"/>
    <w:rsid w:val="00EB2C3D"/>
    <w:rsid w:val="00EE77EA"/>
    <w:rsid w:val="00F01C78"/>
    <w:rsid w:val="00F1677B"/>
    <w:rsid w:val="00F33467"/>
    <w:rsid w:val="00F35DBA"/>
    <w:rsid w:val="00F4060A"/>
    <w:rsid w:val="00F75659"/>
    <w:rsid w:val="00F75919"/>
    <w:rsid w:val="00F77073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155C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outlineLvl w:val="0"/>
    </w:pPr>
    <w:rPr>
      <w:rFonts w:eastAsia="Times New Roman" w:cs="Arial"/>
      <w:b/>
      <w:bCs/>
      <w:color w:val="auto"/>
      <w:kern w:val="32"/>
      <w:sz w:val="36"/>
      <w:szCs w:val="32"/>
      <w:bdr w:val="none" w:sz="0" w:space="0" w:color="auto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1155C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="Times New Roman" w:cs="Arial"/>
      <w:bCs/>
      <w:iCs/>
      <w:color w:val="E1000F"/>
      <w:szCs w:val="28"/>
      <w:bdr w:val="none" w:sz="0" w:space="0" w:color="auto"/>
      <w:lang w:eastAsia="en-US"/>
    </w:rPr>
  </w:style>
  <w:style w:type="paragraph" w:styleId="Nadpis3">
    <w:name w:val="heading 3"/>
    <w:basedOn w:val="Nadpis2"/>
    <w:next w:val="Normlny"/>
    <w:link w:val="Nadpis3Char"/>
    <w:qFormat/>
    <w:rsid w:val="001155C1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155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  <w:szCs w:val="24"/>
      <w:bdr w:val="none" w:sz="0" w:space="0" w:color="auto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1155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  <w:szCs w:val="24"/>
      <w:bdr w:val="none" w:sz="0" w:space="0" w:color="auto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155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  <w:szCs w:val="24"/>
      <w:bdr w:val="none" w:sz="0" w:space="0" w:color="auto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155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  <w:szCs w:val="24"/>
      <w:bdr w:val="none" w:sz="0" w:space="0" w:color="auto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155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one" w:sz="0" w:space="0" w:color="auto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155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link w:val="PtaChar"/>
    <w:uiPriority w:val="99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9"/>
    <w:rsid w:val="001155C1"/>
    <w:rPr>
      <w:rFonts w:ascii="Segoe UI" w:eastAsia="Times New Roman" w:hAnsi="Segoe UI" w:cs="Arial"/>
      <w:b/>
      <w:bCs/>
      <w:kern w:val="32"/>
      <w:sz w:val="36"/>
      <w:szCs w:val="32"/>
      <w:bdr w:val="none" w:sz="0" w:space="0" w:color="auto"/>
      <w:lang w:val="en-US" w:eastAsia="en-US"/>
    </w:rPr>
  </w:style>
  <w:style w:type="character" w:customStyle="1" w:styleId="Nadpis2Char">
    <w:name w:val="Nadpis 2 Char"/>
    <w:basedOn w:val="Predvolenpsmoodseku"/>
    <w:link w:val="Nadpis2"/>
    <w:rsid w:val="001155C1"/>
    <w:rPr>
      <w:rFonts w:ascii="Segoe UI" w:eastAsia="Times New Roman" w:hAnsi="Segoe UI" w:cs="Arial"/>
      <w:bCs/>
      <w:iCs/>
      <w:color w:val="E1000F"/>
      <w:sz w:val="22"/>
      <w:szCs w:val="28"/>
      <w:bdr w:val="none" w:sz="0" w:space="0" w:color="auto"/>
      <w:lang w:val="en-US" w:eastAsia="en-US"/>
    </w:rPr>
  </w:style>
  <w:style w:type="character" w:customStyle="1" w:styleId="Nadpis3Char">
    <w:name w:val="Nadpis 3 Char"/>
    <w:basedOn w:val="Predvolenpsmoodseku"/>
    <w:link w:val="Nadpis3"/>
    <w:rsid w:val="001155C1"/>
    <w:rPr>
      <w:rFonts w:ascii="Segoe UI" w:eastAsia="Times New Roman" w:hAnsi="Segoe UI" w:cs="Arial"/>
      <w:bCs/>
      <w:iCs/>
      <w:sz w:val="22"/>
      <w:szCs w:val="28"/>
      <w:bdr w:val="none" w:sz="0" w:space="0" w:color="auto"/>
      <w:lang w:val="en-US" w:eastAsia="en-US"/>
    </w:rPr>
  </w:style>
  <w:style w:type="character" w:customStyle="1" w:styleId="Nadpis4Char">
    <w:name w:val="Nadpis 4 Char"/>
    <w:basedOn w:val="Predvolenpsmoodseku"/>
    <w:link w:val="Nadpis4"/>
    <w:semiHidden/>
    <w:rsid w:val="001155C1"/>
    <w:rPr>
      <w:rFonts w:asciiTheme="majorHAnsi" w:eastAsiaTheme="majorEastAsia" w:hAnsiTheme="majorHAnsi" w:cstheme="majorBidi"/>
      <w:i/>
      <w:iCs/>
      <w:color w:val="474E55" w:themeColor="accent1" w:themeShade="BF"/>
      <w:sz w:val="22"/>
      <w:szCs w:val="24"/>
      <w:bdr w:val="none" w:sz="0" w:space="0" w:color="auto"/>
      <w:lang w:val="en-US" w:eastAsia="en-US"/>
    </w:rPr>
  </w:style>
  <w:style w:type="character" w:customStyle="1" w:styleId="Nadpis5Char">
    <w:name w:val="Nadpis 5 Char"/>
    <w:basedOn w:val="Predvolenpsmoodseku"/>
    <w:link w:val="Nadpis5"/>
    <w:semiHidden/>
    <w:rsid w:val="001155C1"/>
    <w:rPr>
      <w:rFonts w:asciiTheme="majorHAnsi" w:eastAsiaTheme="majorEastAsia" w:hAnsiTheme="majorHAnsi" w:cstheme="majorBidi"/>
      <w:color w:val="474E55" w:themeColor="accent1" w:themeShade="BF"/>
      <w:sz w:val="22"/>
      <w:szCs w:val="24"/>
      <w:bdr w:val="none" w:sz="0" w:space="0" w:color="auto"/>
      <w:lang w:val="en-US" w:eastAsia="en-US"/>
    </w:rPr>
  </w:style>
  <w:style w:type="character" w:customStyle="1" w:styleId="Nadpis6Char">
    <w:name w:val="Nadpis 6 Char"/>
    <w:basedOn w:val="Predvolenpsmoodseku"/>
    <w:link w:val="Nadpis6"/>
    <w:semiHidden/>
    <w:rsid w:val="001155C1"/>
    <w:rPr>
      <w:rFonts w:asciiTheme="majorHAnsi" w:eastAsiaTheme="majorEastAsia" w:hAnsiTheme="majorHAnsi" w:cstheme="majorBidi"/>
      <w:color w:val="2F3439" w:themeColor="accent1" w:themeShade="7F"/>
      <w:sz w:val="22"/>
      <w:szCs w:val="24"/>
      <w:bdr w:val="none" w:sz="0" w:space="0" w:color="auto"/>
      <w:lang w:val="en-US" w:eastAsia="en-US"/>
    </w:rPr>
  </w:style>
  <w:style w:type="character" w:customStyle="1" w:styleId="Nadpis7Char">
    <w:name w:val="Nadpis 7 Char"/>
    <w:basedOn w:val="Predvolenpsmoodseku"/>
    <w:link w:val="Nadpis7"/>
    <w:semiHidden/>
    <w:rsid w:val="001155C1"/>
    <w:rPr>
      <w:rFonts w:asciiTheme="majorHAnsi" w:eastAsiaTheme="majorEastAsia" w:hAnsiTheme="majorHAnsi" w:cstheme="majorBidi"/>
      <w:i/>
      <w:iCs/>
      <w:color w:val="2F3439" w:themeColor="accent1" w:themeShade="7F"/>
      <w:sz w:val="22"/>
      <w:szCs w:val="24"/>
      <w:bdr w:val="none" w:sz="0" w:space="0" w:color="auto"/>
      <w:lang w:val="en-US" w:eastAsia="en-US"/>
    </w:rPr>
  </w:style>
  <w:style w:type="character" w:customStyle="1" w:styleId="Nadpis8Char">
    <w:name w:val="Nadpis 8 Char"/>
    <w:basedOn w:val="Predvolenpsmoodseku"/>
    <w:link w:val="Nadpis8"/>
    <w:semiHidden/>
    <w:rsid w:val="001155C1"/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one" w:sz="0" w:space="0" w:color="auto"/>
      <w:lang w:val="en-US" w:eastAsia="en-US"/>
    </w:rPr>
  </w:style>
  <w:style w:type="character" w:customStyle="1" w:styleId="Nadpis9Char">
    <w:name w:val="Nadpis 9 Char"/>
    <w:basedOn w:val="Predvolenpsmoodseku"/>
    <w:link w:val="Nadpis9"/>
    <w:semiHidden/>
    <w:rsid w:val="001155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en-US" w:eastAsia="en-US"/>
    </w:rPr>
  </w:style>
  <w:style w:type="paragraph" w:customStyle="1" w:styleId="Intro">
    <w:name w:val="Intro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</w:pPr>
    <w:rPr>
      <w:rFonts w:eastAsia="Times New Roman" w:cs="Times New Roman"/>
      <w:color w:val="415055"/>
      <w:sz w:val="24"/>
      <w:szCs w:val="24"/>
      <w:bdr w:val="none" w:sz="0" w:space="0" w:color="auto"/>
      <w:lang w:eastAsia="en-US"/>
    </w:rPr>
  </w:style>
  <w:style w:type="paragraph" w:customStyle="1" w:styleId="NumBullet">
    <w:name w:val="Num_Bullet"/>
    <w:basedOn w:val="Normlny"/>
    <w:rsid w:val="001155C1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left" w:pos="357"/>
      </w:tabs>
      <w:ind w:left="0" w:firstLine="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customStyle="1" w:styleId="Page1Name">
    <w:name w:val="Page1_Name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20" w:line="360" w:lineRule="atLeast"/>
    </w:pPr>
    <w:rPr>
      <w:rFonts w:eastAsia="Times New Roman" w:cs="Times New Roman"/>
      <w:b/>
      <w:color w:val="auto"/>
      <w:sz w:val="30"/>
      <w:szCs w:val="24"/>
      <w:bdr w:val="none" w:sz="0" w:space="0" w:color="auto"/>
      <w:lang w:eastAsia="en-US"/>
    </w:rPr>
  </w:style>
  <w:style w:type="paragraph" w:customStyle="1" w:styleId="Page1Title">
    <w:name w:val="Page1_Title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28" w:lineRule="auto"/>
    </w:pPr>
    <w:rPr>
      <w:rFonts w:eastAsia="Times New Roman" w:cs="Times New Roman"/>
      <w:color w:val="E1000F"/>
      <w:sz w:val="90"/>
      <w:szCs w:val="24"/>
      <w:bdr w:val="none" w:sz="0" w:space="0" w:color="auto"/>
      <w:lang w:eastAsia="en-US"/>
    </w:rPr>
  </w:style>
  <w:style w:type="paragraph" w:customStyle="1" w:styleId="Page1Author">
    <w:name w:val="Page1_Author"/>
    <w:basedOn w:val="Page1Name"/>
    <w:rsid w:val="001155C1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</w:pPr>
    <w:rPr>
      <w:rFonts w:ascii="Segoe UI" w:eastAsia="Times New Roman" w:hAnsi="Segoe UI"/>
      <w:sz w:val="18"/>
      <w:szCs w:val="24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eastAsia="Times New Roman" w:cs="Times New Roman"/>
      <w:color w:val="auto"/>
      <w:sz w:val="13"/>
      <w:szCs w:val="24"/>
      <w:bdr w:val="none" w:sz="0" w:space="0" w:color="auto"/>
      <w:lang w:eastAsia="en-US"/>
    </w:rPr>
  </w:style>
  <w:style w:type="character" w:customStyle="1" w:styleId="InfoZchn">
    <w:name w:val="Info Zchn"/>
    <w:link w:val="Info"/>
    <w:rsid w:val="001155C1"/>
    <w:rPr>
      <w:rFonts w:ascii="Segoe UI" w:eastAsia="Times New Roman" w:hAnsi="Segoe UI"/>
      <w:sz w:val="13"/>
      <w:szCs w:val="24"/>
      <w:bdr w:val="none" w:sz="0" w:space="0" w:color="auto"/>
      <w:lang w:val="en-US" w:eastAsia="en-US"/>
    </w:rPr>
  </w:style>
  <w:style w:type="paragraph" w:customStyle="1" w:styleId="Standard12pt">
    <w:name w:val="Standard_12pt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tLeast"/>
    </w:pPr>
    <w:rPr>
      <w:rFonts w:eastAsia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customStyle="1" w:styleId="MittleresRaster1-Akzent21">
    <w:name w:val="Mittleres Raster 1 - Akzent 21"/>
    <w:basedOn w:val="Normlny"/>
    <w:uiPriority w:val="34"/>
    <w:qFormat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Textbubliny">
    <w:name w:val="Balloon Text"/>
    <w:basedOn w:val="Normlny"/>
    <w:link w:val="Textbubliny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eastAsia="Times New Roman" w:cs="Times New Roman"/>
      <w:color w:val="auto"/>
      <w:sz w:val="18"/>
      <w:szCs w:val="18"/>
      <w:bdr w:val="none" w:sz="0" w:space="0" w:color="auto"/>
      <w:lang w:eastAsia="en-US"/>
    </w:rPr>
  </w:style>
  <w:style w:type="character" w:customStyle="1" w:styleId="TextbublinyChar">
    <w:name w:val="Text bubliny Char"/>
    <w:basedOn w:val="Predvolenpsmoodseku"/>
    <w:link w:val="Textbubliny"/>
    <w:rsid w:val="001155C1"/>
    <w:rPr>
      <w:rFonts w:ascii="Segoe UI" w:eastAsia="Times New Roman" w:hAnsi="Segoe UI"/>
      <w:sz w:val="18"/>
      <w:szCs w:val="18"/>
      <w:bdr w:val="none" w:sz="0" w:space="0" w:color="auto"/>
      <w:lang w:val="en-US" w:eastAsia="en-US"/>
    </w:rPr>
  </w:style>
  <w:style w:type="paragraph" w:customStyle="1" w:styleId="MittlereListe2-Akzent21">
    <w:name w:val="Mittlere Liste 2 - Akzent 21"/>
    <w:hidden/>
    <w:uiPriority w:val="99"/>
    <w:semiHidden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18"/>
      <w:szCs w:val="24"/>
      <w:bdr w:val="none" w:sz="0" w:space="0" w:color="auto"/>
      <w:lang w:val="de-DE" w:eastAsia="en-US"/>
    </w:rPr>
  </w:style>
  <w:style w:type="character" w:customStyle="1" w:styleId="PtaChar">
    <w:name w:val="Päta Char"/>
    <w:link w:val="Pta"/>
    <w:uiPriority w:val="99"/>
    <w:rsid w:val="001155C1"/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customStyle="1" w:styleId="Style12ptJustifiedLinespacing15lines">
    <w:name w:val="Style 12 pt Justified Line spacing:  1.5 lines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Cs w:val="20"/>
      <w:bdr w:val="none" w:sz="0" w:space="0" w:color="auto"/>
      <w:lang w:eastAsia="en-US"/>
    </w:rPr>
  </w:style>
  <w:style w:type="paragraph" w:customStyle="1" w:styleId="Style12ptJustifiedLinespacing15lines1">
    <w:name w:val="Style 12 pt Justified Line spacing:  1.5 lines1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Times New Roman"/>
      <w:color w:val="auto"/>
      <w:szCs w:val="20"/>
      <w:bdr w:val="none" w:sz="0" w:space="0" w:color="auto"/>
      <w:lang w:eastAsia="en-US"/>
    </w:rPr>
  </w:style>
  <w:style w:type="character" w:styleId="Odkaznakomentr">
    <w:name w:val="annotation reference"/>
    <w:rsid w:val="001155C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  <w:jc w:val="left"/>
    </w:pPr>
    <w:rPr>
      <w:rFonts w:ascii="Arial" w:eastAsia="Times New Roman" w:hAnsi="Arial" w:cs="Times New Roman"/>
      <w:color w:val="auto"/>
      <w:sz w:val="20"/>
      <w:szCs w:val="20"/>
      <w:bdr w:val="none" w:sz="0" w:space="0" w:color="auto"/>
      <w:lang w:val="de-DE" w:eastAsia="en-US"/>
    </w:rPr>
  </w:style>
  <w:style w:type="character" w:customStyle="1" w:styleId="TextkomentraChar">
    <w:name w:val="Text komentára Char"/>
    <w:basedOn w:val="Predvolenpsmoodseku"/>
    <w:link w:val="Textkomentra"/>
    <w:rsid w:val="001155C1"/>
    <w:rPr>
      <w:rFonts w:ascii="Arial" w:eastAsia="Times New Roman" w:hAnsi="Arial"/>
      <w:bdr w:val="none" w:sz="0" w:space="0" w:color="auto"/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1155C1"/>
    <w:pPr>
      <w:spacing w:line="240" w:lineRule="auto"/>
      <w:jc w:val="both"/>
    </w:pPr>
    <w:rPr>
      <w:rFonts w:ascii="Segoe UI" w:hAnsi="Segoe UI"/>
      <w:b/>
      <w:bCs/>
      <w:lang w:val="en-US"/>
    </w:rPr>
  </w:style>
  <w:style w:type="character" w:customStyle="1" w:styleId="PredmetkomentraChar">
    <w:name w:val="Predmet komentára Char"/>
    <w:basedOn w:val="TextkomentraChar"/>
    <w:link w:val="Predmetkomentra"/>
    <w:rsid w:val="001155C1"/>
    <w:rPr>
      <w:rFonts w:ascii="Segoe UI" w:eastAsia="Times New Roman" w:hAnsi="Segoe UI"/>
      <w:b/>
      <w:bCs/>
      <w:bdr w:val="none" w:sz="0" w:space="0" w:color="auto"/>
      <w:lang w:val="en-US" w:eastAsia="en-US"/>
    </w:rPr>
  </w:style>
  <w:style w:type="paragraph" w:styleId="Revzia">
    <w:name w:val="Revision"/>
    <w:hidden/>
    <w:uiPriority w:val="62"/>
    <w:unhideWhenUsed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customStyle="1" w:styleId="He04Funote">
    <w:name w:val="_He_04_Fußnote"/>
    <w:next w:val="Normlny"/>
    <w:qFormat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"/>
      </w:tabs>
      <w:spacing w:line="256" w:lineRule="auto"/>
      <w:ind w:left="85" w:hanging="85"/>
    </w:pPr>
    <w:rPr>
      <w:rFonts w:ascii="Segoe UI" w:eastAsiaTheme="minorHAnsi" w:hAnsi="Segoe UI" w:cstheme="minorBidi"/>
      <w:sz w:val="15"/>
      <w:szCs w:val="22"/>
      <w:bdr w:val="none" w:sz="0" w:space="0" w:color="auto"/>
      <w:lang w:val="de-DE" w:eastAsia="en-US"/>
      <w14:numForm w14:val="lining"/>
    </w:rPr>
  </w:style>
  <w:style w:type="character" w:styleId="Odkaznapoznmkupodiarou">
    <w:name w:val="footnote reference"/>
    <w:basedOn w:val="Predvolenpsmoodseku"/>
    <w:uiPriority w:val="99"/>
    <w:unhideWhenUsed/>
    <w:rsid w:val="001155C1"/>
    <w:rPr>
      <w:vertAlign w:val="superscript"/>
    </w:rPr>
  </w:style>
  <w:style w:type="paragraph" w:customStyle="1" w:styleId="He05Fett">
    <w:name w:val="_He_05_Fett"/>
    <w:next w:val="Normlny"/>
    <w:link w:val="He05FettZchn"/>
    <w:qFormat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="Segoe UI" w:eastAsiaTheme="minorHAnsi" w:hAnsi="Segoe UI" w:cstheme="minorBidi"/>
      <w:b/>
      <w:sz w:val="18"/>
      <w:szCs w:val="22"/>
      <w:bdr w:val="none" w:sz="0" w:space="0" w:color="auto"/>
      <w:lang w:val="de-DE" w:eastAsia="en-US"/>
    </w:rPr>
  </w:style>
  <w:style w:type="character" w:customStyle="1" w:styleId="He05FettZchn">
    <w:name w:val="_He_05_Fett Zchn"/>
    <w:basedOn w:val="Predvolenpsmoodseku"/>
    <w:link w:val="He05Fett"/>
    <w:rsid w:val="001155C1"/>
    <w:rPr>
      <w:rFonts w:ascii="Segoe UI" w:eastAsiaTheme="minorHAnsi" w:hAnsi="Segoe UI" w:cstheme="minorBidi"/>
      <w:b/>
      <w:sz w:val="18"/>
      <w:szCs w:val="22"/>
      <w:bdr w:val="none" w:sz="0" w:space="0" w:color="auto"/>
      <w:lang w:val="de-DE" w:eastAsia="en-US"/>
    </w:rPr>
  </w:style>
  <w:style w:type="paragraph" w:customStyle="1" w:styleId="He01Flietext">
    <w:name w:val="_He_01_Fließtext"/>
    <w:qFormat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  <w:spacing w:after="160" w:line="259" w:lineRule="auto"/>
      <w:jc w:val="both"/>
    </w:pPr>
    <w:rPr>
      <w:rFonts w:ascii="Segoe UI" w:eastAsiaTheme="minorHAnsi" w:hAnsi="Segoe UI" w:cstheme="minorBidi"/>
      <w:sz w:val="18"/>
      <w:szCs w:val="22"/>
      <w:bdr w:val="none" w:sz="0" w:space="0" w:color="auto"/>
      <w:lang w:val="de-DE" w:eastAsia="en-US"/>
    </w:rPr>
  </w:style>
  <w:style w:type="paragraph" w:styleId="AdresaHTML">
    <w:name w:val="HTML Address"/>
    <w:basedOn w:val="Normlny"/>
    <w:link w:val="AdresaHTML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eastAsia="Times New Roman" w:cs="Times New Roman"/>
      <w:i/>
      <w:iCs/>
      <w:color w:val="auto"/>
      <w:szCs w:val="24"/>
      <w:bdr w:val="none" w:sz="0" w:space="0" w:color="auto"/>
      <w:lang w:eastAsia="en-US"/>
    </w:rPr>
  </w:style>
  <w:style w:type="character" w:customStyle="1" w:styleId="AdresaHTMLChar">
    <w:name w:val="Adresa HTML Char"/>
    <w:basedOn w:val="Predvolenpsmoodseku"/>
    <w:link w:val="AdresaHTML"/>
    <w:rsid w:val="001155C1"/>
    <w:rPr>
      <w:rFonts w:ascii="Segoe UI" w:eastAsia="Times New Roman" w:hAnsi="Segoe UI"/>
      <w:i/>
      <w:iCs/>
      <w:sz w:val="22"/>
      <w:szCs w:val="24"/>
      <w:bdr w:val="none" w:sz="0" w:space="0" w:color="auto"/>
      <w:lang w:val="en-US" w:eastAsia="en-US"/>
    </w:rPr>
  </w:style>
  <w:style w:type="paragraph" w:styleId="Adresanaoblke">
    <w:name w:val="envelope address"/>
    <w:basedOn w:val="Normlny"/>
    <w:rsid w:val="001155C1"/>
    <w:pPr>
      <w:framePr w:w="7920" w:h="1980" w:hRule="exact" w:hSpace="141" w:wrap="auto" w:hAnchor="page" w:xAlign="center" w:yAlign="bottom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2880"/>
    </w:pPr>
    <w:rPr>
      <w:rFonts w:asciiTheme="majorHAnsi" w:eastAsiaTheme="majorEastAsia" w:hAnsiTheme="majorHAnsi" w:cstheme="majorBidi"/>
      <w:color w:val="auto"/>
      <w:sz w:val="24"/>
      <w:szCs w:val="24"/>
      <w:bdr w:val="none" w:sz="0" w:space="0" w:color="auto"/>
      <w:lang w:eastAsia="en-US"/>
    </w:rPr>
  </w:style>
  <w:style w:type="paragraph" w:styleId="Bezriadkovania">
    <w:name w:val="No Spacing"/>
    <w:uiPriority w:val="99"/>
    <w:qFormat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slovanzoznam">
    <w:name w:val="List Number"/>
    <w:basedOn w:val="Normlny"/>
    <w:rsid w:val="001155C1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60"/>
      </w:tabs>
      <w:ind w:left="0" w:firstLine="0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slovanzoznam2">
    <w:name w:val="List Number 2"/>
    <w:basedOn w:val="Normlny"/>
    <w:rsid w:val="001155C1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643"/>
      </w:tabs>
      <w:ind w:left="0" w:firstLine="0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slovanzoznam3">
    <w:name w:val="List Number 3"/>
    <w:basedOn w:val="Normlny"/>
    <w:rsid w:val="001155C1"/>
    <w:pPr>
      <w:numPr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26"/>
      </w:tabs>
      <w:ind w:left="0" w:firstLine="0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slovanzoznam4">
    <w:name w:val="List Number 4"/>
    <w:basedOn w:val="Normlny"/>
    <w:rsid w:val="001155C1"/>
    <w:pPr>
      <w:numPr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209"/>
      </w:tabs>
      <w:ind w:left="0" w:firstLine="0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slovanzoznam5">
    <w:name w:val="List Number 5"/>
    <w:basedOn w:val="Normlny"/>
    <w:rsid w:val="001155C1"/>
    <w:pPr>
      <w:numPr>
        <w:numId w:val="1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92"/>
      </w:tabs>
      <w:ind w:left="0" w:firstLine="0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Citcia">
    <w:name w:val="Quote"/>
    <w:basedOn w:val="Normlny"/>
    <w:next w:val="Normlny"/>
    <w:link w:val="CitciaChar"/>
    <w:uiPriority w:val="64"/>
    <w:qFormat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160"/>
      <w:ind w:left="864" w:right="864"/>
      <w:jc w:val="center"/>
    </w:pPr>
    <w:rPr>
      <w:rFonts w:eastAsia="Times New Roman" w:cs="Times New Roman"/>
      <w:i/>
      <w:iCs/>
      <w:color w:val="404040" w:themeColor="text1" w:themeTint="BF"/>
      <w:szCs w:val="24"/>
      <w:bdr w:val="none" w:sz="0" w:space="0" w:color="auto"/>
      <w:lang w:eastAsia="en-US"/>
    </w:rPr>
  </w:style>
  <w:style w:type="character" w:customStyle="1" w:styleId="CitciaChar">
    <w:name w:val="Citácia Char"/>
    <w:basedOn w:val="Predvolenpsmoodseku"/>
    <w:link w:val="Citcia"/>
    <w:uiPriority w:val="64"/>
    <w:rsid w:val="001155C1"/>
    <w:rPr>
      <w:rFonts w:ascii="Segoe UI" w:eastAsia="Times New Roman" w:hAnsi="Segoe UI"/>
      <w:i/>
      <w:iCs/>
      <w:color w:val="404040" w:themeColor="text1" w:themeTint="BF"/>
      <w:sz w:val="22"/>
      <w:szCs w:val="24"/>
      <w:bdr w:val="none" w:sz="0" w:space="0" w:color="auto"/>
      <w:lang w:val="en-US" w:eastAsia="en-US"/>
    </w:rPr>
  </w:style>
  <w:style w:type="paragraph" w:styleId="Dtum">
    <w:name w:val="Date"/>
    <w:basedOn w:val="Normlny"/>
    <w:next w:val="Normlny"/>
    <w:link w:val="Dtum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character" w:customStyle="1" w:styleId="DtumChar">
    <w:name w:val="Dátum Char"/>
    <w:basedOn w:val="Predvolenpsmoodseku"/>
    <w:link w:val="Dtum"/>
    <w:rsid w:val="001155C1"/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1155C1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1155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none" w:sz="0" w:space="0" w:color="auto"/>
        <w:bar w:val="none" w:sz="0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color w:val="auto"/>
      <w:sz w:val="24"/>
      <w:szCs w:val="24"/>
      <w:bdr w:val="none" w:sz="0" w:space="0" w:color="auto"/>
      <w:lang w:eastAsia="en-US"/>
    </w:rPr>
  </w:style>
  <w:style w:type="character" w:customStyle="1" w:styleId="HlavikasprvyChar">
    <w:name w:val="Hlavička správy Char"/>
    <w:basedOn w:val="Predvolenpsmoodseku"/>
    <w:link w:val="Hlavikasprvy"/>
    <w:rsid w:val="001155C1"/>
    <w:rPr>
      <w:rFonts w:asciiTheme="majorHAnsi" w:eastAsiaTheme="majorEastAsia" w:hAnsiTheme="majorHAnsi" w:cstheme="majorBidi"/>
      <w:sz w:val="24"/>
      <w:szCs w:val="24"/>
      <w:bdr w:val="none" w:sz="0" w:space="0" w:color="auto"/>
      <w:shd w:val="pct20" w:color="auto" w:fill="auto"/>
      <w:lang w:val="en-US" w:eastAsia="en-US"/>
    </w:rPr>
  </w:style>
  <w:style w:type="paragraph" w:styleId="Hlavikazoznamucitci">
    <w:name w:val="toa heading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asciiTheme="majorHAnsi" w:eastAsiaTheme="majorEastAsia" w:hAnsiTheme="majorHAnsi" w:cstheme="majorBidi"/>
      <w:b/>
      <w:bCs/>
      <w:color w:val="auto"/>
      <w:sz w:val="24"/>
      <w:szCs w:val="24"/>
      <w:bdr w:val="none" w:sz="0" w:space="0" w:color="auto"/>
      <w:lang w:eastAsia="en-US"/>
    </w:rPr>
  </w:style>
  <w:style w:type="paragraph" w:styleId="Nadpispoznmky">
    <w:name w:val="Note Heading"/>
    <w:basedOn w:val="Normlny"/>
    <w:next w:val="Normlny"/>
    <w:link w:val="Nadpispoznmky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character" w:customStyle="1" w:styleId="NadpispoznmkyChar">
    <w:name w:val="Nadpis poznámky Char"/>
    <w:basedOn w:val="Predvolenpsmoodseku"/>
    <w:link w:val="Nadpispoznmky"/>
    <w:rsid w:val="001155C1"/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Register1">
    <w:name w:val="index 1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220" w:hanging="2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Nadpisregistra">
    <w:name w:val="index heading"/>
    <w:basedOn w:val="Normlny"/>
    <w:next w:val="Register1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ajorHAnsi" w:eastAsiaTheme="majorEastAsia" w:hAnsiTheme="majorHAnsi" w:cstheme="majorBidi"/>
      <w:b/>
      <w:bCs/>
      <w:color w:val="auto"/>
      <w:szCs w:val="24"/>
      <w:bdr w:val="none" w:sz="0" w:space="0" w:color="auto"/>
      <w:lang w:eastAsia="en-US"/>
    </w:rPr>
  </w:style>
  <w:style w:type="paragraph" w:styleId="Nzov">
    <w:name w:val="Title"/>
    <w:basedOn w:val="Normlny"/>
    <w:next w:val="Normlny"/>
    <w:link w:val="NzovChar"/>
    <w:qFormat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NzovChar">
    <w:name w:val="Názov Char"/>
    <w:basedOn w:val="Predvolenpsmoodseku"/>
    <w:link w:val="Nzov"/>
    <w:rsid w:val="001155C1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US" w:eastAsia="en-US"/>
    </w:rPr>
  </w:style>
  <w:style w:type="paragraph" w:styleId="Normlnywebov">
    <w:name w:val="Normal (Web)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styleId="Normlnysozarkami">
    <w:name w:val="Normal Indent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Obsah1">
    <w:name w:val="toc 1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Obsah2">
    <w:name w:val="toc 2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2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Obsah3">
    <w:name w:val="toc 3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44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Obsah4">
    <w:name w:val="toc 4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66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Obsah5">
    <w:name w:val="toc 5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88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Obsah6">
    <w:name w:val="toc 6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110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Obsah7">
    <w:name w:val="toc 7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13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Obsah8">
    <w:name w:val="toc 8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154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Obsah9">
    <w:name w:val="toc 9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176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Obyajntext">
    <w:name w:val="Plain Text"/>
    <w:basedOn w:val="Normlny"/>
    <w:link w:val="Obyajntext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="Consolas" w:eastAsia="Times New Roman" w:hAnsi="Consolas" w:cs="Times New Roman"/>
      <w:color w:val="auto"/>
      <w:sz w:val="21"/>
      <w:szCs w:val="21"/>
      <w:bdr w:val="none" w:sz="0" w:space="0" w:color="auto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1155C1"/>
    <w:rPr>
      <w:rFonts w:ascii="Consolas" w:eastAsia="Times New Roman" w:hAnsi="Consolas"/>
      <w:sz w:val="21"/>
      <w:szCs w:val="21"/>
      <w:bdr w:val="none" w:sz="0" w:space="0" w:color="auto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character" w:customStyle="1" w:styleId="OslovenieChar">
    <w:name w:val="Oslovenie Char"/>
    <w:basedOn w:val="Predvolenpsmoodseku"/>
    <w:link w:val="Oslovenie"/>
    <w:rsid w:val="001155C1"/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Oznaitext">
    <w:name w:val="Block Text"/>
    <w:basedOn w:val="Normlny"/>
    <w:rsid w:val="001155C1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  <w:between w:val="none" w:sz="0" w:space="0" w:color="auto"/>
        <w:bar w:val="none" w:sz="0" w:color="auto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  <w:szCs w:val="24"/>
      <w:bdr w:val="none" w:sz="0" w:space="0" w:color="auto"/>
      <w:lang w:eastAsia="en-US"/>
    </w:rPr>
  </w:style>
  <w:style w:type="paragraph" w:styleId="Podpis">
    <w:name w:val="Signature"/>
    <w:basedOn w:val="Normlny"/>
    <w:link w:val="Podpis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4252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character" w:customStyle="1" w:styleId="PodpisChar">
    <w:name w:val="Podpis Char"/>
    <w:basedOn w:val="Predvolenpsmoodseku"/>
    <w:link w:val="Podpis"/>
    <w:rsid w:val="001155C1"/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Podpise-mailu">
    <w:name w:val="E-mail Signature"/>
    <w:basedOn w:val="Normlny"/>
    <w:link w:val="Podpise-mailu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character" w:customStyle="1" w:styleId="Podpise-mailuChar">
    <w:name w:val="Podpis e-mailu Char"/>
    <w:basedOn w:val="Predvolenpsmoodseku"/>
    <w:link w:val="Podpise-mailu"/>
    <w:rsid w:val="001155C1"/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Podtitul">
    <w:name w:val="Subtitle"/>
    <w:basedOn w:val="Normlny"/>
    <w:next w:val="Normlny"/>
    <w:link w:val="PodtitulChar"/>
    <w:qFormat/>
    <w:rsid w:val="001155C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bdr w:val="none" w:sz="0" w:space="0" w:color="auto"/>
      <w:lang w:eastAsia="en-US"/>
    </w:rPr>
  </w:style>
  <w:style w:type="character" w:customStyle="1" w:styleId="PodtitulChar">
    <w:name w:val="Podtitul Char"/>
    <w:basedOn w:val="Predvolenpsmoodseku"/>
    <w:link w:val="Podtitul"/>
    <w:rsid w:val="001155C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n-US" w:eastAsia="en-US"/>
    </w:rPr>
  </w:style>
  <w:style w:type="paragraph" w:styleId="Pokraovaniezoznamu">
    <w:name w:val="List Continue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Pokraovaniezoznamu2">
    <w:name w:val="List Continue 2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566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Pokraovaniezoznamu3">
    <w:name w:val="List Continue 3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849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Pokraovaniezoznamu4">
    <w:name w:val="List Continue 4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1132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Pokraovaniezoznamu5">
    <w:name w:val="List Continue 5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1415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Popis">
    <w:name w:val="caption"/>
    <w:basedOn w:val="Normlny"/>
    <w:next w:val="Normlny"/>
    <w:semiHidden/>
    <w:unhideWhenUsed/>
    <w:qFormat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</w:pPr>
    <w:rPr>
      <w:rFonts w:eastAsia="Times New Roman" w:cs="Times New Roman"/>
      <w:i/>
      <w:iCs/>
      <w:color w:val="A7A7A7" w:themeColor="text2"/>
      <w:sz w:val="18"/>
      <w:szCs w:val="18"/>
      <w:bdr w:val="none" w:sz="0" w:space="0" w:color="auto"/>
      <w:lang w:eastAsia="en-US"/>
    </w:rPr>
  </w:style>
  <w:style w:type="paragraph" w:styleId="PredformtovanHTML">
    <w:name w:val="HTML Preformatted"/>
    <w:basedOn w:val="Normlny"/>
    <w:link w:val="PredformtovanHTMLChar"/>
    <w:semiHidden/>
    <w:unhideWhenUsed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="Consolas" w:eastAsia="Times New Roman" w:hAnsi="Consolas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1155C1"/>
    <w:rPr>
      <w:rFonts w:ascii="Consolas" w:eastAsia="Times New Roman" w:hAnsi="Consolas"/>
      <w:bdr w:val="none" w:sz="0" w:space="0" w:color="auto"/>
      <w:lang w:val="en-US" w:eastAsia="en-US"/>
    </w:rPr>
  </w:style>
  <w:style w:type="paragraph" w:styleId="Zkladntext">
    <w:name w:val="Body Text"/>
    <w:basedOn w:val="Normlny"/>
    <w:link w:val="Zkladntext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1155C1"/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1155C1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1155C1"/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Zarkazkladnhotextu">
    <w:name w:val="Body Text Indent"/>
    <w:basedOn w:val="Normlny"/>
    <w:link w:val="Zarkazkladnhotextu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155C1"/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1155C1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155C1"/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Register2">
    <w:name w:val="index 2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440" w:hanging="2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Register3">
    <w:name w:val="index 3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660" w:hanging="2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Register4">
    <w:name w:val="index 4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880" w:hanging="2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Register5">
    <w:name w:val="index 5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1100" w:hanging="2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Register6">
    <w:name w:val="index 6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1320" w:hanging="2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Register7">
    <w:name w:val="index 7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1540" w:hanging="2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Register8">
    <w:name w:val="index 8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1760" w:hanging="2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Register9">
    <w:name w:val="index 9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1980" w:hanging="2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Spiatonadresanaoblke">
    <w:name w:val="envelope return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ajorHAnsi" w:eastAsiaTheme="majorEastAsia" w:hAnsiTheme="majorHAnsi" w:cstheme="majorBidi"/>
      <w:color w:val="auto"/>
      <w:sz w:val="20"/>
      <w:szCs w:val="20"/>
      <w:bdr w:val="none" w:sz="0" w:space="0" w:color="auto"/>
      <w:lang w:eastAsia="en-US"/>
    </w:rPr>
  </w:style>
  <w:style w:type="paragraph" w:styleId="truktradokumentu">
    <w:name w:val="Document Map"/>
    <w:basedOn w:val="Normlny"/>
    <w:link w:val="truktradokumentu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eastAsia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1155C1"/>
    <w:rPr>
      <w:rFonts w:ascii="Segoe UI" w:eastAsia="Times New Roman" w:hAnsi="Segoe UI" w:cs="Segoe UI"/>
      <w:sz w:val="16"/>
      <w:szCs w:val="16"/>
      <w:bdr w:val="none" w:sz="0" w:space="0" w:color="auto"/>
      <w:lang w:val="en-US" w:eastAsia="en-US"/>
    </w:rPr>
  </w:style>
  <w:style w:type="paragraph" w:styleId="Textmakra">
    <w:name w:val="macro"/>
    <w:link w:val="Textmakra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eastAsia="Times New Roman" w:hAnsi="Consolas"/>
      <w:bdr w:val="none" w:sz="0" w:space="0" w:color="auto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1155C1"/>
    <w:rPr>
      <w:rFonts w:ascii="Consolas" w:eastAsia="Times New Roman" w:hAnsi="Consolas"/>
      <w:bdr w:val="none" w:sz="0" w:space="0" w:color="auto"/>
      <w:lang w:val="en-US" w:eastAsia="en-US"/>
    </w:rPr>
  </w:style>
  <w:style w:type="paragraph" w:styleId="Textpoznmkypodiarou">
    <w:name w:val="footnote text"/>
    <w:basedOn w:val="Normlny"/>
    <w:link w:val="Textpoznmkypodiarou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eastAsia="Times New Roman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1155C1"/>
    <w:rPr>
      <w:rFonts w:ascii="Segoe UI" w:eastAsia="Times New Roman" w:hAnsi="Segoe UI"/>
      <w:bdr w:val="none" w:sz="0" w:space="0" w:color="auto"/>
      <w:lang w:val="en-US" w:eastAsia="en-US"/>
    </w:rPr>
  </w:style>
  <w:style w:type="paragraph" w:styleId="Textvysvetlivky">
    <w:name w:val="endnote text"/>
    <w:basedOn w:val="Normlny"/>
    <w:link w:val="Textvysvetlivky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eastAsia="Times New Roman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TextvysvetlivkyChar">
    <w:name w:val="Text vysvetlivky Char"/>
    <w:basedOn w:val="Predvolenpsmoodseku"/>
    <w:link w:val="Textvysvetlivky"/>
    <w:rsid w:val="001155C1"/>
    <w:rPr>
      <w:rFonts w:ascii="Segoe UI" w:eastAsia="Times New Roman" w:hAnsi="Segoe UI"/>
      <w:bdr w:val="none" w:sz="0" w:space="0" w:color="auto"/>
      <w:lang w:val="en-US" w:eastAsia="en-US"/>
    </w:rPr>
  </w:style>
  <w:style w:type="paragraph" w:styleId="Zkladntext2">
    <w:name w:val="Body Text 2"/>
    <w:basedOn w:val="Normlny"/>
    <w:link w:val="Zkladntext2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character" w:customStyle="1" w:styleId="Zkladntext2Char">
    <w:name w:val="Základný text 2 Char"/>
    <w:basedOn w:val="Predvolenpsmoodseku"/>
    <w:link w:val="Zkladntext2"/>
    <w:rsid w:val="001155C1"/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Zkladntext3">
    <w:name w:val="Body Text 3"/>
    <w:basedOn w:val="Normlny"/>
    <w:link w:val="Zkladntext3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1155C1"/>
    <w:rPr>
      <w:rFonts w:ascii="Segoe UI" w:eastAsia="Times New Roman" w:hAnsi="Segoe UI"/>
      <w:sz w:val="16"/>
      <w:szCs w:val="16"/>
      <w:bdr w:val="none" w:sz="0" w:space="0" w:color="auto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155C1"/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Zarkazkladnhotextu3">
    <w:name w:val="Body Text Indent 3"/>
    <w:basedOn w:val="Normlny"/>
    <w:link w:val="Zarkazkladnhotextu3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155C1"/>
    <w:rPr>
      <w:rFonts w:ascii="Segoe UI" w:eastAsia="Times New Roman" w:hAnsi="Segoe UI"/>
      <w:sz w:val="16"/>
      <w:szCs w:val="16"/>
      <w:bdr w:val="none" w:sz="0" w:space="0" w:color="auto"/>
      <w:lang w:val="en-US" w:eastAsia="en-US"/>
    </w:rPr>
  </w:style>
  <w:style w:type="paragraph" w:styleId="Zver">
    <w:name w:val="Closing"/>
    <w:basedOn w:val="Normlny"/>
    <w:link w:val="ZverChar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4252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character" w:customStyle="1" w:styleId="ZverChar">
    <w:name w:val="Záver Char"/>
    <w:basedOn w:val="Predvolenpsmoodseku"/>
    <w:link w:val="Zver"/>
    <w:rsid w:val="001155C1"/>
    <w:rPr>
      <w:rFonts w:ascii="Segoe UI" w:eastAsia="Times New Roman" w:hAnsi="Segoe UI"/>
      <w:sz w:val="22"/>
      <w:szCs w:val="24"/>
      <w:bdr w:val="none" w:sz="0" w:space="0" w:color="auto"/>
      <w:lang w:val="en-US" w:eastAsia="en-US"/>
    </w:rPr>
  </w:style>
  <w:style w:type="paragraph" w:styleId="Zoznam">
    <w:name w:val="List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Zoznam2">
    <w:name w:val="List 2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66" w:hanging="283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Zoznam3">
    <w:name w:val="List 3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49" w:hanging="283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Zoznam4">
    <w:name w:val="List 4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132" w:hanging="283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Zoznam5">
    <w:name w:val="List 5"/>
    <w:basedOn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15" w:hanging="283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Zoznamcitci">
    <w:name w:val="table of authorities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20" w:hanging="220"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Zoznamobrzkov">
    <w:name w:val="table of figures"/>
    <w:basedOn w:val="Normlny"/>
    <w:next w:val="Normlny"/>
    <w:rsid w:val="00115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Zoznamsodrkami">
    <w:name w:val="List Bullet"/>
    <w:basedOn w:val="Normlny"/>
    <w:rsid w:val="001155C1"/>
    <w:pPr>
      <w:numPr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60"/>
      </w:tabs>
      <w:ind w:left="0" w:firstLine="0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Zoznamsodrkami2">
    <w:name w:val="List Bullet 2"/>
    <w:basedOn w:val="Normlny"/>
    <w:rsid w:val="001155C1"/>
    <w:pPr>
      <w:numPr>
        <w:numId w:val="2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643"/>
      </w:tabs>
      <w:ind w:left="0" w:firstLine="0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Zoznamsodrkami3">
    <w:name w:val="List Bullet 3"/>
    <w:basedOn w:val="Normlny"/>
    <w:rsid w:val="001155C1"/>
    <w:pPr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26"/>
      </w:tabs>
      <w:ind w:left="0" w:firstLine="0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Zoznamsodrkami4">
    <w:name w:val="List Bullet 4"/>
    <w:basedOn w:val="Normlny"/>
    <w:rsid w:val="001155C1"/>
    <w:pPr>
      <w:numPr>
        <w:numId w:val="2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209"/>
      </w:tabs>
      <w:ind w:left="0" w:firstLine="0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Zoznamsodrkami5">
    <w:name w:val="List Bullet 5"/>
    <w:basedOn w:val="Normlny"/>
    <w:rsid w:val="001155C1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92"/>
      </w:tabs>
      <w:ind w:left="0" w:firstLine="0"/>
      <w:contextualSpacing/>
    </w:pPr>
    <w:rPr>
      <w:rFonts w:eastAsia="Times New Roman" w:cs="Times New Roman"/>
      <w:color w:val="auto"/>
      <w:szCs w:val="24"/>
      <w:bdr w:val="none" w:sz="0" w:space="0" w:color="auto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1155C1"/>
    <w:pPr>
      <w:pBdr>
        <w:top w:val="single" w:sz="4" w:space="10" w:color="5F6973" w:themeColor="accent1"/>
        <w:left w:val="none" w:sz="0" w:space="0" w:color="auto"/>
        <w:bottom w:val="single" w:sz="4" w:space="10" w:color="5F6973" w:themeColor="accent1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5F6973" w:themeColor="accent1"/>
      <w:szCs w:val="24"/>
      <w:bdr w:val="none" w:sz="0" w:space="0" w:color="auto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1155C1"/>
    <w:rPr>
      <w:rFonts w:ascii="Segoe UI" w:eastAsia="Times New Roman" w:hAnsi="Segoe UI"/>
      <w:i/>
      <w:iCs/>
      <w:color w:val="5F6973" w:themeColor="accent1"/>
      <w:sz w:val="22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esamecom-my.sharepoint.com/personal/allitadmin_seesame_com/Documents/shares/clients/Henkel%20-%20Corporate/2026/Media%20Relations/zuzana.kanuchova@henke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nke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3267</Words>
  <Characters>18625</Characters>
  <Application>Microsoft Office Word</Application>
  <DocSecurity>0</DocSecurity>
  <Lines>155</Lines>
  <Paragraphs>43</Paragraphs>
  <ScaleCrop>false</ScaleCrop>
  <Company/>
  <LinksUpToDate>false</LinksUpToDate>
  <CharactersWithSpaces>21849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Dominika Gurová</cp:lastModifiedBy>
  <cp:revision>7</cp:revision>
  <dcterms:created xsi:type="dcterms:W3CDTF">2026-03-12T08:57:00Z</dcterms:created>
  <dcterms:modified xsi:type="dcterms:W3CDTF">2026-03-17T13:46:00Z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