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0A32996B" w:rsidR="00B422EC" w:rsidRPr="00B71239" w:rsidRDefault="0091638E" w:rsidP="00643D8A">
      <w:pPr>
        <w:pStyle w:val="MonthDayYear"/>
        <w:rPr>
          <w:lang w:val="sk-SK"/>
        </w:rPr>
      </w:pPr>
      <w:r>
        <w:rPr>
          <w:lang w:val="sk-SK"/>
        </w:rPr>
        <w:t>11</w:t>
      </w:r>
      <w:r w:rsidR="00514611">
        <w:rPr>
          <w:lang w:val="sk-SK"/>
        </w:rPr>
        <w:t xml:space="preserve">. </w:t>
      </w:r>
      <w:r>
        <w:rPr>
          <w:lang w:val="sk-SK"/>
        </w:rPr>
        <w:t>marec</w:t>
      </w:r>
      <w:r w:rsidR="00BF6E82" w:rsidRPr="00B71239">
        <w:rPr>
          <w:lang w:val="sk-SK"/>
        </w:rPr>
        <w:t xml:space="preserve"> 20</w:t>
      </w:r>
      <w:r w:rsidR="00F635FC" w:rsidRPr="00B71239">
        <w:rPr>
          <w:lang w:val="sk-SK"/>
        </w:rPr>
        <w:t>2</w:t>
      </w:r>
      <w:r>
        <w:rPr>
          <w:lang w:val="sk-SK"/>
        </w:rPr>
        <w:t>6</w:t>
      </w:r>
    </w:p>
    <w:p w14:paraId="09B15F94" w14:textId="77777777" w:rsidR="00F9641B" w:rsidRPr="001C4D61" w:rsidRDefault="00F9641B" w:rsidP="00F9641B">
      <w:pPr>
        <w:pStyle w:val="Topline"/>
        <w:spacing w:after="240"/>
        <w:rPr>
          <w:rFonts w:asciiTheme="majorHAnsi" w:hAnsiTheme="majorHAnsi" w:cstheme="majorHAnsi"/>
          <w:lang w:val="sk-SK"/>
        </w:rPr>
      </w:pPr>
      <w:bookmarkStart w:id="0" w:name="_Hlk190695874"/>
      <w:r w:rsidRPr="002C7B36">
        <w:rPr>
          <w:rFonts w:asciiTheme="majorHAnsi" w:hAnsiTheme="majorHAnsi" w:cstheme="majorHAnsi"/>
          <w:lang w:val="sk-SK" w:bidi="bo-CN"/>
        </w:rPr>
        <w:t>Spoločnosť Henkel predstavila finančné výsledky za rok 2025: Dividendy sa budú ďalej zvyšovať</w:t>
      </w:r>
    </w:p>
    <w:bookmarkEnd w:id="0"/>
    <w:p w14:paraId="0C35DECF" w14:textId="77777777" w:rsidR="00F9641B" w:rsidRDefault="00F9641B" w:rsidP="00A3756F">
      <w:pPr>
        <w:rPr>
          <w:rStyle w:val="Headline"/>
          <w:lang w:val="sk-SK"/>
        </w:rPr>
      </w:pPr>
    </w:p>
    <w:p w14:paraId="6706FA18" w14:textId="12863513" w:rsidR="00852511" w:rsidRPr="00B71239" w:rsidRDefault="00AA5B6E" w:rsidP="00365E44">
      <w:pPr>
        <w:rPr>
          <w:lang w:val="sk-SK"/>
        </w:rPr>
      </w:pPr>
      <w:r w:rsidRPr="00AA5B6E">
        <w:rPr>
          <w:rStyle w:val="Headline"/>
          <w:lang w:val="sk-SK"/>
        </w:rPr>
        <w:t>Henkel v roku 2025 zaznamenal organický rast a vyššiu ziskovosť vďaka inováciám a lepšej efektivite</w:t>
      </w:r>
    </w:p>
    <w:p w14:paraId="00A8C31C" w14:textId="77777777" w:rsidR="000E5CC6" w:rsidRPr="001C4D61" w:rsidRDefault="000E5CC6" w:rsidP="000E5CC6">
      <w:pPr>
        <w:pStyle w:val="Odsekzoznamu"/>
        <w:numPr>
          <w:ilvl w:val="0"/>
          <w:numId w:val="17"/>
        </w:numPr>
        <w:spacing w:after="80"/>
        <w:ind w:left="357" w:right="-108" w:hanging="357"/>
        <w:contextualSpacing w:val="0"/>
        <w:jc w:val="left"/>
        <w:rPr>
          <w:rFonts w:asciiTheme="majorHAnsi" w:hAnsiTheme="majorHAnsi" w:cstheme="majorHAnsi"/>
          <w:b/>
          <w:szCs w:val="22"/>
          <w:lang w:val="sk-SK"/>
        </w:rPr>
      </w:pPr>
      <w:bookmarkStart w:id="1" w:name="_Hlk64363173"/>
      <w:bookmarkStart w:id="2" w:name="_Hlk43712519"/>
      <w:r w:rsidRPr="002C7B36">
        <w:rPr>
          <w:rFonts w:asciiTheme="majorHAnsi" w:hAnsiTheme="majorHAnsi" w:cstheme="majorHAnsi"/>
          <w:b/>
          <w:szCs w:val="22"/>
          <w:lang w:val="sk-SK" w:bidi="bo-CN"/>
        </w:rPr>
        <w:t>Kladné obchodné výsledky za finančný rok 2025</w:t>
      </w:r>
    </w:p>
    <w:bookmarkEnd w:id="1"/>
    <w:bookmarkEnd w:id="2"/>
    <w:p w14:paraId="6551C2C1" w14:textId="77777777" w:rsidR="000E5CC6" w:rsidRPr="001C4D61"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Obrat: 20,5 miliardy eur, organický rast vo výške 0,9 percent</w:t>
      </w:r>
    </w:p>
    <w:p w14:paraId="0CA94371" w14:textId="77777777" w:rsidR="000E5CC6"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5312A6">
        <w:rPr>
          <w:rFonts w:asciiTheme="majorHAnsi" w:hAnsiTheme="majorHAnsi" w:cstheme="majorHAnsi"/>
          <w:b/>
          <w:szCs w:val="22"/>
          <w:lang w:val="sk-SK" w:bidi="bo-CN"/>
        </w:rPr>
        <w:t>Prevádzkový zisk (EBIT)*: 3,0 miliardy eur, mierne za úrovňou predchádzajúceho roka z dôvodu výrazne negatívnych kurzových vplyvov</w:t>
      </w:r>
      <w:r w:rsidRPr="005312A6">
        <w:rPr>
          <w:rFonts w:asciiTheme="majorHAnsi" w:hAnsiTheme="majorHAnsi" w:cstheme="majorHAnsi"/>
          <w:b/>
          <w:szCs w:val="22"/>
          <w:lang w:val="sk-SK"/>
        </w:rPr>
        <w:t xml:space="preserve"> </w:t>
      </w:r>
    </w:p>
    <w:p w14:paraId="548CFACD" w14:textId="77777777" w:rsidR="000E5CC6" w:rsidRPr="005312A6"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5312A6">
        <w:rPr>
          <w:rFonts w:asciiTheme="majorHAnsi" w:hAnsiTheme="majorHAnsi" w:cstheme="majorHAnsi"/>
          <w:b/>
          <w:szCs w:val="22"/>
          <w:lang w:val="sk-SK" w:bidi="bo-CN"/>
        </w:rPr>
        <w:t>Marža EBIT*: 14,8 percenta, zlepšenie o 50 bázických bodov</w:t>
      </w:r>
    </w:p>
    <w:p w14:paraId="3F7E5F84" w14:textId="77777777" w:rsidR="000E5CC6" w:rsidRPr="001C4D61"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Výnos na prioritnú akciu (EPS)*: 5,33 eura, +4,7 percenta pri konštantných menových kurzoch</w:t>
      </w:r>
    </w:p>
    <w:p w14:paraId="6E232B02" w14:textId="77777777" w:rsidR="000E5CC6" w:rsidRPr="001C4D61"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 xml:space="preserve">Silný voľný cash </w:t>
      </w:r>
      <w:proofErr w:type="spellStart"/>
      <w:r w:rsidRPr="002C7B36">
        <w:rPr>
          <w:rFonts w:asciiTheme="majorHAnsi" w:hAnsiTheme="majorHAnsi" w:cstheme="majorHAnsi"/>
          <w:b/>
          <w:szCs w:val="22"/>
          <w:lang w:val="sk-SK" w:bidi="bo-CN"/>
        </w:rPr>
        <w:t>flow</w:t>
      </w:r>
      <w:proofErr w:type="spellEnd"/>
      <w:r w:rsidRPr="002C7B36">
        <w:rPr>
          <w:rFonts w:asciiTheme="majorHAnsi" w:hAnsiTheme="majorHAnsi" w:cstheme="majorHAnsi"/>
          <w:b/>
          <w:szCs w:val="22"/>
          <w:lang w:val="sk-SK" w:bidi="bo-CN"/>
        </w:rPr>
        <w:t xml:space="preserve"> približne 1,9 miliardy eur</w:t>
      </w:r>
    </w:p>
    <w:p w14:paraId="5635E6AF" w14:textId="77777777" w:rsidR="000E5CC6" w:rsidRPr="001C4D61" w:rsidRDefault="000E5CC6" w:rsidP="000E5CC6">
      <w:pPr>
        <w:numPr>
          <w:ilvl w:val="0"/>
          <w:numId w:val="17"/>
        </w:numPr>
        <w:spacing w:after="80"/>
        <w:ind w:left="357" w:right="-108" w:hanging="357"/>
        <w:jc w:val="left"/>
        <w:rPr>
          <w:rFonts w:asciiTheme="majorHAnsi" w:hAnsiTheme="majorHAnsi" w:cstheme="majorHAnsi"/>
          <w:b/>
          <w:szCs w:val="22"/>
          <w:lang w:val="sk-SK"/>
        </w:rPr>
      </w:pPr>
      <w:r w:rsidRPr="002C7B36">
        <w:rPr>
          <w:rFonts w:asciiTheme="majorHAnsi" w:hAnsiTheme="majorHAnsi" w:cstheme="majorHAnsi"/>
          <w:b/>
          <w:szCs w:val="22"/>
          <w:lang w:val="sk-SK" w:bidi="bo-CN"/>
        </w:rPr>
        <w:t>Zvýšenie dividend o 1,5 percenta na 2,07 eura na prioritnú akciu</w:t>
      </w:r>
    </w:p>
    <w:p w14:paraId="6CDFA442" w14:textId="77777777" w:rsidR="000E5CC6" w:rsidRPr="001C4D61" w:rsidRDefault="000E5CC6" w:rsidP="000E5CC6">
      <w:pPr>
        <w:numPr>
          <w:ilvl w:val="0"/>
          <w:numId w:val="17"/>
        </w:numPr>
        <w:spacing w:after="80"/>
        <w:ind w:left="357" w:right="-108" w:hanging="357"/>
        <w:jc w:val="left"/>
        <w:rPr>
          <w:rFonts w:asciiTheme="majorHAnsi" w:hAnsiTheme="majorHAnsi" w:cstheme="majorHAnsi"/>
          <w:b/>
          <w:szCs w:val="22"/>
          <w:lang w:val="sk-SK"/>
        </w:rPr>
      </w:pPr>
      <w:r w:rsidRPr="002C7B36">
        <w:rPr>
          <w:rFonts w:asciiTheme="majorHAnsi" w:hAnsiTheme="majorHAnsi" w:cstheme="majorHAnsi"/>
          <w:b/>
          <w:szCs w:val="22"/>
          <w:lang w:val="sk-SK" w:bidi="bo-CN"/>
        </w:rPr>
        <w:t>Pokrok v implementácii agendy pre zmysluplný rast</w:t>
      </w:r>
    </w:p>
    <w:p w14:paraId="5AAD6C44" w14:textId="77777777" w:rsidR="000E5CC6" w:rsidRPr="001C4D61"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bookmarkStart w:id="3" w:name="_Hlk157433806"/>
      <w:r w:rsidRPr="002C7B36">
        <w:rPr>
          <w:rFonts w:asciiTheme="majorHAnsi" w:hAnsiTheme="majorHAnsi" w:cstheme="majorHAnsi"/>
          <w:b/>
          <w:szCs w:val="22"/>
          <w:lang w:val="sk-SK" w:bidi="bo-CN"/>
        </w:rPr>
        <w:t>Zlúčenie spotrebiteľských divízií dokončené v predstihu</w:t>
      </w:r>
    </w:p>
    <w:bookmarkEnd w:id="3"/>
    <w:p w14:paraId="4A1F42F2" w14:textId="77777777" w:rsidR="000E5CC6" w:rsidRPr="001C4D61" w:rsidRDefault="000E5CC6" w:rsidP="000E5CC6">
      <w:pPr>
        <w:pStyle w:val="Odsekzoznamu"/>
        <w:numPr>
          <w:ilvl w:val="1"/>
          <w:numId w:val="17"/>
        </w:numPr>
        <w:spacing w:after="80" w:line="266" w:lineRule="auto"/>
        <w:ind w:left="709"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Najnovšie akvizície posilnili rastový potenciál obidvoch obchodných divízií</w:t>
      </w:r>
    </w:p>
    <w:p w14:paraId="2C581A61" w14:textId="77777777" w:rsidR="000E5CC6" w:rsidRPr="001C4D61" w:rsidRDefault="000E5CC6" w:rsidP="000E5CC6">
      <w:pPr>
        <w:numPr>
          <w:ilvl w:val="0"/>
          <w:numId w:val="17"/>
        </w:numPr>
        <w:spacing w:after="80"/>
        <w:ind w:left="357" w:right="-108" w:hanging="357"/>
        <w:jc w:val="left"/>
        <w:rPr>
          <w:rFonts w:asciiTheme="majorHAnsi" w:hAnsiTheme="majorHAnsi" w:cstheme="majorHAnsi"/>
          <w:b/>
          <w:szCs w:val="22"/>
          <w:lang w:val="sk-SK"/>
        </w:rPr>
      </w:pPr>
      <w:r w:rsidRPr="002C7B36">
        <w:rPr>
          <w:rFonts w:asciiTheme="majorHAnsi" w:hAnsiTheme="majorHAnsi" w:cstheme="majorHAnsi"/>
          <w:b/>
          <w:szCs w:val="22"/>
          <w:lang w:val="sk-SK" w:bidi="bo-CN"/>
        </w:rPr>
        <w:t>Výhľad na finančný rok 2026: Očakáva sa ďalší rast tržieb aj zisku</w:t>
      </w:r>
    </w:p>
    <w:p w14:paraId="4AF8B442" w14:textId="77777777" w:rsidR="000E5CC6" w:rsidRPr="001C4D61" w:rsidRDefault="000E5CC6" w:rsidP="000E5CC6">
      <w:pPr>
        <w:pStyle w:val="Odsekzoznamu"/>
        <w:numPr>
          <w:ilvl w:val="1"/>
          <w:numId w:val="17"/>
        </w:numPr>
        <w:spacing w:after="80" w:line="266" w:lineRule="auto"/>
        <w:ind w:left="567"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Organický rast obratu:</w:t>
      </w:r>
      <w:r w:rsidRPr="001C4D61">
        <w:rPr>
          <w:rFonts w:asciiTheme="majorHAnsi" w:hAnsiTheme="majorHAnsi" w:cstheme="majorHAnsi"/>
          <w:b/>
          <w:szCs w:val="22"/>
          <w:lang w:val="sk-SK"/>
        </w:rPr>
        <w:t xml:space="preserve"> </w:t>
      </w:r>
      <w:r w:rsidRPr="002C7B36">
        <w:rPr>
          <w:rFonts w:asciiTheme="majorHAnsi" w:hAnsiTheme="majorHAnsi" w:cstheme="majorHAnsi"/>
          <w:b/>
          <w:szCs w:val="22"/>
          <w:lang w:val="sk-SK" w:bidi="bo-CN"/>
        </w:rPr>
        <w:t>1,0 až 3,0 percenta</w:t>
      </w:r>
    </w:p>
    <w:p w14:paraId="42282A95" w14:textId="77777777" w:rsidR="000E5CC6" w:rsidRPr="001C4D61" w:rsidRDefault="000E5CC6" w:rsidP="000E5CC6">
      <w:pPr>
        <w:pStyle w:val="Odsekzoznamu"/>
        <w:numPr>
          <w:ilvl w:val="1"/>
          <w:numId w:val="17"/>
        </w:numPr>
        <w:spacing w:after="80" w:line="266" w:lineRule="auto"/>
        <w:ind w:left="567"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Marža EBIT*:</w:t>
      </w:r>
      <w:r w:rsidRPr="001C4D61">
        <w:rPr>
          <w:rFonts w:asciiTheme="majorHAnsi" w:hAnsiTheme="majorHAnsi" w:cstheme="majorHAnsi"/>
          <w:b/>
          <w:szCs w:val="22"/>
          <w:lang w:val="sk-SK"/>
        </w:rPr>
        <w:t xml:space="preserve"> </w:t>
      </w:r>
      <w:r w:rsidRPr="002C7B36">
        <w:rPr>
          <w:rFonts w:asciiTheme="majorHAnsi" w:hAnsiTheme="majorHAnsi" w:cstheme="majorHAnsi"/>
          <w:b/>
          <w:szCs w:val="22"/>
          <w:lang w:val="sk-SK" w:bidi="bo-CN"/>
        </w:rPr>
        <w:t>14,5 až 16,0 percenta</w:t>
      </w:r>
    </w:p>
    <w:p w14:paraId="19F67178" w14:textId="77777777" w:rsidR="000E5CC6" w:rsidRPr="001C4D61" w:rsidRDefault="000E5CC6" w:rsidP="000E5CC6">
      <w:pPr>
        <w:pStyle w:val="Odsekzoznamu"/>
        <w:numPr>
          <w:ilvl w:val="1"/>
          <w:numId w:val="17"/>
        </w:numPr>
        <w:spacing w:after="80" w:line="266" w:lineRule="auto"/>
        <w:ind w:left="567" w:right="-108" w:hanging="283"/>
        <w:contextualSpacing w:val="0"/>
        <w:jc w:val="left"/>
        <w:rPr>
          <w:rFonts w:asciiTheme="majorHAnsi" w:hAnsiTheme="majorHAnsi" w:cstheme="majorHAnsi"/>
          <w:b/>
          <w:szCs w:val="22"/>
          <w:lang w:val="sk-SK"/>
        </w:rPr>
      </w:pPr>
      <w:r w:rsidRPr="002C7B36">
        <w:rPr>
          <w:rFonts w:asciiTheme="majorHAnsi" w:hAnsiTheme="majorHAnsi" w:cstheme="majorHAnsi"/>
          <w:b/>
          <w:szCs w:val="22"/>
          <w:lang w:val="sk-SK" w:bidi="bo-CN"/>
        </w:rPr>
        <w:t>Výnos na prioritnú akciu (EPS)*:</w:t>
      </w:r>
      <w:r w:rsidRPr="001C4D61">
        <w:rPr>
          <w:rFonts w:asciiTheme="majorHAnsi" w:hAnsiTheme="majorHAnsi" w:cstheme="majorHAnsi"/>
          <w:b/>
          <w:szCs w:val="22"/>
          <w:lang w:val="sk-SK"/>
        </w:rPr>
        <w:t xml:space="preserve"> </w:t>
      </w:r>
      <w:r w:rsidRPr="002C7B36">
        <w:rPr>
          <w:rFonts w:asciiTheme="majorHAnsi" w:hAnsiTheme="majorHAnsi" w:cstheme="majorHAnsi"/>
          <w:b/>
          <w:szCs w:val="22"/>
          <w:lang w:val="sk-SK" w:bidi="bo-CN"/>
        </w:rPr>
        <w:t>zvýšenie v spodnej až hornej polovici jednociferného percentuálneho pásma (pri konštantných kurzových sadzbách)</w:t>
      </w:r>
    </w:p>
    <w:p w14:paraId="1E6BCC2E" w14:textId="77777777" w:rsidR="000E5CC6" w:rsidRPr="002C7B36" w:rsidRDefault="000E5CC6" w:rsidP="000E5CC6">
      <w:pPr>
        <w:rPr>
          <w:rFonts w:cs="Segoe UI"/>
          <w:b/>
          <w:bCs/>
          <w:szCs w:val="22"/>
          <w:lang w:val="sk-SK"/>
        </w:rPr>
      </w:pPr>
    </w:p>
    <w:p w14:paraId="2884D468" w14:textId="77777777" w:rsidR="000E5CC6" w:rsidRPr="001C4D61" w:rsidRDefault="000E5CC6" w:rsidP="000E5CC6">
      <w:pPr>
        <w:rPr>
          <w:rFonts w:cs="Segoe UI"/>
          <w:b/>
          <w:bCs/>
          <w:szCs w:val="22"/>
          <w:lang w:val="sk-SK"/>
        </w:rPr>
      </w:pPr>
      <w:r w:rsidRPr="002C7B36">
        <w:rPr>
          <w:b/>
          <w:bCs/>
          <w:noProof/>
          <w:sz w:val="24"/>
          <w:lang w:val="sk-SK"/>
        </w:rPr>
        <mc:AlternateContent>
          <mc:Choice Requires="wps">
            <w:drawing>
              <wp:anchor distT="45720" distB="45720" distL="114300" distR="114300" simplePos="0" relativeHeight="251659264" behindDoc="0" locked="0" layoutInCell="1" allowOverlap="1" wp14:anchorId="57CE7DA6" wp14:editId="27B71C41">
                <wp:simplePos x="0" y="0"/>
                <wp:positionH relativeFrom="margin">
                  <wp:posOffset>-40005</wp:posOffset>
                </wp:positionH>
                <wp:positionV relativeFrom="paragraph">
                  <wp:posOffset>1682321</wp:posOffset>
                </wp:positionV>
                <wp:extent cx="5413973" cy="232834"/>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973" cy="23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F1377" w14:textId="77777777" w:rsidR="000E5CC6" w:rsidRPr="00614B23" w:rsidRDefault="000E5CC6" w:rsidP="000E5CC6">
                            <w:pPr>
                              <w:pStyle w:val="He04Funote"/>
                              <w:rPr>
                                <w:sz w:val="12"/>
                                <w:szCs w:val="12"/>
                                <w:lang w:val="pl-PL"/>
                              </w:rPr>
                            </w:pPr>
                            <w:r w:rsidRPr="00614B23">
                              <w:rPr>
                                <w:sz w:val="12"/>
                                <w:szCs w:val="12"/>
                                <w:lang w:val="pl-PL"/>
                              </w:rPr>
                              <w:t xml:space="preserve">* </w:t>
                            </w:r>
                            <w:r w:rsidRPr="00C66812">
                              <w:rPr>
                                <w:sz w:val="12"/>
                                <w:szCs w:val="12"/>
                                <w:lang w:val="sk-SK"/>
                              </w:rPr>
                              <w:t>Upravené o jednorazové výdavky a príjmy a reštrukturalizačné výdavky.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E7DA6" id="_x0000_t202" coordsize="21600,21600" o:spt="202" path="m,l,21600r21600,l21600,xe">
                <v:stroke joinstyle="miter"/>
                <v:path gradientshapeok="t" o:connecttype="rect"/>
              </v:shapetype>
              <v:shape id="Textfeld 214901967" o:spid="_x0000_s1026" type="#_x0000_t202" style="position:absolute;left:0;text-align:left;margin-left:-3.15pt;margin-top:132.45pt;width:426.3pt;height:1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" stroked="f">
                <v:textbox>
                  <w:txbxContent>
                    <w:p w14:paraId="0D4F1377" w14:textId="77777777" w:rsidR="000E5CC6" w:rsidRPr="00614B23" w:rsidRDefault="000E5CC6" w:rsidP="000E5CC6">
                      <w:pPr>
                        <w:pStyle w:val="He04Funote"/>
                        <w:rPr>
                          <w:sz w:val="12"/>
                          <w:szCs w:val="12"/>
                          <w:lang w:val="pl-PL"/>
                        </w:rPr>
                      </w:pPr>
                      <w:r w:rsidRPr="00614B23">
                        <w:rPr>
                          <w:sz w:val="12"/>
                          <w:szCs w:val="12"/>
                          <w:lang w:val="pl-PL"/>
                        </w:rPr>
                        <w:t xml:space="preserve">* </w:t>
                      </w:r>
                      <w:r w:rsidRPr="00C66812">
                        <w:rPr>
                          <w:sz w:val="12"/>
                          <w:szCs w:val="12"/>
                          <w:lang w:val="sk-SK"/>
                        </w:rPr>
                        <w:t>Upravené o jednorazové výdavky a príjmy a reštrukturalizačné výdavky.</w:t>
                      </w:r>
                    </w:p>
                  </w:txbxContent>
                </v:textbox>
                <w10:wrap anchorx="margin"/>
              </v:shape>
            </w:pict>
          </mc:Fallback>
        </mc:AlternateContent>
      </w:r>
      <w:proofErr w:type="spellStart"/>
      <w:r w:rsidRPr="002C7B36">
        <w:rPr>
          <w:rFonts w:cs="Segoe UI"/>
          <w:b/>
          <w:bCs/>
          <w:szCs w:val="22"/>
          <w:lang w:val="sk-SK"/>
        </w:rPr>
        <w:t>Düsseldorf</w:t>
      </w:r>
      <w:proofErr w:type="spellEnd"/>
      <w:r w:rsidRPr="002C7B36">
        <w:rPr>
          <w:rFonts w:cs="Segoe UI"/>
          <w:b/>
          <w:bCs/>
          <w:szCs w:val="22"/>
          <w:lang w:val="sk-SK"/>
        </w:rPr>
        <w:t xml:space="preserve"> –</w:t>
      </w:r>
      <w:r>
        <w:rPr>
          <w:rFonts w:cs="Segoe UI"/>
          <w:b/>
          <w:bCs/>
          <w:szCs w:val="22"/>
          <w:lang w:val="sk-SK"/>
        </w:rPr>
        <w:t xml:space="preserve"> </w:t>
      </w:r>
      <w:r w:rsidRPr="002C7B36">
        <w:rPr>
          <w:rFonts w:cs="Segoe UI"/>
          <w:b/>
          <w:bCs/>
          <w:szCs w:val="22"/>
          <w:lang w:val="sk-SK" w:bidi="bo-CN"/>
        </w:rPr>
        <w:t>Spoločnosť Henkel dosiahla celkovo dobré výsledky v náročnom finančnom roku 2025, ktorý sa niesol v znamení mierneho globálneho hospodárskeho rastu a zložitého geopolitického prostredia.</w:t>
      </w:r>
      <w:r w:rsidRPr="001C4D61">
        <w:rPr>
          <w:rFonts w:cs="Segoe UI"/>
          <w:b/>
          <w:bCs/>
          <w:szCs w:val="22"/>
          <w:lang w:val="sk-SK"/>
        </w:rPr>
        <w:t xml:space="preserve"> </w:t>
      </w:r>
      <w:r w:rsidRPr="002C7B36">
        <w:rPr>
          <w:rFonts w:cs="Segoe UI"/>
          <w:b/>
          <w:bCs/>
          <w:szCs w:val="22"/>
          <w:lang w:val="sk-SK" w:bidi="bo-CN"/>
        </w:rPr>
        <w:t xml:space="preserve">Obrat na úrovni skupiny dosiahol 20,5 miliardy eur </w:t>
      </w:r>
      <w:r w:rsidRPr="002C7B36">
        <w:rPr>
          <w:rFonts w:cs="Segoe UI"/>
          <w:b/>
          <w:bCs/>
          <w:szCs w:val="22"/>
          <w:lang w:val="sk-SK" w:bidi="bo-CN"/>
        </w:rPr>
        <w:lastRenderedPageBreak/>
        <w:t>a upravená marža EBIT vzrástla o 50 bázických bodov na úroveň 14,8 percenta.</w:t>
      </w:r>
      <w:r w:rsidRPr="001C4D61">
        <w:rPr>
          <w:rFonts w:cs="Segoe UI"/>
          <w:b/>
          <w:bCs/>
          <w:szCs w:val="22"/>
          <w:lang w:val="sk-SK"/>
        </w:rPr>
        <w:t xml:space="preserve"> </w:t>
      </w:r>
      <w:r w:rsidRPr="002C7B36">
        <w:rPr>
          <w:rFonts w:cs="Segoe UI"/>
          <w:b/>
          <w:bCs/>
          <w:szCs w:val="22"/>
          <w:lang w:val="sk-SK" w:bidi="bo-CN"/>
        </w:rPr>
        <w:t>Upravený výnos na prioritnú akciu sa pri konštantných kurzových sadzbách zvýšil o 4,7 percenta.</w:t>
      </w:r>
    </w:p>
    <w:p w14:paraId="0AD56F81" w14:textId="77777777" w:rsidR="000E5CC6" w:rsidRPr="001C4D61" w:rsidRDefault="000E5CC6" w:rsidP="000E5CC6">
      <w:pPr>
        <w:rPr>
          <w:rFonts w:cs="Segoe UI"/>
          <w:b/>
          <w:bCs/>
          <w:szCs w:val="22"/>
          <w:lang w:val="sk-SK"/>
        </w:rPr>
      </w:pPr>
      <w:bookmarkStart w:id="4" w:name="_Hlk190074952"/>
      <w:r w:rsidRPr="002C7B36">
        <w:rPr>
          <w:rFonts w:cs="Segoe UI"/>
          <w:b/>
          <w:bCs/>
          <w:szCs w:val="22"/>
          <w:lang w:val="sk-SK" w:bidi="bo-CN"/>
        </w:rPr>
        <w:t xml:space="preserve"> „Naše podnikateľské prostredie bolo a naďalej je poznačené veľkými výzvami vrátane vojenských konfliktov, geopolitického napätia v mnohých častiach sveta a rozsiahlych obchodných a colných sporov. Výsledná neistota oslabila spotrebiteľskú náladu aj priemyselný dopyt. S vojnou na Blízkom východe, ktorá sa začala koncom februára, sa neistota opäť výrazne prehĺbila,“ povedal predseda predstavenstva spoločnosti Henkel </w:t>
      </w:r>
      <w:proofErr w:type="spellStart"/>
      <w:r w:rsidRPr="002C7B36">
        <w:rPr>
          <w:rFonts w:cs="Segoe UI"/>
          <w:b/>
          <w:bCs/>
          <w:szCs w:val="22"/>
          <w:lang w:val="sk-SK" w:bidi="bo-CN"/>
        </w:rPr>
        <w:t>Carsten</w:t>
      </w:r>
      <w:proofErr w:type="spellEnd"/>
      <w:r w:rsidRPr="002C7B36">
        <w:rPr>
          <w:rFonts w:cs="Segoe UI"/>
          <w:b/>
          <w:bCs/>
          <w:szCs w:val="22"/>
          <w:lang w:val="sk-SK" w:bidi="bo-CN"/>
        </w:rPr>
        <w:t xml:space="preserve"> </w:t>
      </w:r>
      <w:proofErr w:type="spellStart"/>
      <w:r w:rsidRPr="002C7B36">
        <w:rPr>
          <w:rFonts w:cs="Segoe UI"/>
          <w:b/>
          <w:bCs/>
          <w:szCs w:val="22"/>
          <w:lang w:val="sk-SK" w:bidi="bo-CN"/>
        </w:rPr>
        <w:t>Knobel</w:t>
      </w:r>
      <w:proofErr w:type="spellEnd"/>
      <w:r w:rsidRPr="002C7B36">
        <w:rPr>
          <w:rFonts w:cs="Segoe UI"/>
          <w:b/>
          <w:bCs/>
          <w:szCs w:val="22"/>
          <w:lang w:val="sk-SK" w:bidi="bo-CN"/>
        </w:rPr>
        <w:t>.</w:t>
      </w:r>
      <w:r w:rsidRPr="001C4D61">
        <w:rPr>
          <w:rFonts w:cs="Segoe UI"/>
          <w:b/>
          <w:bCs/>
          <w:szCs w:val="22"/>
          <w:lang w:val="sk-SK"/>
        </w:rPr>
        <w:t xml:space="preserve"> </w:t>
      </w:r>
      <w:r w:rsidRPr="002C7B36">
        <w:rPr>
          <w:rFonts w:cs="Segoe UI"/>
          <w:b/>
          <w:bCs/>
          <w:szCs w:val="22"/>
          <w:lang w:val="sk-SK" w:bidi="bo-CN"/>
        </w:rPr>
        <w:t>„Napriek pretrvávajúcim náročným ekonomickým podmienkam sme v roku 2025 úspešne posunuli Henkel vpred. Dosiahli sme alebo dokonca prekročili kľúčové ciele a pokračovali v transformácii našej spoločnosti. Zvýšili sme organický obrat a výrazne sme zlepšili ziskovosť firmy. Chceme, aby sa naši akcionári podieľali na úspešnom vývoji spoločnosti. Preto navrhneme zvýšenie dividendy o 1,5 percenta.“</w:t>
      </w:r>
    </w:p>
    <w:bookmarkEnd w:id="4"/>
    <w:p w14:paraId="3923538C" w14:textId="77777777" w:rsidR="000E5CC6" w:rsidRPr="002C7B36" w:rsidRDefault="000E5CC6" w:rsidP="000E5CC6">
      <w:pPr>
        <w:rPr>
          <w:rFonts w:cs="Segoe UI"/>
          <w:b/>
          <w:bCs/>
          <w:szCs w:val="22"/>
          <w:lang w:val="sk-SK"/>
        </w:rPr>
      </w:pPr>
    </w:p>
    <w:p w14:paraId="1B48F7BB" w14:textId="77777777" w:rsidR="000E5CC6" w:rsidRPr="001C4D61" w:rsidRDefault="000E5CC6" w:rsidP="000E5CC6">
      <w:pPr>
        <w:rPr>
          <w:rFonts w:cs="Segoe UI"/>
          <w:b/>
          <w:bCs/>
          <w:szCs w:val="22"/>
          <w:lang w:val="sk-SK"/>
        </w:rPr>
      </w:pPr>
      <w:r w:rsidRPr="002C7B36">
        <w:rPr>
          <w:rFonts w:cs="Segoe UI"/>
          <w:b/>
          <w:bCs/>
          <w:szCs w:val="22"/>
          <w:lang w:val="sk-SK" w:bidi="bo-CN"/>
        </w:rPr>
        <w:t xml:space="preserve"> „Organicky sme zvýšili obrat a ďalej sme zlepšili ziskovosť v oboch obchodných divíziách, </w:t>
      </w:r>
      <w:proofErr w:type="spellStart"/>
      <w:r w:rsidRPr="002C7B36">
        <w:rPr>
          <w:rFonts w:cs="Segoe UI"/>
          <w:b/>
          <w:bCs/>
          <w:szCs w:val="22"/>
          <w:lang w:val="sk-SK" w:bidi="bo-CN"/>
        </w:rPr>
        <w:t>Adhesive</w:t>
      </w:r>
      <w:proofErr w:type="spellEnd"/>
      <w:r w:rsidRPr="002C7B36">
        <w:rPr>
          <w:rFonts w:cs="Segoe UI"/>
          <w:b/>
          <w:bCs/>
          <w:szCs w:val="22"/>
          <w:lang w:val="sk-SK" w:bidi="bo-CN"/>
        </w:rPr>
        <w:t xml:space="preserve"> Technologies aj </w:t>
      </w:r>
      <w:proofErr w:type="spellStart"/>
      <w:r w:rsidRPr="002C7B36">
        <w:rPr>
          <w:rFonts w:cs="Segoe UI"/>
          <w:b/>
          <w:bCs/>
          <w:szCs w:val="22"/>
          <w:lang w:val="sk-SK" w:bidi="bo-CN"/>
        </w:rPr>
        <w:t>Consumer</w:t>
      </w:r>
      <w:proofErr w:type="spellEnd"/>
      <w:r w:rsidRPr="002C7B36">
        <w:rPr>
          <w:rFonts w:cs="Segoe UI"/>
          <w:b/>
          <w:bCs/>
          <w:szCs w:val="22"/>
          <w:lang w:val="sk-SK" w:bidi="bo-CN"/>
        </w:rPr>
        <w:t xml:space="preserve"> </w:t>
      </w:r>
      <w:proofErr w:type="spellStart"/>
      <w:r w:rsidRPr="002C7B36">
        <w:rPr>
          <w:rFonts w:cs="Segoe UI"/>
          <w:b/>
          <w:bCs/>
          <w:szCs w:val="22"/>
          <w:lang w:val="sk-SK" w:bidi="bo-CN"/>
        </w:rPr>
        <w:t>Brands</w:t>
      </w:r>
      <w:proofErr w:type="spellEnd"/>
      <w:r w:rsidRPr="002C7B36">
        <w:rPr>
          <w:rFonts w:cs="Segoe UI"/>
          <w:b/>
          <w:bCs/>
          <w:szCs w:val="22"/>
          <w:lang w:val="sk-SK" w:bidi="bo-CN"/>
        </w:rPr>
        <w:t xml:space="preserve">. Dosiahli sme to najmä vďaka ďalším inováciám, pokračujúcim úsporným opatreniam, zvyšovaniu efektivity a silnejšiemu rastu v segmentoch s vysokou maržou. Nárast marže v divízii </w:t>
      </w:r>
      <w:proofErr w:type="spellStart"/>
      <w:r w:rsidRPr="002C7B36">
        <w:rPr>
          <w:rFonts w:cs="Segoe UI"/>
          <w:b/>
          <w:bCs/>
          <w:szCs w:val="22"/>
          <w:lang w:val="sk-SK" w:bidi="bo-CN"/>
        </w:rPr>
        <w:t>Consumer</w:t>
      </w:r>
      <w:proofErr w:type="spellEnd"/>
      <w:r w:rsidRPr="002C7B36">
        <w:rPr>
          <w:rFonts w:cs="Segoe UI"/>
          <w:b/>
          <w:bCs/>
          <w:szCs w:val="22"/>
          <w:lang w:val="sk-SK" w:bidi="bo-CN"/>
        </w:rPr>
        <w:t xml:space="preserve"> </w:t>
      </w:r>
      <w:proofErr w:type="spellStart"/>
      <w:r w:rsidRPr="002C7B36">
        <w:rPr>
          <w:rFonts w:cs="Segoe UI"/>
          <w:b/>
          <w:bCs/>
          <w:szCs w:val="22"/>
          <w:lang w:val="sk-SK" w:bidi="bo-CN"/>
        </w:rPr>
        <w:t>Brands</w:t>
      </w:r>
      <w:proofErr w:type="spellEnd"/>
      <w:r w:rsidRPr="002C7B36">
        <w:rPr>
          <w:rFonts w:cs="Segoe UI"/>
          <w:b/>
          <w:bCs/>
          <w:szCs w:val="22"/>
          <w:lang w:val="sk-SK" w:bidi="bo-CN"/>
        </w:rPr>
        <w:t xml:space="preserve"> bol podporený ukončením integračného procesu, pokračujúcimi úsporami a ďalšou valorizáciou, teda cieleným zlepšovaním produktového portfólia. Zároveň sme pokračovali v investíciách do budúcnosti oboch divízií: do posilňovania našich značiek, inovácií, udržateľnosti a digitalizácie. V uplynulých troch mesiacoch sme navyše v oboch divíziách uzavreli akvizície s kombinovaným objemom obratu na úrovni približne 1,2 miliardy eur, aby sme posilnili naše podnikanie a rozšírili jeho rastový potenciál. Výsledky za rok 2025 jasne ukazujú, že naša stratégia udržateľného, zmysluplného rastu nás vedie správnym smerom a efektívne pripravuje spoločnosť na budúcnosť. To sa odráža aj v našom výhľade na finančný rok 2026, v ktorom očakávame ďalší rast obratu a zisku, hoci začiatok roka môže byť mierne slabší. Chcel by som poďakovať všetkým zamestnancom za ich mimoriadny výkon. Vďaka ich tímovej práci a výnimočnému nasadeniu sme opäť úspešne previedli našu spoločnosť náročným prostredím,“ zhodnotil uplynulý rok </w:t>
      </w:r>
      <w:proofErr w:type="spellStart"/>
      <w:r w:rsidRPr="002C7B36">
        <w:rPr>
          <w:rFonts w:cs="Segoe UI"/>
          <w:b/>
          <w:bCs/>
          <w:szCs w:val="22"/>
          <w:lang w:val="sk-SK" w:bidi="bo-CN"/>
        </w:rPr>
        <w:t>Knobel</w:t>
      </w:r>
      <w:proofErr w:type="spellEnd"/>
      <w:r w:rsidRPr="002C7B36">
        <w:rPr>
          <w:rFonts w:cs="Segoe UI"/>
          <w:b/>
          <w:bCs/>
          <w:szCs w:val="22"/>
          <w:lang w:val="sk-SK" w:bidi="bo-CN"/>
        </w:rPr>
        <w:t>.</w:t>
      </w:r>
    </w:p>
    <w:p w14:paraId="59547A8D" w14:textId="77777777" w:rsidR="000E5CC6" w:rsidRPr="002C7B36" w:rsidRDefault="000E5CC6" w:rsidP="000E5CC6">
      <w:pPr>
        <w:spacing w:after="120"/>
        <w:rPr>
          <w:rFonts w:cs="Segoe UI"/>
          <w:b/>
          <w:bCs/>
          <w:szCs w:val="22"/>
          <w:lang w:val="sk-SK" w:eastAsia="de-DE"/>
        </w:rPr>
      </w:pPr>
    </w:p>
    <w:p w14:paraId="18EE6737" w14:textId="77777777" w:rsidR="000E5CC6" w:rsidRPr="001C4D61" w:rsidRDefault="000E5CC6" w:rsidP="000E5CC6">
      <w:pPr>
        <w:spacing w:after="120"/>
        <w:rPr>
          <w:rFonts w:cs="Segoe UI"/>
          <w:b/>
          <w:bCs/>
          <w:szCs w:val="22"/>
          <w:lang w:val="sk-SK" w:eastAsia="de-DE"/>
        </w:rPr>
      </w:pPr>
      <w:r w:rsidRPr="002C7B36">
        <w:rPr>
          <w:rFonts w:cs="Segoe UI"/>
          <w:b/>
          <w:bCs/>
          <w:szCs w:val="22"/>
          <w:lang w:val="sk-SK" w:eastAsia="de-DE" w:bidi="bo-CN"/>
        </w:rPr>
        <w:t>Obrat a výnosy na úrovni skupiny za finančný rok 2025</w:t>
      </w:r>
    </w:p>
    <w:p w14:paraId="0CFA635A" w14:textId="77777777" w:rsidR="000E5CC6" w:rsidRPr="001C4D61" w:rsidRDefault="000E5CC6" w:rsidP="000E5CC6">
      <w:pPr>
        <w:rPr>
          <w:rFonts w:cs="Segoe UI"/>
          <w:szCs w:val="22"/>
          <w:lang w:val="sk-SK"/>
        </w:rPr>
      </w:pPr>
      <w:r w:rsidRPr="002C7B36">
        <w:rPr>
          <w:rFonts w:cs="Segoe UI"/>
          <w:b/>
          <w:bCs/>
          <w:szCs w:val="22"/>
          <w:lang w:val="sk-SK" w:bidi="bo-CN"/>
        </w:rPr>
        <w:t xml:space="preserve">Obrat na úrovni skupiny </w:t>
      </w:r>
      <w:r w:rsidRPr="002C7B36">
        <w:rPr>
          <w:rFonts w:cs="Segoe UI"/>
          <w:szCs w:val="22"/>
          <w:lang w:val="sk-SK" w:bidi="bo-CN"/>
        </w:rPr>
        <w:t>dosiahol vo finančnom roku 2025 celkovú hodnotu 20 495 miliónov eur, čo v nominálnom vyjadrení predstavuje medziročný pokles o 5,1 percenta.</w:t>
      </w:r>
      <w:r w:rsidRPr="001C4D61">
        <w:rPr>
          <w:rFonts w:cs="Segoe UI"/>
          <w:szCs w:val="22"/>
          <w:lang w:val="sk-SK"/>
        </w:rPr>
        <w:t xml:space="preserve"> </w:t>
      </w:r>
      <w:r w:rsidRPr="002C7B36">
        <w:rPr>
          <w:rFonts w:cs="Segoe UI"/>
          <w:szCs w:val="22"/>
          <w:lang w:val="sk-SK" w:bidi="bo-CN"/>
        </w:rPr>
        <w:t>Negatívny vplyv kurzového vývoja na obrat predstavoval 4,2 percenta.</w:t>
      </w:r>
      <w:r w:rsidRPr="001C4D61">
        <w:rPr>
          <w:rFonts w:cs="Segoe UI"/>
          <w:szCs w:val="22"/>
          <w:lang w:val="sk-SK"/>
        </w:rPr>
        <w:t xml:space="preserve"> </w:t>
      </w:r>
      <w:r w:rsidRPr="002C7B36">
        <w:rPr>
          <w:rFonts w:cs="Segoe UI"/>
          <w:szCs w:val="22"/>
          <w:lang w:val="sk-SK"/>
        </w:rPr>
        <w:t xml:space="preserve"> </w:t>
      </w:r>
      <w:r w:rsidRPr="002C7B36">
        <w:rPr>
          <w:rFonts w:cs="Segoe UI"/>
          <w:szCs w:val="22"/>
          <w:lang w:val="sk-SK" w:bidi="bo-CN"/>
        </w:rPr>
        <w:t>Po upravení o kurzové vplyvy obrat</w:t>
      </w:r>
      <w:r>
        <w:rPr>
          <w:rFonts w:cs="Segoe UI"/>
          <w:szCs w:val="22"/>
          <w:lang w:val="sk-SK" w:bidi="bo-CN"/>
        </w:rPr>
        <w:t xml:space="preserve"> </w:t>
      </w:r>
      <w:r w:rsidRPr="002C7B36">
        <w:rPr>
          <w:rFonts w:cs="Segoe UI"/>
          <w:szCs w:val="22"/>
          <w:lang w:val="sk-SK" w:bidi="bo-CN"/>
        </w:rPr>
        <w:t>klesol o 0,8 percenta.</w:t>
      </w:r>
      <w:r w:rsidRPr="001C4D61">
        <w:rPr>
          <w:rFonts w:cs="Segoe UI"/>
          <w:szCs w:val="22"/>
          <w:lang w:val="sk-SK"/>
        </w:rPr>
        <w:t xml:space="preserve"> </w:t>
      </w:r>
      <w:r w:rsidRPr="002C7B36">
        <w:rPr>
          <w:rFonts w:cs="Segoe UI"/>
          <w:szCs w:val="22"/>
          <w:lang w:val="sk-SK" w:bidi="bo-CN"/>
        </w:rPr>
        <w:t xml:space="preserve">Negatívny vplyv na obrat mali aj akvizície a odpredaje, a to vo výške 1,7 percenta, predovšetkým z dôvodu predaja severoamerickej maloobchodnej divízie </w:t>
      </w:r>
      <w:proofErr w:type="spellStart"/>
      <w:r w:rsidRPr="002C7B36">
        <w:rPr>
          <w:rFonts w:cs="Segoe UI"/>
          <w:szCs w:val="22"/>
          <w:lang w:val="sk-SK" w:bidi="bo-CN"/>
        </w:rPr>
        <w:t>Retailer</w:t>
      </w:r>
      <w:proofErr w:type="spellEnd"/>
      <w:r w:rsidRPr="002C7B36">
        <w:rPr>
          <w:rFonts w:cs="Segoe UI"/>
          <w:szCs w:val="22"/>
          <w:lang w:val="sk-SK" w:bidi="bo-CN"/>
        </w:rPr>
        <w:t xml:space="preserve"> </w:t>
      </w:r>
      <w:proofErr w:type="spellStart"/>
      <w:r w:rsidRPr="002C7B36">
        <w:rPr>
          <w:rFonts w:cs="Segoe UI"/>
          <w:szCs w:val="22"/>
          <w:lang w:val="sk-SK" w:bidi="bo-CN"/>
        </w:rPr>
        <w:lastRenderedPageBreak/>
        <w:t>Brands</w:t>
      </w:r>
      <w:proofErr w:type="spellEnd"/>
      <w:r w:rsidRPr="002C7B36">
        <w:rPr>
          <w:rFonts w:cs="Segoe UI"/>
          <w:szCs w:val="22"/>
          <w:lang w:val="sk-SK" w:bidi="bo-CN"/>
        </w:rPr>
        <w:t xml:space="preserve"> z portfólia divízie </w:t>
      </w:r>
      <w:proofErr w:type="spellStart"/>
      <w:r w:rsidRPr="002C7B36">
        <w:rPr>
          <w:rFonts w:cs="Segoe UI"/>
          <w:szCs w:val="22"/>
          <w:lang w:val="sk-SK" w:bidi="bo-CN"/>
        </w:rPr>
        <w:t>Consumer</w:t>
      </w:r>
      <w:proofErr w:type="spellEnd"/>
      <w:r w:rsidRPr="002C7B36">
        <w:rPr>
          <w:rFonts w:cs="Segoe UI"/>
          <w:szCs w:val="22"/>
          <w:lang w:val="sk-SK" w:bidi="bo-CN"/>
        </w:rPr>
        <w:t xml:space="preserve"> </w:t>
      </w:r>
      <w:proofErr w:type="spellStart"/>
      <w:r w:rsidRPr="002C7B36">
        <w:rPr>
          <w:rFonts w:cs="Segoe UI"/>
          <w:szCs w:val="22"/>
          <w:lang w:val="sk-SK" w:bidi="bo-CN"/>
        </w:rPr>
        <w:t>Brands</w:t>
      </w:r>
      <w:proofErr w:type="spellEnd"/>
      <w:r w:rsidRPr="002C7B36">
        <w:rPr>
          <w:rFonts w:cs="Segoe UI"/>
          <w:szCs w:val="22"/>
          <w:lang w:val="sk-SK" w:bidi="bo-CN"/>
        </w:rPr>
        <w:t>.</w:t>
      </w:r>
      <w:r w:rsidRPr="001C4D61">
        <w:rPr>
          <w:rFonts w:cs="Segoe UI"/>
          <w:szCs w:val="22"/>
          <w:lang w:val="sk-SK"/>
        </w:rPr>
        <w:t xml:space="preserve"> </w:t>
      </w:r>
      <w:r w:rsidRPr="002C7B36">
        <w:rPr>
          <w:rFonts w:cs="Segoe UI"/>
          <w:b/>
          <w:bCs/>
          <w:szCs w:val="22"/>
          <w:lang w:val="sk-SK" w:bidi="bo-CN"/>
        </w:rPr>
        <w:t xml:space="preserve">Organicky, </w:t>
      </w:r>
      <w:proofErr w:type="spellStart"/>
      <w:r w:rsidRPr="002C7B36">
        <w:rPr>
          <w:rFonts w:cs="Segoe UI"/>
          <w:szCs w:val="22"/>
          <w:lang w:val="sk-SK" w:bidi="bo-CN"/>
        </w:rPr>
        <w:t>t.j</w:t>
      </w:r>
      <w:proofErr w:type="spellEnd"/>
      <w:r w:rsidRPr="002C7B36">
        <w:rPr>
          <w:rFonts w:cs="Segoe UI"/>
          <w:szCs w:val="22"/>
          <w:lang w:val="sk-SK" w:bidi="bo-CN"/>
        </w:rPr>
        <w:t>. po úprave o kurzové vplyvy a vplyvy akvizícií a odpredaja,</w:t>
      </w:r>
      <w:r w:rsidRPr="002C7B36">
        <w:rPr>
          <w:rFonts w:cs="Segoe UI"/>
          <w:b/>
          <w:bCs/>
          <w:szCs w:val="22"/>
          <w:lang w:val="sk-SK" w:bidi="bo-CN"/>
        </w:rPr>
        <w:t xml:space="preserve"> sa obrat zvýšil</w:t>
      </w:r>
      <w:r w:rsidRPr="002C7B36">
        <w:rPr>
          <w:rFonts w:cs="Segoe UI"/>
          <w:szCs w:val="22"/>
          <w:lang w:val="sk-SK" w:bidi="bo-CN"/>
        </w:rPr>
        <w:t xml:space="preserve"> o 0,9 percenta.</w:t>
      </w:r>
      <w:r w:rsidRPr="001C4D61">
        <w:rPr>
          <w:rFonts w:cs="Segoe UI"/>
          <w:szCs w:val="22"/>
          <w:lang w:val="sk-SK"/>
        </w:rPr>
        <w:t xml:space="preserve"> </w:t>
      </w:r>
      <w:r w:rsidRPr="002C7B36">
        <w:rPr>
          <w:rFonts w:cs="Segoe UI"/>
          <w:szCs w:val="22"/>
          <w:lang w:val="sk-SK" w:bidi="bo-CN"/>
        </w:rPr>
        <w:t>Zvýšenie ťahal najmä nárast cien, keďže objem predaja ostal medziročne nezmenený.</w:t>
      </w:r>
    </w:p>
    <w:p w14:paraId="7CC23A46" w14:textId="77777777" w:rsidR="000E5CC6" w:rsidRPr="001C4D61" w:rsidRDefault="000E5CC6" w:rsidP="000E5CC6">
      <w:pPr>
        <w:rPr>
          <w:rFonts w:cs="Segoe UI"/>
          <w:szCs w:val="22"/>
          <w:lang w:val="sk-SK"/>
        </w:rPr>
      </w:pPr>
      <w:r w:rsidRPr="002C7B36">
        <w:rPr>
          <w:rFonts w:cs="Segoe UI"/>
          <w:szCs w:val="22"/>
          <w:lang w:val="sk-SK" w:bidi="bo-CN"/>
        </w:rPr>
        <w:t xml:space="preserve">Obchodná divízia </w:t>
      </w:r>
      <w:proofErr w:type="spellStart"/>
      <w:r w:rsidRPr="002C7B36">
        <w:rPr>
          <w:rFonts w:cs="Segoe UI"/>
          <w:b/>
          <w:bCs/>
          <w:szCs w:val="22"/>
          <w:lang w:val="sk-SK" w:bidi="bo-CN"/>
        </w:rPr>
        <w:t>Adhesive</w:t>
      </w:r>
      <w:proofErr w:type="spellEnd"/>
      <w:r w:rsidRPr="002C7B36">
        <w:rPr>
          <w:rFonts w:cs="Segoe UI"/>
          <w:szCs w:val="22"/>
          <w:lang w:val="sk-SK" w:bidi="bo-CN"/>
        </w:rPr>
        <w:t xml:space="preserve"> </w:t>
      </w:r>
      <w:r w:rsidRPr="002C7B36">
        <w:rPr>
          <w:rFonts w:cs="Segoe UI"/>
          <w:b/>
          <w:bCs/>
          <w:szCs w:val="22"/>
          <w:lang w:val="sk-SK" w:bidi="bo-CN"/>
        </w:rPr>
        <w:t>Technologies</w:t>
      </w:r>
      <w:r w:rsidRPr="002C7B36">
        <w:rPr>
          <w:rFonts w:cs="Segoe UI"/>
          <w:szCs w:val="22"/>
          <w:lang w:val="sk-SK" w:bidi="bo-CN"/>
        </w:rPr>
        <w:t xml:space="preserve"> zaznamenala pozitívny organicky rast obratu vo výške 1,5 percenta, ktorého hlavným zdrojom boli segmenty mobility a elektronického priemyslu.</w:t>
      </w:r>
      <w:r w:rsidRPr="001C4D61">
        <w:rPr>
          <w:rFonts w:cs="Segoe UI"/>
          <w:szCs w:val="22"/>
          <w:lang w:val="sk-SK"/>
        </w:rPr>
        <w:t xml:space="preserve"> </w:t>
      </w:r>
      <w:r w:rsidRPr="002C7B36">
        <w:rPr>
          <w:rFonts w:cs="Segoe UI"/>
          <w:szCs w:val="22"/>
          <w:lang w:val="sk-SK" w:bidi="bo-CN"/>
        </w:rPr>
        <w:t xml:space="preserve">Ku kladnému vývoju organického obratu divízie </w:t>
      </w:r>
      <w:proofErr w:type="spellStart"/>
      <w:r w:rsidRPr="002C7B36">
        <w:rPr>
          <w:rFonts w:cs="Segoe UI"/>
          <w:b/>
          <w:bCs/>
          <w:szCs w:val="22"/>
          <w:lang w:val="sk-SK" w:bidi="bo-CN"/>
        </w:rPr>
        <w:t>Consumer</w:t>
      </w:r>
      <w:proofErr w:type="spellEnd"/>
      <w:r w:rsidRPr="002C7B36">
        <w:rPr>
          <w:rFonts w:cs="Segoe UI"/>
          <w:szCs w:val="22"/>
          <w:lang w:val="sk-SK" w:bidi="bo-CN"/>
        </w:rPr>
        <w:t xml:space="preserve"> </w:t>
      </w:r>
      <w:proofErr w:type="spellStart"/>
      <w:r w:rsidRPr="002C7B36">
        <w:rPr>
          <w:rFonts w:cs="Segoe UI"/>
          <w:b/>
          <w:bCs/>
          <w:szCs w:val="22"/>
          <w:lang w:val="sk-SK" w:bidi="bo-CN"/>
        </w:rPr>
        <w:t>Brands</w:t>
      </w:r>
      <w:proofErr w:type="spellEnd"/>
      <w:r w:rsidRPr="002C7B36">
        <w:rPr>
          <w:rFonts w:cs="Segoe UI"/>
          <w:szCs w:val="22"/>
          <w:lang w:val="sk-SK" w:bidi="bo-CN"/>
        </w:rPr>
        <w:t xml:space="preserve"> vo výške 0,3 percent prispel najmä segment vlasovej kozmetiky.</w:t>
      </w:r>
    </w:p>
    <w:p w14:paraId="424293AE" w14:textId="77777777" w:rsidR="000E5CC6" w:rsidRPr="002C7B36" w:rsidRDefault="000E5CC6" w:rsidP="000E5CC6">
      <w:pPr>
        <w:rPr>
          <w:rFonts w:cs="Segoe UI"/>
          <w:szCs w:val="22"/>
          <w:lang w:val="sk-SK"/>
        </w:rPr>
      </w:pPr>
    </w:p>
    <w:p w14:paraId="0F28449E" w14:textId="77777777" w:rsidR="000E5CC6" w:rsidRPr="001C4D61" w:rsidRDefault="000E5CC6" w:rsidP="000E5CC6">
      <w:pPr>
        <w:rPr>
          <w:rFonts w:cs="Segoe UI"/>
          <w:szCs w:val="22"/>
          <w:lang w:val="sk-SK"/>
        </w:rPr>
      </w:pPr>
      <w:r w:rsidRPr="002C7B36">
        <w:rPr>
          <w:rFonts w:cs="Segoe UI"/>
          <w:b/>
          <w:bCs/>
          <w:szCs w:val="22"/>
          <w:lang w:val="sk-SK" w:bidi="bo-CN"/>
        </w:rPr>
        <w:t xml:space="preserve">Upravený prevádzkový zisk (upravený EBIT) </w:t>
      </w:r>
      <w:r w:rsidRPr="002C7B36">
        <w:rPr>
          <w:rFonts w:cs="Segoe UI"/>
          <w:szCs w:val="22"/>
          <w:lang w:val="sk-SK" w:bidi="bo-CN"/>
        </w:rPr>
        <w:t>dosiahol 3 </w:t>
      </w:r>
      <w:r>
        <w:rPr>
          <w:rFonts w:cs="Segoe UI"/>
          <w:szCs w:val="22"/>
          <w:lang w:val="sk-SK" w:bidi="bo-CN"/>
        </w:rPr>
        <w:t>026</w:t>
      </w:r>
      <w:r w:rsidRPr="002C7B36">
        <w:rPr>
          <w:rFonts w:cs="Segoe UI"/>
          <w:szCs w:val="22"/>
          <w:lang w:val="sk-SK" w:bidi="bo-CN"/>
        </w:rPr>
        <w:t xml:space="preserve"> miliónov eur, čím zaostal za minuloročnou hodnotou, predovšetkým z dôvodu výrazne negatívnych kurzových vplyvov (2024: 3 089 miliónov eur).</w:t>
      </w:r>
    </w:p>
    <w:p w14:paraId="16DD230A" w14:textId="77777777" w:rsidR="000E5CC6" w:rsidRPr="002C7B36" w:rsidRDefault="000E5CC6" w:rsidP="000E5CC6">
      <w:pPr>
        <w:rPr>
          <w:rFonts w:cs="Segoe UI"/>
          <w:szCs w:val="22"/>
          <w:lang w:val="sk-SK"/>
        </w:rPr>
      </w:pPr>
    </w:p>
    <w:p w14:paraId="3C95EE9B" w14:textId="77777777" w:rsidR="000E5CC6" w:rsidRPr="001C4D61" w:rsidRDefault="000E5CC6" w:rsidP="000E5CC6">
      <w:pPr>
        <w:rPr>
          <w:rFonts w:cs="Segoe UI"/>
          <w:szCs w:val="22"/>
          <w:lang w:val="sk-SK"/>
        </w:rPr>
      </w:pPr>
      <w:r w:rsidRPr="002C7B36">
        <w:rPr>
          <w:rFonts w:cs="Segoe UI"/>
          <w:szCs w:val="22"/>
          <w:lang w:val="sk-SK" w:bidi="bo-CN"/>
        </w:rPr>
        <w:t xml:space="preserve">Naopak, </w:t>
      </w:r>
      <w:r w:rsidRPr="002C7B36">
        <w:rPr>
          <w:rFonts w:cs="Segoe UI"/>
          <w:b/>
          <w:bCs/>
          <w:szCs w:val="22"/>
          <w:lang w:val="sk-SK" w:bidi="bo-CN"/>
        </w:rPr>
        <w:t>upravená výnosnosť predaja (upravená marža EBIT)</w:t>
      </w:r>
      <w:r w:rsidRPr="002C7B36">
        <w:rPr>
          <w:rFonts w:cs="Segoe UI"/>
          <w:szCs w:val="22"/>
          <w:lang w:val="sk-SK" w:bidi="bo-CN"/>
        </w:rPr>
        <w:t xml:space="preserve"> sa zvýšila na 14,8 percenta (2024: 14,3 percenta).</w:t>
      </w:r>
    </w:p>
    <w:p w14:paraId="5EEF7E15" w14:textId="77777777" w:rsidR="000E5CC6" w:rsidRPr="002C7B36" w:rsidRDefault="000E5CC6" w:rsidP="000E5CC6">
      <w:pPr>
        <w:rPr>
          <w:rFonts w:cs="Segoe UI"/>
          <w:szCs w:val="22"/>
          <w:lang w:val="sk-SK"/>
        </w:rPr>
      </w:pPr>
    </w:p>
    <w:p w14:paraId="24C4DA4D" w14:textId="77777777" w:rsidR="000E5CC6" w:rsidRPr="002C7B36" w:rsidRDefault="000E5CC6" w:rsidP="000E5CC6">
      <w:pPr>
        <w:rPr>
          <w:rFonts w:cs="Segoe UI"/>
          <w:szCs w:val="22"/>
          <w:lang w:val="sk-SK"/>
        </w:rPr>
      </w:pPr>
      <w:bookmarkStart w:id="5" w:name="_Hlk190081485"/>
      <w:r w:rsidRPr="002C7B36">
        <w:rPr>
          <w:rFonts w:cs="Segoe UI"/>
          <w:b/>
          <w:bCs/>
          <w:szCs w:val="22"/>
          <w:lang w:val="sk-SK" w:bidi="bo-CN"/>
        </w:rPr>
        <w:t xml:space="preserve">Upravený výnos na prioritnú akciu </w:t>
      </w:r>
      <w:r w:rsidRPr="002C7B36">
        <w:rPr>
          <w:rFonts w:cs="Segoe UI"/>
          <w:szCs w:val="22"/>
          <w:lang w:val="sk-SK" w:bidi="bo-CN"/>
        </w:rPr>
        <w:t>mierne klesol, o 0,6 percenta, a to na 5,33 eura (2024: 5,36 percenta).</w:t>
      </w:r>
      <w:r w:rsidRPr="001C4D61">
        <w:rPr>
          <w:rFonts w:cs="Segoe UI"/>
          <w:szCs w:val="22"/>
          <w:lang w:val="sk-SK"/>
        </w:rPr>
        <w:t xml:space="preserve"> </w:t>
      </w:r>
      <w:r w:rsidRPr="002C7B36">
        <w:rPr>
          <w:rFonts w:cs="Segoe UI"/>
          <w:szCs w:val="22"/>
          <w:lang w:val="sk-SK" w:bidi="bo-CN"/>
        </w:rPr>
        <w:t>Pri konštantných kurzových sadzbách predstavovalo zvýšenie upraveného výnosu na prioritnú akciu 4,7 percenta.</w:t>
      </w:r>
      <w:r w:rsidRPr="001C4D61">
        <w:rPr>
          <w:rFonts w:cs="Segoe UI"/>
          <w:szCs w:val="22"/>
          <w:lang w:val="sk-SK"/>
        </w:rPr>
        <w:t xml:space="preserve"> </w:t>
      </w:r>
    </w:p>
    <w:p w14:paraId="2EF77A50" w14:textId="77777777" w:rsidR="000E5CC6" w:rsidRPr="002C7B36" w:rsidRDefault="000E5CC6" w:rsidP="000E5CC6">
      <w:pPr>
        <w:rPr>
          <w:rFonts w:cs="Segoe UI"/>
          <w:szCs w:val="22"/>
          <w:lang w:val="sk-SK"/>
        </w:rPr>
      </w:pPr>
    </w:p>
    <w:bookmarkEnd w:id="5"/>
    <w:p w14:paraId="671C2DB2" w14:textId="77777777" w:rsidR="000E5CC6" w:rsidRPr="001C4D61" w:rsidRDefault="000E5CC6" w:rsidP="000E5CC6">
      <w:pPr>
        <w:rPr>
          <w:rFonts w:cs="Segoe UI"/>
          <w:szCs w:val="22"/>
          <w:lang w:val="sk-SK"/>
        </w:rPr>
      </w:pPr>
      <w:r w:rsidRPr="002C7B36">
        <w:rPr>
          <w:rFonts w:cs="Segoe UI"/>
          <w:b/>
          <w:bCs/>
          <w:szCs w:val="22"/>
          <w:lang w:val="sk-SK" w:bidi="bo-CN"/>
        </w:rPr>
        <w:t>Čistý prevádzkový kapitál</w:t>
      </w:r>
      <w:r w:rsidRPr="002C7B36">
        <w:rPr>
          <w:rFonts w:cs="Segoe UI"/>
          <w:szCs w:val="22"/>
          <w:lang w:val="sk-SK" w:bidi="bo-CN"/>
        </w:rPr>
        <w:t xml:space="preserve"> vyjadrený ako podiel k obratu sa medziročne zvýšil a dosiahol úroveň 3,8 percenta (2024: 3,0 percenta).</w:t>
      </w:r>
    </w:p>
    <w:p w14:paraId="3F11EF50" w14:textId="77777777" w:rsidR="000E5CC6" w:rsidRPr="002C7B36" w:rsidRDefault="000E5CC6" w:rsidP="000E5CC6">
      <w:pPr>
        <w:rPr>
          <w:rFonts w:cs="Segoe UI"/>
          <w:szCs w:val="22"/>
          <w:lang w:val="sk-SK"/>
        </w:rPr>
      </w:pPr>
    </w:p>
    <w:p w14:paraId="2E16AE40" w14:textId="77777777" w:rsidR="000E5CC6" w:rsidRPr="001C4D61" w:rsidRDefault="000E5CC6" w:rsidP="000E5CC6">
      <w:pPr>
        <w:rPr>
          <w:rFonts w:cs="Segoe UI"/>
          <w:szCs w:val="22"/>
          <w:lang w:val="sk-SK"/>
        </w:rPr>
      </w:pPr>
      <w:r w:rsidRPr="002C7B36">
        <w:rPr>
          <w:rFonts w:cs="Segoe UI"/>
          <w:b/>
          <w:bCs/>
          <w:szCs w:val="22"/>
          <w:lang w:val="sk-SK" w:bidi="bo-CN"/>
        </w:rPr>
        <w:t xml:space="preserve">Voľný cash </w:t>
      </w:r>
      <w:proofErr w:type="spellStart"/>
      <w:r w:rsidRPr="002C7B36">
        <w:rPr>
          <w:rFonts w:cs="Segoe UI"/>
          <w:b/>
          <w:bCs/>
          <w:szCs w:val="22"/>
          <w:lang w:val="sk-SK" w:bidi="bo-CN"/>
        </w:rPr>
        <w:t>flow</w:t>
      </w:r>
      <w:proofErr w:type="spellEnd"/>
      <w:r w:rsidRPr="002C7B36">
        <w:rPr>
          <w:rFonts w:cs="Segoe UI"/>
          <w:szCs w:val="22"/>
          <w:lang w:val="sk-SK" w:bidi="bo-CN"/>
        </w:rPr>
        <w:t xml:space="preserve"> vo výške 1 850 miliónov eur zaostal za hodnotou z minulého roka (2024: 2 362 miliónov eur).</w:t>
      </w:r>
      <w:r w:rsidRPr="001C4D61">
        <w:rPr>
          <w:rFonts w:cs="Segoe UI"/>
          <w:szCs w:val="22"/>
          <w:lang w:val="sk-SK"/>
        </w:rPr>
        <w:t xml:space="preserve"> </w:t>
      </w:r>
      <w:bookmarkStart w:id="6" w:name="_Hlk190081658"/>
      <w:r w:rsidRPr="002C7B36">
        <w:rPr>
          <w:rFonts w:cs="Segoe UI"/>
          <w:szCs w:val="22"/>
          <w:lang w:val="sk-SK" w:bidi="bo-CN"/>
        </w:rPr>
        <w:t>Tento vývoj bol spôsobený zmenami v čistom prevádzkovom kapitáli a kurzovými rozdielmi z menovej konverzie.</w:t>
      </w:r>
    </w:p>
    <w:p w14:paraId="37278D17" w14:textId="77777777" w:rsidR="000E5CC6" w:rsidRPr="002C7B36" w:rsidRDefault="000E5CC6" w:rsidP="000E5CC6">
      <w:pPr>
        <w:rPr>
          <w:rFonts w:cs="Segoe UI"/>
          <w:szCs w:val="22"/>
          <w:lang w:val="sk-SK"/>
        </w:rPr>
      </w:pPr>
    </w:p>
    <w:p w14:paraId="035C7BE8" w14:textId="77777777" w:rsidR="000E5CC6" w:rsidRPr="001C4D61" w:rsidRDefault="000E5CC6" w:rsidP="000E5CC6">
      <w:pPr>
        <w:rPr>
          <w:rFonts w:cs="Segoe UI"/>
          <w:szCs w:val="22"/>
          <w:lang w:val="sk-SK"/>
        </w:rPr>
      </w:pPr>
      <w:r w:rsidRPr="002C7B36">
        <w:rPr>
          <w:rFonts w:cs="Segoe UI"/>
          <w:szCs w:val="22"/>
          <w:lang w:val="sk-SK" w:bidi="bo-CN"/>
        </w:rPr>
        <w:t xml:space="preserve">Napriek záporným finančným tokom do programu dividend a spätného odkúpenia akcií sa </w:t>
      </w:r>
      <w:r w:rsidRPr="002C7B36">
        <w:rPr>
          <w:rFonts w:cs="Segoe UI"/>
          <w:b/>
          <w:bCs/>
          <w:szCs w:val="22"/>
          <w:lang w:val="sk-SK" w:bidi="bo-CN"/>
        </w:rPr>
        <w:t xml:space="preserve">čistá finančná pozícia </w:t>
      </w:r>
      <w:r w:rsidRPr="002C7B36">
        <w:rPr>
          <w:rFonts w:cs="Segoe UI"/>
          <w:szCs w:val="22"/>
          <w:lang w:val="sk-SK" w:bidi="bo-CN"/>
        </w:rPr>
        <w:t>medziročne zlepšila na 109 miliónov eur (k 31. decembru 2024: -93 miliónov eur).</w:t>
      </w:r>
    </w:p>
    <w:bookmarkEnd w:id="6"/>
    <w:p w14:paraId="0E0A30E0" w14:textId="77777777" w:rsidR="000E5CC6" w:rsidRPr="002C7B36" w:rsidRDefault="000E5CC6" w:rsidP="000E5CC6">
      <w:pPr>
        <w:rPr>
          <w:rFonts w:cs="Segoe UI"/>
          <w:lang w:val="sk-SK"/>
        </w:rPr>
      </w:pPr>
    </w:p>
    <w:p w14:paraId="3801C0B1" w14:textId="77777777" w:rsidR="000E5CC6" w:rsidRPr="002C7B36" w:rsidRDefault="000E5CC6" w:rsidP="000E5CC6">
      <w:pPr>
        <w:rPr>
          <w:rFonts w:cs="Segoe UI"/>
          <w:lang w:val="sk-SK"/>
        </w:rPr>
      </w:pPr>
      <w:r w:rsidRPr="002C7B36">
        <w:rPr>
          <w:rFonts w:cs="Segoe UI"/>
          <w:lang w:val="sk-SK" w:bidi="bo-CN"/>
        </w:rPr>
        <w:t xml:space="preserve">Predstavenstvo, dozorná rada a výbor akcionárov predložia výročnému valnému zhromaždeniu, ktoré sa bude konať 27. apríla 2026, návrh na zvýšenie </w:t>
      </w:r>
      <w:r w:rsidRPr="002C7B36">
        <w:rPr>
          <w:rFonts w:cs="Segoe UI"/>
          <w:b/>
          <w:bCs/>
          <w:lang w:val="sk-SK" w:bidi="bo-CN"/>
        </w:rPr>
        <w:t xml:space="preserve">dividend </w:t>
      </w:r>
      <w:r w:rsidRPr="002C7B36">
        <w:rPr>
          <w:rFonts w:cs="Segoe UI"/>
          <w:lang w:val="sk-SK" w:bidi="bo-CN"/>
        </w:rPr>
        <w:t>o 1,5 percenta v porovnaní s minulým roku, teda na 2,07 eura na prioritná a 2,05 eura na kmeňovú akciu.</w:t>
      </w:r>
      <w:r w:rsidRPr="001C4D61">
        <w:rPr>
          <w:rFonts w:cs="Segoe UI"/>
          <w:lang w:val="sk-SK"/>
        </w:rPr>
        <w:t xml:space="preserve"> </w:t>
      </w:r>
      <w:r w:rsidRPr="002C7B36">
        <w:rPr>
          <w:rFonts w:cs="Segoe UI"/>
          <w:lang w:val="sk-SK" w:bidi="bo-CN"/>
        </w:rPr>
        <w:t>Zvýšenie dividendy je možné vďaka dobrým finančným výsledkom v uplynulom fiškálnom roku a silnej finančnej pozícii skupiny Henkel.</w:t>
      </w:r>
      <w:r w:rsidRPr="001C4D61">
        <w:rPr>
          <w:rFonts w:cs="Segoe UI"/>
          <w:lang w:val="sk-SK"/>
        </w:rPr>
        <w:t xml:space="preserve"> </w:t>
      </w:r>
      <w:r w:rsidRPr="002C7B36">
        <w:rPr>
          <w:rFonts w:cs="Segoe UI"/>
          <w:lang w:val="sk-SK" w:bidi="bo-CN"/>
        </w:rPr>
        <w:t>Pomer výplaty dividendy zostáva nezmenený na úrovni 37,9 percenta, a tým sa nachádza v cieľovom rozpätí 30 až 40 percent.</w:t>
      </w:r>
      <w:r w:rsidRPr="001C4D61">
        <w:rPr>
          <w:rFonts w:cs="Segoe UI"/>
          <w:lang w:val="sk-SK"/>
        </w:rPr>
        <w:t xml:space="preserve"> </w:t>
      </w:r>
    </w:p>
    <w:p w14:paraId="364A0C6F" w14:textId="77777777" w:rsidR="000E5CC6" w:rsidRPr="002C7B36" w:rsidRDefault="000E5CC6" w:rsidP="000E5CC6">
      <w:pPr>
        <w:rPr>
          <w:rFonts w:cs="Segoe UI"/>
          <w:szCs w:val="22"/>
          <w:lang w:val="sk-SK"/>
        </w:rPr>
      </w:pPr>
    </w:p>
    <w:p w14:paraId="51CBD8C3" w14:textId="77777777" w:rsidR="000E5CC6" w:rsidRPr="002C7B36" w:rsidRDefault="000E5CC6" w:rsidP="000E5CC6">
      <w:pPr>
        <w:spacing w:line="240" w:lineRule="auto"/>
        <w:jc w:val="left"/>
        <w:rPr>
          <w:rFonts w:cs="Segoe UI"/>
          <w:b/>
          <w:bCs/>
          <w:szCs w:val="22"/>
          <w:lang w:val="sk-SK" w:eastAsia="de-DE"/>
        </w:rPr>
      </w:pPr>
      <w:r w:rsidRPr="002C7B36">
        <w:rPr>
          <w:rFonts w:cs="Segoe UI"/>
          <w:b/>
          <w:bCs/>
          <w:szCs w:val="22"/>
          <w:lang w:val="sk-SK" w:eastAsia="de-DE"/>
        </w:rPr>
        <w:br w:type="page"/>
      </w:r>
    </w:p>
    <w:p w14:paraId="144793E6" w14:textId="77777777" w:rsidR="000E5CC6" w:rsidRPr="001C4D61" w:rsidRDefault="000E5CC6" w:rsidP="000E5CC6">
      <w:pPr>
        <w:spacing w:after="120"/>
        <w:rPr>
          <w:rFonts w:cs="Segoe UI"/>
          <w:b/>
          <w:bCs/>
          <w:szCs w:val="22"/>
          <w:lang w:val="sk-SK" w:eastAsia="de-DE"/>
        </w:rPr>
      </w:pPr>
      <w:r w:rsidRPr="002C7B36">
        <w:rPr>
          <w:rFonts w:cs="Segoe UI"/>
          <w:b/>
          <w:bCs/>
          <w:szCs w:val="22"/>
          <w:lang w:val="sk-SK" w:eastAsia="de-DE" w:bidi="bo-CN"/>
        </w:rPr>
        <w:lastRenderedPageBreak/>
        <w:t>Výsledky obchodných divízií za finančný rok 2025</w:t>
      </w:r>
    </w:p>
    <w:p w14:paraId="190196FA" w14:textId="77777777" w:rsidR="000E5CC6" w:rsidRPr="001C4D61" w:rsidRDefault="000E5CC6" w:rsidP="000E5CC6">
      <w:pPr>
        <w:rPr>
          <w:rFonts w:cs="Segoe UI"/>
          <w:szCs w:val="22"/>
          <w:lang w:val="sk-SK"/>
        </w:rPr>
      </w:pPr>
      <w:r w:rsidRPr="002C7B36">
        <w:rPr>
          <w:rFonts w:cs="Segoe UI"/>
          <w:b/>
          <w:bCs/>
          <w:szCs w:val="22"/>
          <w:lang w:val="sk-SK" w:bidi="bo-CN"/>
        </w:rPr>
        <w:t xml:space="preserve">Obrat </w:t>
      </w:r>
      <w:r w:rsidRPr="002C7B36">
        <w:rPr>
          <w:rFonts w:cs="Segoe UI"/>
          <w:szCs w:val="22"/>
          <w:lang w:val="sk-SK" w:bidi="bo-CN"/>
        </w:rPr>
        <w:t xml:space="preserve">obchodnej divízie </w:t>
      </w:r>
      <w:proofErr w:type="spellStart"/>
      <w:r w:rsidRPr="002C7B36">
        <w:rPr>
          <w:rFonts w:cs="Segoe UI"/>
          <w:b/>
          <w:bCs/>
          <w:szCs w:val="22"/>
          <w:lang w:val="sk-SK" w:bidi="bo-CN"/>
        </w:rPr>
        <w:t>Adhesive</w:t>
      </w:r>
      <w:proofErr w:type="spellEnd"/>
      <w:r w:rsidRPr="002C7B36">
        <w:rPr>
          <w:rFonts w:cs="Segoe UI"/>
          <w:b/>
          <w:bCs/>
          <w:szCs w:val="22"/>
          <w:lang w:val="sk-SK" w:bidi="bo-CN"/>
        </w:rPr>
        <w:t xml:space="preserve"> Technologies </w:t>
      </w:r>
      <w:r w:rsidRPr="002C7B36">
        <w:rPr>
          <w:rFonts w:cs="Segoe UI"/>
          <w:szCs w:val="22"/>
          <w:lang w:val="sk-SK" w:bidi="bo-CN"/>
        </w:rPr>
        <w:t>sa v nominálnom vyjadrení medziročne znížil o 2,8 na celkovú hodnotu 10 667 miliónov eur.</w:t>
      </w:r>
      <w:r w:rsidRPr="001C4D61">
        <w:rPr>
          <w:rFonts w:cs="Segoe UI"/>
          <w:szCs w:val="22"/>
          <w:lang w:val="sk-SK"/>
        </w:rPr>
        <w:t xml:space="preserve"> </w:t>
      </w:r>
      <w:r w:rsidRPr="002C7B36">
        <w:rPr>
          <w:rFonts w:cs="Segoe UI"/>
          <w:szCs w:val="22"/>
          <w:lang w:val="sk-SK" w:bidi="bo-CN"/>
        </w:rPr>
        <w:t>Kurzové vplyvy znížili obrat o 4,1 percenta,</w:t>
      </w:r>
      <w:r w:rsidRPr="001C4D61">
        <w:rPr>
          <w:rFonts w:cs="Segoe UI"/>
          <w:szCs w:val="22"/>
          <w:lang w:val="sk-SK"/>
        </w:rPr>
        <w:t xml:space="preserve"> </w:t>
      </w:r>
      <w:r w:rsidRPr="002C7B36">
        <w:rPr>
          <w:rFonts w:cs="Segoe UI"/>
          <w:szCs w:val="22"/>
          <w:lang w:val="sk-SK" w:bidi="bo-CN"/>
        </w:rPr>
        <w:t>negatívny prínos akvizícií a odpredajov predstavoval 0,1 percenta.</w:t>
      </w:r>
      <w:r w:rsidRPr="001C4D61">
        <w:rPr>
          <w:rFonts w:cs="Segoe UI"/>
          <w:szCs w:val="22"/>
          <w:lang w:val="sk-SK"/>
        </w:rPr>
        <w:t xml:space="preserve"> </w:t>
      </w:r>
      <w:r w:rsidRPr="002C7B36">
        <w:rPr>
          <w:rFonts w:cs="Segoe UI"/>
          <w:b/>
          <w:bCs/>
          <w:szCs w:val="22"/>
          <w:lang w:val="sk-SK" w:bidi="bo-CN"/>
        </w:rPr>
        <w:t xml:space="preserve">Organicky </w:t>
      </w:r>
      <w:r w:rsidRPr="002C7B36">
        <w:rPr>
          <w:rFonts w:cs="Segoe UI"/>
          <w:szCs w:val="22"/>
          <w:lang w:val="sk-SK" w:bidi="bo-CN"/>
        </w:rPr>
        <w:t>sa však obrat zvýšil o 1,5 percenta.</w:t>
      </w:r>
      <w:r w:rsidRPr="001C4D61">
        <w:rPr>
          <w:rFonts w:cs="Segoe UI"/>
          <w:szCs w:val="22"/>
          <w:lang w:val="sk-SK"/>
        </w:rPr>
        <w:t xml:space="preserve"> </w:t>
      </w:r>
      <w:r w:rsidRPr="002C7B36">
        <w:rPr>
          <w:rFonts w:cs="Segoe UI"/>
          <w:szCs w:val="22"/>
          <w:lang w:val="sk-SK" w:bidi="bo-CN"/>
        </w:rPr>
        <w:t xml:space="preserve">Tento rast obratu bol spôsobený najmä pozitívnym vývojom objemov v druhej polovici roka v porovnaní s predchádzajúcim rokom, čo bolo výsledkom mierne zlepšeného dopytu na niektorých kľúčových koncových trhoch. Ceny sa v porovnaní s minulým rokom tiež vyvíjali priaznivo. </w:t>
      </w:r>
      <w:r w:rsidRPr="002C7B36">
        <w:rPr>
          <w:rFonts w:cs="Segoe UI"/>
          <w:b/>
          <w:bCs/>
          <w:szCs w:val="22"/>
          <w:lang w:val="sk-SK" w:bidi="bo-CN"/>
        </w:rPr>
        <w:t>Upravený prevádzkový zisk</w:t>
      </w:r>
      <w:r w:rsidRPr="002C7B36">
        <w:rPr>
          <w:rFonts w:cs="Segoe UI"/>
          <w:szCs w:val="22"/>
          <w:lang w:val="sk-SK" w:bidi="bo-CN"/>
        </w:rPr>
        <w:t xml:space="preserve"> bol medziročne mierne nižší a dosiahol 1 779 miliónov eur. Hrubá marža zostala na nezmenenej vysokej úrovni z predchádzajúceho roka. </w:t>
      </w:r>
      <w:r w:rsidRPr="002C7B36">
        <w:rPr>
          <w:rFonts w:cs="Segoe UI"/>
          <w:b/>
          <w:bCs/>
          <w:szCs w:val="22"/>
          <w:lang w:val="sk-SK" w:bidi="bo-CN"/>
        </w:rPr>
        <w:t>Upravená výnosnosť predaja</w:t>
      </w:r>
      <w:r w:rsidRPr="002C7B36">
        <w:rPr>
          <w:rFonts w:cs="Segoe UI"/>
          <w:szCs w:val="22"/>
          <w:lang w:val="sk-SK" w:bidi="bo-CN"/>
        </w:rPr>
        <w:t xml:space="preserve"> sa medziročne mierne zvýšila a dosiahla 16,7 percenta.</w:t>
      </w:r>
    </w:p>
    <w:p w14:paraId="6D09C60A" w14:textId="77777777" w:rsidR="000E5CC6" w:rsidRPr="002C7B36" w:rsidRDefault="000E5CC6" w:rsidP="000E5CC6">
      <w:pPr>
        <w:rPr>
          <w:rFonts w:cs="Segoe UI"/>
          <w:szCs w:val="22"/>
          <w:lang w:val="sk-SK"/>
        </w:rPr>
      </w:pPr>
    </w:p>
    <w:p w14:paraId="2AFF69F1" w14:textId="77777777" w:rsidR="000E5CC6" w:rsidRPr="002C7B36" w:rsidRDefault="000E5CC6" w:rsidP="000E5CC6">
      <w:pPr>
        <w:rPr>
          <w:rFonts w:cs="Segoe UI"/>
          <w:szCs w:val="22"/>
          <w:lang w:val="sk-SK"/>
        </w:rPr>
      </w:pPr>
      <w:r w:rsidRPr="002C7B36">
        <w:rPr>
          <w:rFonts w:cs="Segoe UI"/>
          <w:b/>
          <w:bCs/>
          <w:szCs w:val="22"/>
          <w:lang w:val="sk-SK" w:bidi="bo-CN"/>
        </w:rPr>
        <w:t>Obrat</w:t>
      </w:r>
      <w:r w:rsidRPr="002C7B36">
        <w:rPr>
          <w:rFonts w:cs="Segoe UI"/>
          <w:szCs w:val="22"/>
          <w:lang w:val="sk-SK" w:bidi="bo-CN"/>
        </w:rPr>
        <w:t xml:space="preserve"> obchodnej divízie </w:t>
      </w:r>
      <w:proofErr w:type="spellStart"/>
      <w:r w:rsidRPr="002C7B36">
        <w:rPr>
          <w:rFonts w:cs="Segoe UI"/>
          <w:b/>
          <w:bCs/>
          <w:szCs w:val="22"/>
          <w:lang w:val="sk-SK" w:bidi="bo-CN"/>
        </w:rPr>
        <w:t>Consumer</w:t>
      </w:r>
      <w:proofErr w:type="spellEnd"/>
      <w:r w:rsidRPr="002C7B36">
        <w:rPr>
          <w:rFonts w:cs="Segoe UI"/>
          <w:b/>
          <w:bCs/>
          <w:szCs w:val="22"/>
          <w:lang w:val="sk-SK" w:bidi="bo-CN"/>
        </w:rPr>
        <w:t xml:space="preserve"> </w:t>
      </w:r>
      <w:proofErr w:type="spellStart"/>
      <w:r w:rsidRPr="002C7B36">
        <w:rPr>
          <w:rFonts w:cs="Segoe UI"/>
          <w:b/>
          <w:bCs/>
          <w:szCs w:val="22"/>
          <w:lang w:val="sk-SK" w:bidi="bo-CN"/>
        </w:rPr>
        <w:t>Brands</w:t>
      </w:r>
      <w:proofErr w:type="spellEnd"/>
      <w:r w:rsidRPr="002C7B36">
        <w:rPr>
          <w:rFonts w:cs="Segoe UI"/>
          <w:szCs w:val="22"/>
          <w:lang w:val="sk-SK" w:bidi="bo-CN"/>
        </w:rPr>
        <w:t xml:space="preserve"> dosiahol celkovú výšku 9 677 miliónov eur a v nominálnom vyjadrení sa medziročne znížil o 7,5 percenta.</w:t>
      </w:r>
      <w:r w:rsidRPr="001C4D61">
        <w:rPr>
          <w:rFonts w:cs="Segoe UI"/>
          <w:szCs w:val="22"/>
          <w:lang w:val="sk-SK"/>
        </w:rPr>
        <w:t xml:space="preserve"> </w:t>
      </w:r>
      <w:r w:rsidRPr="002C7B36">
        <w:rPr>
          <w:rFonts w:cs="Segoe UI"/>
          <w:szCs w:val="22"/>
          <w:lang w:val="sk-SK" w:bidi="bo-CN"/>
        </w:rPr>
        <w:t>Kurzové vplyvy znížili obrat o 4,</w:t>
      </w:r>
      <w:r>
        <w:rPr>
          <w:rFonts w:cs="Segoe UI"/>
          <w:szCs w:val="22"/>
          <w:lang w:val="sk-SK" w:bidi="bo-CN"/>
        </w:rPr>
        <w:t>4</w:t>
      </w:r>
      <w:r w:rsidRPr="002C7B36">
        <w:rPr>
          <w:rFonts w:cs="Segoe UI"/>
          <w:szCs w:val="22"/>
          <w:lang w:val="sk-SK" w:bidi="bo-CN"/>
        </w:rPr>
        <w:t> percenta.</w:t>
      </w:r>
      <w:r w:rsidRPr="001C4D61">
        <w:rPr>
          <w:rFonts w:cs="Segoe UI"/>
          <w:szCs w:val="22"/>
          <w:lang w:val="sk-SK"/>
        </w:rPr>
        <w:t xml:space="preserve"> </w:t>
      </w:r>
      <w:r w:rsidRPr="002C7B36">
        <w:rPr>
          <w:rFonts w:cs="Segoe UI"/>
          <w:szCs w:val="22"/>
          <w:lang w:val="sk-SK" w:bidi="bo-CN"/>
        </w:rPr>
        <w:t xml:space="preserve">Negatívny vplyv na obrat mali aj akvizície a odpredaje, a to vo výške 3,4 percenta, predovšetkým z dôvodu predaja severoamerickej maloobchodnej divízie </w:t>
      </w:r>
      <w:proofErr w:type="spellStart"/>
      <w:r w:rsidRPr="002C7B36">
        <w:rPr>
          <w:rFonts w:cs="Segoe UI"/>
          <w:szCs w:val="22"/>
          <w:lang w:val="sk-SK" w:bidi="bo-CN"/>
        </w:rPr>
        <w:t>Retailer</w:t>
      </w:r>
      <w:proofErr w:type="spellEnd"/>
      <w:r w:rsidRPr="002C7B36">
        <w:rPr>
          <w:rFonts w:cs="Segoe UI"/>
          <w:szCs w:val="22"/>
          <w:lang w:val="sk-SK" w:bidi="bo-CN"/>
        </w:rPr>
        <w:t xml:space="preserve"> </w:t>
      </w:r>
      <w:proofErr w:type="spellStart"/>
      <w:r w:rsidRPr="002C7B36">
        <w:rPr>
          <w:rFonts w:cs="Segoe UI"/>
          <w:szCs w:val="22"/>
          <w:lang w:val="sk-SK" w:bidi="bo-CN"/>
        </w:rPr>
        <w:t>Brands</w:t>
      </w:r>
      <w:proofErr w:type="spellEnd"/>
      <w:r w:rsidRPr="002C7B36">
        <w:rPr>
          <w:rFonts w:cs="Segoe UI"/>
          <w:szCs w:val="22"/>
          <w:lang w:val="sk-SK" w:bidi="bo-CN"/>
        </w:rPr>
        <w:t xml:space="preserve"> v apríly 2025.</w:t>
      </w:r>
      <w:r w:rsidRPr="001C4D61">
        <w:rPr>
          <w:rFonts w:cs="Segoe UI"/>
          <w:szCs w:val="22"/>
          <w:lang w:val="sk-SK"/>
        </w:rPr>
        <w:t xml:space="preserve"> </w:t>
      </w:r>
      <w:r w:rsidRPr="002C7B36">
        <w:rPr>
          <w:rFonts w:cs="Segoe UI"/>
          <w:b/>
          <w:bCs/>
          <w:szCs w:val="22"/>
          <w:lang w:val="sk-SK" w:bidi="bo-CN"/>
        </w:rPr>
        <w:t xml:space="preserve">Organicky </w:t>
      </w:r>
      <w:r w:rsidRPr="002C7B36">
        <w:rPr>
          <w:rFonts w:cs="Segoe UI"/>
          <w:szCs w:val="22"/>
          <w:lang w:val="sk-SK" w:bidi="bo-CN"/>
        </w:rPr>
        <w:t>obrat vzrástol o 0,3 percenta.</w:t>
      </w:r>
      <w:r w:rsidRPr="001C4D61">
        <w:rPr>
          <w:rFonts w:cs="Segoe UI"/>
          <w:szCs w:val="22"/>
          <w:lang w:val="sk-SK"/>
        </w:rPr>
        <w:t xml:space="preserve"> </w:t>
      </w:r>
      <w:bookmarkStart w:id="7" w:name="_Hlk190100714"/>
      <w:r w:rsidRPr="002C7B36">
        <w:rPr>
          <w:rFonts w:cs="Segoe UI"/>
          <w:szCs w:val="22"/>
          <w:lang w:val="sk-SK" w:bidi="bo-CN"/>
        </w:rPr>
        <w:t>K zvýšeniu prispel najmä cenový vývoj, keďže objem predaja sa mierne znížil.</w:t>
      </w:r>
      <w:r w:rsidRPr="001C4D61">
        <w:rPr>
          <w:rFonts w:cs="Segoe UI"/>
          <w:szCs w:val="22"/>
          <w:lang w:val="sk-SK"/>
        </w:rPr>
        <w:t xml:space="preserve"> </w:t>
      </w:r>
      <w:r w:rsidRPr="002C7B36">
        <w:rPr>
          <w:rFonts w:cs="Segoe UI"/>
          <w:b/>
          <w:bCs/>
          <w:szCs w:val="22"/>
          <w:lang w:val="sk-SK" w:bidi="bo-CN"/>
        </w:rPr>
        <w:t>Upravený prevádzkový zisk</w:t>
      </w:r>
      <w:r w:rsidRPr="002C7B36">
        <w:rPr>
          <w:rFonts w:cs="Segoe UI"/>
          <w:szCs w:val="22"/>
          <w:lang w:val="sk-SK" w:bidi="bo-CN"/>
        </w:rPr>
        <w:t xml:space="preserve"> vo výške 1 400 miliónov eur bol takmer na úrovni predchádzajúceho roka.</w:t>
      </w:r>
      <w:r w:rsidRPr="001C4D61">
        <w:rPr>
          <w:rFonts w:cs="Segoe UI"/>
          <w:szCs w:val="22"/>
          <w:lang w:val="sk-SK"/>
        </w:rPr>
        <w:t xml:space="preserve"> </w:t>
      </w:r>
      <w:r w:rsidRPr="002C7B36">
        <w:rPr>
          <w:rFonts w:cs="Segoe UI"/>
          <w:szCs w:val="22"/>
          <w:lang w:val="sk-SK" w:bidi="bo-CN"/>
        </w:rPr>
        <w:t>Naopak, výrazne sa zvýšila hrubá marža.</w:t>
      </w:r>
      <w:r w:rsidRPr="001C4D61">
        <w:rPr>
          <w:rFonts w:cs="Segoe UI"/>
          <w:szCs w:val="22"/>
          <w:lang w:val="sk-SK"/>
        </w:rPr>
        <w:t xml:space="preserve"> </w:t>
      </w:r>
      <w:r w:rsidRPr="002C7B36">
        <w:rPr>
          <w:rFonts w:cs="Segoe UI"/>
          <w:b/>
          <w:bCs/>
          <w:szCs w:val="22"/>
          <w:lang w:val="sk-SK" w:bidi="bo-CN"/>
        </w:rPr>
        <w:t xml:space="preserve">Upravená výnosnosť predaja </w:t>
      </w:r>
      <w:r w:rsidRPr="002C7B36">
        <w:rPr>
          <w:rFonts w:cs="Segoe UI"/>
          <w:szCs w:val="22"/>
          <w:lang w:val="sk-SK" w:bidi="bo-CN"/>
        </w:rPr>
        <w:t>zaznamenal výrazný medziročný rast, keď dosiahla úroveň 14,</w:t>
      </w:r>
      <w:r>
        <w:rPr>
          <w:rFonts w:cs="Segoe UI"/>
          <w:szCs w:val="22"/>
          <w:lang w:val="sk-SK" w:bidi="bo-CN"/>
        </w:rPr>
        <w:t>5</w:t>
      </w:r>
      <w:r w:rsidRPr="002C7B36">
        <w:rPr>
          <w:rFonts w:cs="Segoe UI"/>
          <w:szCs w:val="22"/>
          <w:lang w:val="sk-SK" w:bidi="bo-CN"/>
        </w:rPr>
        <w:t xml:space="preserve"> percenta.</w:t>
      </w:r>
      <w:r w:rsidRPr="001C4D61">
        <w:rPr>
          <w:rFonts w:cs="Segoe UI"/>
          <w:szCs w:val="22"/>
          <w:lang w:val="sk-SK"/>
        </w:rPr>
        <w:t xml:space="preserve"> </w:t>
      </w:r>
      <w:bookmarkEnd w:id="7"/>
    </w:p>
    <w:p w14:paraId="23900337" w14:textId="77777777" w:rsidR="000E5CC6" w:rsidRPr="002C7B36" w:rsidRDefault="000E5CC6" w:rsidP="000E5CC6">
      <w:pPr>
        <w:rPr>
          <w:rFonts w:cs="Segoe UI"/>
          <w:szCs w:val="22"/>
          <w:lang w:val="sk-SK"/>
        </w:rPr>
      </w:pPr>
    </w:p>
    <w:p w14:paraId="66D82574" w14:textId="77777777" w:rsidR="000E5CC6" w:rsidRPr="001C4D61" w:rsidRDefault="000E5CC6" w:rsidP="000E5CC6">
      <w:pPr>
        <w:spacing w:after="120"/>
        <w:rPr>
          <w:rFonts w:cs="Segoe UI"/>
          <w:b/>
          <w:bCs/>
          <w:szCs w:val="22"/>
          <w:lang w:val="sk-SK" w:eastAsia="de-DE"/>
        </w:rPr>
      </w:pPr>
      <w:r w:rsidRPr="002C7B36">
        <w:rPr>
          <w:rFonts w:cs="Segoe UI"/>
          <w:b/>
          <w:bCs/>
          <w:szCs w:val="22"/>
          <w:lang w:val="sk-SK" w:eastAsia="de-DE" w:bidi="bo-CN"/>
        </w:rPr>
        <w:t>Výhľad na rok 2026</w:t>
      </w:r>
    </w:p>
    <w:p w14:paraId="0D21B021" w14:textId="77777777" w:rsidR="000E5CC6" w:rsidRPr="001C4D61" w:rsidRDefault="000E5CC6" w:rsidP="000E5CC6">
      <w:pPr>
        <w:rPr>
          <w:rFonts w:cs="Segoe UI"/>
          <w:szCs w:val="22"/>
          <w:lang w:val="sk-SK"/>
        </w:rPr>
      </w:pPr>
      <w:r w:rsidRPr="002C7B36">
        <w:rPr>
          <w:rFonts w:cs="Segoe UI"/>
          <w:szCs w:val="22"/>
          <w:lang w:val="sk-SK" w:bidi="bo-CN"/>
        </w:rPr>
        <w:t>Po miernom raste v uplynulom finančnom roku sa očakáva, že globálny hospodársky výkon bude v roku 2026 pokračovať v utlmenom tempe. Predpokladá sa, že globálny ekonomický vývoj bude aj naďalej ovplyvňovaný pretrvávajúcimi geopolitickými neistotami a celkovo zvýšenou cenovou hladinou. V tomto kontexte sa očakáva len mierny nárast priemyselného dopytu a spotrebiteľského dopytu v oblastiach relevantných pre spotrebiteľský segment spoločnosti Henkel.</w:t>
      </w:r>
    </w:p>
    <w:p w14:paraId="606EA56C" w14:textId="77777777" w:rsidR="000E5CC6" w:rsidRPr="002C7B36" w:rsidRDefault="000E5CC6" w:rsidP="000E5CC6">
      <w:pPr>
        <w:rPr>
          <w:rFonts w:cs="Segoe UI"/>
          <w:szCs w:val="22"/>
          <w:lang w:val="sk-SK"/>
        </w:rPr>
      </w:pPr>
    </w:p>
    <w:p w14:paraId="0FCD0C5C" w14:textId="77777777" w:rsidR="000E5CC6" w:rsidRPr="002C7B36" w:rsidRDefault="000E5CC6" w:rsidP="000E5CC6">
      <w:pPr>
        <w:rPr>
          <w:rFonts w:cs="Segoe UI"/>
          <w:lang w:val="sk-SK"/>
        </w:rPr>
      </w:pPr>
      <w:r w:rsidRPr="002C7B36">
        <w:rPr>
          <w:rFonts w:cs="Segoe UI"/>
          <w:szCs w:val="22"/>
          <w:lang w:val="sk-SK" w:bidi="bo-CN"/>
        </w:rPr>
        <w:t>Očakáva sa, že kurzové vplyvy budú mať negatívny dosah v dolnej polovici jednociferného percentuálneho pásma. V podobnom rozsahu by mali v porovnaní s priemerom z roku 2025 rásť aj ceny priamych vstupných surovín.</w:t>
      </w:r>
      <w:r w:rsidRPr="001C4D61">
        <w:rPr>
          <w:rFonts w:cs="Segoe UI"/>
          <w:szCs w:val="22"/>
          <w:lang w:val="sk-SK"/>
        </w:rPr>
        <w:t xml:space="preserve"> </w:t>
      </w:r>
    </w:p>
    <w:p w14:paraId="485FDD05" w14:textId="77777777" w:rsidR="000E5CC6" w:rsidRDefault="000E5CC6" w:rsidP="000E5CC6">
      <w:pPr>
        <w:rPr>
          <w:rFonts w:cs="Segoe UI"/>
          <w:lang w:val="sk-SK" w:bidi="bo-CN"/>
        </w:rPr>
      </w:pPr>
    </w:p>
    <w:p w14:paraId="20AEDA1E" w14:textId="77777777" w:rsidR="000E5CC6" w:rsidRPr="001C4D61" w:rsidRDefault="000E5CC6" w:rsidP="000E5CC6">
      <w:pPr>
        <w:rPr>
          <w:rFonts w:cs="Segoe UI"/>
          <w:szCs w:val="22"/>
          <w:lang w:val="sk-SK"/>
        </w:rPr>
      </w:pPr>
      <w:r w:rsidRPr="002C7B36">
        <w:rPr>
          <w:rFonts w:cs="Segoe UI"/>
          <w:lang w:val="sk-SK" w:bidi="bo-CN"/>
        </w:rPr>
        <w:t xml:space="preserve">Na základe týchto predpokladov spoločnosť Henkel očakáva vo finančnom roku 2026 </w:t>
      </w:r>
      <w:r w:rsidRPr="002C7B36">
        <w:rPr>
          <w:rFonts w:cs="Segoe UI"/>
          <w:b/>
          <w:bCs/>
          <w:lang w:val="sk-SK" w:bidi="bo-CN"/>
        </w:rPr>
        <w:t>organický rast obratu</w:t>
      </w:r>
      <w:r w:rsidRPr="002C7B36">
        <w:rPr>
          <w:rFonts w:cs="Segoe UI"/>
          <w:lang w:val="sk-SK" w:bidi="bo-CN"/>
        </w:rPr>
        <w:t xml:space="preserve"> v rozpätí 1,0 až 3,0 percenta.</w:t>
      </w:r>
      <w:r w:rsidRPr="001C4D61">
        <w:rPr>
          <w:rFonts w:cs="Segoe UI"/>
          <w:lang w:val="sk-SK"/>
        </w:rPr>
        <w:t xml:space="preserve"> </w:t>
      </w:r>
      <w:r w:rsidRPr="002C7B36">
        <w:rPr>
          <w:rFonts w:cs="Segoe UI"/>
          <w:lang w:val="sk-SK" w:bidi="bo-CN"/>
        </w:rPr>
        <w:t xml:space="preserve">Organický rast v uvedenom rozsahu sa očakáva v prípade obchodnej divízie </w:t>
      </w:r>
      <w:proofErr w:type="spellStart"/>
      <w:r w:rsidRPr="002C7B36">
        <w:rPr>
          <w:rFonts w:cs="Segoe UI"/>
          <w:lang w:val="sk-SK" w:bidi="bo-CN"/>
        </w:rPr>
        <w:t>Adhesive</w:t>
      </w:r>
      <w:proofErr w:type="spellEnd"/>
      <w:r w:rsidRPr="002C7B36">
        <w:rPr>
          <w:rFonts w:cs="Segoe UI"/>
          <w:lang w:val="sk-SK" w:bidi="bo-CN"/>
        </w:rPr>
        <w:t xml:space="preserve"> Technologies, kým pri divízii </w:t>
      </w:r>
      <w:proofErr w:type="spellStart"/>
      <w:r w:rsidRPr="002C7B36">
        <w:rPr>
          <w:rFonts w:cs="Segoe UI"/>
          <w:lang w:val="sk-SK" w:bidi="bo-CN"/>
        </w:rPr>
        <w:t>Consumer</w:t>
      </w:r>
      <w:proofErr w:type="spellEnd"/>
      <w:r w:rsidRPr="002C7B36">
        <w:rPr>
          <w:rFonts w:cs="Segoe UI"/>
          <w:lang w:val="sk-SK" w:bidi="bo-CN"/>
        </w:rPr>
        <w:t xml:space="preserve"> </w:t>
      </w:r>
      <w:proofErr w:type="spellStart"/>
      <w:r w:rsidRPr="002C7B36">
        <w:rPr>
          <w:rFonts w:cs="Segoe UI"/>
          <w:lang w:val="sk-SK" w:bidi="bo-CN"/>
        </w:rPr>
        <w:t>Brands</w:t>
      </w:r>
      <w:proofErr w:type="spellEnd"/>
      <w:r w:rsidRPr="002C7B36">
        <w:rPr>
          <w:rFonts w:cs="Segoe UI"/>
          <w:lang w:val="sk-SK" w:bidi="bo-CN"/>
        </w:rPr>
        <w:t xml:space="preserve"> </w:t>
      </w:r>
      <w:r w:rsidRPr="002C7B36">
        <w:rPr>
          <w:rFonts w:cs="Segoe UI"/>
          <w:lang w:val="sk-SK" w:bidi="bo-CN"/>
        </w:rPr>
        <w:lastRenderedPageBreak/>
        <w:t>by to malo 0,5 až 2,5 percenta.</w:t>
      </w:r>
      <w:r w:rsidRPr="001C4D61">
        <w:rPr>
          <w:rFonts w:cs="Segoe UI"/>
          <w:lang w:val="sk-SK"/>
        </w:rPr>
        <w:t xml:space="preserve"> </w:t>
      </w:r>
      <w:r w:rsidRPr="002C7B36">
        <w:rPr>
          <w:rFonts w:cs="Segoe UI"/>
          <w:bCs/>
          <w:lang w:val="sk-SK" w:bidi="bo-CN"/>
        </w:rPr>
        <w:t>Očakávaná</w:t>
      </w:r>
      <w:r w:rsidRPr="002C7B36">
        <w:rPr>
          <w:rFonts w:cs="Segoe UI"/>
          <w:b/>
          <w:lang w:val="sk-SK" w:bidi="bo-CN"/>
        </w:rPr>
        <w:t xml:space="preserve"> upravená výnosnosť predaja (upravená marža EBIT)</w:t>
      </w:r>
      <w:r w:rsidRPr="002C7B36">
        <w:rPr>
          <w:rFonts w:cs="Segoe UI"/>
          <w:bCs/>
          <w:lang w:val="sk-SK" w:bidi="bo-CN"/>
        </w:rPr>
        <w:t xml:space="preserve"> sa pohybuje v rozsahu 14,5 až 16,0 percent.</w:t>
      </w:r>
      <w:r w:rsidRPr="001C4D61">
        <w:rPr>
          <w:rFonts w:cs="Segoe UI"/>
          <w:lang w:val="sk-SK"/>
        </w:rPr>
        <w:t xml:space="preserve"> </w:t>
      </w:r>
      <w:r w:rsidRPr="002C7B36">
        <w:rPr>
          <w:rFonts w:cs="Segoe UI"/>
          <w:lang w:val="sk-SK" w:bidi="bo-CN"/>
        </w:rPr>
        <w:t xml:space="preserve">V prípade divízie </w:t>
      </w:r>
      <w:proofErr w:type="spellStart"/>
      <w:r w:rsidRPr="002C7B36">
        <w:rPr>
          <w:rFonts w:cs="Segoe UI"/>
          <w:lang w:val="sk-SK" w:bidi="bo-CN"/>
        </w:rPr>
        <w:t>Adhesive</w:t>
      </w:r>
      <w:proofErr w:type="spellEnd"/>
      <w:r w:rsidRPr="002C7B36">
        <w:rPr>
          <w:rFonts w:cs="Segoe UI"/>
          <w:lang w:val="sk-SK" w:bidi="bo-CN"/>
        </w:rPr>
        <w:t xml:space="preserve"> Technologies by sa upravená výnosnosť predaja mala pohybovať medzi 16,5 až 18,0 percenta, pri divízii </w:t>
      </w:r>
      <w:proofErr w:type="spellStart"/>
      <w:r w:rsidRPr="002C7B36">
        <w:rPr>
          <w:rFonts w:cs="Segoe UI"/>
          <w:lang w:val="sk-SK" w:bidi="bo-CN"/>
        </w:rPr>
        <w:t>Consumer</w:t>
      </w:r>
      <w:proofErr w:type="spellEnd"/>
      <w:r w:rsidRPr="002C7B36">
        <w:rPr>
          <w:rFonts w:cs="Segoe UI"/>
          <w:lang w:val="sk-SK" w:bidi="bo-CN"/>
        </w:rPr>
        <w:t xml:space="preserve"> </w:t>
      </w:r>
      <w:proofErr w:type="spellStart"/>
      <w:r w:rsidRPr="002C7B36">
        <w:rPr>
          <w:rFonts w:cs="Segoe UI"/>
          <w:lang w:val="sk-SK" w:bidi="bo-CN"/>
        </w:rPr>
        <w:t>Brands</w:t>
      </w:r>
      <w:proofErr w:type="spellEnd"/>
      <w:r w:rsidRPr="002C7B36">
        <w:rPr>
          <w:rFonts w:cs="Segoe UI"/>
          <w:lang w:val="sk-SK" w:bidi="bo-CN"/>
        </w:rPr>
        <w:t xml:space="preserve"> by to malo byť 14,0 až 15,5 percenta.</w:t>
      </w:r>
      <w:r w:rsidRPr="001C4D61">
        <w:rPr>
          <w:rFonts w:cs="Segoe UI"/>
          <w:lang w:val="sk-SK"/>
        </w:rPr>
        <w:t xml:space="preserve"> </w:t>
      </w:r>
      <w:r w:rsidRPr="002C7B36">
        <w:rPr>
          <w:rFonts w:cs="Segoe UI"/>
          <w:lang w:val="sk-SK" w:bidi="bo-CN"/>
        </w:rPr>
        <w:t xml:space="preserve">V prípade </w:t>
      </w:r>
      <w:r w:rsidRPr="002C7B36">
        <w:rPr>
          <w:rFonts w:cs="Segoe UI"/>
          <w:b/>
          <w:bCs/>
          <w:lang w:val="sk-SK" w:bidi="bo-CN"/>
        </w:rPr>
        <w:t>upravených výnosov na prioritnú akciu (EPS)</w:t>
      </w:r>
      <w:r w:rsidRPr="002C7B36">
        <w:rPr>
          <w:rFonts w:cs="Segoe UI"/>
          <w:lang w:val="sk-SK" w:bidi="bo-CN"/>
        </w:rPr>
        <w:t xml:space="preserve"> pri konštantných kurzových sadzbách spoločnosť Henkel očakáva ich zvýšenie v spodnej až hornej polovici jednociferného percentuálneho rozsahu.</w:t>
      </w:r>
    </w:p>
    <w:p w14:paraId="6EF26772" w14:textId="77777777" w:rsidR="000E5CC6" w:rsidRPr="002C7B36" w:rsidRDefault="000E5CC6" w:rsidP="000E5CC6">
      <w:pPr>
        <w:rPr>
          <w:rFonts w:cs="Segoe UI"/>
          <w:b/>
          <w:bCs/>
          <w:szCs w:val="22"/>
          <w:lang w:val="sk-SK" w:eastAsia="de-DE"/>
        </w:rPr>
      </w:pPr>
    </w:p>
    <w:p w14:paraId="6477633E" w14:textId="77777777" w:rsidR="000E5CC6" w:rsidRPr="001C4D61" w:rsidRDefault="000E5CC6" w:rsidP="000E5CC6">
      <w:pPr>
        <w:spacing w:after="120"/>
        <w:jc w:val="left"/>
        <w:rPr>
          <w:rFonts w:cs="Segoe UI"/>
          <w:b/>
          <w:bCs/>
          <w:szCs w:val="22"/>
          <w:lang w:val="sk-SK" w:eastAsia="de-DE" w:bidi="bo-CN"/>
        </w:rPr>
      </w:pPr>
      <w:r w:rsidRPr="002C7B36">
        <w:rPr>
          <w:rFonts w:cs="Segoe UI"/>
          <w:b/>
          <w:bCs/>
          <w:szCs w:val="22"/>
          <w:lang w:val="sk-SK" w:eastAsia="de-DE" w:bidi="bo-CN"/>
        </w:rPr>
        <w:t>Hlavný pokrok v transformačnom proces</w:t>
      </w:r>
    </w:p>
    <w:p w14:paraId="532731D7" w14:textId="77777777" w:rsidR="000E5CC6" w:rsidRPr="00557140" w:rsidRDefault="000E5CC6" w:rsidP="000E5CC6">
      <w:pPr>
        <w:rPr>
          <w:rFonts w:cs="Segoe UI"/>
          <w:lang w:val="sk-SK" w:bidi="bo-CN"/>
        </w:rPr>
      </w:pPr>
      <w:r w:rsidRPr="00557140">
        <w:rPr>
          <w:rFonts w:cs="Segoe UI"/>
          <w:lang w:val="sk-SK" w:bidi="bo-CN"/>
        </w:rPr>
        <w:t xml:space="preserve">V uplynulých rokoch sa spoločnosť Henkel zásadne </w:t>
      </w:r>
      <w:r>
        <w:rPr>
          <w:rFonts w:cs="Segoe UI"/>
          <w:lang w:val="sk-SK" w:bidi="bo-CN"/>
        </w:rPr>
        <w:t>„</w:t>
      </w:r>
      <w:r w:rsidRPr="00557140">
        <w:rPr>
          <w:rFonts w:cs="Segoe UI"/>
          <w:lang w:val="sk-SK" w:bidi="bo-CN"/>
        </w:rPr>
        <w:t>obnovila</w:t>
      </w:r>
      <w:r>
        <w:rPr>
          <w:rFonts w:cs="Segoe UI"/>
          <w:lang w:val="sk-SK" w:bidi="bo-CN"/>
        </w:rPr>
        <w:t>“</w:t>
      </w:r>
      <w:r w:rsidRPr="00557140">
        <w:rPr>
          <w:rFonts w:cs="Segoe UI"/>
          <w:lang w:val="sk-SK" w:bidi="bo-CN"/>
        </w:rPr>
        <w:t xml:space="preserve"> v mnohých oblastiach a dôsledne realizovala svoju strategickú agendu zameranú na zmysluplný rast. Kľúčovým faktorom dlhodobého úspechu je ochota neustále sa rozvíjať a aktívne formovať zmeny. </w:t>
      </w:r>
    </w:p>
    <w:p w14:paraId="21AFE9A9" w14:textId="77777777" w:rsidR="000E5CC6" w:rsidRPr="002C7B36" w:rsidRDefault="000E5CC6" w:rsidP="000E5CC6">
      <w:pPr>
        <w:rPr>
          <w:rFonts w:cs="Segoe UI"/>
          <w:szCs w:val="22"/>
          <w:lang w:val="sk-SK"/>
        </w:rPr>
      </w:pPr>
    </w:p>
    <w:p w14:paraId="74A3C917" w14:textId="77777777" w:rsidR="000E5CC6" w:rsidRPr="001C4D61" w:rsidRDefault="000E5CC6" w:rsidP="000E5CC6">
      <w:pPr>
        <w:spacing w:after="120"/>
        <w:jc w:val="left"/>
        <w:rPr>
          <w:rFonts w:cs="Segoe UI"/>
          <w:b/>
          <w:bCs/>
          <w:szCs w:val="22"/>
          <w:lang w:val="sk-SK" w:eastAsia="de-DE"/>
        </w:rPr>
      </w:pPr>
      <w:proofErr w:type="spellStart"/>
      <w:r w:rsidRPr="002C7B36">
        <w:rPr>
          <w:rFonts w:cs="Segoe UI"/>
          <w:b/>
          <w:bCs/>
          <w:szCs w:val="22"/>
          <w:lang w:val="sk-SK" w:eastAsia="de-DE" w:bidi="bo-CN"/>
        </w:rPr>
        <w:t>Consumer</w:t>
      </w:r>
      <w:proofErr w:type="spellEnd"/>
      <w:r w:rsidRPr="002C7B36">
        <w:rPr>
          <w:rFonts w:cs="Segoe UI"/>
          <w:b/>
          <w:bCs/>
          <w:szCs w:val="22"/>
          <w:lang w:val="sk-SK" w:eastAsia="de-DE" w:bidi="bo-CN"/>
        </w:rPr>
        <w:t xml:space="preserve"> </w:t>
      </w:r>
      <w:proofErr w:type="spellStart"/>
      <w:r w:rsidRPr="002C7B36">
        <w:rPr>
          <w:rFonts w:cs="Segoe UI"/>
          <w:b/>
          <w:bCs/>
          <w:szCs w:val="22"/>
          <w:lang w:val="sk-SK" w:eastAsia="de-DE" w:bidi="bo-CN"/>
        </w:rPr>
        <w:t>Brands</w:t>
      </w:r>
      <w:proofErr w:type="spellEnd"/>
      <w:r w:rsidRPr="002C7B36">
        <w:rPr>
          <w:rFonts w:cs="Segoe UI"/>
          <w:b/>
          <w:bCs/>
          <w:szCs w:val="22"/>
          <w:lang w:val="sk-SK" w:eastAsia="de-DE" w:bidi="bo-CN"/>
        </w:rPr>
        <w:t>:</w:t>
      </w:r>
      <w:r w:rsidRPr="001C4D61">
        <w:rPr>
          <w:rFonts w:cs="Segoe UI"/>
          <w:b/>
          <w:bCs/>
          <w:szCs w:val="22"/>
          <w:lang w:val="sk-SK" w:eastAsia="de-DE"/>
        </w:rPr>
        <w:t xml:space="preserve"> </w:t>
      </w:r>
      <w:r w:rsidRPr="002C7B36">
        <w:rPr>
          <w:rFonts w:cs="Segoe UI"/>
          <w:b/>
          <w:bCs/>
          <w:szCs w:val="22"/>
          <w:lang w:val="sk-SK" w:eastAsia="de-DE" w:bidi="bo-CN"/>
        </w:rPr>
        <w:t>Zlúčenie úspešne dovŕšené</w:t>
      </w:r>
    </w:p>
    <w:p w14:paraId="4A66693F" w14:textId="77777777" w:rsidR="000E5CC6" w:rsidRPr="001C4D61" w:rsidRDefault="000E5CC6" w:rsidP="000E5CC6">
      <w:pPr>
        <w:rPr>
          <w:rFonts w:cs="Segoe UI"/>
          <w:szCs w:val="22"/>
          <w:lang w:val="sk-SK"/>
        </w:rPr>
      </w:pPr>
      <w:bookmarkStart w:id="8" w:name="_Hlk190100871"/>
      <w:r w:rsidRPr="002C7B36">
        <w:rPr>
          <w:rFonts w:cs="Segoe UI"/>
          <w:szCs w:val="22"/>
          <w:lang w:val="sk-SK" w:bidi="bo-CN"/>
        </w:rPr>
        <w:t xml:space="preserve">Zlúčenie spotrebiteľských segmentov do jednej obchodnej divízie </w:t>
      </w:r>
      <w:proofErr w:type="spellStart"/>
      <w:r w:rsidRPr="002C7B36">
        <w:rPr>
          <w:rFonts w:cs="Segoe UI"/>
          <w:b/>
          <w:bCs/>
          <w:szCs w:val="22"/>
          <w:lang w:val="sk-SK" w:bidi="bo-CN"/>
        </w:rPr>
        <w:t>Consumer</w:t>
      </w:r>
      <w:proofErr w:type="spellEnd"/>
      <w:r w:rsidRPr="002C7B36">
        <w:rPr>
          <w:rFonts w:cs="Segoe UI"/>
          <w:b/>
          <w:bCs/>
          <w:szCs w:val="22"/>
          <w:lang w:val="sk-SK" w:bidi="bo-CN"/>
        </w:rPr>
        <w:t xml:space="preserve"> </w:t>
      </w:r>
      <w:proofErr w:type="spellStart"/>
      <w:r w:rsidRPr="002C7B36">
        <w:rPr>
          <w:rFonts w:cs="Segoe UI"/>
          <w:b/>
          <w:bCs/>
          <w:szCs w:val="22"/>
          <w:lang w:val="sk-SK" w:bidi="bo-CN"/>
        </w:rPr>
        <w:t>Brands</w:t>
      </w:r>
      <w:proofErr w:type="spellEnd"/>
      <w:r w:rsidRPr="002C7B36">
        <w:rPr>
          <w:rFonts w:cs="Segoe UI"/>
          <w:szCs w:val="22"/>
          <w:lang w:val="sk-SK" w:bidi="bo-CN"/>
        </w:rPr>
        <w:t xml:space="preserve">, ktoré bolo oznámené začiatkom roka 2022, sa podarilo dokončiť koncom finančného roka 2025 a zároveň sa podarilo prekročiť aj pôvodne plánované ročné úspory vo výške 525 miliónov eur. Integrácia divízie </w:t>
      </w:r>
      <w:proofErr w:type="spellStart"/>
      <w:r w:rsidRPr="002C7B36">
        <w:rPr>
          <w:rFonts w:cs="Segoe UI"/>
          <w:szCs w:val="22"/>
          <w:lang w:val="sk-SK" w:bidi="bo-CN"/>
        </w:rPr>
        <w:t>Consumer</w:t>
      </w:r>
      <w:proofErr w:type="spellEnd"/>
      <w:r w:rsidRPr="002C7B36">
        <w:rPr>
          <w:rFonts w:cs="Segoe UI"/>
          <w:szCs w:val="22"/>
          <w:lang w:val="sk-SK" w:bidi="bo-CN"/>
        </w:rPr>
        <w:t xml:space="preserve"> </w:t>
      </w:r>
      <w:proofErr w:type="spellStart"/>
      <w:r w:rsidRPr="002C7B36">
        <w:rPr>
          <w:rFonts w:cs="Segoe UI"/>
          <w:szCs w:val="22"/>
          <w:lang w:val="sk-SK" w:bidi="bo-CN"/>
        </w:rPr>
        <w:t>Brands</w:t>
      </w:r>
      <w:proofErr w:type="spellEnd"/>
      <w:r w:rsidRPr="002C7B36">
        <w:rPr>
          <w:rFonts w:cs="Segoe UI"/>
          <w:szCs w:val="22"/>
          <w:lang w:val="sk-SK" w:bidi="bo-CN"/>
        </w:rPr>
        <w:t xml:space="preserve"> sa tak oproti plánu úspešne zavŕšila o rok skôr.</w:t>
      </w:r>
    </w:p>
    <w:p w14:paraId="55E07352" w14:textId="77777777" w:rsidR="000E5CC6" w:rsidRPr="002C7B36" w:rsidRDefault="000E5CC6" w:rsidP="000E5CC6">
      <w:pPr>
        <w:rPr>
          <w:rFonts w:cs="Segoe UI"/>
          <w:szCs w:val="22"/>
          <w:lang w:val="sk-SK" w:eastAsia="de-DE"/>
        </w:rPr>
      </w:pPr>
    </w:p>
    <w:p w14:paraId="1EB4FE09" w14:textId="77777777" w:rsidR="000E5CC6" w:rsidRPr="002C7B36" w:rsidRDefault="000E5CC6" w:rsidP="000E5CC6">
      <w:pPr>
        <w:rPr>
          <w:rFonts w:cs="Segoe UI"/>
          <w:szCs w:val="22"/>
          <w:lang w:val="sk-SK"/>
        </w:rPr>
      </w:pPr>
      <w:r w:rsidRPr="002C7B36">
        <w:rPr>
          <w:rFonts w:cs="Segoe UI"/>
          <w:szCs w:val="22"/>
          <w:lang w:val="sk-SK" w:eastAsia="de-DE" w:bidi="bo-CN"/>
        </w:rPr>
        <w:t xml:space="preserve">Zároveň sa obchodná divízia </w:t>
      </w:r>
      <w:proofErr w:type="spellStart"/>
      <w:r w:rsidRPr="002C7B36">
        <w:rPr>
          <w:rFonts w:cs="Segoe UI"/>
          <w:szCs w:val="22"/>
          <w:lang w:val="sk-SK" w:eastAsia="de-DE" w:bidi="bo-CN"/>
        </w:rPr>
        <w:t>Consumer</w:t>
      </w:r>
      <w:proofErr w:type="spellEnd"/>
      <w:r w:rsidRPr="002C7B36">
        <w:rPr>
          <w:rFonts w:cs="Segoe UI"/>
          <w:szCs w:val="22"/>
          <w:lang w:val="sk-SK" w:eastAsia="de-DE" w:bidi="bo-CN"/>
        </w:rPr>
        <w:t xml:space="preserve"> </w:t>
      </w:r>
      <w:proofErr w:type="spellStart"/>
      <w:r w:rsidRPr="002C7B36">
        <w:rPr>
          <w:rFonts w:cs="Segoe UI"/>
          <w:szCs w:val="22"/>
          <w:lang w:val="sk-SK" w:eastAsia="de-DE" w:bidi="bo-CN"/>
        </w:rPr>
        <w:t>Brands</w:t>
      </w:r>
      <w:proofErr w:type="spellEnd"/>
      <w:r w:rsidRPr="002C7B36">
        <w:rPr>
          <w:rFonts w:cs="Segoe UI"/>
          <w:szCs w:val="22"/>
          <w:lang w:val="sk-SK" w:eastAsia="de-DE" w:bidi="bo-CN"/>
        </w:rPr>
        <w:t xml:space="preserve"> dôsledne sústredila na silné značky a obchodné oblasti s vysokými hrubými maržami, ako aj na posilňovanie svojej vedúcej pozície naprieč trhmi i kategóriami. Tento dôraz na značky a oblasti s vysokým rastovým potenciálom a vysokými maržami sa vypláca: desať najväčších značiek v rámci divízie </w:t>
      </w:r>
      <w:proofErr w:type="spellStart"/>
      <w:r w:rsidRPr="002C7B36">
        <w:rPr>
          <w:rFonts w:cs="Segoe UI"/>
          <w:szCs w:val="22"/>
          <w:lang w:val="sk-SK" w:eastAsia="de-DE" w:bidi="bo-CN"/>
        </w:rPr>
        <w:t>Consumer</w:t>
      </w:r>
      <w:proofErr w:type="spellEnd"/>
      <w:r w:rsidRPr="002C7B36">
        <w:rPr>
          <w:rFonts w:cs="Segoe UI"/>
          <w:szCs w:val="22"/>
          <w:lang w:val="sk-SK" w:eastAsia="de-DE" w:bidi="bo-CN"/>
        </w:rPr>
        <w:t xml:space="preserve"> </w:t>
      </w:r>
      <w:proofErr w:type="spellStart"/>
      <w:r w:rsidRPr="002C7B36">
        <w:rPr>
          <w:rFonts w:cs="Segoe UI"/>
          <w:szCs w:val="22"/>
          <w:lang w:val="sk-SK" w:eastAsia="de-DE" w:bidi="bo-CN"/>
        </w:rPr>
        <w:t>Brands</w:t>
      </w:r>
      <w:proofErr w:type="spellEnd"/>
      <w:r w:rsidRPr="002C7B36">
        <w:rPr>
          <w:rFonts w:cs="Segoe UI"/>
          <w:szCs w:val="22"/>
          <w:lang w:val="sk-SK" w:eastAsia="de-DE" w:bidi="bo-CN"/>
        </w:rPr>
        <w:t>, ktoré v roku 2025 tvorili takmer 60 percent tržieb, zaznamenalo veľmi silný organický rast spolu s pozitívnym nárastom objemov.</w:t>
      </w:r>
      <w:r w:rsidRPr="001C4D61">
        <w:rPr>
          <w:rFonts w:cs="Segoe UI"/>
          <w:szCs w:val="22"/>
          <w:lang w:val="sk-SK"/>
        </w:rPr>
        <w:t xml:space="preserve"> </w:t>
      </w:r>
    </w:p>
    <w:bookmarkEnd w:id="8"/>
    <w:p w14:paraId="208272AB" w14:textId="77777777" w:rsidR="000E5CC6" w:rsidRPr="002C7B36" w:rsidRDefault="000E5CC6" w:rsidP="000E5CC6">
      <w:pPr>
        <w:rPr>
          <w:rFonts w:cs="Segoe UI"/>
          <w:szCs w:val="22"/>
          <w:lang w:val="sk-SK"/>
        </w:rPr>
      </w:pPr>
    </w:p>
    <w:p w14:paraId="4775C3F7" w14:textId="77777777" w:rsidR="000E5CC6" w:rsidRPr="00557140" w:rsidRDefault="000E5CC6" w:rsidP="000E5CC6">
      <w:pPr>
        <w:rPr>
          <w:rFonts w:cs="Segoe UI"/>
          <w:szCs w:val="22"/>
          <w:lang w:val="sk-SK" w:eastAsia="de-DE" w:bidi="bo-CN"/>
        </w:rPr>
      </w:pPr>
      <w:r w:rsidRPr="002C7B36">
        <w:rPr>
          <w:rFonts w:cs="Segoe UI"/>
          <w:szCs w:val="22"/>
          <w:lang w:val="sk-SK" w:eastAsia="de-DE" w:bidi="bo-CN"/>
        </w:rPr>
        <w:t>Význam konsolidácie spotrebiteľských oblastí je obzvlášť zreteľný pri pohľade na výkonnosť za uplynulé tri roky, teda od vzniku novej obchodnej divízie. Vo finančnom roku 2022 dosahovala kombinovaná upravená výnosnosť predaja pri týchto obchodných aktivitách úroveň 8,3 percenta, pričom do konca finančného roka 2025 sa zvýšila na 14,5 percenta. Ide o zlepšenie o 6,2 percentuálneho bodu v priebehu troch rokov, počas ktorých zároveň výrazne rástli investície do značiek a inovačných kapacít v rámci tejto obchodnej divízie.</w:t>
      </w:r>
      <w:r w:rsidRPr="001C4D61">
        <w:rPr>
          <w:rFonts w:cs="Segoe UI"/>
          <w:szCs w:val="22"/>
          <w:lang w:val="sk-SK" w:eastAsia="de-DE" w:bidi="bo-CN"/>
        </w:rPr>
        <w:t xml:space="preserve"> </w:t>
      </w:r>
    </w:p>
    <w:p w14:paraId="0BEBBD44" w14:textId="77777777" w:rsidR="000E5CC6" w:rsidRDefault="000E5CC6" w:rsidP="000E5CC6">
      <w:pPr>
        <w:spacing w:after="120"/>
        <w:rPr>
          <w:rFonts w:cs="Segoe UI"/>
          <w:b/>
          <w:bCs/>
          <w:szCs w:val="22"/>
          <w:lang w:val="sk-SK" w:eastAsia="de-DE" w:bidi="bo-CN"/>
        </w:rPr>
      </w:pPr>
    </w:p>
    <w:p w14:paraId="6DC887B5" w14:textId="77777777" w:rsidR="000E5CC6" w:rsidRPr="001C4D61" w:rsidRDefault="000E5CC6" w:rsidP="000E5CC6">
      <w:pPr>
        <w:spacing w:after="120"/>
        <w:rPr>
          <w:rFonts w:cs="Segoe UI"/>
          <w:b/>
          <w:bCs/>
          <w:szCs w:val="22"/>
          <w:lang w:val="sk-SK" w:eastAsia="de-DE"/>
        </w:rPr>
      </w:pPr>
      <w:r w:rsidRPr="002C7B36">
        <w:rPr>
          <w:rFonts w:cs="Segoe UI"/>
          <w:b/>
          <w:bCs/>
          <w:szCs w:val="22"/>
          <w:lang w:val="sk-SK" w:eastAsia="de-DE" w:bidi="bo-CN"/>
        </w:rPr>
        <w:t>Konzistentná implementácia strategickej agendy</w:t>
      </w:r>
    </w:p>
    <w:p w14:paraId="410B18D3" w14:textId="77777777" w:rsidR="000E5CC6" w:rsidRPr="002C7B36" w:rsidRDefault="000E5CC6" w:rsidP="000E5CC6">
      <w:pPr>
        <w:autoSpaceDE w:val="0"/>
        <w:autoSpaceDN w:val="0"/>
        <w:adjustRightInd w:val="0"/>
        <w:rPr>
          <w:rFonts w:cs="Segoe UI"/>
          <w:bCs/>
          <w:szCs w:val="22"/>
          <w:lang w:val="sk-SK"/>
        </w:rPr>
      </w:pPr>
      <w:r w:rsidRPr="002C7B36">
        <w:rPr>
          <w:rFonts w:cs="Segoe UI"/>
          <w:bCs/>
          <w:szCs w:val="22"/>
          <w:lang w:val="sk-SK" w:bidi="bo-CN"/>
        </w:rPr>
        <w:t xml:space="preserve">V náročnom makroekonomickom a geopolitickom prostredí spoločnosť Henkel v uplynulom fiškálnom roku naďalej dôsledne realizovala svoju strategickú agendu a dosiahla významný pokrok vo všetkých jej oblastiach. Spoločnosť ďalej rozvíjala svoje podnikateľské aktivity a </w:t>
      </w:r>
      <w:r w:rsidRPr="002C7B36">
        <w:rPr>
          <w:rFonts w:cs="Segoe UI"/>
          <w:bCs/>
          <w:szCs w:val="22"/>
          <w:lang w:val="sk-SK" w:bidi="bo-CN"/>
        </w:rPr>
        <w:lastRenderedPageBreak/>
        <w:t>portfólio značiek, posilnila svoje konkurenčné výhody v oblasti inovácií, udržateľnosti a digitalizácie, optimalizovala obchodné procesy a upevnila svoju firemnú kultúru.</w:t>
      </w:r>
      <w:r w:rsidRPr="001C4D61">
        <w:rPr>
          <w:rFonts w:cs="Segoe UI"/>
          <w:bCs/>
          <w:szCs w:val="22"/>
          <w:lang w:val="sk-SK"/>
        </w:rPr>
        <w:t xml:space="preserve"> </w:t>
      </w:r>
    </w:p>
    <w:p w14:paraId="61C42A0C" w14:textId="77777777" w:rsidR="000E5CC6" w:rsidRPr="002C7B36" w:rsidRDefault="000E5CC6" w:rsidP="000E5CC6">
      <w:pPr>
        <w:autoSpaceDE w:val="0"/>
        <w:autoSpaceDN w:val="0"/>
        <w:adjustRightInd w:val="0"/>
        <w:rPr>
          <w:rFonts w:cs="Segoe UI"/>
          <w:bCs/>
          <w:szCs w:val="22"/>
          <w:lang w:val="sk-SK"/>
        </w:rPr>
      </w:pPr>
      <w:r w:rsidRPr="002C7B36">
        <w:rPr>
          <w:rFonts w:cs="Segoe UI"/>
          <w:bCs/>
          <w:szCs w:val="22"/>
          <w:lang w:val="sk-SK" w:bidi="bo-CN"/>
        </w:rPr>
        <w:t xml:space="preserve">V rámci </w:t>
      </w:r>
      <w:r w:rsidRPr="002C7B36">
        <w:rPr>
          <w:rFonts w:cs="Segoe UI"/>
          <w:b/>
          <w:szCs w:val="22"/>
          <w:lang w:val="sk-SK" w:bidi="bo-CN"/>
        </w:rPr>
        <w:t>aktívneho riadenia portfólia</w:t>
      </w:r>
      <w:r w:rsidRPr="002C7B36">
        <w:rPr>
          <w:rFonts w:cs="Segoe UI"/>
          <w:bCs/>
          <w:szCs w:val="22"/>
          <w:lang w:val="sk-SK" w:bidi="bo-CN"/>
        </w:rPr>
        <w:t xml:space="preserve"> spoločnosť Henkel ďalej rozvíjala svoje portfólio ukončovaním alebo odpredajom obchodných aktivít a realizáciou akvizícií. Odpredajom svojej severoamerickej maloobchodnej divízie </w:t>
      </w:r>
      <w:proofErr w:type="spellStart"/>
      <w:r w:rsidRPr="002C7B36">
        <w:rPr>
          <w:rFonts w:cs="Segoe UI"/>
          <w:bCs/>
          <w:szCs w:val="22"/>
          <w:lang w:val="sk-SK" w:bidi="bo-CN"/>
        </w:rPr>
        <w:t>Retailer</w:t>
      </w:r>
      <w:proofErr w:type="spellEnd"/>
      <w:r w:rsidRPr="002C7B36">
        <w:rPr>
          <w:rFonts w:cs="Segoe UI"/>
          <w:bCs/>
          <w:szCs w:val="22"/>
          <w:lang w:val="sk-SK" w:bidi="bo-CN"/>
        </w:rPr>
        <w:t xml:space="preserve"> </w:t>
      </w:r>
      <w:proofErr w:type="spellStart"/>
      <w:r w:rsidRPr="002C7B36">
        <w:rPr>
          <w:rFonts w:cs="Segoe UI"/>
          <w:bCs/>
          <w:szCs w:val="22"/>
          <w:lang w:val="sk-SK" w:bidi="bo-CN"/>
        </w:rPr>
        <w:t>Brands</w:t>
      </w:r>
      <w:proofErr w:type="spellEnd"/>
      <w:r w:rsidRPr="002C7B36">
        <w:rPr>
          <w:rFonts w:cs="Segoe UI"/>
          <w:bCs/>
          <w:szCs w:val="22"/>
          <w:lang w:val="sk-SK" w:bidi="bo-CN"/>
        </w:rPr>
        <w:t>, ktorý bol úspešne dokončený na jar 2025, spoločnosť dokončila portfóliové opatrenia oznámené na začiatku zlučovanie pôvodne samostatných spotrebiteľských divízií. Od začiatku roka 2022 tak spoločnosť predala alebo ukončila značky a aktivity s celkovým obratom mierne nad 1 miliardu eur.</w:t>
      </w:r>
      <w:r w:rsidRPr="001C4D61">
        <w:rPr>
          <w:rFonts w:cs="Segoe UI"/>
          <w:bCs/>
          <w:szCs w:val="22"/>
          <w:lang w:val="sk-SK"/>
        </w:rPr>
        <w:t xml:space="preserve"> </w:t>
      </w:r>
    </w:p>
    <w:p w14:paraId="3D8DEE91" w14:textId="77777777" w:rsidR="000E5CC6" w:rsidRPr="002C7B36" w:rsidRDefault="000E5CC6" w:rsidP="000E5CC6">
      <w:pPr>
        <w:autoSpaceDE w:val="0"/>
        <w:autoSpaceDN w:val="0"/>
        <w:adjustRightInd w:val="0"/>
        <w:rPr>
          <w:rFonts w:cs="Segoe UI"/>
          <w:bCs/>
          <w:szCs w:val="22"/>
          <w:lang w:val="sk-SK"/>
        </w:rPr>
      </w:pPr>
    </w:p>
    <w:p w14:paraId="09061336" w14:textId="797A1C67" w:rsidR="000E5CC6" w:rsidRPr="002C7B36" w:rsidRDefault="000E5CC6" w:rsidP="000E5CC6">
      <w:pPr>
        <w:autoSpaceDE w:val="0"/>
        <w:autoSpaceDN w:val="0"/>
        <w:adjustRightInd w:val="0"/>
        <w:rPr>
          <w:rFonts w:cs="Segoe UI"/>
          <w:bCs/>
          <w:szCs w:val="22"/>
          <w:lang w:val="sk-SK"/>
        </w:rPr>
      </w:pPr>
      <w:r w:rsidRPr="002C7B36">
        <w:rPr>
          <w:rFonts w:cs="Segoe UI"/>
          <w:bCs/>
          <w:szCs w:val="22"/>
          <w:lang w:val="sk-SK" w:bidi="bo-CN"/>
        </w:rPr>
        <w:t xml:space="preserve">Rozširovanie portfólia prostredníctvom cielených </w:t>
      </w:r>
      <w:r w:rsidRPr="002C7B36">
        <w:rPr>
          <w:rFonts w:cs="Segoe UI"/>
          <w:b/>
          <w:szCs w:val="22"/>
          <w:lang w:val="sk-SK" w:bidi="bo-CN"/>
        </w:rPr>
        <w:t>akvizícií</w:t>
      </w:r>
      <w:r w:rsidRPr="002C7B36">
        <w:rPr>
          <w:rFonts w:cs="Segoe UI"/>
          <w:bCs/>
          <w:szCs w:val="22"/>
          <w:lang w:val="sk-SK" w:bidi="bo-CN"/>
        </w:rPr>
        <w:t xml:space="preserve"> je taktiež neoddeliteľnou súčasťou rastovej agendy spoločnosti Henkel. V roku 2025 podpísala dohodu o akvizícii spoločnosti ATP </w:t>
      </w:r>
      <w:proofErr w:type="spellStart"/>
      <w:r w:rsidRPr="002C7B36">
        <w:rPr>
          <w:rFonts w:cs="Segoe UI"/>
          <w:bCs/>
          <w:szCs w:val="22"/>
          <w:lang w:val="sk-SK" w:bidi="bo-CN"/>
        </w:rPr>
        <w:t>Adhesive</w:t>
      </w:r>
      <w:proofErr w:type="spellEnd"/>
      <w:r w:rsidRPr="002C7B36">
        <w:rPr>
          <w:rFonts w:cs="Segoe UI"/>
          <w:bCs/>
          <w:szCs w:val="22"/>
          <w:lang w:val="sk-SK" w:bidi="bo-CN"/>
        </w:rPr>
        <w:t xml:space="preserve"> Systems AG. Táto švajčiarska spoločnosť je popredným poskytovateľom vysokovýkonných špecializovaných lepiacich pások na vodnej báze pre široké spektrum koncových trhov vrátane automobilového priemyslu, elektroniky, medicíny, stavebníctva a grafického priemyslu. ATP má silné zastúpenie v Severnej Amerike a Európe a v roku 2025 dosiahla obrat približne 270 miliónov eur</w:t>
      </w:r>
      <w:r>
        <w:rPr>
          <w:rFonts w:cs="Segoe UI"/>
          <w:bCs/>
          <w:szCs w:val="22"/>
          <w:lang w:val="sk-SK" w:bidi="bo-CN"/>
        </w:rPr>
        <w:t>.</w:t>
      </w:r>
      <w:r w:rsidRPr="001C4D61">
        <w:rPr>
          <w:rFonts w:cs="Segoe UI"/>
          <w:bCs/>
          <w:szCs w:val="22"/>
          <w:lang w:val="sk-SK"/>
        </w:rPr>
        <w:t xml:space="preserve"> </w:t>
      </w:r>
    </w:p>
    <w:p w14:paraId="491BAC9F" w14:textId="77777777" w:rsidR="000E5CC6" w:rsidRPr="002C7B36" w:rsidRDefault="000E5CC6" w:rsidP="000E5CC6">
      <w:pPr>
        <w:autoSpaceDE w:val="0"/>
        <w:autoSpaceDN w:val="0"/>
        <w:adjustRightInd w:val="0"/>
        <w:rPr>
          <w:rFonts w:cs="Segoe UI"/>
          <w:bCs/>
          <w:szCs w:val="22"/>
          <w:lang w:val="sk-SK"/>
        </w:rPr>
      </w:pPr>
    </w:p>
    <w:p w14:paraId="45BA3DD5" w14:textId="77777777" w:rsidR="000E5CC6" w:rsidRPr="002C7B36" w:rsidRDefault="000E5CC6" w:rsidP="000E5CC6">
      <w:pPr>
        <w:autoSpaceDE w:val="0"/>
        <w:autoSpaceDN w:val="0"/>
        <w:adjustRightInd w:val="0"/>
        <w:rPr>
          <w:rFonts w:cs="Segoe UI"/>
          <w:bCs/>
          <w:szCs w:val="22"/>
          <w:lang w:val="sk-SK"/>
        </w:rPr>
      </w:pPr>
      <w:r w:rsidRPr="002C7B36">
        <w:rPr>
          <w:rFonts w:cs="Segoe UI"/>
          <w:bCs/>
          <w:szCs w:val="22"/>
          <w:lang w:val="sk-SK" w:bidi="bo-CN"/>
        </w:rPr>
        <w:t xml:space="preserve">Vo februári 2026 sa spoločnosť Henkel dohodla na akvizícii skupiny </w:t>
      </w:r>
      <w:proofErr w:type="spellStart"/>
      <w:r w:rsidRPr="002C7B36">
        <w:rPr>
          <w:rFonts w:cs="Segoe UI"/>
          <w:bCs/>
          <w:szCs w:val="22"/>
          <w:lang w:val="sk-SK" w:bidi="bo-CN"/>
        </w:rPr>
        <w:t>Stahl</w:t>
      </w:r>
      <w:proofErr w:type="spellEnd"/>
      <w:r w:rsidRPr="002C7B36">
        <w:rPr>
          <w:rFonts w:cs="Segoe UI"/>
          <w:bCs/>
          <w:szCs w:val="22"/>
          <w:lang w:val="sk-SK" w:bidi="bo-CN"/>
        </w:rPr>
        <w:t xml:space="preserve"> so sídlom v Holandsku. Spoločnosť je globálnym hráčom v oblasti vysokovýkonných špecializovaných povrchových úprav pre flexibilné materiály a svoje produkty dodáva popredným svetovým spoločnostiam v automobilovom priemysle, segmente módy a životného štýlu a v obalovom priemysle. Vo finančnom roku 2025 dosiahla spoločnosť </w:t>
      </w:r>
      <w:proofErr w:type="spellStart"/>
      <w:r w:rsidRPr="002C7B36">
        <w:rPr>
          <w:rFonts w:cs="Segoe UI"/>
          <w:bCs/>
          <w:szCs w:val="22"/>
          <w:lang w:val="sk-SK" w:bidi="bo-CN"/>
        </w:rPr>
        <w:t>Stahl</w:t>
      </w:r>
      <w:proofErr w:type="spellEnd"/>
      <w:r w:rsidRPr="002C7B36">
        <w:rPr>
          <w:rFonts w:cs="Segoe UI"/>
          <w:bCs/>
          <w:szCs w:val="22"/>
          <w:lang w:val="sk-SK" w:bidi="bo-CN"/>
        </w:rPr>
        <w:t xml:space="preserve"> obrat približne 725 miliónov eur s vyváženým regionálnym zastúpením.</w:t>
      </w:r>
      <w:r w:rsidRPr="001C4D61">
        <w:rPr>
          <w:rFonts w:cs="Segoe UI"/>
          <w:bCs/>
          <w:szCs w:val="22"/>
          <w:lang w:val="sk-SK"/>
        </w:rPr>
        <w:t xml:space="preserve"> </w:t>
      </w:r>
    </w:p>
    <w:p w14:paraId="14E2E7B4" w14:textId="77777777" w:rsidR="000E5CC6" w:rsidRPr="002C7B36" w:rsidRDefault="000E5CC6" w:rsidP="000E5CC6">
      <w:pPr>
        <w:autoSpaceDE w:val="0"/>
        <w:autoSpaceDN w:val="0"/>
        <w:adjustRightInd w:val="0"/>
        <w:rPr>
          <w:rFonts w:cs="Segoe UI"/>
          <w:bCs/>
          <w:szCs w:val="22"/>
          <w:lang w:val="sk-SK"/>
        </w:rPr>
      </w:pPr>
    </w:p>
    <w:p w14:paraId="5FDF9744" w14:textId="5CA09BFE" w:rsidR="000E5CC6" w:rsidRPr="001C4D61" w:rsidRDefault="000E5CC6" w:rsidP="000E5CC6">
      <w:pPr>
        <w:autoSpaceDE w:val="0"/>
        <w:autoSpaceDN w:val="0"/>
        <w:adjustRightInd w:val="0"/>
        <w:rPr>
          <w:rFonts w:cs="Segoe UI"/>
          <w:bCs/>
          <w:szCs w:val="22"/>
          <w:lang w:val="sk-SK"/>
        </w:rPr>
      </w:pPr>
      <w:r w:rsidRPr="002C7B36">
        <w:rPr>
          <w:rFonts w:cs="Segoe UI"/>
          <w:bCs/>
          <w:szCs w:val="22"/>
          <w:lang w:val="sk-SK" w:bidi="bo-CN"/>
        </w:rPr>
        <w:t>Začiatkom marca podpísala spoločnosť Henkel dohodu o akvizícii značky „</w:t>
      </w:r>
      <w:proofErr w:type="spellStart"/>
      <w:r w:rsidRPr="002C7B36">
        <w:rPr>
          <w:rFonts w:cs="Segoe UI"/>
          <w:bCs/>
          <w:szCs w:val="22"/>
          <w:lang w:val="sk-SK" w:bidi="bo-CN"/>
        </w:rPr>
        <w:t>Not</w:t>
      </w:r>
      <w:proofErr w:type="spellEnd"/>
      <w:r w:rsidRPr="002C7B36">
        <w:rPr>
          <w:rFonts w:cs="Segoe UI"/>
          <w:bCs/>
          <w:szCs w:val="22"/>
          <w:lang w:val="sk-SK" w:bidi="bo-CN"/>
        </w:rPr>
        <w:t xml:space="preserve"> </w:t>
      </w:r>
      <w:proofErr w:type="spellStart"/>
      <w:r w:rsidRPr="002C7B36">
        <w:rPr>
          <w:rFonts w:cs="Segoe UI"/>
          <w:bCs/>
          <w:szCs w:val="22"/>
          <w:lang w:val="sk-SK" w:bidi="bo-CN"/>
        </w:rPr>
        <w:t>Your</w:t>
      </w:r>
      <w:proofErr w:type="spellEnd"/>
      <w:r w:rsidRPr="002C7B36">
        <w:rPr>
          <w:rFonts w:cs="Segoe UI"/>
          <w:bCs/>
          <w:szCs w:val="22"/>
          <w:lang w:val="sk-SK" w:bidi="bo-CN"/>
        </w:rPr>
        <w:t xml:space="preserve"> </w:t>
      </w:r>
      <w:proofErr w:type="spellStart"/>
      <w:r w:rsidRPr="002C7B36">
        <w:rPr>
          <w:rFonts w:cs="Segoe UI"/>
          <w:bCs/>
          <w:szCs w:val="22"/>
          <w:lang w:val="sk-SK" w:bidi="bo-CN"/>
        </w:rPr>
        <w:t>Mother’s</w:t>
      </w:r>
      <w:proofErr w:type="spellEnd"/>
      <w:r w:rsidRPr="002C7B36">
        <w:rPr>
          <w:rFonts w:cs="Segoe UI"/>
          <w:bCs/>
          <w:szCs w:val="22"/>
          <w:lang w:val="sk-SK" w:bidi="bo-CN"/>
        </w:rPr>
        <w:t xml:space="preserve">“, jednej z popredných spotrebiteľských značiek v oblasti starostlivosti o vlasy a </w:t>
      </w:r>
      <w:proofErr w:type="spellStart"/>
      <w:r w:rsidRPr="002C7B36">
        <w:rPr>
          <w:rFonts w:cs="Segoe UI"/>
          <w:bCs/>
          <w:szCs w:val="22"/>
          <w:lang w:val="sk-SK" w:bidi="bo-CN"/>
        </w:rPr>
        <w:t>stylingu</w:t>
      </w:r>
      <w:proofErr w:type="spellEnd"/>
      <w:r w:rsidRPr="002C7B36">
        <w:rPr>
          <w:rFonts w:cs="Segoe UI"/>
          <w:bCs/>
          <w:szCs w:val="22"/>
          <w:lang w:val="sk-SK" w:bidi="bo-CN"/>
        </w:rPr>
        <w:t xml:space="preserve"> v Severnej Amerike. Týmto krokom Henkel posilňuje svoju pozíciu v segmente starostlivosti o vlasy, ktorý patrí medzi kľúčové kategórie v rámci obchodnej divízie </w:t>
      </w:r>
      <w:proofErr w:type="spellStart"/>
      <w:r w:rsidRPr="002C7B36">
        <w:rPr>
          <w:rFonts w:cs="Segoe UI"/>
          <w:bCs/>
          <w:szCs w:val="22"/>
          <w:lang w:val="sk-SK" w:bidi="bo-CN"/>
        </w:rPr>
        <w:t>Consumer</w:t>
      </w:r>
      <w:proofErr w:type="spellEnd"/>
      <w:r w:rsidRPr="002C7B36">
        <w:rPr>
          <w:rFonts w:cs="Segoe UI"/>
          <w:bCs/>
          <w:szCs w:val="22"/>
          <w:lang w:val="sk-SK" w:bidi="bo-CN"/>
        </w:rPr>
        <w:t xml:space="preserve"> </w:t>
      </w:r>
      <w:proofErr w:type="spellStart"/>
      <w:r w:rsidRPr="002C7B36">
        <w:rPr>
          <w:rFonts w:cs="Segoe UI"/>
          <w:bCs/>
          <w:szCs w:val="22"/>
          <w:lang w:val="sk-SK" w:bidi="bo-CN"/>
        </w:rPr>
        <w:t>Brands</w:t>
      </w:r>
      <w:proofErr w:type="spellEnd"/>
      <w:r w:rsidRPr="002C7B36">
        <w:rPr>
          <w:rFonts w:cs="Segoe UI"/>
          <w:bCs/>
          <w:szCs w:val="22"/>
          <w:lang w:val="sk-SK" w:bidi="bo-CN"/>
        </w:rPr>
        <w:t>. „</w:t>
      </w:r>
      <w:proofErr w:type="spellStart"/>
      <w:r w:rsidRPr="002C7B36">
        <w:rPr>
          <w:rFonts w:cs="Segoe UI"/>
          <w:bCs/>
          <w:szCs w:val="22"/>
          <w:lang w:val="sk-SK" w:bidi="bo-CN"/>
        </w:rPr>
        <w:t>Not</w:t>
      </w:r>
      <w:proofErr w:type="spellEnd"/>
      <w:r w:rsidRPr="002C7B36">
        <w:rPr>
          <w:rFonts w:cs="Segoe UI"/>
          <w:bCs/>
          <w:szCs w:val="22"/>
          <w:lang w:val="sk-SK" w:bidi="bo-CN"/>
        </w:rPr>
        <w:t xml:space="preserve"> </w:t>
      </w:r>
      <w:proofErr w:type="spellStart"/>
      <w:r w:rsidRPr="002C7B36">
        <w:rPr>
          <w:rFonts w:cs="Segoe UI"/>
          <w:bCs/>
          <w:szCs w:val="22"/>
          <w:lang w:val="sk-SK" w:bidi="bo-CN"/>
        </w:rPr>
        <w:t>Your</w:t>
      </w:r>
      <w:proofErr w:type="spellEnd"/>
      <w:r w:rsidRPr="002C7B36">
        <w:rPr>
          <w:rFonts w:cs="Segoe UI"/>
          <w:bCs/>
          <w:szCs w:val="22"/>
          <w:lang w:val="sk-SK" w:bidi="bo-CN"/>
        </w:rPr>
        <w:t xml:space="preserve"> </w:t>
      </w:r>
      <w:proofErr w:type="spellStart"/>
      <w:r w:rsidRPr="002C7B36">
        <w:rPr>
          <w:rFonts w:cs="Segoe UI"/>
          <w:bCs/>
          <w:szCs w:val="22"/>
          <w:lang w:val="sk-SK" w:bidi="bo-CN"/>
        </w:rPr>
        <w:t>Mother’s</w:t>
      </w:r>
      <w:proofErr w:type="spellEnd"/>
      <w:r w:rsidRPr="002C7B36">
        <w:rPr>
          <w:rFonts w:cs="Segoe UI"/>
          <w:bCs/>
          <w:szCs w:val="22"/>
          <w:lang w:val="sk-SK" w:bidi="bo-CN"/>
        </w:rPr>
        <w:t xml:space="preserve">“ je úspešná, rýchlo rastúca značka s rozsiahlym portfóliom šampónov, kondicionérov, ošetrujúcich produktov a </w:t>
      </w:r>
      <w:proofErr w:type="spellStart"/>
      <w:r w:rsidRPr="002C7B36">
        <w:rPr>
          <w:rFonts w:cs="Segoe UI"/>
          <w:bCs/>
          <w:szCs w:val="22"/>
          <w:lang w:val="sk-SK" w:bidi="bo-CN"/>
        </w:rPr>
        <w:t>stylingových</w:t>
      </w:r>
      <w:proofErr w:type="spellEnd"/>
      <w:r w:rsidRPr="002C7B36">
        <w:rPr>
          <w:rFonts w:cs="Segoe UI"/>
          <w:bCs/>
          <w:szCs w:val="22"/>
          <w:lang w:val="sk-SK" w:bidi="bo-CN"/>
        </w:rPr>
        <w:t xml:space="preserve"> prípravkov. V finančnom roku 2025 značka dosiahla obrat približne 190 miliónov eur, pričom zaznamenala dvojciferný rast a vysokú ziskovosť</w:t>
      </w:r>
      <w:r>
        <w:rPr>
          <w:rFonts w:cs="Segoe UI"/>
          <w:bCs/>
          <w:szCs w:val="22"/>
          <w:lang w:val="sk-SK" w:bidi="bo-CN"/>
        </w:rPr>
        <w:t>.</w:t>
      </w:r>
    </w:p>
    <w:p w14:paraId="1FBAF25B" w14:textId="77777777" w:rsidR="000E5CC6" w:rsidRPr="002C7B36" w:rsidRDefault="000E5CC6" w:rsidP="000E5CC6">
      <w:pPr>
        <w:autoSpaceDE w:val="0"/>
        <w:autoSpaceDN w:val="0"/>
        <w:adjustRightInd w:val="0"/>
        <w:rPr>
          <w:rFonts w:cs="Segoe UI"/>
          <w:bCs/>
          <w:szCs w:val="22"/>
          <w:lang w:val="sk-SK"/>
        </w:rPr>
      </w:pPr>
    </w:p>
    <w:p w14:paraId="61F0610D" w14:textId="77777777" w:rsidR="000E5CC6" w:rsidRPr="001C4D61" w:rsidRDefault="000E5CC6" w:rsidP="000E5CC6">
      <w:pPr>
        <w:pStyle w:val="Topline"/>
        <w:spacing w:before="0" w:after="0"/>
        <w:rPr>
          <w:lang w:val="sk-SK"/>
        </w:rPr>
      </w:pPr>
      <w:r w:rsidRPr="002C7B36">
        <w:rPr>
          <w:lang w:val="sk-SK" w:bidi="bo-CN"/>
        </w:rPr>
        <w:t xml:space="preserve">Tieto najnovšie transakcie, ktoré ešte podliehajú obvyklým podmienkam uzavretia a schváleniu zo strany orgánov pre hospodársku súťaž, </w:t>
      </w:r>
      <w:r w:rsidRPr="002C7B36">
        <w:rPr>
          <w:b/>
          <w:bCs/>
          <w:lang w:val="sk-SK" w:bidi="bo-CN"/>
        </w:rPr>
        <w:t>predstavujú dodatočný kombinovaný objem obratu približne 1,2 miliardy eur</w:t>
      </w:r>
      <w:r w:rsidRPr="002C7B36">
        <w:rPr>
          <w:lang w:val="sk-SK" w:bidi="bo-CN"/>
        </w:rPr>
        <w:t xml:space="preserve"> a </w:t>
      </w:r>
      <w:r w:rsidRPr="002C7B36">
        <w:rPr>
          <w:b/>
          <w:bCs/>
          <w:lang w:val="sk-SK" w:bidi="bo-CN"/>
        </w:rPr>
        <w:t>posilňujú rastový potenciál</w:t>
      </w:r>
      <w:r w:rsidRPr="002C7B36">
        <w:rPr>
          <w:lang w:val="sk-SK" w:bidi="bo-CN"/>
        </w:rPr>
        <w:t xml:space="preserve"> obchodnej divízie </w:t>
      </w:r>
      <w:proofErr w:type="spellStart"/>
      <w:r w:rsidRPr="002C7B36">
        <w:rPr>
          <w:lang w:val="sk-SK" w:bidi="bo-CN"/>
        </w:rPr>
        <w:t>Adhesive</w:t>
      </w:r>
      <w:proofErr w:type="spellEnd"/>
      <w:r w:rsidRPr="002C7B36">
        <w:rPr>
          <w:lang w:val="sk-SK" w:bidi="bo-CN"/>
        </w:rPr>
        <w:t xml:space="preserve"> Technologies aj divízie </w:t>
      </w:r>
      <w:proofErr w:type="spellStart"/>
      <w:r w:rsidRPr="002C7B36">
        <w:rPr>
          <w:lang w:val="sk-SK" w:bidi="bo-CN"/>
        </w:rPr>
        <w:t>Consumer</w:t>
      </w:r>
      <w:proofErr w:type="spellEnd"/>
      <w:r w:rsidRPr="002C7B36">
        <w:rPr>
          <w:lang w:val="sk-SK" w:bidi="bo-CN"/>
        </w:rPr>
        <w:t xml:space="preserve"> </w:t>
      </w:r>
      <w:proofErr w:type="spellStart"/>
      <w:r w:rsidRPr="002C7B36">
        <w:rPr>
          <w:lang w:val="sk-SK" w:bidi="bo-CN"/>
        </w:rPr>
        <w:t>Brands</w:t>
      </w:r>
      <w:proofErr w:type="spellEnd"/>
      <w:r w:rsidRPr="002C7B36">
        <w:rPr>
          <w:lang w:val="sk-SK" w:bidi="bo-CN"/>
        </w:rPr>
        <w:t>.</w:t>
      </w:r>
    </w:p>
    <w:p w14:paraId="5DC82150" w14:textId="77777777" w:rsidR="000E5CC6" w:rsidRPr="002C7B36" w:rsidRDefault="000E5CC6" w:rsidP="000E5CC6">
      <w:pPr>
        <w:pStyle w:val="Topline"/>
        <w:spacing w:before="0" w:after="0"/>
        <w:rPr>
          <w:lang w:val="sk-SK"/>
        </w:rPr>
      </w:pPr>
    </w:p>
    <w:p w14:paraId="61B2E1FC" w14:textId="77777777" w:rsidR="000E5CC6" w:rsidRPr="001C4D61" w:rsidRDefault="000E5CC6" w:rsidP="000E5CC6">
      <w:pPr>
        <w:rPr>
          <w:rFonts w:cs="Segoe UI"/>
          <w:bCs/>
          <w:szCs w:val="22"/>
          <w:lang w:val="sk-SK"/>
        </w:rPr>
      </w:pPr>
      <w:r w:rsidRPr="002C7B36">
        <w:rPr>
          <w:rFonts w:cs="Segoe UI"/>
          <w:bCs/>
          <w:szCs w:val="22"/>
          <w:lang w:val="sk-SK" w:bidi="bo-CN"/>
        </w:rPr>
        <w:lastRenderedPageBreak/>
        <w:t xml:space="preserve">V roku 2025 uviedla spoločnosť Henkel na trh množstvo </w:t>
      </w:r>
      <w:r w:rsidRPr="002C7B36">
        <w:rPr>
          <w:rFonts w:cs="Segoe UI"/>
          <w:b/>
          <w:szCs w:val="22"/>
          <w:lang w:val="sk-SK" w:bidi="bo-CN"/>
        </w:rPr>
        <w:t>inovácií</w:t>
      </w:r>
      <w:r w:rsidRPr="002C7B36">
        <w:rPr>
          <w:rFonts w:cs="Segoe UI"/>
          <w:bCs/>
          <w:szCs w:val="22"/>
          <w:lang w:val="sk-SK" w:bidi="bo-CN"/>
        </w:rPr>
        <w:t xml:space="preserve">, ktoré reagujú na dôležité trendy a prinášajú hodnotu zákazníkom aj spotrebiteľom. Na trhu spotrebného tovaru je inovácia kľúčovým faktorom úspechu a diferenciácie. Jedným z príkladov je nová farba na vlasy </w:t>
      </w:r>
      <w:proofErr w:type="spellStart"/>
      <w:r w:rsidRPr="002C7B36">
        <w:rPr>
          <w:rFonts w:cs="Segoe UI"/>
          <w:bCs/>
          <w:szCs w:val="22"/>
          <w:lang w:val="sk-SK" w:bidi="bo-CN"/>
        </w:rPr>
        <w:t>Creme</w:t>
      </w:r>
      <w:proofErr w:type="spellEnd"/>
      <w:r w:rsidRPr="002C7B36">
        <w:rPr>
          <w:rFonts w:cs="Segoe UI"/>
          <w:bCs/>
          <w:szCs w:val="22"/>
          <w:lang w:val="sk-SK" w:bidi="bo-CN"/>
        </w:rPr>
        <w:t xml:space="preserve"> </w:t>
      </w:r>
      <w:proofErr w:type="spellStart"/>
      <w:r w:rsidRPr="002C7B36">
        <w:rPr>
          <w:rFonts w:cs="Segoe UI"/>
          <w:bCs/>
          <w:szCs w:val="22"/>
          <w:lang w:val="sk-SK" w:bidi="bo-CN"/>
        </w:rPr>
        <w:t>Supreme</w:t>
      </w:r>
      <w:proofErr w:type="spellEnd"/>
      <w:r w:rsidRPr="002C7B36">
        <w:rPr>
          <w:rFonts w:cs="Segoe UI"/>
          <w:bCs/>
          <w:szCs w:val="22"/>
          <w:lang w:val="sk-SK" w:bidi="bo-CN"/>
        </w:rPr>
        <w:t xml:space="preserve"> od značky </w:t>
      </w:r>
      <w:proofErr w:type="spellStart"/>
      <w:r w:rsidRPr="002C7B36">
        <w:rPr>
          <w:rFonts w:cs="Segoe UI"/>
          <w:bCs/>
          <w:szCs w:val="22"/>
          <w:lang w:val="sk-SK" w:bidi="bo-CN"/>
        </w:rPr>
        <w:t>Schwarzkopf</w:t>
      </w:r>
      <w:proofErr w:type="spellEnd"/>
      <w:r w:rsidRPr="002C7B36">
        <w:rPr>
          <w:rFonts w:cs="Segoe UI"/>
          <w:bCs/>
          <w:szCs w:val="22"/>
          <w:lang w:val="sk-SK" w:bidi="bo-CN"/>
        </w:rPr>
        <w:t xml:space="preserve">. Inšpirovaný prípravkami profesionálnej vlasovej kozmetiky, Henkel vyvinul </w:t>
      </w:r>
      <w:proofErr w:type="spellStart"/>
      <w:r w:rsidRPr="002C7B36">
        <w:rPr>
          <w:rFonts w:cs="Segoe UI"/>
          <w:bCs/>
          <w:szCs w:val="22"/>
          <w:lang w:val="sk-SK" w:bidi="bo-CN"/>
        </w:rPr>
        <w:t>Creme</w:t>
      </w:r>
      <w:proofErr w:type="spellEnd"/>
      <w:r w:rsidRPr="002C7B36">
        <w:rPr>
          <w:rFonts w:cs="Segoe UI"/>
          <w:bCs/>
          <w:szCs w:val="22"/>
          <w:lang w:val="sk-SK" w:bidi="bo-CN"/>
        </w:rPr>
        <w:t xml:space="preserve"> </w:t>
      </w:r>
      <w:proofErr w:type="spellStart"/>
      <w:r w:rsidRPr="002C7B36">
        <w:rPr>
          <w:rFonts w:cs="Segoe UI"/>
          <w:bCs/>
          <w:szCs w:val="22"/>
          <w:lang w:val="sk-SK" w:bidi="bo-CN"/>
        </w:rPr>
        <w:t>Supreme</w:t>
      </w:r>
      <w:proofErr w:type="spellEnd"/>
      <w:r w:rsidRPr="002C7B36">
        <w:rPr>
          <w:rFonts w:cs="Segoe UI"/>
          <w:bCs/>
          <w:szCs w:val="22"/>
          <w:lang w:val="sk-SK" w:bidi="bo-CN"/>
        </w:rPr>
        <w:t xml:space="preserve">, novú technológiu, ktorá prostredníctvom </w:t>
      </w:r>
      <w:proofErr w:type="spellStart"/>
      <w:r w:rsidRPr="002C7B36">
        <w:rPr>
          <w:rFonts w:cs="Segoe UI"/>
          <w:bCs/>
          <w:szCs w:val="22"/>
          <w:lang w:val="sk-SK" w:bidi="bo-CN"/>
        </w:rPr>
        <w:t>mikroväzieb</w:t>
      </w:r>
      <w:proofErr w:type="spellEnd"/>
      <w:r w:rsidRPr="002C7B36">
        <w:rPr>
          <w:rFonts w:cs="Segoe UI"/>
          <w:bCs/>
          <w:szCs w:val="22"/>
          <w:lang w:val="sk-SK" w:bidi="bo-CN"/>
        </w:rPr>
        <w:t xml:space="preserve"> posilňuje a vyživuje štruktúru vlasov. Tieto </w:t>
      </w:r>
      <w:proofErr w:type="spellStart"/>
      <w:r w:rsidRPr="002C7B36">
        <w:rPr>
          <w:rFonts w:cs="Segoe UI"/>
          <w:bCs/>
          <w:szCs w:val="22"/>
          <w:lang w:val="sk-SK" w:bidi="bo-CN"/>
        </w:rPr>
        <w:t>mikroväzby</w:t>
      </w:r>
      <w:proofErr w:type="spellEnd"/>
      <w:r w:rsidRPr="002C7B36">
        <w:rPr>
          <w:rFonts w:cs="Segoe UI"/>
          <w:bCs/>
          <w:szCs w:val="22"/>
          <w:lang w:val="sk-SK" w:bidi="bo-CN"/>
        </w:rPr>
        <w:t xml:space="preserve"> účinnejšie spájajú vlasové vlákna a okolo vlasu vytvárajú špeciálnu ochrannú vrstvu. Výsledkom je výrazne menšia lámavosť, ktorá je jedným z hlavných problémov, ktoré spotrebitelia pri farbení vlasov riešia.</w:t>
      </w:r>
    </w:p>
    <w:p w14:paraId="26947E47" w14:textId="77777777" w:rsidR="000E5CC6" w:rsidRPr="002C7B36" w:rsidRDefault="000E5CC6" w:rsidP="000E5CC6">
      <w:pPr>
        <w:rPr>
          <w:rFonts w:cs="Segoe UI"/>
          <w:bCs/>
          <w:szCs w:val="22"/>
          <w:lang w:val="sk-SK"/>
        </w:rPr>
      </w:pPr>
      <w:bookmarkStart w:id="9" w:name="_Hlk190180076"/>
    </w:p>
    <w:p w14:paraId="29BD3BB1" w14:textId="77777777" w:rsidR="000E5CC6" w:rsidRPr="001C4D61" w:rsidRDefault="000E5CC6" w:rsidP="000E5CC6">
      <w:pPr>
        <w:rPr>
          <w:rFonts w:cs="Segoe UI"/>
          <w:bCs/>
          <w:szCs w:val="22"/>
          <w:lang w:val="sk-SK"/>
        </w:rPr>
      </w:pPr>
      <w:r w:rsidRPr="002C7B36">
        <w:rPr>
          <w:rFonts w:cs="Segoe UI"/>
          <w:bCs/>
          <w:szCs w:val="22"/>
          <w:lang w:val="sk-SK" w:bidi="bo-CN"/>
        </w:rPr>
        <w:t>Koncept „</w:t>
      </w:r>
      <w:proofErr w:type="spellStart"/>
      <w:r w:rsidRPr="002C7B36">
        <w:rPr>
          <w:rFonts w:cs="Segoe UI"/>
          <w:bCs/>
          <w:szCs w:val="22"/>
          <w:lang w:val="sk-SK" w:bidi="bo-CN"/>
        </w:rPr>
        <w:t>House</w:t>
      </w:r>
      <w:proofErr w:type="spellEnd"/>
      <w:r w:rsidRPr="002C7B36">
        <w:rPr>
          <w:rFonts w:cs="Segoe UI"/>
          <w:bCs/>
          <w:szCs w:val="22"/>
          <w:lang w:val="sk-SK" w:bidi="bo-CN"/>
        </w:rPr>
        <w:t xml:space="preserve"> of </w:t>
      </w:r>
      <w:proofErr w:type="spellStart"/>
      <w:r w:rsidRPr="002C7B36">
        <w:rPr>
          <w:rFonts w:cs="Segoe UI"/>
          <w:bCs/>
          <w:szCs w:val="22"/>
          <w:lang w:val="sk-SK" w:bidi="bo-CN"/>
        </w:rPr>
        <w:t>Hair</w:t>
      </w:r>
      <w:proofErr w:type="spellEnd"/>
      <w:r w:rsidRPr="002C7B36">
        <w:rPr>
          <w:rFonts w:cs="Segoe UI"/>
          <w:bCs/>
          <w:szCs w:val="22"/>
          <w:lang w:val="sk-SK" w:bidi="bo-CN"/>
        </w:rPr>
        <w:t xml:space="preserve">“ tiež zohráva dôležitú úlohu pri vývoji inovácií v kategórii výrobkov starostlivosti o vlasy. Od marca 2025 Henkel sústredil hlavné oblasti svojich nemeckých aktivít v oblasti vlasovej kozmetiky na jedno miesto do Hamburgu: výskum a vývoj, testovacie salóny, marketing a </w:t>
      </w:r>
      <w:proofErr w:type="spellStart"/>
      <w:r w:rsidRPr="002C7B36">
        <w:rPr>
          <w:rFonts w:cs="Segoe UI"/>
          <w:bCs/>
          <w:szCs w:val="22"/>
          <w:lang w:val="sk-SK" w:bidi="bo-CN"/>
        </w:rPr>
        <w:t>Academy</w:t>
      </w:r>
      <w:proofErr w:type="spellEnd"/>
      <w:r w:rsidRPr="002C7B36">
        <w:rPr>
          <w:rFonts w:cs="Segoe UI"/>
          <w:bCs/>
          <w:szCs w:val="22"/>
          <w:lang w:val="sk-SK" w:bidi="bo-CN"/>
        </w:rPr>
        <w:t xml:space="preserve"> of </w:t>
      </w:r>
      <w:proofErr w:type="spellStart"/>
      <w:r w:rsidRPr="002C7B36">
        <w:rPr>
          <w:rFonts w:cs="Segoe UI"/>
          <w:bCs/>
          <w:szCs w:val="22"/>
          <w:lang w:val="sk-SK" w:bidi="bo-CN"/>
        </w:rPr>
        <w:t>Hair</w:t>
      </w:r>
      <w:proofErr w:type="spellEnd"/>
      <w:r w:rsidRPr="002C7B36">
        <w:rPr>
          <w:rFonts w:cs="Segoe UI"/>
          <w:bCs/>
          <w:szCs w:val="22"/>
          <w:lang w:val="sk-SK" w:bidi="bo-CN"/>
        </w:rPr>
        <w:t xml:space="preserve">. Na vývoji inovatívnych produktov tu spoločne pracuje viac ako 300 odborníkov. Okrem Hamburgu prevádzkuje spoločnosť ďalšie štyri podobne lokality, a to v Los Angeles, Tokiu, Šanghaji a </w:t>
      </w:r>
      <w:proofErr w:type="spellStart"/>
      <w:r w:rsidRPr="002C7B36">
        <w:rPr>
          <w:rFonts w:cs="Segoe UI"/>
          <w:bCs/>
          <w:szCs w:val="22"/>
          <w:lang w:val="sk-SK" w:bidi="bo-CN"/>
        </w:rPr>
        <w:t>Guadalajare</w:t>
      </w:r>
      <w:proofErr w:type="spellEnd"/>
      <w:r w:rsidRPr="002C7B36">
        <w:rPr>
          <w:rFonts w:cs="Segoe UI"/>
          <w:bCs/>
          <w:szCs w:val="22"/>
          <w:lang w:val="sk-SK" w:bidi="bo-CN"/>
        </w:rPr>
        <w:t>. Každé z týchto centier zohráva dôležitú úlohu pri zákaznícky orientovanom vývoji produktov vlasovej kozmetiky, ktoré cielene reagujú na regionálne rozdielne potreby zákazníkov.</w:t>
      </w:r>
    </w:p>
    <w:p w14:paraId="5BA7BD3B" w14:textId="77777777" w:rsidR="000E5CC6" w:rsidRPr="002C7B36" w:rsidRDefault="000E5CC6" w:rsidP="000E5CC6">
      <w:pPr>
        <w:rPr>
          <w:rFonts w:cs="Segoe UI"/>
          <w:bCs/>
          <w:szCs w:val="22"/>
          <w:lang w:val="sk-SK"/>
        </w:rPr>
      </w:pPr>
    </w:p>
    <w:p w14:paraId="4D1368A9" w14:textId="77777777" w:rsidR="000E5CC6" w:rsidRPr="002C7B36" w:rsidRDefault="000E5CC6" w:rsidP="000E5CC6">
      <w:pPr>
        <w:rPr>
          <w:rFonts w:cs="Segoe UI"/>
          <w:bCs/>
          <w:szCs w:val="22"/>
          <w:lang w:val="sk-SK"/>
        </w:rPr>
      </w:pPr>
      <w:r w:rsidRPr="002C7B36">
        <w:rPr>
          <w:rFonts w:cs="Segoe UI"/>
          <w:bCs/>
          <w:szCs w:val="22"/>
          <w:lang w:val="sk-SK" w:bidi="bo-CN"/>
        </w:rPr>
        <w:t xml:space="preserve">Inovácie sú kľúčovým faktorom úspechu aj v prípade obchodnej divízie </w:t>
      </w:r>
      <w:proofErr w:type="spellStart"/>
      <w:r w:rsidRPr="002C7B36">
        <w:rPr>
          <w:rFonts w:cs="Segoe UI"/>
          <w:bCs/>
          <w:szCs w:val="22"/>
          <w:lang w:val="sk-SK" w:bidi="bo-CN"/>
        </w:rPr>
        <w:t>Adhesive</w:t>
      </w:r>
      <w:proofErr w:type="spellEnd"/>
      <w:r w:rsidRPr="002C7B36">
        <w:rPr>
          <w:rFonts w:cs="Segoe UI"/>
          <w:bCs/>
          <w:szCs w:val="22"/>
          <w:lang w:val="sk-SK" w:bidi="bo-CN"/>
        </w:rPr>
        <w:t xml:space="preserve"> Technologies. Spoločnosť Henkel preto naďalej dôsledne investuje posilňovania svojej trhovej pozície v konkurenčnom prostredí. Jedným z hlavných cieľov je rozširovanie siete moderných výskumných a inovačných centier. Takéto tzv. „inšpiračné centrá“ už niekoľko rokov fungujú v </w:t>
      </w:r>
      <w:proofErr w:type="spellStart"/>
      <w:r w:rsidRPr="002C7B36">
        <w:rPr>
          <w:rFonts w:cs="Segoe UI"/>
          <w:bCs/>
          <w:szCs w:val="22"/>
          <w:lang w:val="sk-SK" w:bidi="bo-CN"/>
        </w:rPr>
        <w:t>Düsseldorfe</w:t>
      </w:r>
      <w:proofErr w:type="spellEnd"/>
      <w:r w:rsidRPr="002C7B36">
        <w:rPr>
          <w:rFonts w:cs="Segoe UI"/>
          <w:bCs/>
          <w:szCs w:val="22"/>
          <w:lang w:val="sk-SK" w:bidi="bo-CN"/>
        </w:rPr>
        <w:t>, indickom Bombaji a v americkom New Jersey. V roku 2025 otvorila spoločnosť ďalšie centrum v Šanghaji, ktoré slúži ázijsko-pacifickému, do ktorého investovala 60 miliónov eur. V centre pracuje viac ako 500 výskumníkov a vývojárov spoločne so zákazníkmi z rôznych odvetví.</w:t>
      </w:r>
      <w:r w:rsidRPr="001C4D61">
        <w:rPr>
          <w:rFonts w:cs="Segoe UI"/>
          <w:bCs/>
          <w:szCs w:val="22"/>
          <w:lang w:val="sk-SK"/>
        </w:rPr>
        <w:t xml:space="preserve"> </w:t>
      </w:r>
    </w:p>
    <w:bookmarkEnd w:id="9"/>
    <w:p w14:paraId="7CA2E845" w14:textId="77777777" w:rsidR="000E5CC6" w:rsidRPr="002C7B36" w:rsidRDefault="000E5CC6" w:rsidP="000E5CC6">
      <w:pPr>
        <w:rPr>
          <w:rFonts w:cs="Segoe UI"/>
          <w:bCs/>
          <w:szCs w:val="22"/>
          <w:lang w:val="sk-SK"/>
        </w:rPr>
      </w:pPr>
    </w:p>
    <w:p w14:paraId="10B586D8" w14:textId="77777777" w:rsidR="000E5CC6" w:rsidRPr="001C4D61" w:rsidRDefault="000E5CC6" w:rsidP="000E5CC6">
      <w:pPr>
        <w:rPr>
          <w:rFonts w:cs="Segoe UI"/>
          <w:bCs/>
          <w:szCs w:val="22"/>
          <w:lang w:val="sk-SK"/>
        </w:rPr>
      </w:pPr>
      <w:bookmarkStart w:id="10" w:name="_Hlk190180237"/>
      <w:r w:rsidRPr="002C7B36">
        <w:rPr>
          <w:rFonts w:cs="Segoe UI"/>
          <w:bCs/>
          <w:szCs w:val="22"/>
          <w:lang w:val="sk-SK" w:bidi="bo-CN"/>
        </w:rPr>
        <w:t xml:space="preserve">Jednou z priorít spoločnosti Henkel v oblasti </w:t>
      </w:r>
      <w:r w:rsidRPr="002C7B36">
        <w:rPr>
          <w:rFonts w:cs="Segoe UI"/>
          <w:b/>
          <w:szCs w:val="22"/>
          <w:lang w:val="sk-SK" w:bidi="bo-CN"/>
        </w:rPr>
        <w:t>udržateľnosti</w:t>
      </w:r>
      <w:r w:rsidRPr="002C7B36">
        <w:rPr>
          <w:rFonts w:cs="Segoe UI"/>
          <w:bCs/>
          <w:szCs w:val="22"/>
          <w:lang w:val="sk-SK" w:bidi="bo-CN"/>
        </w:rPr>
        <w:t xml:space="preserve"> zostáva znižovanie emisií v rámci celého hodnotového reťazca. Do roku 2045 si spoločnosť stanovila cieľ znížiť svoje absolútne emisie skleníkových plynov rozsahu </w:t>
      </w:r>
      <w:proofErr w:type="spellStart"/>
      <w:r w:rsidRPr="002C7B36">
        <w:rPr>
          <w:rFonts w:cs="Segoe UI"/>
          <w:bCs/>
          <w:szCs w:val="22"/>
          <w:lang w:val="sk-SK" w:bidi="bo-CN"/>
        </w:rPr>
        <w:t>Scope</w:t>
      </w:r>
      <w:proofErr w:type="spellEnd"/>
      <w:r w:rsidRPr="002C7B36">
        <w:rPr>
          <w:rFonts w:cs="Segoe UI"/>
          <w:bCs/>
          <w:szCs w:val="22"/>
          <w:lang w:val="sk-SK" w:bidi="bo-CN"/>
        </w:rPr>
        <w:t xml:space="preserve"> 1, 2 a 3 o 90 percent (v porovnaní s východiskovým rokom 2021) a dosiahnuť tak uhlíkovú neutralitu. V uplynulom roku dosiahla pokrok vo všetkých troch kategóriách a od východiskového roka 2021 sa jej už podarilo znížiť emisie o 29 percent. Spoločnosť dosiahla zlepšenia aj v oblasti udržateľných dodávateľských reťazcov. Podiel surovín z paliem, ktoré sú zodpovedne získavané a certifikované, dosiahol 98 percent. Spoločnosť ďalej zlepšila svoje výsledky v medzinárodne uznávaných hodnoteniach udržateľnosti. Okrem iného, po prvý raz získala hodnotenie A v kategórii </w:t>
      </w:r>
      <w:proofErr w:type="spellStart"/>
      <w:r w:rsidRPr="002C7B36">
        <w:rPr>
          <w:rFonts w:cs="Segoe UI"/>
          <w:bCs/>
          <w:szCs w:val="22"/>
          <w:lang w:val="sk-SK" w:bidi="bo-CN"/>
        </w:rPr>
        <w:t>Climate</w:t>
      </w:r>
      <w:proofErr w:type="spellEnd"/>
      <w:r w:rsidRPr="002C7B36">
        <w:rPr>
          <w:rFonts w:cs="Segoe UI"/>
          <w:bCs/>
          <w:szCs w:val="22"/>
          <w:lang w:val="sk-SK" w:bidi="bo-CN"/>
        </w:rPr>
        <w:t xml:space="preserve"> v rámci hodnotenia CDP 2025. Henkel tiež zlepšil svoje výsledky v najnovšom hodnotení </w:t>
      </w:r>
      <w:proofErr w:type="spellStart"/>
      <w:r w:rsidRPr="002C7B36">
        <w:rPr>
          <w:rFonts w:cs="Segoe UI"/>
          <w:bCs/>
          <w:szCs w:val="22"/>
          <w:lang w:val="sk-SK" w:bidi="bo-CN"/>
        </w:rPr>
        <w:t>EcoVadis</w:t>
      </w:r>
      <w:proofErr w:type="spellEnd"/>
      <w:r w:rsidRPr="002C7B36">
        <w:rPr>
          <w:rFonts w:cs="Segoe UI"/>
          <w:bCs/>
          <w:szCs w:val="22"/>
          <w:lang w:val="sk-SK" w:bidi="bo-CN"/>
        </w:rPr>
        <w:t xml:space="preserve"> a opätovne získal ocenenie </w:t>
      </w:r>
      <w:proofErr w:type="spellStart"/>
      <w:r w:rsidRPr="002C7B36">
        <w:rPr>
          <w:rFonts w:cs="Segoe UI"/>
          <w:bCs/>
          <w:szCs w:val="22"/>
          <w:lang w:val="sk-SK" w:bidi="bo-CN"/>
        </w:rPr>
        <w:t>Gold</w:t>
      </w:r>
      <w:proofErr w:type="spellEnd"/>
      <w:r w:rsidRPr="002C7B36">
        <w:rPr>
          <w:rFonts w:cs="Segoe UI"/>
          <w:bCs/>
          <w:szCs w:val="22"/>
          <w:lang w:val="sk-SK" w:bidi="bo-CN"/>
        </w:rPr>
        <w:t>.</w:t>
      </w:r>
    </w:p>
    <w:bookmarkEnd w:id="10"/>
    <w:p w14:paraId="1F02D5FA" w14:textId="77777777" w:rsidR="000E5CC6" w:rsidRPr="002C7B36" w:rsidRDefault="000E5CC6" w:rsidP="000E5CC6">
      <w:pPr>
        <w:rPr>
          <w:rFonts w:cs="Segoe UI"/>
          <w:szCs w:val="22"/>
          <w:lang w:val="sk-SK" w:eastAsia="de-DE"/>
        </w:rPr>
      </w:pPr>
    </w:p>
    <w:p w14:paraId="4AD79290" w14:textId="188D53CA" w:rsidR="000E5CC6" w:rsidRPr="001C4D61" w:rsidRDefault="000E5CC6" w:rsidP="000E5CC6">
      <w:pPr>
        <w:rPr>
          <w:rFonts w:cs="Segoe UI"/>
          <w:szCs w:val="22"/>
          <w:lang w:val="sk-SK" w:eastAsia="de-DE"/>
        </w:rPr>
      </w:pPr>
      <w:r w:rsidRPr="002C7B36">
        <w:rPr>
          <w:rFonts w:cs="Segoe UI"/>
          <w:szCs w:val="22"/>
          <w:lang w:val="sk-SK" w:eastAsia="de-DE" w:bidi="bo-CN"/>
        </w:rPr>
        <w:t xml:space="preserve">Spoločnosť Henkel dosiahla ďalší pokrok aj v oblasti </w:t>
      </w:r>
      <w:r w:rsidRPr="002C7B36">
        <w:rPr>
          <w:rFonts w:cs="Segoe UI"/>
          <w:b/>
          <w:bCs/>
          <w:szCs w:val="22"/>
          <w:lang w:val="sk-SK" w:eastAsia="de-DE" w:bidi="bo-CN"/>
        </w:rPr>
        <w:t>digitalizácie</w:t>
      </w:r>
      <w:r w:rsidRPr="002C7B36">
        <w:rPr>
          <w:rFonts w:cs="Segoe UI"/>
          <w:szCs w:val="22"/>
          <w:lang w:val="sk-SK" w:eastAsia="de-DE" w:bidi="bo-CN"/>
        </w:rPr>
        <w:t xml:space="preserve">. V roku 2025 dominoval rýchly rozvoj umelej inteligencie (AI), ktorá bude mať zásadný vplyv na to, ako bude spoločnosť v budúcnosti fungovať. Henkel implementuje technológie AI v mnohých praktických aplikáciách naprieč svojimi priemyselnými aj spotrebiteľskými aktivitami. V roku 2025 uviedla v Nemecku svoj prvý generatívny, AI‑podporovaný televízny spot, ktorým uviedla ikonickú </w:t>
      </w:r>
      <w:proofErr w:type="spellStart"/>
      <w:r w:rsidRPr="002C7B36">
        <w:rPr>
          <w:rFonts w:cs="Segoe UI"/>
          <w:szCs w:val="22"/>
          <w:lang w:val="sk-SK" w:eastAsia="de-DE" w:bidi="bo-CN"/>
        </w:rPr>
        <w:t>Persil</w:t>
      </w:r>
      <w:proofErr w:type="spellEnd"/>
      <w:r w:rsidRPr="002C7B36">
        <w:rPr>
          <w:rFonts w:cs="Segoe UI"/>
          <w:szCs w:val="22"/>
          <w:lang w:val="sk-SK" w:eastAsia="de-DE" w:bidi="bo-CN"/>
        </w:rPr>
        <w:t xml:space="preserve"> </w:t>
      </w:r>
      <w:proofErr w:type="spellStart"/>
      <w:r w:rsidRPr="002C7B36">
        <w:rPr>
          <w:rFonts w:cs="Segoe UI"/>
          <w:szCs w:val="22"/>
          <w:lang w:val="sk-SK" w:eastAsia="de-DE" w:bidi="bo-CN"/>
        </w:rPr>
        <w:t>White</w:t>
      </w:r>
      <w:proofErr w:type="spellEnd"/>
      <w:r w:rsidRPr="002C7B36">
        <w:rPr>
          <w:rFonts w:cs="Segoe UI"/>
          <w:szCs w:val="22"/>
          <w:lang w:val="sk-SK" w:eastAsia="de-DE" w:bidi="bo-CN"/>
        </w:rPr>
        <w:t xml:space="preserve"> Lady do novej éry. Umelá inteligencia sa využíva aj pri automatizácii procesov vo vývojových laboratóriách lepidiel. V oblasti výroby batérií spoločnosť využíva AI‑podporované simulácie a inovatívne riešenia pre </w:t>
      </w:r>
      <w:proofErr w:type="spellStart"/>
      <w:r w:rsidRPr="002C7B36">
        <w:rPr>
          <w:rFonts w:cs="Segoe UI"/>
          <w:szCs w:val="22"/>
          <w:lang w:val="sk-SK" w:eastAsia="de-DE" w:bidi="bo-CN"/>
        </w:rPr>
        <w:t>debonding</w:t>
      </w:r>
      <w:proofErr w:type="spellEnd"/>
      <w:r w:rsidRPr="002C7B36">
        <w:rPr>
          <w:rFonts w:cs="Segoe UI"/>
          <w:szCs w:val="22"/>
          <w:lang w:val="sk-SK" w:eastAsia="de-DE" w:bidi="bo-CN"/>
        </w:rPr>
        <w:t>, ktoré zákazníkom pomáhajú skracovať vývojové cykly, znižovať náklady a optimalizovať výkon</w:t>
      </w:r>
      <w:r>
        <w:rPr>
          <w:rFonts w:cs="Segoe UI"/>
          <w:szCs w:val="22"/>
          <w:lang w:val="sk-SK" w:eastAsia="de-DE" w:bidi="bo-CN"/>
        </w:rPr>
        <w:t>.</w:t>
      </w:r>
    </w:p>
    <w:p w14:paraId="4B1E87BC" w14:textId="77777777" w:rsidR="000E5CC6" w:rsidRPr="002C7B36" w:rsidRDefault="000E5CC6" w:rsidP="000E5CC6">
      <w:pPr>
        <w:rPr>
          <w:rFonts w:cs="Segoe UI"/>
          <w:szCs w:val="22"/>
          <w:lang w:val="sk-SK" w:eastAsia="de-DE"/>
        </w:rPr>
      </w:pPr>
      <w:bookmarkStart w:id="11" w:name="_Hlk190182641"/>
    </w:p>
    <w:p w14:paraId="6D4A26F0" w14:textId="77777777" w:rsidR="000E5CC6" w:rsidRPr="001C4D61" w:rsidRDefault="000E5CC6" w:rsidP="000E5CC6">
      <w:pPr>
        <w:rPr>
          <w:rFonts w:cs="Segoe UI"/>
          <w:szCs w:val="22"/>
          <w:lang w:val="sk-SK" w:eastAsia="de-DE"/>
        </w:rPr>
      </w:pPr>
      <w:bookmarkStart w:id="12" w:name="_Hlk191457890"/>
      <w:bookmarkStart w:id="13" w:name="_Hlk222133417"/>
      <w:bookmarkStart w:id="14" w:name="_Hlk190182811"/>
      <w:bookmarkEnd w:id="11"/>
      <w:r w:rsidRPr="002C7B36">
        <w:rPr>
          <w:rFonts w:cs="Segoe UI"/>
          <w:szCs w:val="22"/>
          <w:lang w:val="sk-SK" w:eastAsia="de-DE" w:bidi="bo-CN"/>
        </w:rPr>
        <w:t xml:space="preserve">V rámci svojej dlhodobej rastovej stratégie spoločnosť Henkel neustále prispôsobuje svoje obchodné divízie požiadavkám dynamických trhov a meniacim sa očakávaniam zákazníkov, aby dosiahla dlhodobý úspech </w:t>
      </w:r>
      <w:r w:rsidRPr="002C7B36">
        <w:rPr>
          <w:rFonts w:cs="Segoe UI"/>
          <w:b/>
          <w:bCs/>
          <w:szCs w:val="22"/>
          <w:lang w:val="sk-SK" w:eastAsia="de-DE" w:bidi="bo-CN"/>
        </w:rPr>
        <w:t>s prevádzkovými modelmi pripravenými na budúcnosť</w:t>
      </w:r>
      <w:r w:rsidRPr="002C7B36">
        <w:rPr>
          <w:rFonts w:cs="Segoe UI"/>
          <w:szCs w:val="22"/>
          <w:lang w:val="sk-SK" w:eastAsia="de-DE" w:bidi="bo-CN"/>
        </w:rPr>
        <w:t xml:space="preserve">. V marci 2025 spoločnosť oznámila, že bude posudzovať možnosť vytvorenia samostatných právnych entít v Nemecku a vybraných krajinách pre svoje dve obchodné divízie </w:t>
      </w:r>
      <w:proofErr w:type="spellStart"/>
      <w:r w:rsidRPr="002C7B36">
        <w:rPr>
          <w:rFonts w:cs="Segoe UI"/>
          <w:szCs w:val="22"/>
          <w:lang w:val="sk-SK" w:eastAsia="de-DE" w:bidi="bo-CN"/>
        </w:rPr>
        <w:t>Adhesive</w:t>
      </w:r>
      <w:proofErr w:type="spellEnd"/>
      <w:r w:rsidRPr="002C7B36">
        <w:rPr>
          <w:rFonts w:cs="Segoe UI"/>
          <w:szCs w:val="22"/>
          <w:lang w:val="sk-SK" w:eastAsia="de-DE" w:bidi="bo-CN"/>
        </w:rPr>
        <w:t xml:space="preserve"> Technologies (HAT) a </w:t>
      </w:r>
      <w:proofErr w:type="spellStart"/>
      <w:r w:rsidRPr="002C7B36">
        <w:rPr>
          <w:rFonts w:cs="Segoe UI"/>
          <w:szCs w:val="22"/>
          <w:lang w:val="sk-SK" w:eastAsia="de-DE" w:bidi="bo-CN"/>
        </w:rPr>
        <w:t>Consumer</w:t>
      </w:r>
      <w:proofErr w:type="spellEnd"/>
      <w:r w:rsidRPr="002C7B36">
        <w:rPr>
          <w:rFonts w:cs="Segoe UI"/>
          <w:szCs w:val="22"/>
          <w:lang w:val="sk-SK" w:eastAsia="de-DE" w:bidi="bo-CN"/>
        </w:rPr>
        <w:t xml:space="preserve"> </w:t>
      </w:r>
      <w:proofErr w:type="spellStart"/>
      <w:r w:rsidRPr="002C7B36">
        <w:rPr>
          <w:rFonts w:cs="Segoe UI"/>
          <w:szCs w:val="22"/>
          <w:lang w:val="sk-SK" w:eastAsia="de-DE" w:bidi="bo-CN"/>
        </w:rPr>
        <w:t>Brands</w:t>
      </w:r>
      <w:proofErr w:type="spellEnd"/>
      <w:r w:rsidRPr="002C7B36">
        <w:rPr>
          <w:rFonts w:cs="Segoe UI"/>
          <w:szCs w:val="22"/>
          <w:lang w:val="sk-SK" w:eastAsia="de-DE" w:bidi="bo-CN"/>
        </w:rPr>
        <w:t xml:space="preserve"> (HCB). Tento krok súvisí aj s prípravami na migráciu na systém SAP S/4HANA. Predstavenstvo spoločnosti návrh dôkladne prerokovalo a schválilo s príslušnými dozornými orgánmi. V súlade s tým bude prvým plánovaným krokom vytvorenie samostatných právnych entít pre obe existujúce obchodné divízie v Nemecku. Týmto krokom chce spoločnosť Henkel zvýšiť agilitu svojich procesov a štruktúr a lepšie podporiť budúce potreby svojich obchodných aktivít a rastovú agendu skupiny Henkel. Strategické a operačné riadenie skupiny a jej obchodných divízií zostane nezmenené. Návrh bude predložený na rozhodnutie akcionárom na výročnom valnom zhromaždení v roku 2026.</w:t>
      </w:r>
    </w:p>
    <w:bookmarkEnd w:id="12"/>
    <w:bookmarkEnd w:id="13"/>
    <w:p w14:paraId="50C4B7C1" w14:textId="77777777" w:rsidR="000E5CC6" w:rsidRPr="002C7B36" w:rsidRDefault="000E5CC6" w:rsidP="000E5CC6">
      <w:pPr>
        <w:rPr>
          <w:rFonts w:cs="Segoe UI"/>
          <w:szCs w:val="22"/>
          <w:lang w:val="sk-SK" w:eastAsia="de-DE"/>
        </w:rPr>
      </w:pPr>
    </w:p>
    <w:bookmarkEnd w:id="14"/>
    <w:p w14:paraId="25CA369D" w14:textId="77777777" w:rsidR="000E5CC6" w:rsidRPr="001C4D61" w:rsidRDefault="000E5CC6" w:rsidP="000E5CC6">
      <w:pPr>
        <w:rPr>
          <w:rFonts w:cs="Segoe UI"/>
          <w:szCs w:val="22"/>
          <w:lang w:val="sk-SK" w:eastAsia="de-DE"/>
        </w:rPr>
      </w:pPr>
      <w:r w:rsidRPr="002C7B36">
        <w:rPr>
          <w:rFonts w:cs="Segoe UI"/>
          <w:szCs w:val="22"/>
          <w:lang w:val="sk-SK" w:eastAsia="de-DE" w:bidi="bo-CN"/>
        </w:rPr>
        <w:t xml:space="preserve">V spoločnosti Henkel tvorí silná </w:t>
      </w:r>
      <w:r w:rsidRPr="002C7B36">
        <w:rPr>
          <w:rFonts w:cs="Segoe UI"/>
          <w:b/>
          <w:bCs/>
          <w:szCs w:val="22"/>
          <w:lang w:val="sk-SK" w:eastAsia="de-DE" w:bidi="bo-CN"/>
        </w:rPr>
        <w:t>firemná kultúra</w:t>
      </w:r>
      <w:r w:rsidRPr="002C7B36">
        <w:rPr>
          <w:rFonts w:cs="Segoe UI"/>
          <w:szCs w:val="22"/>
          <w:lang w:val="sk-SK" w:eastAsia="de-DE" w:bidi="bo-CN"/>
        </w:rPr>
        <w:t xml:space="preserve"> základ agendy zameranej na zmysluplný rast. Je charakterizovaná spoluprácou založenou na dôvere naprieč obchodnými divíziami, krajinami a tímami, ako aj posilňovaním zodpovednosti zamestnancov a ich aktívnym zapájaním do formovania výsledkov. Takúto kultúru je potrebné neustále rozvíjať. Aby spoločnosť získala prehľad o tom, ako ju zamestnanci vnímajú, už niekoľko rokov realizuje tzv. </w:t>
      </w:r>
      <w:proofErr w:type="spellStart"/>
      <w:r w:rsidRPr="002C7B36">
        <w:rPr>
          <w:rFonts w:cs="Segoe UI"/>
          <w:i/>
          <w:iCs/>
          <w:szCs w:val="22"/>
          <w:lang w:val="sk-SK" w:eastAsia="de-DE" w:bidi="bo-CN"/>
        </w:rPr>
        <w:t>pulse</w:t>
      </w:r>
      <w:proofErr w:type="spellEnd"/>
      <w:r w:rsidRPr="002C7B36">
        <w:rPr>
          <w:rFonts w:cs="Segoe UI"/>
          <w:i/>
          <w:iCs/>
          <w:szCs w:val="22"/>
          <w:lang w:val="sk-SK" w:eastAsia="de-DE" w:bidi="bo-CN"/>
        </w:rPr>
        <w:t xml:space="preserve"> </w:t>
      </w:r>
      <w:proofErr w:type="spellStart"/>
      <w:r w:rsidRPr="002C7B36">
        <w:rPr>
          <w:rFonts w:cs="Segoe UI"/>
          <w:i/>
          <w:iCs/>
          <w:szCs w:val="22"/>
          <w:lang w:val="sk-SK" w:eastAsia="de-DE" w:bidi="bo-CN"/>
        </w:rPr>
        <w:t>checks</w:t>
      </w:r>
      <w:proofErr w:type="spellEnd"/>
      <w:r w:rsidRPr="002C7B36">
        <w:rPr>
          <w:rFonts w:cs="Segoe UI"/>
          <w:szCs w:val="22"/>
          <w:lang w:val="sk-SK" w:eastAsia="de-DE" w:bidi="bo-CN"/>
        </w:rPr>
        <w:t xml:space="preserve"> – mesačné prieskumy medzi 5 000 náhodne vybranými zamestnancami. Tieto anonymné prieskumy poskytujú cenné poznatky o témach, ako sú spolupráca, zodpovednosť, inovácie, diverzita či súlad s dlhodobou stratégiou spoločnosti Henkel. Výsledky za rok 2025 ukazujú, že spoločnosť dosiahla v týchto oblastiach významný pokrok. Potvrdzuje to, že rôznorodé iniciatívy a opatrenia zavedené v uplynulých rokoch prinášajú výsledky a firemná kultúra sa neustále posilňuje.</w:t>
      </w:r>
    </w:p>
    <w:p w14:paraId="599DF428" w14:textId="77777777" w:rsidR="000E5CC6" w:rsidRDefault="000E5CC6" w:rsidP="000E5CC6">
      <w:pPr>
        <w:rPr>
          <w:rFonts w:cs="Segoe UI"/>
          <w:szCs w:val="22"/>
          <w:lang w:val="sk-SK" w:eastAsia="de-DE"/>
        </w:rPr>
      </w:pPr>
    </w:p>
    <w:p w14:paraId="1BAC9B8B" w14:textId="77777777" w:rsidR="000E5CC6" w:rsidRDefault="000E5CC6" w:rsidP="000E5CC6">
      <w:pPr>
        <w:rPr>
          <w:rFonts w:cs="Segoe UI"/>
          <w:szCs w:val="22"/>
          <w:lang w:val="sk-SK" w:eastAsia="de-DE"/>
        </w:rPr>
      </w:pPr>
    </w:p>
    <w:p w14:paraId="47D7E462" w14:textId="77777777" w:rsidR="000E5CC6" w:rsidRPr="002C7B36" w:rsidRDefault="000E5CC6" w:rsidP="000E5CC6">
      <w:pPr>
        <w:rPr>
          <w:rFonts w:cs="Segoe UI"/>
          <w:szCs w:val="22"/>
          <w:lang w:val="sk-SK" w:eastAsia="de-DE"/>
        </w:rPr>
      </w:pPr>
    </w:p>
    <w:p w14:paraId="406168FB" w14:textId="77777777" w:rsidR="000E5CC6" w:rsidRPr="001C4D61" w:rsidRDefault="000E5CC6" w:rsidP="000E5CC6">
      <w:pPr>
        <w:spacing w:after="120"/>
        <w:rPr>
          <w:rFonts w:cs="Segoe UI"/>
          <w:b/>
          <w:bCs/>
          <w:szCs w:val="22"/>
          <w:lang w:val="sk-SK" w:eastAsia="de-DE"/>
        </w:rPr>
      </w:pPr>
      <w:r w:rsidRPr="002C7B36">
        <w:rPr>
          <w:rFonts w:cs="Segoe UI"/>
          <w:b/>
          <w:bCs/>
          <w:szCs w:val="22"/>
          <w:lang w:val="sk-SK" w:eastAsia="de-DE" w:bidi="bo-CN"/>
        </w:rPr>
        <w:t>Henkel oslavuje 150 rokov úspechov</w:t>
      </w:r>
    </w:p>
    <w:p w14:paraId="740535CE" w14:textId="00D4312C" w:rsidR="000E5CC6" w:rsidRPr="001C4D61" w:rsidRDefault="000E5CC6" w:rsidP="000E5CC6">
      <w:pPr>
        <w:rPr>
          <w:rFonts w:cs="Segoe UI"/>
          <w:szCs w:val="22"/>
          <w:lang w:val="sk-SK"/>
        </w:rPr>
      </w:pPr>
      <w:r w:rsidRPr="002C7B36">
        <w:rPr>
          <w:rFonts w:cs="Segoe UI"/>
          <w:szCs w:val="22"/>
          <w:lang w:val="sk-SK" w:bidi="bo-CN"/>
        </w:rPr>
        <w:t xml:space="preserve"> „Rok 2025 bol úspešným rokom, v ktorom sme opäť zvládli veľké výzvy a zároveň dosiahli významný pokrok. Vo veľkej miere sme splnili naše finančné ciele. Naprieč všetkými strategickými dimenziami sme dôsledne realizovali našu agendu zameranú na zmysluplný rast a úspešne sme dokončili integráciu našich spotrebiteľských aktivít. Nachádzame sa na správnej ceste a transformácia našej spoločnosti prináša hmatateľné výsledky,“ zhrnul uplynulý rok </w:t>
      </w:r>
      <w:proofErr w:type="spellStart"/>
      <w:r w:rsidRPr="002C7B36">
        <w:rPr>
          <w:rFonts w:cs="Segoe UI"/>
          <w:szCs w:val="22"/>
          <w:lang w:val="sk-SK" w:bidi="bo-CN"/>
        </w:rPr>
        <w:t>Carsten</w:t>
      </w:r>
      <w:proofErr w:type="spellEnd"/>
      <w:r w:rsidRPr="002C7B36">
        <w:rPr>
          <w:rFonts w:cs="Segoe UI"/>
          <w:szCs w:val="22"/>
          <w:lang w:val="sk-SK" w:bidi="bo-CN"/>
        </w:rPr>
        <w:t xml:space="preserve"> </w:t>
      </w:r>
      <w:proofErr w:type="spellStart"/>
      <w:r w:rsidRPr="002C7B36">
        <w:rPr>
          <w:rFonts w:cs="Segoe UI"/>
          <w:szCs w:val="22"/>
          <w:lang w:val="sk-SK" w:bidi="bo-CN"/>
        </w:rPr>
        <w:t>Knobel</w:t>
      </w:r>
      <w:proofErr w:type="spellEnd"/>
      <w:r>
        <w:rPr>
          <w:rFonts w:cs="Segoe UI"/>
          <w:szCs w:val="22"/>
          <w:lang w:val="sk-SK" w:bidi="bo-CN"/>
        </w:rPr>
        <w:t>.</w:t>
      </w:r>
    </w:p>
    <w:p w14:paraId="06EE0AC3" w14:textId="77777777" w:rsidR="000E5CC6" w:rsidRPr="002C7B36" w:rsidRDefault="000E5CC6" w:rsidP="000E5CC6">
      <w:pPr>
        <w:rPr>
          <w:rFonts w:cs="Segoe UI"/>
          <w:szCs w:val="22"/>
          <w:lang w:val="sk-SK"/>
        </w:rPr>
      </w:pPr>
    </w:p>
    <w:p w14:paraId="74DCD38C" w14:textId="751F961B" w:rsidR="007F0F63" w:rsidRPr="00B71239" w:rsidRDefault="000E5CC6" w:rsidP="000E5CC6">
      <w:pPr>
        <w:rPr>
          <w:rFonts w:cs="Segoe UI"/>
          <w:szCs w:val="22"/>
          <w:lang w:val="sk-SK"/>
        </w:rPr>
      </w:pPr>
      <w:r w:rsidRPr="002C7B36">
        <w:rPr>
          <w:rFonts w:cs="Segoe UI"/>
          <w:szCs w:val="22"/>
          <w:lang w:val="sk-SK" w:bidi="bo-CN"/>
        </w:rPr>
        <w:t xml:space="preserve"> „Teraz sa hľadíme vpred na vzrušujúci rok 2026, v ktorom oslávime 150. výročie založenia našej spoločnosti. Na naše dedičstvo sme, samozrejme, hrdí – no pre nás to nie je dôvod zastaviť sa. Naopak, je to zdroj motivácie na cestu, ktorá je pred nami. Sme pripravení na budúcnosť. Tak ako v minulosti, aj teraz budeme stavať na našom priekopníckom duchu, aby sme vyvíjali produkty a riešenia orientované na budúcnosť pre ďalšie generácie. To je plne v súlade s naším poslaním: </w:t>
      </w:r>
      <w:proofErr w:type="spellStart"/>
      <w:r w:rsidRPr="002C7B36">
        <w:rPr>
          <w:rFonts w:cs="Segoe UI"/>
          <w:i/>
          <w:iCs/>
          <w:szCs w:val="22"/>
          <w:lang w:val="sk-SK" w:bidi="bo-CN"/>
        </w:rPr>
        <w:t>Pioneers</w:t>
      </w:r>
      <w:proofErr w:type="spellEnd"/>
      <w:r w:rsidRPr="002C7B36">
        <w:rPr>
          <w:rFonts w:cs="Segoe UI"/>
          <w:i/>
          <w:iCs/>
          <w:szCs w:val="22"/>
          <w:lang w:val="sk-SK" w:bidi="bo-CN"/>
        </w:rPr>
        <w:t xml:space="preserve"> at </w:t>
      </w:r>
      <w:proofErr w:type="spellStart"/>
      <w:r w:rsidRPr="002C7B36">
        <w:rPr>
          <w:rFonts w:cs="Segoe UI"/>
          <w:i/>
          <w:iCs/>
          <w:szCs w:val="22"/>
          <w:lang w:val="sk-SK" w:bidi="bo-CN"/>
        </w:rPr>
        <w:t>heart</w:t>
      </w:r>
      <w:proofErr w:type="spellEnd"/>
      <w:r w:rsidRPr="002C7B36">
        <w:rPr>
          <w:rFonts w:cs="Segoe UI"/>
          <w:i/>
          <w:iCs/>
          <w:szCs w:val="22"/>
          <w:lang w:val="sk-SK" w:bidi="bo-CN"/>
        </w:rPr>
        <w:t xml:space="preserve"> </w:t>
      </w:r>
      <w:proofErr w:type="spellStart"/>
      <w:r w:rsidRPr="002C7B36">
        <w:rPr>
          <w:rFonts w:cs="Segoe UI"/>
          <w:i/>
          <w:iCs/>
          <w:szCs w:val="22"/>
          <w:lang w:val="sk-SK" w:bidi="bo-CN"/>
        </w:rPr>
        <w:t>for</w:t>
      </w:r>
      <w:proofErr w:type="spellEnd"/>
      <w:r w:rsidRPr="002C7B36">
        <w:rPr>
          <w:rFonts w:cs="Segoe UI"/>
          <w:i/>
          <w:iCs/>
          <w:szCs w:val="22"/>
          <w:lang w:val="sk-SK" w:bidi="bo-CN"/>
        </w:rPr>
        <w:t xml:space="preserve"> </w:t>
      </w:r>
      <w:proofErr w:type="spellStart"/>
      <w:r w:rsidRPr="002C7B36">
        <w:rPr>
          <w:rFonts w:cs="Segoe UI"/>
          <w:i/>
          <w:iCs/>
          <w:szCs w:val="22"/>
          <w:lang w:val="sk-SK" w:bidi="bo-CN"/>
        </w:rPr>
        <w:t>the</w:t>
      </w:r>
      <w:proofErr w:type="spellEnd"/>
      <w:r w:rsidRPr="002C7B36">
        <w:rPr>
          <w:rFonts w:cs="Segoe UI"/>
          <w:i/>
          <w:iCs/>
          <w:szCs w:val="22"/>
          <w:lang w:val="sk-SK" w:bidi="bo-CN"/>
        </w:rPr>
        <w:t xml:space="preserve"> </w:t>
      </w:r>
      <w:proofErr w:type="spellStart"/>
      <w:r w:rsidRPr="002C7B36">
        <w:rPr>
          <w:rFonts w:cs="Segoe UI"/>
          <w:i/>
          <w:iCs/>
          <w:szCs w:val="22"/>
          <w:lang w:val="sk-SK" w:bidi="bo-CN"/>
        </w:rPr>
        <w:t>good</w:t>
      </w:r>
      <w:proofErr w:type="spellEnd"/>
      <w:r w:rsidRPr="002C7B36">
        <w:rPr>
          <w:rFonts w:cs="Segoe UI"/>
          <w:i/>
          <w:iCs/>
          <w:szCs w:val="22"/>
          <w:lang w:val="sk-SK" w:bidi="bo-CN"/>
        </w:rPr>
        <w:t xml:space="preserve"> of </w:t>
      </w:r>
      <w:proofErr w:type="spellStart"/>
      <w:r w:rsidRPr="002C7B36">
        <w:rPr>
          <w:rFonts w:cs="Segoe UI"/>
          <w:i/>
          <w:iCs/>
          <w:szCs w:val="22"/>
          <w:lang w:val="sk-SK" w:bidi="bo-CN"/>
        </w:rPr>
        <w:t>generations</w:t>
      </w:r>
      <w:proofErr w:type="spellEnd"/>
      <w:r w:rsidRPr="002C7B36">
        <w:rPr>
          <w:rFonts w:cs="Segoe UI"/>
          <w:szCs w:val="22"/>
          <w:lang w:val="sk-SK" w:bidi="bo-CN"/>
        </w:rPr>
        <w:t>,“ dodal.</w:t>
      </w:r>
    </w:p>
    <w:p w14:paraId="13157B68" w14:textId="3A2BEE11" w:rsidR="00385185" w:rsidRPr="00B71239" w:rsidRDefault="00385185" w:rsidP="00643D8A">
      <w:pPr>
        <w:rPr>
          <w:rFonts w:cs="Segoe UI"/>
          <w:szCs w:val="22"/>
          <w:lang w:val="sk-SK"/>
        </w:rPr>
      </w:pPr>
    </w:p>
    <w:p w14:paraId="48D80950" w14:textId="22EA2066" w:rsidR="00385185" w:rsidRPr="00B71239" w:rsidRDefault="00385185" w:rsidP="00643D8A">
      <w:pPr>
        <w:rPr>
          <w:rFonts w:cs="Segoe UI"/>
          <w:szCs w:val="22"/>
          <w:lang w:val="sk-SK"/>
        </w:rPr>
      </w:pPr>
    </w:p>
    <w:p w14:paraId="0AE9B6D5" w14:textId="4317D1AF" w:rsidR="00385185" w:rsidRPr="00B71239" w:rsidRDefault="00385185" w:rsidP="00643D8A">
      <w:pPr>
        <w:rPr>
          <w:rFonts w:cs="Segoe UI"/>
          <w:szCs w:val="22"/>
          <w:lang w:val="sk-SK"/>
        </w:rPr>
      </w:pPr>
    </w:p>
    <w:p w14:paraId="03D40B48" w14:textId="77777777" w:rsidR="00385185" w:rsidRPr="00B71239" w:rsidRDefault="00385185" w:rsidP="00643D8A">
      <w:pPr>
        <w:rPr>
          <w:rFonts w:cs="Segoe UI"/>
          <w:szCs w:val="22"/>
          <w:lang w:val="sk-SK"/>
        </w:rPr>
      </w:pPr>
    </w:p>
    <w:p w14:paraId="56AC8909" w14:textId="77777777" w:rsidR="002A2975" w:rsidRPr="00B71239" w:rsidRDefault="002A2975" w:rsidP="00643D8A">
      <w:pPr>
        <w:rPr>
          <w:rFonts w:cs="Segoe UI"/>
          <w:szCs w:val="22"/>
          <w:lang w:val="sk-SK"/>
        </w:rPr>
      </w:pPr>
    </w:p>
    <w:p w14:paraId="3411FCC1" w14:textId="24475CC2" w:rsidR="00D06825" w:rsidRPr="00B71239" w:rsidRDefault="004002DD" w:rsidP="004002DD">
      <w:pPr>
        <w:rPr>
          <w:rStyle w:val="AboutandContactHeadline"/>
          <w:lang w:val="sk-SK"/>
        </w:rPr>
      </w:pPr>
      <w:r w:rsidRPr="00B71239">
        <w:rPr>
          <w:rStyle w:val="AboutandContactHeadline"/>
          <w:lang w:val="sk-SK" w:bidi="bo-CN"/>
        </w:rPr>
        <w:t>O spoločnosti Henkel</w:t>
      </w:r>
    </w:p>
    <w:p w14:paraId="6800F443" w14:textId="6BEF0573" w:rsidR="00BF605A" w:rsidRPr="00167065" w:rsidRDefault="00BF605A" w:rsidP="00BF605A">
      <w:pPr>
        <w:rPr>
          <w:rStyle w:val="AboutandContactHeadline"/>
          <w:b w:val="0"/>
          <w:bCs w:val="0"/>
          <w:lang w:val="sk-SK"/>
        </w:rPr>
      </w:pPr>
      <w:r w:rsidRPr="00B71239">
        <w:rPr>
          <w:rStyle w:val="AboutandContactBody"/>
          <w:lang w:val="sk-SK" w:bidi="bo-CN"/>
        </w:rPr>
        <w:t>Vďaka svojim značkám, inováciám a technológiám je spoločnosť Henkel svetovým lídrom na trhoch s priemyselným a spotrebným tovarom.</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Adhesive</w:t>
      </w:r>
      <w:proofErr w:type="spellEnd"/>
      <w:r w:rsidRPr="00B71239">
        <w:rPr>
          <w:rStyle w:val="AboutandContactBody"/>
          <w:lang w:val="sk-SK" w:bidi="bo-CN"/>
        </w:rPr>
        <w:t xml:space="preserve"> Technologies je globálnym lídrom na trhu so spojovacími a lepiacimi materiálmi</w:t>
      </w:r>
      <w:r w:rsidR="00E54B2E">
        <w:rPr>
          <w:rStyle w:val="AboutandContactBody"/>
          <w:lang w:val="sk-SK" w:bidi="bo-CN"/>
        </w:rPr>
        <w:t>, tmelmi</w:t>
      </w:r>
      <w:r w:rsidRPr="00B71239">
        <w:rPr>
          <w:rStyle w:val="AboutandContactBody"/>
          <w:lang w:val="sk-SK" w:bidi="bo-CN"/>
        </w:rPr>
        <w:t xml:space="preserve"> a funkčnými nátermi.</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Consumer</w:t>
      </w:r>
      <w:proofErr w:type="spellEnd"/>
      <w:r w:rsidRPr="00B71239">
        <w:rPr>
          <w:rStyle w:val="AboutandContactBody"/>
          <w:lang w:val="sk-SK" w:bidi="bo-CN"/>
        </w:rPr>
        <w:t xml:space="preserve"> </w:t>
      </w:r>
      <w:proofErr w:type="spellStart"/>
      <w:r w:rsidRPr="00B71239">
        <w:rPr>
          <w:rStyle w:val="AboutandContactBody"/>
          <w:lang w:val="sk-SK" w:bidi="bo-CN"/>
        </w:rPr>
        <w:t>Brands</w:t>
      </w:r>
      <w:proofErr w:type="spellEnd"/>
      <w:r w:rsidRPr="00B71239">
        <w:rPr>
          <w:rStyle w:val="AboutandContactBody"/>
          <w:lang w:val="sk-SK" w:bidi="bo-CN"/>
        </w:rPr>
        <w:t xml:space="preserve"> sa drží na popredných miestach na mnohých svetových trhoch predovšetkým v segmentoch vlasovej kozmetiky a pracích a čistiacich prostriedkov pre </w:t>
      </w:r>
      <w:r w:rsidRPr="00DE270C">
        <w:rPr>
          <w:rStyle w:val="AboutandContactBody"/>
          <w:lang w:val="sk-SK" w:bidi="bo-CN"/>
        </w:rPr>
        <w:t>domácnosť.</w:t>
      </w:r>
      <w:r w:rsidRPr="00DE270C">
        <w:rPr>
          <w:rStyle w:val="AboutandContactBody"/>
          <w:lang w:val="sk-SK"/>
        </w:rPr>
        <w:t xml:space="preserve"> </w:t>
      </w:r>
      <w:r w:rsidRPr="00DE270C">
        <w:rPr>
          <w:rStyle w:val="AboutandContactBody"/>
          <w:lang w:val="sk-SK" w:bidi="bo-CN"/>
        </w:rPr>
        <w:t xml:space="preserve">Medzi tri najsilnejšie značky spoločnosti patria </w:t>
      </w:r>
      <w:proofErr w:type="spellStart"/>
      <w:r w:rsidRPr="00DE270C">
        <w:rPr>
          <w:rStyle w:val="AboutandContactBody"/>
          <w:lang w:val="sk-SK" w:bidi="bo-CN"/>
        </w:rPr>
        <w:t>Loctite</w:t>
      </w:r>
      <w:proofErr w:type="spellEnd"/>
      <w:r w:rsidRPr="00DE270C">
        <w:rPr>
          <w:rStyle w:val="AboutandContactBody"/>
          <w:lang w:val="sk-SK" w:bidi="bo-CN"/>
        </w:rPr>
        <w:t xml:space="preserve">, </w:t>
      </w:r>
      <w:proofErr w:type="spellStart"/>
      <w:r w:rsidRPr="00DE270C">
        <w:rPr>
          <w:rStyle w:val="AboutandContactBody"/>
          <w:lang w:val="sk-SK" w:bidi="bo-CN"/>
        </w:rPr>
        <w:t>Persil</w:t>
      </w:r>
      <w:proofErr w:type="spellEnd"/>
      <w:r w:rsidRPr="00DE270C">
        <w:rPr>
          <w:rStyle w:val="AboutandContactBody"/>
          <w:lang w:val="sk-SK" w:bidi="bo-CN"/>
        </w:rPr>
        <w:t xml:space="preserve"> a </w:t>
      </w:r>
      <w:proofErr w:type="spellStart"/>
      <w:r w:rsidRPr="00DE270C">
        <w:rPr>
          <w:rStyle w:val="AboutandContactBody"/>
          <w:lang w:val="sk-SK" w:bidi="bo-CN"/>
        </w:rPr>
        <w:t>Schwarzkopf</w:t>
      </w:r>
      <w:proofErr w:type="spellEnd"/>
      <w:r w:rsidRPr="00DE270C">
        <w:rPr>
          <w:rStyle w:val="AboutandContactBody"/>
          <w:lang w:val="sk-SK" w:bidi="bo-CN"/>
        </w:rPr>
        <w:t>.</w:t>
      </w:r>
      <w:r w:rsidRPr="00DE270C">
        <w:rPr>
          <w:rStyle w:val="AboutandContactBody"/>
          <w:lang w:val="sk-SK"/>
        </w:rPr>
        <w:t xml:space="preserve"> </w:t>
      </w:r>
      <w:r w:rsidRPr="00DE270C">
        <w:rPr>
          <w:rStyle w:val="AboutandContactBody"/>
          <w:lang w:val="sk-SK" w:bidi="bo-CN"/>
        </w:rPr>
        <w:t>Vo finančnom roku 202</w:t>
      </w:r>
      <w:r w:rsidR="00981A94">
        <w:rPr>
          <w:rStyle w:val="AboutandContactBody"/>
          <w:lang w:val="sk-SK" w:bidi="bo-CN"/>
        </w:rPr>
        <w:t>4</w:t>
      </w:r>
      <w:r w:rsidRPr="00DE270C">
        <w:rPr>
          <w:rStyle w:val="AboutandContactBody"/>
          <w:lang w:val="sk-SK" w:bidi="bo-CN"/>
        </w:rPr>
        <w:t xml:space="preserve"> vykázala spoločnosť Henkel obrat vo výške viac než 2</w:t>
      </w:r>
      <w:r w:rsidR="00BE74BB">
        <w:rPr>
          <w:rStyle w:val="AboutandContactBody"/>
          <w:lang w:val="sk-SK" w:bidi="bo-CN"/>
        </w:rPr>
        <w:t>1,</w:t>
      </w:r>
      <w:r w:rsidR="00BD2831">
        <w:rPr>
          <w:rStyle w:val="AboutandContactBody"/>
          <w:lang w:val="sk-SK" w:bidi="bo-CN"/>
        </w:rPr>
        <w:t>6</w:t>
      </w:r>
      <w:r w:rsidRPr="00DE270C">
        <w:rPr>
          <w:rStyle w:val="AboutandContactBody"/>
          <w:lang w:val="sk-SK" w:bidi="bo-CN"/>
        </w:rPr>
        <w:t xml:space="preserve"> mld. eur a upravený prevádzkový zisk približne vo výške </w:t>
      </w:r>
      <w:r w:rsidR="00F12341">
        <w:rPr>
          <w:rStyle w:val="AboutandContactBody"/>
          <w:lang w:val="sk-SK" w:bidi="bo-CN"/>
        </w:rPr>
        <w:t>3</w:t>
      </w:r>
      <w:r w:rsidRPr="00DE270C">
        <w:rPr>
          <w:rStyle w:val="AboutandContactBody"/>
          <w:lang w:val="sk-SK" w:bidi="bo-CN"/>
        </w:rPr>
        <w:t>,</w:t>
      </w:r>
      <w:r w:rsidR="00F12341">
        <w:rPr>
          <w:rStyle w:val="AboutandContactBody"/>
          <w:lang w:val="sk-SK" w:bidi="bo-CN"/>
        </w:rPr>
        <w:t>1</w:t>
      </w:r>
      <w:r w:rsidRPr="00DE270C">
        <w:rPr>
          <w:rStyle w:val="AboutandContactBody"/>
          <w:lang w:val="sk-SK" w:bidi="bo-CN"/>
        </w:rPr>
        <w:t xml:space="preserve"> mld. eur.</w:t>
      </w:r>
      <w:r w:rsidRPr="00DE270C">
        <w:rPr>
          <w:rStyle w:val="AboutandContactBody"/>
          <w:lang w:val="sk-SK"/>
        </w:rPr>
        <w:t xml:space="preserve"> </w:t>
      </w:r>
      <w:r w:rsidRPr="00DE270C">
        <w:rPr>
          <w:rStyle w:val="AboutandContactBody"/>
          <w:lang w:val="sk-SK" w:bidi="bo-CN"/>
        </w:rPr>
        <w:t>Prioritné akcie spoločnosti Henkel sú kótované na nemeckom akciovom indexe DAX.</w:t>
      </w:r>
      <w:r w:rsidRPr="00DE270C">
        <w:rPr>
          <w:rStyle w:val="AboutandContactBody"/>
          <w:lang w:val="sk-SK"/>
        </w:rPr>
        <w:t xml:space="preserve"> </w:t>
      </w:r>
      <w:r w:rsidRPr="00DE270C">
        <w:rPr>
          <w:rStyle w:val="AboutandContactBody"/>
          <w:lang w:val="sk-SK" w:bidi="bo-CN"/>
        </w:rPr>
        <w:t>Udržateľnosť už</w:t>
      </w:r>
      <w:r w:rsidRPr="00B71239">
        <w:rPr>
          <w:rStyle w:val="AboutandContactBody"/>
          <w:lang w:val="sk-SK" w:bidi="bo-CN"/>
        </w:rPr>
        <w:t xml:space="preserve"> dlhodobo patrí medzi tradičné priority spoločnosti Henkel, pričom na plnenie konkrétnych cieľov má spoločnosť vypracovanú jasnú stratégiu dlhodobej udržateľnosti.</w:t>
      </w:r>
      <w:r w:rsidRPr="00B71239">
        <w:rPr>
          <w:rStyle w:val="AboutandContactBody"/>
          <w:lang w:val="sk-SK"/>
        </w:rPr>
        <w:t xml:space="preserve"> </w:t>
      </w:r>
      <w:r w:rsidRPr="00B71239">
        <w:rPr>
          <w:rStyle w:val="AboutandContactBody"/>
          <w:lang w:val="sk-SK" w:bidi="bo-CN"/>
        </w:rPr>
        <w:t xml:space="preserve">Spoločnosť Henkel bola založená v roku 1876 a dnes celosvetovo zamestnáva </w:t>
      </w:r>
      <w:r w:rsidR="002B24B9">
        <w:rPr>
          <w:rStyle w:val="AboutandContactBody"/>
          <w:lang w:val="sk-SK" w:bidi="bo-CN"/>
        </w:rPr>
        <w:t xml:space="preserve">približne </w:t>
      </w:r>
      <w:r w:rsidR="00BE74BB">
        <w:rPr>
          <w:rStyle w:val="AboutandContactBody"/>
          <w:lang w:val="sk-SK" w:bidi="bo-CN"/>
        </w:rPr>
        <w:t>4</w:t>
      </w:r>
      <w:r w:rsidR="00EF6666">
        <w:rPr>
          <w:rStyle w:val="AboutandContactBody"/>
          <w:lang w:val="sk-SK" w:bidi="bo-CN"/>
        </w:rPr>
        <w:t>7</w:t>
      </w:r>
      <w:r w:rsidRPr="00B71239">
        <w:rPr>
          <w:rStyle w:val="AboutandContactBody"/>
          <w:lang w:val="sk-SK" w:bidi="bo-CN"/>
        </w:rPr>
        <w:t> 000 zamestnancov, ktorých spája silná firemná kultúra, spoločné hodnoty a spoločné poslanie:</w:t>
      </w:r>
      <w:r w:rsidRPr="00B71239">
        <w:rPr>
          <w:rStyle w:val="AboutandContactBody"/>
          <w:lang w:val="sk-SK"/>
        </w:rPr>
        <w:t xml:space="preserve"> </w:t>
      </w:r>
      <w:r w:rsidRPr="00B71239">
        <w:rPr>
          <w:rStyle w:val="AboutandContactBody"/>
          <w:lang w:val="sk-SK" w:bidi="bo-CN"/>
        </w:rPr>
        <w:t>„</w:t>
      </w:r>
      <w:proofErr w:type="spellStart"/>
      <w:r w:rsidRPr="00B71239">
        <w:rPr>
          <w:rStyle w:val="AboutandContactBody"/>
          <w:lang w:val="sk-SK" w:bidi="bo-CN"/>
        </w:rPr>
        <w:t>Pioneers</w:t>
      </w:r>
      <w:proofErr w:type="spellEnd"/>
      <w:r w:rsidRPr="00B71239">
        <w:rPr>
          <w:rStyle w:val="AboutandContactBody"/>
          <w:lang w:val="sk-SK" w:bidi="bo-CN"/>
        </w:rPr>
        <w:t xml:space="preserve"> at </w:t>
      </w:r>
      <w:proofErr w:type="spellStart"/>
      <w:r w:rsidRPr="00B71239">
        <w:rPr>
          <w:rStyle w:val="AboutandContactBody"/>
          <w:lang w:val="sk-SK" w:bidi="bo-CN"/>
        </w:rPr>
        <w:t>heart</w:t>
      </w:r>
      <w:proofErr w:type="spellEnd"/>
      <w:r w:rsidRPr="00B71239">
        <w:rPr>
          <w:rStyle w:val="AboutandContactBody"/>
          <w:lang w:val="sk-SK" w:bidi="bo-CN"/>
        </w:rPr>
        <w:t xml:space="preserve"> </w:t>
      </w:r>
      <w:proofErr w:type="spellStart"/>
      <w:r w:rsidRPr="00B71239">
        <w:rPr>
          <w:rStyle w:val="AboutandContactBody"/>
          <w:lang w:val="sk-SK" w:bidi="bo-CN"/>
        </w:rPr>
        <w:t>for</w:t>
      </w:r>
      <w:proofErr w:type="spellEnd"/>
      <w:r w:rsidRPr="00B71239">
        <w:rPr>
          <w:rStyle w:val="AboutandContactBody"/>
          <w:lang w:val="sk-SK" w:bidi="bo-CN"/>
        </w:rPr>
        <w:t xml:space="preserve"> </w:t>
      </w:r>
      <w:proofErr w:type="spellStart"/>
      <w:r w:rsidRPr="00B71239">
        <w:rPr>
          <w:rStyle w:val="AboutandContactBody"/>
          <w:lang w:val="sk-SK" w:bidi="bo-CN"/>
        </w:rPr>
        <w:t>the</w:t>
      </w:r>
      <w:proofErr w:type="spellEnd"/>
      <w:r w:rsidRPr="00B71239">
        <w:rPr>
          <w:rStyle w:val="AboutandContactBody"/>
          <w:lang w:val="sk-SK" w:bidi="bo-CN"/>
        </w:rPr>
        <w:t xml:space="preserve"> </w:t>
      </w:r>
      <w:proofErr w:type="spellStart"/>
      <w:r w:rsidRPr="00B71239">
        <w:rPr>
          <w:rStyle w:val="AboutandContactBody"/>
          <w:lang w:val="sk-SK" w:bidi="bo-CN"/>
        </w:rPr>
        <w:t>good</w:t>
      </w:r>
      <w:proofErr w:type="spellEnd"/>
      <w:r w:rsidRPr="00B71239">
        <w:rPr>
          <w:rStyle w:val="AboutandContactBody"/>
          <w:lang w:val="sk-SK" w:bidi="bo-CN"/>
        </w:rPr>
        <w:t xml:space="preserve"> of </w:t>
      </w:r>
      <w:proofErr w:type="spellStart"/>
      <w:r w:rsidRPr="00B71239">
        <w:rPr>
          <w:rStyle w:val="AboutandContactBody"/>
          <w:lang w:val="sk-SK" w:bidi="bo-CN"/>
        </w:rPr>
        <w:t>generations</w:t>
      </w:r>
      <w:proofErr w:type="spellEnd"/>
      <w:r w:rsidRPr="00B71239">
        <w:rPr>
          <w:rStyle w:val="AboutandContactBody"/>
          <w:lang w:val="sk-SK" w:bidi="bo-CN"/>
        </w:rPr>
        <w:t>“.</w:t>
      </w:r>
      <w:r w:rsidRPr="00B71239">
        <w:rPr>
          <w:rStyle w:val="AboutandContactBody"/>
          <w:lang w:val="sk-SK"/>
        </w:rPr>
        <w:t xml:space="preserve"> </w:t>
      </w:r>
      <w:r w:rsidRPr="00B71239">
        <w:rPr>
          <w:rStyle w:val="AboutandContactBody"/>
          <w:lang w:val="sk-SK" w:bidi="bo-CN"/>
        </w:rPr>
        <w:t>Viac informácií nájdete na stránkach</w:t>
      </w:r>
      <w:r>
        <w:rPr>
          <w:rStyle w:val="AboutandContactBody"/>
          <w:lang w:val="sk-SK" w:bidi="bo-CN"/>
        </w:rPr>
        <w:t xml:space="preserve"> </w:t>
      </w:r>
      <w:hyperlink r:id="rId11" w:history="1">
        <w:r w:rsidRPr="00B05873">
          <w:rPr>
            <w:rStyle w:val="Hypertextovprepojenie"/>
            <w:szCs w:val="24"/>
            <w:lang w:val="sk-SK" w:bidi="bo-CN"/>
          </w:rPr>
          <w:t>www.henkel.com</w:t>
        </w:r>
      </w:hyperlink>
      <w:r>
        <w:rPr>
          <w:rStyle w:val="AboutandContactBody"/>
          <w:lang w:val="sk-SK" w:bidi="bo-CN"/>
        </w:rPr>
        <w:t xml:space="preserve">. </w:t>
      </w:r>
    </w:p>
    <w:p w14:paraId="1FEEC7B3" w14:textId="77777777" w:rsidR="00BB5D0B" w:rsidRDefault="00BB5D0B" w:rsidP="00BF6E82">
      <w:pPr>
        <w:rPr>
          <w:rStyle w:val="AboutandContactHeadline"/>
          <w:lang w:val="sk-SK"/>
        </w:rPr>
      </w:pPr>
    </w:p>
    <w:p w14:paraId="01BFB646" w14:textId="77777777" w:rsidR="001864C0" w:rsidRPr="00B71239" w:rsidRDefault="001864C0" w:rsidP="001864C0">
      <w:pPr>
        <w:rPr>
          <w:rStyle w:val="AboutandContactHeadline"/>
          <w:lang w:val="sk-SK"/>
        </w:rPr>
      </w:pPr>
      <w:r w:rsidRPr="00B71239">
        <w:rPr>
          <w:rStyle w:val="AboutandContactHeadline"/>
          <w:lang w:val="sk-SK"/>
        </w:rPr>
        <w:t>O spoločnosti Henkel Slovensko</w:t>
      </w:r>
    </w:p>
    <w:p w14:paraId="68E0D0F8" w14:textId="2D66BDB3" w:rsidR="006D488C" w:rsidRPr="006D488C" w:rsidRDefault="006D488C" w:rsidP="006D488C">
      <w:pPr>
        <w:rPr>
          <w:sz w:val="18"/>
          <w:lang w:val="sk-SK"/>
        </w:rPr>
      </w:pPr>
      <w:r w:rsidRPr="006D488C">
        <w:rPr>
          <w:sz w:val="18"/>
          <w:lang w:val="sk-SK"/>
        </w:rPr>
        <w:t>HENKEL SLOVENSKO spol. s r. o.</w:t>
      </w:r>
      <w:r w:rsidRPr="006D488C">
        <w:rPr>
          <w:b/>
          <w:bCs/>
          <w:sz w:val="18"/>
          <w:lang w:val="sk-SK"/>
        </w:rPr>
        <w:t> </w:t>
      </w:r>
      <w:r w:rsidRPr="006D488C">
        <w:rPr>
          <w:sz w:val="18"/>
          <w:lang w:val="sk-SK"/>
        </w:rPr>
        <w:t xml:space="preserve">pôsobí na slovenskom trhu od roku 1991 a zastrešuje obe obchodné divízie spoločnosti – Henkel </w:t>
      </w:r>
      <w:proofErr w:type="spellStart"/>
      <w:r w:rsidRPr="006D488C">
        <w:rPr>
          <w:sz w:val="18"/>
          <w:lang w:val="sk-SK"/>
        </w:rPr>
        <w:t>Consumer</w:t>
      </w:r>
      <w:proofErr w:type="spellEnd"/>
      <w:r w:rsidRPr="006D488C">
        <w:rPr>
          <w:sz w:val="18"/>
          <w:lang w:val="sk-SK"/>
        </w:rPr>
        <w:t xml:space="preserve"> </w:t>
      </w:r>
      <w:proofErr w:type="spellStart"/>
      <w:r w:rsidRPr="006D488C">
        <w:rPr>
          <w:sz w:val="18"/>
          <w:lang w:val="sk-SK"/>
        </w:rPr>
        <w:t>Brands</w:t>
      </w:r>
      <w:proofErr w:type="spellEnd"/>
      <w:r w:rsidRPr="006D488C">
        <w:rPr>
          <w:sz w:val="18"/>
          <w:lang w:val="sk-SK"/>
        </w:rPr>
        <w:t xml:space="preserve"> a Henkel </w:t>
      </w:r>
      <w:proofErr w:type="spellStart"/>
      <w:r w:rsidRPr="006D488C">
        <w:rPr>
          <w:sz w:val="18"/>
          <w:lang w:val="sk-SK"/>
        </w:rPr>
        <w:t>Adhesive</w:t>
      </w:r>
      <w:proofErr w:type="spellEnd"/>
      <w:r w:rsidRPr="006D488C">
        <w:rPr>
          <w:sz w:val="18"/>
          <w:lang w:val="sk-SK"/>
        </w:rPr>
        <w:t xml:space="preserve"> Technologies. Významnou súčasťou je aj GBS</w:t>
      </w:r>
      <w:r w:rsidRPr="006D488C">
        <w:rPr>
          <w:sz w:val="18"/>
          <w:vertAlign w:val="superscript"/>
          <w:lang w:val="sk-SK"/>
        </w:rPr>
        <w:t>+</w:t>
      </w:r>
      <w:r w:rsidRPr="006D488C">
        <w:rPr>
          <w:sz w:val="18"/>
          <w:lang w:val="sk-SK"/>
        </w:rPr>
        <w:t xml:space="preserve"> Bratislava – najväčšia expertná pobočka skupiny Henkel na svete. Od svojho založenia v roku 2006 poskytuje služby naprieč Európou a ďalšími regiónmi vo viac ako 30 jazykoch a zamestnáva vyše 1 600 odborníkov. Spolu s lokálnym obchodným zastúpením, ktoré ponúka viac než 50 značiek, má Henkel na Slovensku viac ako 1 900 zamestnancov. Spoločnosť je osem rokov po sebe ocenená titulom Najzamestnávateľ v kategórii Centrá zdieľaných služieb. Taktiež </w:t>
      </w:r>
      <w:r w:rsidRPr="006D488C">
        <w:rPr>
          <w:sz w:val="18"/>
          <w:lang w:val="sk-SK"/>
        </w:rPr>
        <w:lastRenderedPageBreak/>
        <w:t>získala množstvo uznaní za svoj prístup k diverzite, rovnosti a inklúzii, udržateľnosti, starostlivosti o zdravie zamestnancov a inovatívnej komunikácii. Viac informácií nájdete na</w:t>
      </w:r>
      <w:r w:rsidR="002F160A">
        <w:rPr>
          <w:sz w:val="18"/>
          <w:lang w:val="sk-SK"/>
        </w:rPr>
        <w:t xml:space="preserve"> stránke</w:t>
      </w:r>
      <w:r w:rsidRPr="006D488C">
        <w:rPr>
          <w:sz w:val="18"/>
          <w:lang w:val="sk-SK"/>
        </w:rPr>
        <w:t xml:space="preserve"> </w:t>
      </w:r>
      <w:hyperlink r:id="rId12" w:tgtFrame="_new" w:history="1">
        <w:r w:rsidRPr="006D488C">
          <w:rPr>
            <w:rStyle w:val="Hypertextovprepojenie"/>
            <w:szCs w:val="24"/>
            <w:lang w:val="sk-SK"/>
          </w:rPr>
          <w:t>www.henkel.sk</w:t>
        </w:r>
      </w:hyperlink>
      <w:r w:rsidR="002F160A">
        <w:rPr>
          <w:sz w:val="18"/>
          <w:lang w:val="sk-SK"/>
        </w:rPr>
        <w:t>.</w:t>
      </w:r>
    </w:p>
    <w:p w14:paraId="15EDB3FA" w14:textId="77777777" w:rsidR="001864C0" w:rsidRPr="00B71239" w:rsidRDefault="001864C0" w:rsidP="001864C0">
      <w:pPr>
        <w:rPr>
          <w:rStyle w:val="AboutandContactHeadline"/>
          <w:lang w:val="sk-SK"/>
        </w:rPr>
      </w:pPr>
    </w:p>
    <w:p w14:paraId="5B1E3AD0" w14:textId="77777777" w:rsidR="001864C0" w:rsidRPr="00B71239" w:rsidRDefault="001864C0" w:rsidP="001864C0">
      <w:pPr>
        <w:rPr>
          <w:rStyle w:val="AboutandContactHeadline"/>
          <w:lang w:val="sk-SK"/>
        </w:rPr>
      </w:pPr>
      <w:r w:rsidRPr="00B71239">
        <w:rPr>
          <w:rStyle w:val="AboutandContactHeadline"/>
          <w:lang w:val="sk-SK"/>
        </w:rPr>
        <w:t xml:space="preserve">Kontakt  </w:t>
      </w:r>
    </w:p>
    <w:p w14:paraId="3BFC2D30"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Zuzana </w:t>
      </w:r>
      <w:proofErr w:type="spellStart"/>
      <w:r w:rsidRPr="00B71239">
        <w:rPr>
          <w:rStyle w:val="AboutandContactHeadline"/>
          <w:b w:val="0"/>
          <w:bCs w:val="0"/>
          <w:lang w:val="sk-SK"/>
        </w:rPr>
        <w:t>Kaňuchová</w:t>
      </w:r>
      <w:proofErr w:type="spellEnd"/>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545E4E19"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Riaditeľka </w:t>
      </w:r>
      <w:proofErr w:type="spellStart"/>
      <w:r w:rsidRPr="00B71239">
        <w:rPr>
          <w:rStyle w:val="AboutandContactHeadline"/>
          <w:b w:val="0"/>
          <w:bCs w:val="0"/>
          <w:lang w:val="sk-SK"/>
        </w:rPr>
        <w:t>korporátnej</w:t>
      </w:r>
      <w:proofErr w:type="spellEnd"/>
      <w:r w:rsidRPr="00B71239">
        <w:rPr>
          <w:rStyle w:val="AboutandContactHeadline"/>
          <w:b w:val="0"/>
          <w:bCs w:val="0"/>
          <w:lang w:val="sk-SK"/>
        </w:rPr>
        <w:t xml:space="preserve"> komunikácie</w:t>
      </w:r>
      <w:r w:rsidRPr="00B71239">
        <w:rPr>
          <w:rStyle w:val="AboutandContactHeadline"/>
          <w:b w:val="0"/>
          <w:bCs w:val="0"/>
          <w:lang w:val="sk-SK"/>
        </w:rPr>
        <w:tab/>
      </w:r>
      <w:r>
        <w:rPr>
          <w:rStyle w:val="AboutandContactHeadline"/>
          <w:b w:val="0"/>
          <w:bCs w:val="0"/>
          <w:lang w:val="sk-SK"/>
        </w:rPr>
        <w:t>CEE</w:t>
      </w:r>
      <w:r w:rsidRPr="00B71239">
        <w:rPr>
          <w:rStyle w:val="AboutandContactHeadline"/>
          <w:b w:val="0"/>
          <w:bCs w:val="0"/>
          <w:lang w:val="sk-SK"/>
        </w:rPr>
        <w:tab/>
      </w:r>
      <w:r w:rsidRPr="00B71239">
        <w:rPr>
          <w:rStyle w:val="AboutandContactHeadline"/>
          <w:b w:val="0"/>
          <w:bCs w:val="0"/>
          <w:lang w:val="sk-SK"/>
        </w:rPr>
        <w:tab/>
      </w:r>
    </w:p>
    <w:p w14:paraId="40E6EFBF" w14:textId="77777777" w:rsidR="00C32857" w:rsidRPr="00B71239" w:rsidRDefault="00C32857" w:rsidP="00C32857">
      <w:pPr>
        <w:rPr>
          <w:rStyle w:val="AboutandContactHeadline"/>
          <w:b w:val="0"/>
          <w:bCs w:val="0"/>
          <w:lang w:val="sk-SK"/>
        </w:rPr>
      </w:pPr>
    </w:p>
    <w:p w14:paraId="768843FB"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Telefón: +421 917 160 597</w:t>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64A4ECF7"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E-mail:  </w:t>
      </w:r>
      <w:hyperlink r:id="rId13" w:history="1">
        <w:r w:rsidRPr="00B71239">
          <w:rPr>
            <w:rStyle w:val="Hypertextovprepojenie"/>
            <w:szCs w:val="24"/>
            <w:lang w:val="sk-SK"/>
          </w:rPr>
          <w:t>zuzana.kanuchova@henkel.com</w:t>
        </w:r>
      </w:hyperlink>
    </w:p>
    <w:p w14:paraId="067BBA94" w14:textId="77777777" w:rsidR="00B71239" w:rsidRPr="00B71239" w:rsidRDefault="00B71239" w:rsidP="001864C0">
      <w:pPr>
        <w:rPr>
          <w:rStyle w:val="AboutandContactHeadline"/>
          <w:b w:val="0"/>
          <w:bCs w:val="0"/>
          <w:lang w:val="sk-SK"/>
        </w:rPr>
      </w:pPr>
    </w:p>
    <w:p w14:paraId="76457730" w14:textId="77777777" w:rsidR="00BF6E82" w:rsidRPr="00B71239" w:rsidRDefault="00BF6E82" w:rsidP="00BF6E82">
      <w:pPr>
        <w:rPr>
          <w:rStyle w:val="AboutandContactBody"/>
          <w:lang w:val="sk-SK"/>
        </w:rPr>
      </w:pPr>
    </w:p>
    <w:p w14:paraId="61FA739B" w14:textId="77777777" w:rsidR="00BF6E82" w:rsidRPr="00B71239" w:rsidRDefault="00BF6E82" w:rsidP="00BF6E82">
      <w:pPr>
        <w:rPr>
          <w:rStyle w:val="AboutandContactBody"/>
          <w:lang w:val="sk-SK"/>
        </w:rPr>
      </w:pPr>
    </w:p>
    <w:sectPr w:rsidR="00BF6E82" w:rsidRPr="00B71239" w:rsidSect="000A44A0">
      <w:headerReference w:type="even"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DCB" w14:textId="77777777" w:rsidR="0097471F" w:rsidRDefault="0097471F">
      <w:r>
        <w:separator/>
      </w:r>
    </w:p>
  </w:endnote>
  <w:endnote w:type="continuationSeparator" w:id="0">
    <w:p w14:paraId="41BA0A89" w14:textId="77777777" w:rsidR="0097471F" w:rsidRDefault="0097471F">
      <w:r>
        <w:continuationSeparator/>
      </w:r>
    </w:p>
  </w:endnote>
  <w:endnote w:type="continuationNotice" w:id="1">
    <w:p w14:paraId="531EA05D" w14:textId="77777777" w:rsidR="0097471F" w:rsidRDefault="009747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1D0DA2E" w:rsidR="00CF6F33" w:rsidRPr="00112A28" w:rsidRDefault="00112A28" w:rsidP="00112A28">
    <w:pPr>
      <w:pStyle w:val="Pta"/>
      <w:tabs>
        <w:tab w:val="clear" w:pos="7083"/>
        <w:tab w:val="clear" w:pos="8640"/>
        <w:tab w:val="right" w:pos="9071"/>
      </w:tabs>
      <w:jc w:val="both"/>
    </w:pPr>
    <w:r w:rsidRPr="00BF6E82">
      <w:t>Henkel AG &amp; Co. KGaA</w:t>
    </w:r>
    <w:r>
      <w:tab/>
    </w:r>
    <w:r w:rsidR="00AB2F94">
      <w:t>Strana</w:t>
    </w:r>
    <w:r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7309F82" w:rsidR="00CF6F33" w:rsidRPr="00992A11" w:rsidRDefault="00B942A8" w:rsidP="00992A11">
    <w:pPr>
      <w:pStyle w:val="Pta"/>
    </w:pPr>
    <w:r>
      <w:drawing>
        <wp:anchor distT="0" distB="0" distL="114300" distR="114300" simplePos="0" relativeHeight="251658242" behindDoc="1" locked="0" layoutInCell="1" allowOverlap="1" wp14:anchorId="37205134" wp14:editId="24BAA3A6">
          <wp:simplePos x="0" y="0"/>
          <wp:positionH relativeFrom="margin">
            <wp:align>center</wp:align>
          </wp:positionH>
          <wp:positionV relativeFrom="paragraph">
            <wp:posOffset>-412750</wp:posOffset>
          </wp:positionV>
          <wp:extent cx="6207760" cy="387350"/>
          <wp:effectExtent l="0" t="0" r="2540" b="0"/>
          <wp:wrapTight wrapText="bothSides">
            <wp:wrapPolygon edited="0">
              <wp:start x="0" y="0"/>
              <wp:lineTo x="0" y="20184"/>
              <wp:lineTo x="21543" y="20184"/>
              <wp:lineTo x="2154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7760" cy="387350"/>
                  </a:xfrm>
                  <a:prstGeom prst="rect">
                    <a:avLst/>
                  </a:prstGeom>
                </pic:spPr>
              </pic:pic>
            </a:graphicData>
          </a:graphic>
          <wp14:sizeRelH relativeFrom="page">
            <wp14:pctWidth>0</wp14:pctWidth>
          </wp14:sizeRelH>
          <wp14:sizeRelV relativeFrom="page">
            <wp14:pctHeight>0</wp14:pctHeight>
          </wp14:sizeRelV>
        </wp:anchor>
      </w:drawing>
    </w:r>
    <w:r>
      <w:t>Strana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DB03" w14:textId="77777777" w:rsidR="0097471F" w:rsidRDefault="0097471F">
      <w:r>
        <w:separator/>
      </w:r>
    </w:p>
  </w:footnote>
  <w:footnote w:type="continuationSeparator" w:id="0">
    <w:p w14:paraId="2108A04A" w14:textId="77777777" w:rsidR="0097471F" w:rsidRDefault="0097471F">
      <w:r>
        <w:continuationSeparator/>
      </w:r>
    </w:p>
  </w:footnote>
  <w:footnote w:type="continuationNotice" w:id="1">
    <w:p w14:paraId="296CB3EA" w14:textId="77777777" w:rsidR="0097471F" w:rsidRDefault="009747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E30C780" w:rsidR="00CF6F33" w:rsidRPr="00514611" w:rsidRDefault="0059722C" w:rsidP="00EB46D9">
    <w:pPr>
      <w:pStyle w:val="Hlavika"/>
      <w:rPr>
        <w:lang w:val="sk-SK"/>
      </w:rPr>
    </w:pPr>
    <w:r w:rsidRPr="00514611">
      <w:rPr>
        <w:noProof/>
        <w:lang w:val="sk-SK"/>
      </w:rPr>
      <w:drawing>
        <wp:anchor distT="0" distB="0" distL="114300" distR="114300" simplePos="0" relativeHeight="251658241" behindDoc="0" locked="1" layoutInCell="1" allowOverlap="1" wp14:anchorId="5559ED3E" wp14:editId="6E3F6630">
          <wp:simplePos x="0" y="0"/>
          <wp:positionH relativeFrom="margin">
            <wp:align>right</wp:align>
          </wp:positionH>
          <wp:positionV relativeFrom="topMargin">
            <wp:posOffset>695325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514611">
      <w:rPr>
        <w:noProof/>
        <w:lang w:val="sk-SK"/>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16FD42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71239" w:rsidRPr="00514611">
      <w:rPr>
        <w:noProof/>
        <w:lang w:val="sk-SK"/>
      </w:rPr>
      <w:t>Tlačová</w:t>
    </w:r>
    <w:r w:rsidR="00B422EC" w:rsidRPr="00514611">
      <w:rPr>
        <w:lang w:val="sk-SK"/>
      </w:rPr>
      <w:t xml:space="preserve"> </w:t>
    </w:r>
    <w:r w:rsidR="00B71239" w:rsidRPr="00514611">
      <w:rPr>
        <w:lang w:val="sk-SK"/>
      </w:rPr>
      <w:t>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ACA89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F2E26D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20D2779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600810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798523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2E75C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418"/>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C8CC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BA2E0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8EB4159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1"/>
  </w:num>
  <w:num w:numId="2" w16cid:durableId="1563175876">
    <w:abstractNumId w:val="10"/>
  </w:num>
  <w:num w:numId="3" w16cid:durableId="1141115785">
    <w:abstractNumId w:val="16"/>
  </w:num>
  <w:num w:numId="4" w16cid:durableId="1658344630">
    <w:abstractNumId w:val="14"/>
  </w:num>
  <w:num w:numId="5" w16cid:durableId="2132553883">
    <w:abstractNumId w:val="12"/>
  </w:num>
  <w:num w:numId="6" w16cid:durableId="545726518">
    <w:abstractNumId w:val="15"/>
  </w:num>
  <w:num w:numId="7" w16cid:durableId="1056660316">
    <w:abstractNumId w:val="8"/>
  </w:num>
  <w:num w:numId="8" w16cid:durableId="240679735">
    <w:abstractNumId w:val="3"/>
  </w:num>
  <w:num w:numId="9" w16cid:durableId="976227418">
    <w:abstractNumId w:val="2"/>
  </w:num>
  <w:num w:numId="10" w16cid:durableId="700209127">
    <w:abstractNumId w:val="1"/>
  </w:num>
  <w:num w:numId="11" w16cid:durableId="1438057309">
    <w:abstractNumId w:val="0"/>
  </w:num>
  <w:num w:numId="12" w16cid:durableId="468786566">
    <w:abstractNumId w:val="9"/>
  </w:num>
  <w:num w:numId="13" w16cid:durableId="1169634821">
    <w:abstractNumId w:val="7"/>
  </w:num>
  <w:num w:numId="14" w16cid:durableId="1891457900">
    <w:abstractNumId w:val="6"/>
  </w:num>
  <w:num w:numId="15" w16cid:durableId="977303102">
    <w:abstractNumId w:val="5"/>
  </w:num>
  <w:num w:numId="16" w16cid:durableId="1799449228">
    <w:abstractNumId w:val="4"/>
  </w:num>
  <w:num w:numId="17" w16cid:durableId="912852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CC9"/>
    <w:rsid w:val="00051E86"/>
    <w:rsid w:val="000575F9"/>
    <w:rsid w:val="000618FC"/>
    <w:rsid w:val="0006344D"/>
    <w:rsid w:val="00067071"/>
    <w:rsid w:val="000722E8"/>
    <w:rsid w:val="00080D10"/>
    <w:rsid w:val="0008357F"/>
    <w:rsid w:val="000A44A0"/>
    <w:rsid w:val="000B695A"/>
    <w:rsid w:val="000C2041"/>
    <w:rsid w:val="000C210A"/>
    <w:rsid w:val="000C56DD"/>
    <w:rsid w:val="000D1672"/>
    <w:rsid w:val="000D6831"/>
    <w:rsid w:val="000E2F62"/>
    <w:rsid w:val="000E38ED"/>
    <w:rsid w:val="000E5CC6"/>
    <w:rsid w:val="000E7F24"/>
    <w:rsid w:val="000F03BE"/>
    <w:rsid w:val="000F1757"/>
    <w:rsid w:val="000F225B"/>
    <w:rsid w:val="000F7FAF"/>
    <w:rsid w:val="00105975"/>
    <w:rsid w:val="00111F4D"/>
    <w:rsid w:val="00112A28"/>
    <w:rsid w:val="00114FB6"/>
    <w:rsid w:val="00115230"/>
    <w:rsid w:val="00115B5F"/>
    <w:rsid w:val="001162B4"/>
    <w:rsid w:val="00122CBC"/>
    <w:rsid w:val="00126D4A"/>
    <w:rsid w:val="00132DA9"/>
    <w:rsid w:val="0013305B"/>
    <w:rsid w:val="00133B99"/>
    <w:rsid w:val="001443BD"/>
    <w:rsid w:val="001577E9"/>
    <w:rsid w:val="0016138C"/>
    <w:rsid w:val="001616BF"/>
    <w:rsid w:val="001731CE"/>
    <w:rsid w:val="00173E03"/>
    <w:rsid w:val="001864C0"/>
    <w:rsid w:val="001A1617"/>
    <w:rsid w:val="001B7C0D"/>
    <w:rsid w:val="001B7C20"/>
    <w:rsid w:val="001C0B32"/>
    <w:rsid w:val="001C4BE1"/>
    <w:rsid w:val="001D53A9"/>
    <w:rsid w:val="001D71D8"/>
    <w:rsid w:val="001D7ADF"/>
    <w:rsid w:val="001E0F71"/>
    <w:rsid w:val="001E6D05"/>
    <w:rsid w:val="001E7C28"/>
    <w:rsid w:val="001F1BDF"/>
    <w:rsid w:val="001F7110"/>
    <w:rsid w:val="001F7E96"/>
    <w:rsid w:val="00202284"/>
    <w:rsid w:val="00204A5C"/>
    <w:rsid w:val="00212488"/>
    <w:rsid w:val="00220628"/>
    <w:rsid w:val="002304D2"/>
    <w:rsid w:val="00234ABD"/>
    <w:rsid w:val="00236E2A"/>
    <w:rsid w:val="00237F62"/>
    <w:rsid w:val="0024586A"/>
    <w:rsid w:val="00256F0C"/>
    <w:rsid w:val="00262C05"/>
    <w:rsid w:val="00281D14"/>
    <w:rsid w:val="00282C13"/>
    <w:rsid w:val="002A0DF7"/>
    <w:rsid w:val="002A2975"/>
    <w:rsid w:val="002A60E0"/>
    <w:rsid w:val="002B24B9"/>
    <w:rsid w:val="002C1344"/>
    <w:rsid w:val="002C252E"/>
    <w:rsid w:val="002C6773"/>
    <w:rsid w:val="002D2A3D"/>
    <w:rsid w:val="002E0B17"/>
    <w:rsid w:val="002E4FFB"/>
    <w:rsid w:val="002E7DED"/>
    <w:rsid w:val="002F160A"/>
    <w:rsid w:val="002F7E11"/>
    <w:rsid w:val="00304087"/>
    <w:rsid w:val="00310ACD"/>
    <w:rsid w:val="0031379F"/>
    <w:rsid w:val="00316352"/>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C15DE"/>
    <w:rsid w:val="003C1B49"/>
    <w:rsid w:val="003C466F"/>
    <w:rsid w:val="003C4EB2"/>
    <w:rsid w:val="003F1AF3"/>
    <w:rsid w:val="003F4D8D"/>
    <w:rsid w:val="004002DD"/>
    <w:rsid w:val="00402D5A"/>
    <w:rsid w:val="004313E7"/>
    <w:rsid w:val="0044763B"/>
    <w:rsid w:val="00451F34"/>
    <w:rsid w:val="004629B3"/>
    <w:rsid w:val="0046376E"/>
    <w:rsid w:val="00464E68"/>
    <w:rsid w:val="0046690F"/>
    <w:rsid w:val="00472FEC"/>
    <w:rsid w:val="00490A03"/>
    <w:rsid w:val="00493327"/>
    <w:rsid w:val="00494DBE"/>
    <w:rsid w:val="00495CE6"/>
    <w:rsid w:val="004A323C"/>
    <w:rsid w:val="004B54E8"/>
    <w:rsid w:val="004C4FEB"/>
    <w:rsid w:val="004C6B79"/>
    <w:rsid w:val="004D059B"/>
    <w:rsid w:val="004D4CB6"/>
    <w:rsid w:val="004E0870"/>
    <w:rsid w:val="004E3341"/>
    <w:rsid w:val="004F10C1"/>
    <w:rsid w:val="00502E62"/>
    <w:rsid w:val="00504452"/>
    <w:rsid w:val="00506B8A"/>
    <w:rsid w:val="00514611"/>
    <w:rsid w:val="0052212B"/>
    <w:rsid w:val="00525ACE"/>
    <w:rsid w:val="00530731"/>
    <w:rsid w:val="00531B98"/>
    <w:rsid w:val="00534B46"/>
    <w:rsid w:val="00540358"/>
    <w:rsid w:val="00540D47"/>
    <w:rsid w:val="00550864"/>
    <w:rsid w:val="0055571E"/>
    <w:rsid w:val="00556F67"/>
    <w:rsid w:val="005833F0"/>
    <w:rsid w:val="00586CAF"/>
    <w:rsid w:val="005873E9"/>
    <w:rsid w:val="00591180"/>
    <w:rsid w:val="0059722C"/>
    <w:rsid w:val="00597D07"/>
    <w:rsid w:val="005A3846"/>
    <w:rsid w:val="005B1F0C"/>
    <w:rsid w:val="005B6A58"/>
    <w:rsid w:val="005C7112"/>
    <w:rsid w:val="005D0561"/>
    <w:rsid w:val="005D0AD9"/>
    <w:rsid w:val="005D1B3A"/>
    <w:rsid w:val="005D22F6"/>
    <w:rsid w:val="005E0C30"/>
    <w:rsid w:val="005E69D9"/>
    <w:rsid w:val="005F27F4"/>
    <w:rsid w:val="005F3239"/>
    <w:rsid w:val="005F6567"/>
    <w:rsid w:val="00607256"/>
    <w:rsid w:val="006144B1"/>
    <w:rsid w:val="006335F1"/>
    <w:rsid w:val="006345B6"/>
    <w:rsid w:val="00635712"/>
    <w:rsid w:val="00641884"/>
    <w:rsid w:val="00643D8A"/>
    <w:rsid w:val="006513EB"/>
    <w:rsid w:val="00652229"/>
    <w:rsid w:val="00652793"/>
    <w:rsid w:val="00654FCE"/>
    <w:rsid w:val="006626CA"/>
    <w:rsid w:val="00663487"/>
    <w:rsid w:val="00672382"/>
    <w:rsid w:val="00682643"/>
    <w:rsid w:val="00682EB9"/>
    <w:rsid w:val="0068441A"/>
    <w:rsid w:val="00690B19"/>
    <w:rsid w:val="006A0A3C"/>
    <w:rsid w:val="006A79F0"/>
    <w:rsid w:val="006B47EE"/>
    <w:rsid w:val="006B499F"/>
    <w:rsid w:val="006D488C"/>
    <w:rsid w:val="006D4996"/>
    <w:rsid w:val="006D54AB"/>
    <w:rsid w:val="006E3006"/>
    <w:rsid w:val="006E5032"/>
    <w:rsid w:val="006E5BDA"/>
    <w:rsid w:val="006F0FC7"/>
    <w:rsid w:val="006F1A21"/>
    <w:rsid w:val="006F39A9"/>
    <w:rsid w:val="006F670F"/>
    <w:rsid w:val="00703272"/>
    <w:rsid w:val="0070733C"/>
    <w:rsid w:val="00710C5D"/>
    <w:rsid w:val="0071348C"/>
    <w:rsid w:val="00717273"/>
    <w:rsid w:val="00720FD4"/>
    <w:rsid w:val="00724AF2"/>
    <w:rsid w:val="00725058"/>
    <w:rsid w:val="0073096C"/>
    <w:rsid w:val="00742398"/>
    <w:rsid w:val="007507B5"/>
    <w:rsid w:val="0075091D"/>
    <w:rsid w:val="00753A24"/>
    <w:rsid w:val="0075720A"/>
    <w:rsid w:val="00764488"/>
    <w:rsid w:val="00770591"/>
    <w:rsid w:val="00772188"/>
    <w:rsid w:val="007813D0"/>
    <w:rsid w:val="00785993"/>
    <w:rsid w:val="007866E2"/>
    <w:rsid w:val="00786BA3"/>
    <w:rsid w:val="0079202F"/>
    <w:rsid w:val="00795AF2"/>
    <w:rsid w:val="007A2AAD"/>
    <w:rsid w:val="007A4432"/>
    <w:rsid w:val="007A784E"/>
    <w:rsid w:val="007B499C"/>
    <w:rsid w:val="007B4D4B"/>
    <w:rsid w:val="007D2A02"/>
    <w:rsid w:val="007E6EA1"/>
    <w:rsid w:val="007F0F63"/>
    <w:rsid w:val="007F2B1E"/>
    <w:rsid w:val="007F62B4"/>
    <w:rsid w:val="00801517"/>
    <w:rsid w:val="00806870"/>
    <w:rsid w:val="00817AE8"/>
    <w:rsid w:val="00817DE8"/>
    <w:rsid w:val="008229F5"/>
    <w:rsid w:val="0082699A"/>
    <w:rsid w:val="00833CEB"/>
    <w:rsid w:val="008372D2"/>
    <w:rsid w:val="008377BC"/>
    <w:rsid w:val="00843EE2"/>
    <w:rsid w:val="00844C17"/>
    <w:rsid w:val="00847726"/>
    <w:rsid w:val="00852511"/>
    <w:rsid w:val="008614F1"/>
    <w:rsid w:val="008639B3"/>
    <w:rsid w:val="00863C1A"/>
    <w:rsid w:val="0087142D"/>
    <w:rsid w:val="008733D9"/>
    <w:rsid w:val="00873956"/>
    <w:rsid w:val="00880E72"/>
    <w:rsid w:val="008825EE"/>
    <w:rsid w:val="0088596E"/>
    <w:rsid w:val="0089796A"/>
    <w:rsid w:val="008A2375"/>
    <w:rsid w:val="008C52EF"/>
    <w:rsid w:val="008D76C5"/>
    <w:rsid w:val="008E0AFA"/>
    <w:rsid w:val="008E75D3"/>
    <w:rsid w:val="008F125E"/>
    <w:rsid w:val="008F4D2F"/>
    <w:rsid w:val="00906292"/>
    <w:rsid w:val="009076AF"/>
    <w:rsid w:val="0091638E"/>
    <w:rsid w:val="00917162"/>
    <w:rsid w:val="00921190"/>
    <w:rsid w:val="009251CC"/>
    <w:rsid w:val="0092714E"/>
    <w:rsid w:val="00942002"/>
    <w:rsid w:val="00947885"/>
    <w:rsid w:val="00952168"/>
    <w:rsid w:val="009527FE"/>
    <w:rsid w:val="009739A0"/>
    <w:rsid w:val="0097471F"/>
    <w:rsid w:val="00974F84"/>
    <w:rsid w:val="009767C7"/>
    <w:rsid w:val="00981A94"/>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A044D6"/>
    <w:rsid w:val="00A04ADB"/>
    <w:rsid w:val="00A11E0F"/>
    <w:rsid w:val="00A23264"/>
    <w:rsid w:val="00A26CB6"/>
    <w:rsid w:val="00A32F82"/>
    <w:rsid w:val="00A32F8B"/>
    <w:rsid w:val="00A3756F"/>
    <w:rsid w:val="00A41DE8"/>
    <w:rsid w:val="00A42D6F"/>
    <w:rsid w:val="00A45A62"/>
    <w:rsid w:val="00A54AC5"/>
    <w:rsid w:val="00A55DC3"/>
    <w:rsid w:val="00A56D41"/>
    <w:rsid w:val="00A61353"/>
    <w:rsid w:val="00A66DB1"/>
    <w:rsid w:val="00A67A92"/>
    <w:rsid w:val="00A87870"/>
    <w:rsid w:val="00A91A70"/>
    <w:rsid w:val="00AA1B85"/>
    <w:rsid w:val="00AA5B6E"/>
    <w:rsid w:val="00AB1CB6"/>
    <w:rsid w:val="00AB1D9A"/>
    <w:rsid w:val="00AB2F94"/>
    <w:rsid w:val="00AC46CF"/>
    <w:rsid w:val="00AC67B1"/>
    <w:rsid w:val="00AD44FE"/>
    <w:rsid w:val="00AE49F1"/>
    <w:rsid w:val="00AF21ED"/>
    <w:rsid w:val="00B05CCA"/>
    <w:rsid w:val="00B14271"/>
    <w:rsid w:val="00B14C02"/>
    <w:rsid w:val="00B16270"/>
    <w:rsid w:val="00B2685D"/>
    <w:rsid w:val="00B30351"/>
    <w:rsid w:val="00B33C2A"/>
    <w:rsid w:val="00B422EC"/>
    <w:rsid w:val="00B6547F"/>
    <w:rsid w:val="00B71239"/>
    <w:rsid w:val="00B726D4"/>
    <w:rsid w:val="00B8214F"/>
    <w:rsid w:val="00B86A4F"/>
    <w:rsid w:val="00B93035"/>
    <w:rsid w:val="00B9337E"/>
    <w:rsid w:val="00B935ED"/>
    <w:rsid w:val="00B942A8"/>
    <w:rsid w:val="00B9479D"/>
    <w:rsid w:val="00B958E8"/>
    <w:rsid w:val="00B97E4A"/>
    <w:rsid w:val="00BA09B2"/>
    <w:rsid w:val="00BA5B46"/>
    <w:rsid w:val="00BB5D0B"/>
    <w:rsid w:val="00BC0995"/>
    <w:rsid w:val="00BD2831"/>
    <w:rsid w:val="00BE74BB"/>
    <w:rsid w:val="00BE793A"/>
    <w:rsid w:val="00BF2B82"/>
    <w:rsid w:val="00BF432A"/>
    <w:rsid w:val="00BF605A"/>
    <w:rsid w:val="00BF6E82"/>
    <w:rsid w:val="00C00691"/>
    <w:rsid w:val="00C060C7"/>
    <w:rsid w:val="00C24C17"/>
    <w:rsid w:val="00C32857"/>
    <w:rsid w:val="00C3758F"/>
    <w:rsid w:val="00C40B88"/>
    <w:rsid w:val="00C42C93"/>
    <w:rsid w:val="00C43F41"/>
    <w:rsid w:val="00C47D87"/>
    <w:rsid w:val="00C47FEE"/>
    <w:rsid w:val="00C50DBB"/>
    <w:rsid w:val="00C5376E"/>
    <w:rsid w:val="00C808A6"/>
    <w:rsid w:val="00C97091"/>
    <w:rsid w:val="00C97260"/>
    <w:rsid w:val="00CA2001"/>
    <w:rsid w:val="00CB5B6C"/>
    <w:rsid w:val="00CC052E"/>
    <w:rsid w:val="00CD16BE"/>
    <w:rsid w:val="00CD4616"/>
    <w:rsid w:val="00CD47AC"/>
    <w:rsid w:val="00CD56AF"/>
    <w:rsid w:val="00CD6857"/>
    <w:rsid w:val="00CD7198"/>
    <w:rsid w:val="00CE33D5"/>
    <w:rsid w:val="00CF3A39"/>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3BB5"/>
    <w:rsid w:val="00D644CA"/>
    <w:rsid w:val="00D66FC2"/>
    <w:rsid w:val="00D76C7E"/>
    <w:rsid w:val="00D771DE"/>
    <w:rsid w:val="00D7776D"/>
    <w:rsid w:val="00D9293F"/>
    <w:rsid w:val="00D93598"/>
    <w:rsid w:val="00DA1E18"/>
    <w:rsid w:val="00DA2009"/>
    <w:rsid w:val="00DB05B1"/>
    <w:rsid w:val="00DB46D0"/>
    <w:rsid w:val="00DB5A79"/>
    <w:rsid w:val="00DC2465"/>
    <w:rsid w:val="00DD512E"/>
    <w:rsid w:val="00DE1177"/>
    <w:rsid w:val="00DE270C"/>
    <w:rsid w:val="00DE2CEA"/>
    <w:rsid w:val="00DE3030"/>
    <w:rsid w:val="00DE6A3C"/>
    <w:rsid w:val="00DE74F4"/>
    <w:rsid w:val="00DE7F97"/>
    <w:rsid w:val="00DF1010"/>
    <w:rsid w:val="00DF5AEA"/>
    <w:rsid w:val="00DF63F6"/>
    <w:rsid w:val="00E13747"/>
    <w:rsid w:val="00E25AEA"/>
    <w:rsid w:val="00E30DEF"/>
    <w:rsid w:val="00E30ED2"/>
    <w:rsid w:val="00E31276"/>
    <w:rsid w:val="00E37F70"/>
    <w:rsid w:val="00E4177E"/>
    <w:rsid w:val="00E446C1"/>
    <w:rsid w:val="00E54B2E"/>
    <w:rsid w:val="00E758B9"/>
    <w:rsid w:val="00E85569"/>
    <w:rsid w:val="00E856AF"/>
    <w:rsid w:val="00E86B83"/>
    <w:rsid w:val="00E87C64"/>
    <w:rsid w:val="00E93A01"/>
    <w:rsid w:val="00E93FF8"/>
    <w:rsid w:val="00E962F0"/>
    <w:rsid w:val="00E96EAF"/>
    <w:rsid w:val="00EA1752"/>
    <w:rsid w:val="00EA2BDC"/>
    <w:rsid w:val="00EA5A89"/>
    <w:rsid w:val="00EA5BDB"/>
    <w:rsid w:val="00EB46D9"/>
    <w:rsid w:val="00EC142D"/>
    <w:rsid w:val="00EC1E16"/>
    <w:rsid w:val="00ED0024"/>
    <w:rsid w:val="00ED0F85"/>
    <w:rsid w:val="00ED2B5C"/>
    <w:rsid w:val="00ED3269"/>
    <w:rsid w:val="00EE1A8C"/>
    <w:rsid w:val="00EE4643"/>
    <w:rsid w:val="00EF1330"/>
    <w:rsid w:val="00EF15FF"/>
    <w:rsid w:val="00EF4A30"/>
    <w:rsid w:val="00EF6666"/>
    <w:rsid w:val="00EF7111"/>
    <w:rsid w:val="00EF7D1A"/>
    <w:rsid w:val="00F0448F"/>
    <w:rsid w:val="00F0716C"/>
    <w:rsid w:val="00F12341"/>
    <w:rsid w:val="00F266D9"/>
    <w:rsid w:val="00F270E9"/>
    <w:rsid w:val="00F275C0"/>
    <w:rsid w:val="00F30D88"/>
    <w:rsid w:val="00F346B6"/>
    <w:rsid w:val="00F36145"/>
    <w:rsid w:val="00F37BDD"/>
    <w:rsid w:val="00F41503"/>
    <w:rsid w:val="00F466C8"/>
    <w:rsid w:val="00F4683B"/>
    <w:rsid w:val="00F469A9"/>
    <w:rsid w:val="00F50B46"/>
    <w:rsid w:val="00F50D1F"/>
    <w:rsid w:val="00F6203E"/>
    <w:rsid w:val="00F635FC"/>
    <w:rsid w:val="00F63D03"/>
    <w:rsid w:val="00F65E2F"/>
    <w:rsid w:val="00F67DF1"/>
    <w:rsid w:val="00F71E93"/>
    <w:rsid w:val="00F8309B"/>
    <w:rsid w:val="00F833C9"/>
    <w:rsid w:val="00F90064"/>
    <w:rsid w:val="00F910E7"/>
    <w:rsid w:val="00F9641B"/>
    <w:rsid w:val="00F96AFD"/>
    <w:rsid w:val="00FA1398"/>
    <w:rsid w:val="00FA2E19"/>
    <w:rsid w:val="00FA697F"/>
    <w:rsid w:val="00FB2215"/>
    <w:rsid w:val="00FB3595"/>
    <w:rsid w:val="00FB5521"/>
    <w:rsid w:val="00FB610D"/>
    <w:rsid w:val="00FC4477"/>
    <w:rsid w:val="00FC46FB"/>
    <w:rsid w:val="00FD0A38"/>
    <w:rsid w:val="00FD2BD3"/>
    <w:rsid w:val="00FD4CCA"/>
    <w:rsid w:val="00FE2A9E"/>
    <w:rsid w:val="00FF3797"/>
    <w:rsid w:val="00FF6EE2"/>
    <w:rsid w:val="0B4E0D5F"/>
    <w:rsid w:val="0EC4170D"/>
    <w:rsid w:val="5CA1CBF4"/>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CDD9F393-5C36-4AB9-A779-1C5E53E8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A2975"/>
    <w:pPr>
      <w:spacing w:line="276" w:lineRule="auto"/>
      <w:jc w:val="both"/>
    </w:pPr>
    <w:rPr>
      <w:sz w:val="22"/>
    </w:rPr>
  </w:style>
  <w:style w:type="paragraph" w:styleId="Nadpis1">
    <w:name w:val="heading 1"/>
    <w:basedOn w:val="Normlny"/>
    <w:next w:val="Normlny"/>
    <w:link w:val="Nadpis1Char"/>
    <w:uiPriority w:val="99"/>
    <w:qFormat/>
    <w:rsid w:val="00097261"/>
    <w:pPr>
      <w:keepNext/>
      <w:spacing w:line="420" w:lineRule="atLeast"/>
      <w:outlineLvl w:val="0"/>
    </w:pPr>
    <w:rPr>
      <w:rFonts w:cs="Arial"/>
      <w:b/>
      <w:bCs/>
      <w:kern w:val="32"/>
      <w:sz w:val="36"/>
      <w:szCs w:val="32"/>
    </w:rPr>
  </w:style>
  <w:style w:type="paragraph" w:styleId="Nadpis2">
    <w:name w:val="heading 2"/>
    <w:basedOn w:val="Normlny"/>
    <w:next w:val="Normlny"/>
    <w:qFormat/>
    <w:rsid w:val="003F46B0"/>
    <w:pPr>
      <w:keepNext/>
      <w:outlineLvl w:val="1"/>
    </w:pPr>
    <w:rPr>
      <w:rFonts w:cs="Arial"/>
      <w:bCs/>
      <w:iCs/>
      <w:color w:val="E1000F"/>
      <w:szCs w:val="28"/>
    </w:rPr>
  </w:style>
  <w:style w:type="paragraph" w:styleId="Nadpis3">
    <w:name w:val="heading 3"/>
    <w:basedOn w:val="Nadpis2"/>
    <w:next w:val="Normlny"/>
    <w:qFormat/>
    <w:rsid w:val="006F1596"/>
    <w:pPr>
      <w:outlineLvl w:val="2"/>
    </w:pPr>
    <w:rPr>
      <w:color w:val="auto"/>
    </w:rPr>
  </w:style>
  <w:style w:type="paragraph" w:styleId="Nadpis4">
    <w:name w:val="heading 4"/>
    <w:basedOn w:val="Normlny"/>
    <w:next w:val="Normlny"/>
    <w:link w:val="Nadpis4Char"/>
    <w:semiHidden/>
    <w:unhideWhenUsed/>
    <w:qFormat/>
    <w:rsid w:val="004002DD"/>
    <w:pPr>
      <w:keepNext/>
      <w:keepLines/>
      <w:spacing w:before="40"/>
      <w:outlineLvl w:val="3"/>
    </w:pPr>
    <w:rPr>
      <w:rFonts w:asciiTheme="majorHAnsi" w:eastAsiaTheme="majorEastAsia" w:hAnsiTheme="majorHAnsi" w:cstheme="majorBidi"/>
      <w:i/>
      <w:iCs/>
      <w:color w:val="474E55" w:themeColor="accent1" w:themeShade="BF"/>
    </w:rPr>
  </w:style>
  <w:style w:type="paragraph" w:styleId="Nadpis5">
    <w:name w:val="heading 5"/>
    <w:basedOn w:val="Normlny"/>
    <w:next w:val="Normlny"/>
    <w:link w:val="Nadpis5Char"/>
    <w:semiHidden/>
    <w:unhideWhenUsed/>
    <w:qFormat/>
    <w:rsid w:val="004002DD"/>
    <w:pPr>
      <w:keepNext/>
      <w:keepLines/>
      <w:spacing w:before="40"/>
      <w:outlineLvl w:val="4"/>
    </w:pPr>
    <w:rPr>
      <w:rFonts w:asciiTheme="majorHAnsi" w:eastAsiaTheme="majorEastAsia" w:hAnsiTheme="majorHAnsi" w:cstheme="majorBidi"/>
      <w:color w:val="474E55" w:themeColor="accent1" w:themeShade="BF"/>
    </w:rPr>
  </w:style>
  <w:style w:type="paragraph" w:styleId="Nadpis6">
    <w:name w:val="heading 6"/>
    <w:basedOn w:val="Normlny"/>
    <w:next w:val="Normlny"/>
    <w:link w:val="Nadpis6Char"/>
    <w:semiHidden/>
    <w:unhideWhenUsed/>
    <w:qFormat/>
    <w:rsid w:val="004002DD"/>
    <w:pPr>
      <w:keepNext/>
      <w:keepLines/>
      <w:spacing w:before="40"/>
      <w:outlineLvl w:val="5"/>
    </w:pPr>
    <w:rPr>
      <w:rFonts w:asciiTheme="majorHAnsi" w:eastAsiaTheme="majorEastAsia" w:hAnsiTheme="majorHAnsi" w:cstheme="majorBidi"/>
      <w:color w:val="2F3439" w:themeColor="accent1" w:themeShade="7F"/>
    </w:rPr>
  </w:style>
  <w:style w:type="paragraph" w:styleId="Nadpis7">
    <w:name w:val="heading 7"/>
    <w:basedOn w:val="Normlny"/>
    <w:next w:val="Normlny"/>
    <w:link w:val="Nadpis7Char"/>
    <w:semiHidden/>
    <w:unhideWhenUsed/>
    <w:qFormat/>
    <w:rsid w:val="004002DD"/>
    <w:pPr>
      <w:keepNext/>
      <w:keepLines/>
      <w:spacing w:before="40"/>
      <w:outlineLvl w:val="6"/>
    </w:pPr>
    <w:rPr>
      <w:rFonts w:asciiTheme="majorHAnsi" w:eastAsiaTheme="majorEastAsia" w:hAnsiTheme="majorHAnsi" w:cstheme="majorBidi"/>
      <w:i/>
      <w:iCs/>
      <w:color w:val="2F3439" w:themeColor="accent1" w:themeShade="7F"/>
    </w:rPr>
  </w:style>
  <w:style w:type="paragraph" w:styleId="Nadpis8">
    <w:name w:val="heading 8"/>
    <w:basedOn w:val="Normlny"/>
    <w:next w:val="Normlny"/>
    <w:link w:val="Nadpis8Char"/>
    <w:semiHidden/>
    <w:unhideWhenUsed/>
    <w:qFormat/>
    <w:rsid w:val="004002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4002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ta">
    <w:name w:val="footer"/>
    <w:basedOn w:val="Normlny"/>
    <w:link w:val="Pta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lny"/>
    <w:rsid w:val="006F1596"/>
    <w:pPr>
      <w:spacing w:after="300"/>
    </w:pPr>
    <w:rPr>
      <w:color w:val="415055"/>
      <w:sz w:val="24"/>
    </w:rPr>
  </w:style>
  <w:style w:type="paragraph" w:customStyle="1" w:styleId="NumBullet">
    <w:name w:val="Num_Bullet"/>
    <w:basedOn w:val="Normlny"/>
    <w:rsid w:val="00576BC8"/>
    <w:pPr>
      <w:numPr>
        <w:numId w:val="1"/>
      </w:numPr>
      <w:tabs>
        <w:tab w:val="clear" w:pos="567"/>
        <w:tab w:val="left" w:pos="357"/>
      </w:tabs>
      <w:ind w:left="357" w:hanging="357"/>
    </w:pPr>
  </w:style>
  <w:style w:type="paragraph" w:customStyle="1" w:styleId="Page1Name">
    <w:name w:val="Page1_Name"/>
    <w:basedOn w:val="Normlny"/>
    <w:rsid w:val="004F237B"/>
    <w:pPr>
      <w:spacing w:after="420" w:line="360" w:lineRule="atLeast"/>
    </w:pPr>
    <w:rPr>
      <w:b/>
      <w:sz w:val="30"/>
    </w:rPr>
  </w:style>
  <w:style w:type="paragraph" w:customStyle="1" w:styleId="Page1Title">
    <w:name w:val="Page1_Title"/>
    <w:basedOn w:val="Normlny"/>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Mriekatabuky">
    <w:name w:val="Table Grid"/>
    <w:basedOn w:val="Normlnatabuka"/>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ny"/>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ny"/>
    <w:rsid w:val="0048435F"/>
    <w:pPr>
      <w:spacing w:line="300" w:lineRule="atLeast"/>
    </w:pPr>
    <w:rPr>
      <w:sz w:val="24"/>
    </w:rPr>
  </w:style>
  <w:style w:type="character" w:customStyle="1" w:styleId="Nadpis1Char">
    <w:name w:val="Nadpis 1 Char"/>
    <w:link w:val="Nadpis1"/>
    <w:uiPriority w:val="99"/>
    <w:locked/>
    <w:rsid w:val="00B422EC"/>
    <w:rPr>
      <w:rFonts w:ascii="Arial" w:hAnsi="Arial" w:cs="Arial"/>
      <w:b/>
      <w:bCs/>
      <w:kern w:val="32"/>
      <w:sz w:val="36"/>
      <w:szCs w:val="32"/>
      <w:lang w:val="de-DE"/>
    </w:rPr>
  </w:style>
  <w:style w:type="character" w:styleId="Hypertextovprepojenie">
    <w:name w:val="Hyperlink"/>
    <w:rsid w:val="00336854"/>
    <w:rPr>
      <w:rFonts w:ascii="Segoe UI" w:hAnsi="Segoe UI"/>
      <w:color w:val="0000FF"/>
      <w:sz w:val="18"/>
      <w:szCs w:val="18"/>
      <w:u w:val="single"/>
    </w:rPr>
  </w:style>
  <w:style w:type="paragraph" w:customStyle="1" w:styleId="MittleresRaster1-Akzent21">
    <w:name w:val="Mittleres Raster 1 - Akzent 21"/>
    <w:basedOn w:val="Normlny"/>
    <w:uiPriority w:val="34"/>
    <w:qFormat/>
    <w:rsid w:val="00B422EC"/>
    <w:pPr>
      <w:ind w:left="720"/>
    </w:pPr>
  </w:style>
  <w:style w:type="paragraph" w:styleId="Textbubliny">
    <w:name w:val="Balloon Text"/>
    <w:basedOn w:val="Normlny"/>
    <w:link w:val="TextbublinyChar"/>
    <w:rsid w:val="00336854"/>
    <w:pPr>
      <w:spacing w:line="240" w:lineRule="auto"/>
    </w:pPr>
    <w:rPr>
      <w:sz w:val="18"/>
      <w:szCs w:val="18"/>
    </w:rPr>
  </w:style>
  <w:style w:type="character" w:customStyle="1" w:styleId="TextbublinyChar">
    <w:name w:val="Text bubliny Char"/>
    <w:link w:val="Textbubliny"/>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taChar">
    <w:name w:val="Päta Char"/>
    <w:link w:val="Pta"/>
    <w:uiPriority w:val="99"/>
    <w:rsid w:val="00992A11"/>
    <w:rPr>
      <w:rFonts w:ascii="Segoe UI" w:hAnsi="Segoe UI"/>
      <w:bCs/>
      <w:noProof/>
      <w:sz w:val="12"/>
      <w:szCs w:val="24"/>
      <w:lang w:val="de-DE"/>
    </w:rPr>
  </w:style>
  <w:style w:type="character" w:styleId="Nevyrieenzmienk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lny"/>
    <w:rsid w:val="00974F84"/>
    <w:rPr>
      <w:szCs w:val="20"/>
    </w:rPr>
  </w:style>
  <w:style w:type="paragraph" w:customStyle="1" w:styleId="Style12ptJustifiedLinespacing15lines1">
    <w:name w:val="Style 12 pt Justified Line spacing:  1.5 lines1"/>
    <w:basedOn w:val="Normlny"/>
    <w:rsid w:val="00974F84"/>
    <w:pPr>
      <w:spacing w:before="120"/>
    </w:pPr>
    <w:rPr>
      <w:szCs w:val="20"/>
    </w:rPr>
  </w:style>
  <w:style w:type="character" w:customStyle="1" w:styleId="Headline">
    <w:name w:val="Headline"/>
    <w:basedOn w:val="Predvolenpsmoodseku"/>
    <w:rsid w:val="00A3756F"/>
    <w:rPr>
      <w:b/>
      <w:bCs/>
      <w:sz w:val="32"/>
    </w:rPr>
  </w:style>
  <w:style w:type="paragraph" w:customStyle="1" w:styleId="MonthDayYear">
    <w:name w:val="Month Day Year"/>
    <w:basedOn w:val="Normlny"/>
    <w:rsid w:val="00643D8A"/>
    <w:pPr>
      <w:spacing w:before="120"/>
      <w:ind w:right="-1"/>
      <w:jc w:val="right"/>
    </w:pPr>
    <w:rPr>
      <w:szCs w:val="20"/>
    </w:rPr>
  </w:style>
  <w:style w:type="paragraph" w:customStyle="1" w:styleId="Topline">
    <w:name w:val="Topline"/>
    <w:basedOn w:val="Normlny"/>
    <w:qFormat/>
    <w:rsid w:val="00472FEC"/>
    <w:pPr>
      <w:spacing w:before="560" w:after="560"/>
    </w:pPr>
    <w:rPr>
      <w:rFonts w:cs="Segoe UI"/>
      <w:szCs w:val="22"/>
    </w:rPr>
  </w:style>
  <w:style w:type="character" w:customStyle="1" w:styleId="AboutandContactBody">
    <w:name w:val="About and Contact Body"/>
    <w:basedOn w:val="Predvolenpsmoodseku"/>
    <w:rsid w:val="00336854"/>
    <w:rPr>
      <w:rFonts w:ascii="Segoe UI" w:hAnsi="Segoe UI"/>
      <w:sz w:val="18"/>
    </w:rPr>
  </w:style>
  <w:style w:type="character" w:customStyle="1" w:styleId="AboutandContactHeadline">
    <w:name w:val="About and Contact Headline"/>
    <w:basedOn w:val="Predvolenpsmoodseku"/>
    <w:rsid w:val="00336854"/>
    <w:rPr>
      <w:rFonts w:ascii="Segoe UI" w:hAnsi="Segoe UI"/>
      <w:b/>
      <w:bCs/>
      <w:sz w:val="18"/>
    </w:rPr>
  </w:style>
  <w:style w:type="paragraph" w:styleId="AdresaHTML">
    <w:name w:val="HTML Address"/>
    <w:basedOn w:val="Normlny"/>
    <w:link w:val="AdresaHTMLChar"/>
    <w:rsid w:val="004002DD"/>
    <w:pPr>
      <w:spacing w:line="240" w:lineRule="auto"/>
    </w:pPr>
    <w:rPr>
      <w:i/>
      <w:iCs/>
    </w:rPr>
  </w:style>
  <w:style w:type="character" w:customStyle="1" w:styleId="AdresaHTMLChar">
    <w:name w:val="Adresa HTML Char"/>
    <w:basedOn w:val="Predvolenpsmoodseku"/>
    <w:link w:val="AdresaHTML"/>
    <w:rsid w:val="004002DD"/>
    <w:rPr>
      <w:i/>
      <w:iCs/>
      <w:sz w:val="22"/>
    </w:rPr>
  </w:style>
  <w:style w:type="paragraph" w:styleId="Adresanaoblke">
    <w:name w:val="envelope address"/>
    <w:basedOn w:val="Normlny"/>
    <w:rsid w:val="004002DD"/>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Bezriadkovania">
    <w:name w:val="No Spacing"/>
    <w:uiPriority w:val="99"/>
    <w:qFormat/>
    <w:rsid w:val="004002DD"/>
    <w:pPr>
      <w:jc w:val="both"/>
    </w:pPr>
    <w:rPr>
      <w:sz w:val="22"/>
    </w:rPr>
  </w:style>
  <w:style w:type="paragraph" w:styleId="Bibliografia">
    <w:name w:val="Bibliography"/>
    <w:basedOn w:val="Normlny"/>
    <w:next w:val="Normlny"/>
    <w:uiPriority w:val="61"/>
    <w:semiHidden/>
    <w:unhideWhenUsed/>
    <w:rsid w:val="004002DD"/>
  </w:style>
  <w:style w:type="paragraph" w:styleId="Citcia">
    <w:name w:val="Quote"/>
    <w:basedOn w:val="Normlny"/>
    <w:next w:val="Normlny"/>
    <w:link w:val="CitciaChar"/>
    <w:uiPriority w:val="64"/>
    <w:qFormat/>
    <w:rsid w:val="004002DD"/>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64"/>
    <w:rsid w:val="004002DD"/>
    <w:rPr>
      <w:i/>
      <w:iCs/>
      <w:color w:val="404040" w:themeColor="text1" w:themeTint="BF"/>
      <w:sz w:val="22"/>
    </w:rPr>
  </w:style>
  <w:style w:type="paragraph" w:styleId="slovanzoznam">
    <w:name w:val="List Number"/>
    <w:basedOn w:val="Normlny"/>
    <w:rsid w:val="004002DD"/>
    <w:pPr>
      <w:numPr>
        <w:numId w:val="7"/>
      </w:numPr>
      <w:contextualSpacing/>
    </w:pPr>
  </w:style>
  <w:style w:type="paragraph" w:styleId="slovanzoznam2">
    <w:name w:val="List Number 2"/>
    <w:basedOn w:val="Normlny"/>
    <w:rsid w:val="004002DD"/>
    <w:pPr>
      <w:numPr>
        <w:numId w:val="8"/>
      </w:numPr>
      <w:contextualSpacing/>
    </w:pPr>
  </w:style>
  <w:style w:type="paragraph" w:styleId="slovanzoznam3">
    <w:name w:val="List Number 3"/>
    <w:basedOn w:val="Normlny"/>
    <w:rsid w:val="004002DD"/>
    <w:pPr>
      <w:numPr>
        <w:numId w:val="9"/>
      </w:numPr>
      <w:contextualSpacing/>
    </w:pPr>
  </w:style>
  <w:style w:type="paragraph" w:styleId="slovanzoznam4">
    <w:name w:val="List Number 4"/>
    <w:basedOn w:val="Normlny"/>
    <w:rsid w:val="004002DD"/>
    <w:pPr>
      <w:numPr>
        <w:numId w:val="10"/>
      </w:numPr>
      <w:contextualSpacing/>
    </w:pPr>
  </w:style>
  <w:style w:type="paragraph" w:styleId="slovanzoznam5">
    <w:name w:val="List Number 5"/>
    <w:basedOn w:val="Normlny"/>
    <w:rsid w:val="004002DD"/>
    <w:pPr>
      <w:numPr>
        <w:numId w:val="11"/>
      </w:numPr>
      <w:contextualSpacing/>
    </w:pPr>
  </w:style>
  <w:style w:type="paragraph" w:styleId="Dtum">
    <w:name w:val="Date"/>
    <w:basedOn w:val="Normlny"/>
    <w:next w:val="Normlny"/>
    <w:link w:val="DtumChar"/>
    <w:rsid w:val="004002DD"/>
  </w:style>
  <w:style w:type="character" w:customStyle="1" w:styleId="DtumChar">
    <w:name w:val="Dátum Char"/>
    <w:basedOn w:val="Predvolenpsmoodseku"/>
    <w:link w:val="Dtum"/>
    <w:rsid w:val="004002DD"/>
    <w:rPr>
      <w:sz w:val="22"/>
    </w:rPr>
  </w:style>
  <w:style w:type="paragraph" w:styleId="Hlavikaobsahu">
    <w:name w:val="TOC Heading"/>
    <w:basedOn w:val="Nadpis1"/>
    <w:next w:val="Normlny"/>
    <w:uiPriority w:val="62"/>
    <w:semiHidden/>
    <w:unhideWhenUsed/>
    <w:qFormat/>
    <w:rsid w:val="004002DD"/>
    <w:pPr>
      <w:keepLines/>
      <w:spacing w:before="240" w:line="276" w:lineRule="auto"/>
      <w:outlineLvl w:val="9"/>
    </w:pPr>
    <w:rPr>
      <w:rFonts w:asciiTheme="majorHAnsi" w:eastAsiaTheme="majorEastAsia" w:hAnsiTheme="majorHAnsi" w:cstheme="majorBidi"/>
      <w:b w:val="0"/>
      <w:bCs w:val="0"/>
      <w:color w:val="474E55" w:themeColor="accent1" w:themeShade="BF"/>
      <w:kern w:val="0"/>
      <w:sz w:val="32"/>
    </w:rPr>
  </w:style>
  <w:style w:type="paragraph" w:styleId="Hlavikasprvy">
    <w:name w:val="Message Header"/>
    <w:basedOn w:val="Normlny"/>
    <w:link w:val="HlavikasprvyChar"/>
    <w:rsid w:val="004002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HlavikasprvyChar">
    <w:name w:val="Hlavička správy Char"/>
    <w:basedOn w:val="Predvolenpsmoodseku"/>
    <w:link w:val="Hlavikasprvy"/>
    <w:rsid w:val="004002DD"/>
    <w:rPr>
      <w:rFonts w:asciiTheme="majorHAnsi" w:eastAsiaTheme="majorEastAsia" w:hAnsiTheme="majorHAnsi" w:cstheme="majorBidi"/>
      <w:sz w:val="24"/>
      <w:shd w:val="pct20" w:color="auto" w:fill="auto"/>
    </w:rPr>
  </w:style>
  <w:style w:type="paragraph" w:styleId="Hlavikazoznamucitci">
    <w:name w:val="toa heading"/>
    <w:basedOn w:val="Normlny"/>
    <w:next w:val="Normlny"/>
    <w:rsid w:val="004002DD"/>
    <w:pPr>
      <w:spacing w:before="120"/>
    </w:pPr>
    <w:rPr>
      <w:rFonts w:asciiTheme="majorHAnsi" w:eastAsiaTheme="majorEastAsia" w:hAnsiTheme="majorHAnsi" w:cstheme="majorBidi"/>
      <w:b/>
      <w:bCs/>
      <w:sz w:val="24"/>
    </w:rPr>
  </w:style>
  <w:style w:type="character" w:customStyle="1" w:styleId="Nadpis4Char">
    <w:name w:val="Nadpis 4 Char"/>
    <w:basedOn w:val="Predvolenpsmoodseku"/>
    <w:link w:val="Nadpis4"/>
    <w:semiHidden/>
    <w:rsid w:val="004002DD"/>
    <w:rPr>
      <w:rFonts w:asciiTheme="majorHAnsi" w:eastAsiaTheme="majorEastAsia" w:hAnsiTheme="majorHAnsi" w:cstheme="majorBidi"/>
      <w:i/>
      <w:iCs/>
      <w:color w:val="474E55" w:themeColor="accent1" w:themeShade="BF"/>
      <w:sz w:val="22"/>
    </w:rPr>
  </w:style>
  <w:style w:type="character" w:customStyle="1" w:styleId="Nadpis5Char">
    <w:name w:val="Nadpis 5 Char"/>
    <w:basedOn w:val="Predvolenpsmoodseku"/>
    <w:link w:val="Nadpis5"/>
    <w:semiHidden/>
    <w:rsid w:val="004002DD"/>
    <w:rPr>
      <w:rFonts w:asciiTheme="majorHAnsi" w:eastAsiaTheme="majorEastAsia" w:hAnsiTheme="majorHAnsi" w:cstheme="majorBidi"/>
      <w:color w:val="474E55" w:themeColor="accent1" w:themeShade="BF"/>
      <w:sz w:val="22"/>
    </w:rPr>
  </w:style>
  <w:style w:type="character" w:customStyle="1" w:styleId="Nadpis6Char">
    <w:name w:val="Nadpis 6 Char"/>
    <w:basedOn w:val="Predvolenpsmoodseku"/>
    <w:link w:val="Nadpis6"/>
    <w:semiHidden/>
    <w:rsid w:val="004002DD"/>
    <w:rPr>
      <w:rFonts w:asciiTheme="majorHAnsi" w:eastAsiaTheme="majorEastAsia" w:hAnsiTheme="majorHAnsi" w:cstheme="majorBidi"/>
      <w:color w:val="2F3439" w:themeColor="accent1" w:themeShade="7F"/>
      <w:sz w:val="22"/>
    </w:rPr>
  </w:style>
  <w:style w:type="character" w:customStyle="1" w:styleId="Nadpis7Char">
    <w:name w:val="Nadpis 7 Char"/>
    <w:basedOn w:val="Predvolenpsmoodseku"/>
    <w:link w:val="Nadpis7"/>
    <w:semiHidden/>
    <w:rsid w:val="004002DD"/>
    <w:rPr>
      <w:rFonts w:asciiTheme="majorHAnsi" w:eastAsiaTheme="majorEastAsia" w:hAnsiTheme="majorHAnsi" w:cstheme="majorBidi"/>
      <w:i/>
      <w:iCs/>
      <w:color w:val="2F3439" w:themeColor="accent1" w:themeShade="7F"/>
      <w:sz w:val="22"/>
    </w:rPr>
  </w:style>
  <w:style w:type="character" w:customStyle="1" w:styleId="Nadpis8Char">
    <w:name w:val="Nadpis 8 Char"/>
    <w:basedOn w:val="Predvolenpsmoodseku"/>
    <w:link w:val="Nadpis8"/>
    <w:semiHidden/>
    <w:rsid w:val="004002D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4002D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y"/>
    <w:next w:val="Normlny"/>
    <w:link w:val="NadpispoznmkyChar"/>
    <w:rsid w:val="004002DD"/>
    <w:pPr>
      <w:spacing w:line="240" w:lineRule="auto"/>
    </w:pPr>
  </w:style>
  <w:style w:type="character" w:customStyle="1" w:styleId="NadpispoznmkyChar">
    <w:name w:val="Nadpis poznámky Char"/>
    <w:basedOn w:val="Predvolenpsmoodseku"/>
    <w:link w:val="Nadpispoznmky"/>
    <w:rsid w:val="004002DD"/>
    <w:rPr>
      <w:sz w:val="22"/>
    </w:rPr>
  </w:style>
  <w:style w:type="paragraph" w:styleId="Register1">
    <w:name w:val="index 1"/>
    <w:basedOn w:val="Normlny"/>
    <w:next w:val="Normlny"/>
    <w:rsid w:val="004002DD"/>
    <w:pPr>
      <w:spacing w:line="240" w:lineRule="auto"/>
      <w:ind w:left="220" w:hanging="220"/>
    </w:pPr>
  </w:style>
  <w:style w:type="paragraph" w:styleId="Nadpisregistra">
    <w:name w:val="index heading"/>
    <w:basedOn w:val="Normlny"/>
    <w:next w:val="Register1"/>
    <w:rsid w:val="004002DD"/>
    <w:rPr>
      <w:rFonts w:asciiTheme="majorHAnsi" w:eastAsiaTheme="majorEastAsia" w:hAnsiTheme="majorHAnsi" w:cstheme="majorBidi"/>
      <w:b/>
      <w:bCs/>
    </w:rPr>
  </w:style>
  <w:style w:type="paragraph" w:styleId="Nzov">
    <w:name w:val="Title"/>
    <w:basedOn w:val="Normlny"/>
    <w:next w:val="Normlny"/>
    <w:link w:val="NzovChar"/>
    <w:qFormat/>
    <w:rsid w:val="004002DD"/>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4002DD"/>
    <w:rPr>
      <w:rFonts w:asciiTheme="majorHAnsi" w:eastAsiaTheme="majorEastAsia" w:hAnsiTheme="majorHAnsi" w:cstheme="majorBidi"/>
      <w:spacing w:val="-10"/>
      <w:kern w:val="28"/>
      <w:sz w:val="56"/>
      <w:szCs w:val="56"/>
    </w:rPr>
  </w:style>
  <w:style w:type="paragraph" w:styleId="Normlnywebov">
    <w:name w:val="Normal (Web)"/>
    <w:basedOn w:val="Normlny"/>
    <w:rsid w:val="004002DD"/>
    <w:rPr>
      <w:rFonts w:ascii="Times New Roman" w:hAnsi="Times New Roman"/>
      <w:sz w:val="24"/>
    </w:rPr>
  </w:style>
  <w:style w:type="paragraph" w:styleId="Normlnysozarkami">
    <w:name w:val="Normal Indent"/>
    <w:basedOn w:val="Normlny"/>
    <w:rsid w:val="004002DD"/>
    <w:pPr>
      <w:ind w:left="708"/>
    </w:pPr>
  </w:style>
  <w:style w:type="paragraph" w:styleId="Obsah1">
    <w:name w:val="toc 1"/>
    <w:basedOn w:val="Normlny"/>
    <w:next w:val="Normlny"/>
    <w:rsid w:val="004002DD"/>
    <w:pPr>
      <w:spacing w:after="100"/>
    </w:pPr>
  </w:style>
  <w:style w:type="paragraph" w:styleId="Obsah2">
    <w:name w:val="toc 2"/>
    <w:basedOn w:val="Normlny"/>
    <w:next w:val="Normlny"/>
    <w:rsid w:val="004002DD"/>
    <w:pPr>
      <w:spacing w:after="100"/>
      <w:ind w:left="220"/>
    </w:pPr>
  </w:style>
  <w:style w:type="paragraph" w:styleId="Obsah3">
    <w:name w:val="toc 3"/>
    <w:basedOn w:val="Normlny"/>
    <w:next w:val="Normlny"/>
    <w:rsid w:val="004002DD"/>
    <w:pPr>
      <w:spacing w:after="100"/>
      <w:ind w:left="440"/>
    </w:pPr>
  </w:style>
  <w:style w:type="paragraph" w:styleId="Obsah4">
    <w:name w:val="toc 4"/>
    <w:basedOn w:val="Normlny"/>
    <w:next w:val="Normlny"/>
    <w:rsid w:val="004002DD"/>
    <w:pPr>
      <w:spacing w:after="100"/>
      <w:ind w:left="660"/>
    </w:pPr>
  </w:style>
  <w:style w:type="paragraph" w:styleId="Obsah5">
    <w:name w:val="toc 5"/>
    <w:basedOn w:val="Normlny"/>
    <w:next w:val="Normlny"/>
    <w:rsid w:val="004002DD"/>
    <w:pPr>
      <w:spacing w:after="100"/>
      <w:ind w:left="880"/>
    </w:pPr>
  </w:style>
  <w:style w:type="paragraph" w:styleId="Obsah6">
    <w:name w:val="toc 6"/>
    <w:basedOn w:val="Normlny"/>
    <w:next w:val="Normlny"/>
    <w:rsid w:val="004002DD"/>
    <w:pPr>
      <w:spacing w:after="100"/>
      <w:ind w:left="1100"/>
    </w:pPr>
  </w:style>
  <w:style w:type="paragraph" w:styleId="Obsah7">
    <w:name w:val="toc 7"/>
    <w:basedOn w:val="Normlny"/>
    <w:next w:val="Normlny"/>
    <w:rsid w:val="004002DD"/>
    <w:pPr>
      <w:spacing w:after="100"/>
      <w:ind w:left="1320"/>
    </w:pPr>
  </w:style>
  <w:style w:type="paragraph" w:styleId="Obsah8">
    <w:name w:val="toc 8"/>
    <w:basedOn w:val="Normlny"/>
    <w:next w:val="Normlny"/>
    <w:rsid w:val="004002DD"/>
    <w:pPr>
      <w:spacing w:after="100"/>
      <w:ind w:left="1540"/>
    </w:pPr>
  </w:style>
  <w:style w:type="paragraph" w:styleId="Obsah9">
    <w:name w:val="toc 9"/>
    <w:basedOn w:val="Normlny"/>
    <w:next w:val="Normlny"/>
    <w:rsid w:val="004002DD"/>
    <w:pPr>
      <w:spacing w:after="100"/>
      <w:ind w:left="1760"/>
    </w:pPr>
  </w:style>
  <w:style w:type="paragraph" w:styleId="Obyajntext">
    <w:name w:val="Plain Text"/>
    <w:basedOn w:val="Normlny"/>
    <w:link w:val="ObyajntextChar"/>
    <w:rsid w:val="004002DD"/>
    <w:pPr>
      <w:spacing w:line="240" w:lineRule="auto"/>
    </w:pPr>
    <w:rPr>
      <w:rFonts w:ascii="Consolas" w:hAnsi="Consolas"/>
      <w:sz w:val="21"/>
      <w:szCs w:val="21"/>
    </w:rPr>
  </w:style>
  <w:style w:type="character" w:customStyle="1" w:styleId="ObyajntextChar">
    <w:name w:val="Obyčajný text Char"/>
    <w:basedOn w:val="Predvolenpsmoodseku"/>
    <w:link w:val="Obyajntext"/>
    <w:rsid w:val="004002DD"/>
    <w:rPr>
      <w:rFonts w:ascii="Consolas" w:hAnsi="Consolas"/>
      <w:sz w:val="21"/>
      <w:szCs w:val="21"/>
    </w:rPr>
  </w:style>
  <w:style w:type="paragraph" w:styleId="Odsekzoznamu">
    <w:name w:val="List Paragraph"/>
    <w:basedOn w:val="Normlny"/>
    <w:uiPriority w:val="34"/>
    <w:qFormat/>
    <w:rsid w:val="004002DD"/>
    <w:pPr>
      <w:ind w:left="720"/>
      <w:contextualSpacing/>
    </w:pPr>
  </w:style>
  <w:style w:type="paragraph" w:styleId="Oslovenie">
    <w:name w:val="Salutation"/>
    <w:basedOn w:val="Normlny"/>
    <w:next w:val="Normlny"/>
    <w:link w:val="OslovenieChar"/>
    <w:rsid w:val="004002DD"/>
  </w:style>
  <w:style w:type="character" w:customStyle="1" w:styleId="OslovenieChar">
    <w:name w:val="Oslovenie Char"/>
    <w:basedOn w:val="Predvolenpsmoodseku"/>
    <w:link w:val="Oslovenie"/>
    <w:rsid w:val="004002DD"/>
    <w:rPr>
      <w:sz w:val="22"/>
    </w:rPr>
  </w:style>
  <w:style w:type="paragraph" w:styleId="Oznaitext">
    <w:name w:val="Block Text"/>
    <w:basedOn w:val="Normlny"/>
    <w:rsid w:val="004002DD"/>
    <w:pPr>
      <w:pBdr>
        <w:top w:val="single" w:sz="2" w:space="10" w:color="5F6973" w:themeColor="accent1"/>
        <w:left w:val="single" w:sz="2" w:space="10" w:color="5F6973" w:themeColor="accent1"/>
        <w:bottom w:val="single" w:sz="2" w:space="10" w:color="5F6973" w:themeColor="accent1"/>
        <w:right w:val="single" w:sz="2" w:space="10" w:color="5F6973" w:themeColor="accent1"/>
      </w:pBdr>
      <w:ind w:left="1152" w:right="1152"/>
    </w:pPr>
    <w:rPr>
      <w:rFonts w:asciiTheme="minorHAnsi" w:eastAsiaTheme="minorEastAsia" w:hAnsiTheme="minorHAnsi" w:cstheme="minorBidi"/>
      <w:i/>
      <w:iCs/>
      <w:color w:val="5F6973" w:themeColor="accent1"/>
    </w:rPr>
  </w:style>
  <w:style w:type="paragraph" w:styleId="Podpis">
    <w:name w:val="Signature"/>
    <w:basedOn w:val="Normlny"/>
    <w:link w:val="PodpisChar"/>
    <w:rsid w:val="004002DD"/>
    <w:pPr>
      <w:spacing w:line="240" w:lineRule="auto"/>
      <w:ind w:left="4252"/>
    </w:pPr>
  </w:style>
  <w:style w:type="character" w:customStyle="1" w:styleId="PodpisChar">
    <w:name w:val="Podpis Char"/>
    <w:basedOn w:val="Predvolenpsmoodseku"/>
    <w:link w:val="Podpis"/>
    <w:rsid w:val="004002DD"/>
    <w:rPr>
      <w:sz w:val="22"/>
    </w:rPr>
  </w:style>
  <w:style w:type="paragraph" w:styleId="Podpise-mailu">
    <w:name w:val="E-mail Signature"/>
    <w:basedOn w:val="Normlny"/>
    <w:link w:val="Podpise-mailuChar"/>
    <w:rsid w:val="004002DD"/>
    <w:pPr>
      <w:spacing w:line="240" w:lineRule="auto"/>
    </w:pPr>
  </w:style>
  <w:style w:type="character" w:customStyle="1" w:styleId="Podpise-mailuChar">
    <w:name w:val="Podpis e-mailu Char"/>
    <w:basedOn w:val="Predvolenpsmoodseku"/>
    <w:link w:val="Podpise-mailu"/>
    <w:rsid w:val="004002DD"/>
    <w:rPr>
      <w:sz w:val="22"/>
    </w:rPr>
  </w:style>
  <w:style w:type="paragraph" w:styleId="Podtitul">
    <w:name w:val="Subtitle"/>
    <w:basedOn w:val="Normlny"/>
    <w:next w:val="Normlny"/>
    <w:link w:val="PodtitulChar"/>
    <w:qFormat/>
    <w:rsid w:val="004002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rsid w:val="004002DD"/>
    <w:rPr>
      <w:rFonts w:asciiTheme="minorHAnsi" w:eastAsiaTheme="minorEastAsia" w:hAnsiTheme="minorHAnsi" w:cstheme="minorBidi"/>
      <w:color w:val="5A5A5A" w:themeColor="text1" w:themeTint="A5"/>
      <w:spacing w:val="15"/>
      <w:sz w:val="22"/>
      <w:szCs w:val="22"/>
    </w:rPr>
  </w:style>
  <w:style w:type="paragraph" w:styleId="Pokraovaniezoznamu">
    <w:name w:val="List Continue"/>
    <w:basedOn w:val="Normlny"/>
    <w:rsid w:val="004002DD"/>
    <w:pPr>
      <w:spacing w:after="120"/>
      <w:ind w:left="283"/>
      <w:contextualSpacing/>
    </w:pPr>
  </w:style>
  <w:style w:type="paragraph" w:styleId="Pokraovaniezoznamu2">
    <w:name w:val="List Continue 2"/>
    <w:basedOn w:val="Normlny"/>
    <w:rsid w:val="004002DD"/>
    <w:pPr>
      <w:spacing w:after="120"/>
      <w:ind w:left="566"/>
      <w:contextualSpacing/>
    </w:pPr>
  </w:style>
  <w:style w:type="paragraph" w:styleId="Pokraovaniezoznamu3">
    <w:name w:val="List Continue 3"/>
    <w:basedOn w:val="Normlny"/>
    <w:rsid w:val="004002DD"/>
    <w:pPr>
      <w:spacing w:after="120"/>
      <w:ind w:left="849"/>
      <w:contextualSpacing/>
    </w:pPr>
  </w:style>
  <w:style w:type="paragraph" w:styleId="Pokraovaniezoznamu4">
    <w:name w:val="List Continue 4"/>
    <w:basedOn w:val="Normlny"/>
    <w:rsid w:val="004002DD"/>
    <w:pPr>
      <w:spacing w:after="120"/>
      <w:ind w:left="1132"/>
      <w:contextualSpacing/>
    </w:pPr>
  </w:style>
  <w:style w:type="paragraph" w:styleId="Pokraovaniezoznamu5">
    <w:name w:val="List Continue 5"/>
    <w:basedOn w:val="Normlny"/>
    <w:rsid w:val="004002DD"/>
    <w:pPr>
      <w:spacing w:after="120"/>
      <w:ind w:left="1415"/>
      <w:contextualSpacing/>
    </w:pPr>
  </w:style>
  <w:style w:type="paragraph" w:styleId="Popis">
    <w:name w:val="caption"/>
    <w:basedOn w:val="Normlny"/>
    <w:next w:val="Normlny"/>
    <w:semiHidden/>
    <w:unhideWhenUsed/>
    <w:qFormat/>
    <w:rsid w:val="004002DD"/>
    <w:pPr>
      <w:spacing w:after="200" w:line="240" w:lineRule="auto"/>
    </w:pPr>
    <w:rPr>
      <w:i/>
      <w:iCs/>
      <w:color w:val="E1000F" w:themeColor="text2"/>
      <w:sz w:val="18"/>
      <w:szCs w:val="18"/>
    </w:rPr>
  </w:style>
  <w:style w:type="paragraph" w:styleId="PredformtovanHTML">
    <w:name w:val="HTML Preformatted"/>
    <w:basedOn w:val="Normlny"/>
    <w:link w:val="PredformtovanHTMLChar"/>
    <w:semiHidden/>
    <w:unhideWhenUsed/>
    <w:rsid w:val="004002DD"/>
    <w:pPr>
      <w:spacing w:line="240" w:lineRule="auto"/>
    </w:pPr>
    <w:rPr>
      <w:rFonts w:ascii="Consolas" w:hAnsi="Consolas"/>
      <w:sz w:val="20"/>
      <w:szCs w:val="20"/>
    </w:rPr>
  </w:style>
  <w:style w:type="character" w:customStyle="1" w:styleId="PredformtovanHTMLChar">
    <w:name w:val="Predformátované HTML Char"/>
    <w:basedOn w:val="Predvolenpsmoodseku"/>
    <w:link w:val="PredformtovanHTML"/>
    <w:semiHidden/>
    <w:rsid w:val="004002DD"/>
    <w:rPr>
      <w:rFonts w:ascii="Consolas" w:hAnsi="Consolas"/>
      <w:sz w:val="20"/>
      <w:szCs w:val="20"/>
    </w:rPr>
  </w:style>
  <w:style w:type="paragraph" w:styleId="Textkomentra">
    <w:name w:val="annotation text"/>
    <w:basedOn w:val="Normlny"/>
    <w:link w:val="TextkomentraChar"/>
    <w:rsid w:val="004002DD"/>
    <w:pPr>
      <w:spacing w:line="240" w:lineRule="auto"/>
    </w:pPr>
    <w:rPr>
      <w:sz w:val="20"/>
      <w:szCs w:val="20"/>
    </w:rPr>
  </w:style>
  <w:style w:type="character" w:customStyle="1" w:styleId="TextkomentraChar">
    <w:name w:val="Text komentára Char"/>
    <w:basedOn w:val="Predvolenpsmoodseku"/>
    <w:link w:val="Textkomentra"/>
    <w:rsid w:val="004002DD"/>
    <w:rPr>
      <w:sz w:val="20"/>
      <w:szCs w:val="20"/>
    </w:rPr>
  </w:style>
  <w:style w:type="paragraph" w:styleId="Predmetkomentra">
    <w:name w:val="annotation subject"/>
    <w:basedOn w:val="Textkomentra"/>
    <w:next w:val="Textkomentra"/>
    <w:link w:val="PredmetkomentraChar"/>
    <w:rsid w:val="004002DD"/>
    <w:rPr>
      <w:b/>
      <w:bCs/>
    </w:rPr>
  </w:style>
  <w:style w:type="character" w:customStyle="1" w:styleId="PredmetkomentraChar">
    <w:name w:val="Predmet komentára Char"/>
    <w:basedOn w:val="TextkomentraChar"/>
    <w:link w:val="Predmetkomentra"/>
    <w:rsid w:val="004002DD"/>
    <w:rPr>
      <w:b/>
      <w:bCs/>
      <w:sz w:val="20"/>
      <w:szCs w:val="20"/>
    </w:rPr>
  </w:style>
  <w:style w:type="paragraph" w:styleId="Zkladntext">
    <w:name w:val="Body Text"/>
    <w:basedOn w:val="Normlny"/>
    <w:link w:val="ZkladntextChar"/>
    <w:rsid w:val="004002DD"/>
    <w:pPr>
      <w:spacing w:after="120"/>
    </w:pPr>
  </w:style>
  <w:style w:type="character" w:customStyle="1" w:styleId="ZkladntextChar">
    <w:name w:val="Základný text Char"/>
    <w:basedOn w:val="Predvolenpsmoodseku"/>
    <w:link w:val="Zkladntext"/>
    <w:rsid w:val="004002DD"/>
    <w:rPr>
      <w:sz w:val="22"/>
    </w:rPr>
  </w:style>
  <w:style w:type="paragraph" w:styleId="Prvzarkazkladnhotextu">
    <w:name w:val="Body Text First Indent"/>
    <w:basedOn w:val="Zkladntext"/>
    <w:link w:val="PrvzarkazkladnhotextuChar"/>
    <w:rsid w:val="004002DD"/>
    <w:pPr>
      <w:spacing w:after="0"/>
      <w:ind w:firstLine="360"/>
    </w:pPr>
  </w:style>
  <w:style w:type="character" w:customStyle="1" w:styleId="PrvzarkazkladnhotextuChar">
    <w:name w:val="Prvá zarážka základného textu Char"/>
    <w:basedOn w:val="ZkladntextChar"/>
    <w:link w:val="Prvzarkazkladnhotextu"/>
    <w:rsid w:val="004002DD"/>
    <w:rPr>
      <w:sz w:val="22"/>
    </w:rPr>
  </w:style>
  <w:style w:type="paragraph" w:styleId="Zarkazkladnhotextu">
    <w:name w:val="Body Text Indent"/>
    <w:basedOn w:val="Normlny"/>
    <w:link w:val="ZarkazkladnhotextuChar"/>
    <w:rsid w:val="004002DD"/>
    <w:pPr>
      <w:spacing w:after="120"/>
      <w:ind w:left="283"/>
    </w:pPr>
  </w:style>
  <w:style w:type="character" w:customStyle="1" w:styleId="ZarkazkladnhotextuChar">
    <w:name w:val="Zarážka základného textu Char"/>
    <w:basedOn w:val="Predvolenpsmoodseku"/>
    <w:link w:val="Zarkazkladnhotextu"/>
    <w:rsid w:val="004002DD"/>
    <w:rPr>
      <w:sz w:val="22"/>
    </w:rPr>
  </w:style>
  <w:style w:type="paragraph" w:styleId="Prvzarkazkladnhotextu2">
    <w:name w:val="Body Text First Indent 2"/>
    <w:basedOn w:val="Zarkazkladnhotextu"/>
    <w:link w:val="Prvzarkazkladnhotextu2Char"/>
    <w:rsid w:val="004002DD"/>
    <w:pPr>
      <w:spacing w:after="0"/>
      <w:ind w:left="360" w:firstLine="360"/>
    </w:pPr>
  </w:style>
  <w:style w:type="character" w:customStyle="1" w:styleId="Prvzarkazkladnhotextu2Char">
    <w:name w:val="Prvá zarážka základného textu 2 Char"/>
    <w:basedOn w:val="ZarkazkladnhotextuChar"/>
    <w:link w:val="Prvzarkazkladnhotextu2"/>
    <w:rsid w:val="004002DD"/>
    <w:rPr>
      <w:sz w:val="22"/>
    </w:rPr>
  </w:style>
  <w:style w:type="paragraph" w:styleId="Register2">
    <w:name w:val="index 2"/>
    <w:basedOn w:val="Normlny"/>
    <w:next w:val="Normlny"/>
    <w:rsid w:val="004002DD"/>
    <w:pPr>
      <w:spacing w:line="240" w:lineRule="auto"/>
      <w:ind w:left="440" w:hanging="220"/>
    </w:pPr>
  </w:style>
  <w:style w:type="paragraph" w:styleId="Register3">
    <w:name w:val="index 3"/>
    <w:basedOn w:val="Normlny"/>
    <w:next w:val="Normlny"/>
    <w:rsid w:val="004002DD"/>
    <w:pPr>
      <w:spacing w:line="240" w:lineRule="auto"/>
      <w:ind w:left="660" w:hanging="220"/>
    </w:pPr>
  </w:style>
  <w:style w:type="paragraph" w:styleId="Register4">
    <w:name w:val="index 4"/>
    <w:basedOn w:val="Normlny"/>
    <w:next w:val="Normlny"/>
    <w:rsid w:val="004002DD"/>
    <w:pPr>
      <w:spacing w:line="240" w:lineRule="auto"/>
      <w:ind w:left="880" w:hanging="220"/>
    </w:pPr>
  </w:style>
  <w:style w:type="paragraph" w:styleId="Register5">
    <w:name w:val="index 5"/>
    <w:basedOn w:val="Normlny"/>
    <w:next w:val="Normlny"/>
    <w:rsid w:val="004002DD"/>
    <w:pPr>
      <w:spacing w:line="240" w:lineRule="auto"/>
      <w:ind w:left="1100" w:hanging="220"/>
    </w:pPr>
  </w:style>
  <w:style w:type="paragraph" w:styleId="Register6">
    <w:name w:val="index 6"/>
    <w:basedOn w:val="Normlny"/>
    <w:next w:val="Normlny"/>
    <w:rsid w:val="004002DD"/>
    <w:pPr>
      <w:spacing w:line="240" w:lineRule="auto"/>
      <w:ind w:left="1320" w:hanging="220"/>
    </w:pPr>
  </w:style>
  <w:style w:type="paragraph" w:styleId="Register7">
    <w:name w:val="index 7"/>
    <w:basedOn w:val="Normlny"/>
    <w:next w:val="Normlny"/>
    <w:rsid w:val="004002DD"/>
    <w:pPr>
      <w:spacing w:line="240" w:lineRule="auto"/>
      <w:ind w:left="1540" w:hanging="220"/>
    </w:pPr>
  </w:style>
  <w:style w:type="paragraph" w:styleId="Register8">
    <w:name w:val="index 8"/>
    <w:basedOn w:val="Normlny"/>
    <w:next w:val="Normlny"/>
    <w:rsid w:val="004002DD"/>
    <w:pPr>
      <w:spacing w:line="240" w:lineRule="auto"/>
      <w:ind w:left="1760" w:hanging="220"/>
    </w:pPr>
  </w:style>
  <w:style w:type="paragraph" w:styleId="Register9">
    <w:name w:val="index 9"/>
    <w:basedOn w:val="Normlny"/>
    <w:next w:val="Normlny"/>
    <w:rsid w:val="004002DD"/>
    <w:pPr>
      <w:spacing w:line="240" w:lineRule="auto"/>
      <w:ind w:left="1980" w:hanging="220"/>
    </w:pPr>
  </w:style>
  <w:style w:type="paragraph" w:styleId="Spiatonadresanaoblke">
    <w:name w:val="envelope return"/>
    <w:basedOn w:val="Normlny"/>
    <w:rsid w:val="004002DD"/>
    <w:pPr>
      <w:spacing w:line="240" w:lineRule="auto"/>
    </w:pPr>
    <w:rPr>
      <w:rFonts w:asciiTheme="majorHAnsi" w:eastAsiaTheme="majorEastAsia" w:hAnsiTheme="majorHAnsi" w:cstheme="majorBidi"/>
      <w:sz w:val="20"/>
      <w:szCs w:val="20"/>
    </w:rPr>
  </w:style>
  <w:style w:type="paragraph" w:styleId="truktradokumentu">
    <w:name w:val="Document Map"/>
    <w:basedOn w:val="Normlny"/>
    <w:link w:val="truktradokumentuChar"/>
    <w:rsid w:val="004002DD"/>
    <w:pPr>
      <w:spacing w:line="240" w:lineRule="auto"/>
    </w:pPr>
    <w:rPr>
      <w:rFonts w:cs="Segoe UI"/>
      <w:sz w:val="16"/>
      <w:szCs w:val="16"/>
    </w:rPr>
  </w:style>
  <w:style w:type="character" w:customStyle="1" w:styleId="truktradokumentuChar">
    <w:name w:val="Štruktúra dokumentu Char"/>
    <w:basedOn w:val="Predvolenpsmoodseku"/>
    <w:link w:val="truktradokumentu"/>
    <w:rsid w:val="004002DD"/>
    <w:rPr>
      <w:rFonts w:cs="Segoe UI"/>
      <w:sz w:val="16"/>
      <w:szCs w:val="16"/>
    </w:rPr>
  </w:style>
  <w:style w:type="paragraph" w:styleId="Textmakra">
    <w:name w:val="macro"/>
    <w:link w:val="TextmakraChar"/>
    <w:rsid w:val="004002DD"/>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sz w:val="20"/>
      <w:szCs w:val="20"/>
    </w:rPr>
  </w:style>
  <w:style w:type="character" w:customStyle="1" w:styleId="TextmakraChar">
    <w:name w:val="Text makra Char"/>
    <w:basedOn w:val="Predvolenpsmoodseku"/>
    <w:link w:val="Textmakra"/>
    <w:rsid w:val="004002DD"/>
    <w:rPr>
      <w:rFonts w:ascii="Consolas" w:hAnsi="Consolas"/>
      <w:sz w:val="20"/>
      <w:szCs w:val="20"/>
    </w:rPr>
  </w:style>
  <w:style w:type="paragraph" w:styleId="Textpoznmkypodiarou">
    <w:name w:val="footnote text"/>
    <w:basedOn w:val="Normlny"/>
    <w:link w:val="TextpoznmkypodiarouChar"/>
    <w:rsid w:val="004002DD"/>
    <w:pPr>
      <w:spacing w:line="240" w:lineRule="auto"/>
    </w:pPr>
    <w:rPr>
      <w:sz w:val="20"/>
      <w:szCs w:val="20"/>
    </w:rPr>
  </w:style>
  <w:style w:type="character" w:customStyle="1" w:styleId="TextpoznmkypodiarouChar">
    <w:name w:val="Text poznámky pod čiarou Char"/>
    <w:basedOn w:val="Predvolenpsmoodseku"/>
    <w:link w:val="Textpoznmkypodiarou"/>
    <w:rsid w:val="004002DD"/>
    <w:rPr>
      <w:sz w:val="20"/>
      <w:szCs w:val="20"/>
    </w:rPr>
  </w:style>
  <w:style w:type="paragraph" w:styleId="Textvysvetlivky">
    <w:name w:val="endnote text"/>
    <w:basedOn w:val="Normlny"/>
    <w:link w:val="TextvysvetlivkyChar"/>
    <w:rsid w:val="004002DD"/>
    <w:pPr>
      <w:spacing w:line="240" w:lineRule="auto"/>
    </w:pPr>
    <w:rPr>
      <w:sz w:val="20"/>
      <w:szCs w:val="20"/>
    </w:rPr>
  </w:style>
  <w:style w:type="character" w:customStyle="1" w:styleId="TextvysvetlivkyChar">
    <w:name w:val="Text vysvetlivky Char"/>
    <w:basedOn w:val="Predvolenpsmoodseku"/>
    <w:link w:val="Textvysvetlivky"/>
    <w:rsid w:val="004002DD"/>
    <w:rPr>
      <w:sz w:val="20"/>
      <w:szCs w:val="20"/>
    </w:rPr>
  </w:style>
  <w:style w:type="paragraph" w:styleId="Zkladntext2">
    <w:name w:val="Body Text 2"/>
    <w:basedOn w:val="Normlny"/>
    <w:link w:val="Zkladntext2Char"/>
    <w:rsid w:val="004002DD"/>
    <w:pPr>
      <w:spacing w:after="120" w:line="480" w:lineRule="auto"/>
    </w:pPr>
  </w:style>
  <w:style w:type="character" w:customStyle="1" w:styleId="Zkladntext2Char">
    <w:name w:val="Základný text 2 Char"/>
    <w:basedOn w:val="Predvolenpsmoodseku"/>
    <w:link w:val="Zkladntext2"/>
    <w:rsid w:val="004002DD"/>
    <w:rPr>
      <w:sz w:val="22"/>
    </w:rPr>
  </w:style>
  <w:style w:type="paragraph" w:styleId="Zkladntext3">
    <w:name w:val="Body Text 3"/>
    <w:basedOn w:val="Normlny"/>
    <w:link w:val="Zkladntext3Char"/>
    <w:rsid w:val="004002DD"/>
    <w:pPr>
      <w:spacing w:after="120"/>
    </w:pPr>
    <w:rPr>
      <w:sz w:val="16"/>
      <w:szCs w:val="16"/>
    </w:rPr>
  </w:style>
  <w:style w:type="character" w:customStyle="1" w:styleId="Zkladntext3Char">
    <w:name w:val="Základný text 3 Char"/>
    <w:basedOn w:val="Predvolenpsmoodseku"/>
    <w:link w:val="Zkladntext3"/>
    <w:rsid w:val="004002DD"/>
    <w:rPr>
      <w:sz w:val="16"/>
      <w:szCs w:val="16"/>
    </w:rPr>
  </w:style>
  <w:style w:type="paragraph" w:styleId="Zarkazkladnhotextu2">
    <w:name w:val="Body Text Indent 2"/>
    <w:basedOn w:val="Normlny"/>
    <w:link w:val="Zarkazkladnhotextu2Char"/>
    <w:rsid w:val="004002DD"/>
    <w:pPr>
      <w:spacing w:after="120" w:line="480" w:lineRule="auto"/>
      <w:ind w:left="283"/>
    </w:pPr>
  </w:style>
  <w:style w:type="character" w:customStyle="1" w:styleId="Zarkazkladnhotextu2Char">
    <w:name w:val="Zarážka základného textu 2 Char"/>
    <w:basedOn w:val="Predvolenpsmoodseku"/>
    <w:link w:val="Zarkazkladnhotextu2"/>
    <w:rsid w:val="004002DD"/>
    <w:rPr>
      <w:sz w:val="22"/>
    </w:rPr>
  </w:style>
  <w:style w:type="paragraph" w:styleId="Zarkazkladnhotextu3">
    <w:name w:val="Body Text Indent 3"/>
    <w:basedOn w:val="Normlny"/>
    <w:link w:val="Zarkazkladnhotextu3Char"/>
    <w:rsid w:val="004002DD"/>
    <w:pPr>
      <w:spacing w:after="120"/>
      <w:ind w:left="283"/>
    </w:pPr>
    <w:rPr>
      <w:sz w:val="16"/>
      <w:szCs w:val="16"/>
    </w:rPr>
  </w:style>
  <w:style w:type="character" w:customStyle="1" w:styleId="Zarkazkladnhotextu3Char">
    <w:name w:val="Zarážka základného textu 3 Char"/>
    <w:basedOn w:val="Predvolenpsmoodseku"/>
    <w:link w:val="Zarkazkladnhotextu3"/>
    <w:rsid w:val="004002DD"/>
    <w:rPr>
      <w:sz w:val="16"/>
      <w:szCs w:val="16"/>
    </w:rPr>
  </w:style>
  <w:style w:type="paragraph" w:styleId="Zver">
    <w:name w:val="Closing"/>
    <w:basedOn w:val="Normlny"/>
    <w:link w:val="ZverChar"/>
    <w:rsid w:val="004002DD"/>
    <w:pPr>
      <w:spacing w:line="240" w:lineRule="auto"/>
      <w:ind w:left="4252"/>
    </w:pPr>
  </w:style>
  <w:style w:type="character" w:customStyle="1" w:styleId="ZverChar">
    <w:name w:val="Záver Char"/>
    <w:basedOn w:val="Predvolenpsmoodseku"/>
    <w:link w:val="Zver"/>
    <w:rsid w:val="004002DD"/>
    <w:rPr>
      <w:sz w:val="22"/>
    </w:rPr>
  </w:style>
  <w:style w:type="paragraph" w:styleId="Zoznam">
    <w:name w:val="List"/>
    <w:basedOn w:val="Normlny"/>
    <w:rsid w:val="004002DD"/>
    <w:pPr>
      <w:ind w:left="283" w:hanging="283"/>
      <w:contextualSpacing/>
    </w:pPr>
  </w:style>
  <w:style w:type="paragraph" w:styleId="Zoznam2">
    <w:name w:val="List 2"/>
    <w:basedOn w:val="Normlny"/>
    <w:rsid w:val="004002DD"/>
    <w:pPr>
      <w:ind w:left="566" w:hanging="283"/>
      <w:contextualSpacing/>
    </w:pPr>
  </w:style>
  <w:style w:type="paragraph" w:styleId="Zoznam3">
    <w:name w:val="List 3"/>
    <w:basedOn w:val="Normlny"/>
    <w:rsid w:val="004002DD"/>
    <w:pPr>
      <w:ind w:left="849" w:hanging="283"/>
      <w:contextualSpacing/>
    </w:pPr>
  </w:style>
  <w:style w:type="paragraph" w:styleId="Zoznam4">
    <w:name w:val="List 4"/>
    <w:basedOn w:val="Normlny"/>
    <w:rsid w:val="004002DD"/>
    <w:pPr>
      <w:ind w:left="1132" w:hanging="283"/>
      <w:contextualSpacing/>
    </w:pPr>
  </w:style>
  <w:style w:type="paragraph" w:styleId="Zoznam5">
    <w:name w:val="List 5"/>
    <w:basedOn w:val="Normlny"/>
    <w:rsid w:val="004002DD"/>
    <w:pPr>
      <w:ind w:left="1415" w:hanging="283"/>
      <w:contextualSpacing/>
    </w:pPr>
  </w:style>
  <w:style w:type="paragraph" w:styleId="Zoznamcitci">
    <w:name w:val="table of authorities"/>
    <w:basedOn w:val="Normlny"/>
    <w:next w:val="Normlny"/>
    <w:rsid w:val="004002DD"/>
    <w:pPr>
      <w:ind w:left="220" w:hanging="220"/>
    </w:pPr>
  </w:style>
  <w:style w:type="paragraph" w:styleId="Zoznamobrzkov">
    <w:name w:val="table of figures"/>
    <w:basedOn w:val="Normlny"/>
    <w:next w:val="Normlny"/>
    <w:rsid w:val="004002DD"/>
  </w:style>
  <w:style w:type="paragraph" w:styleId="Zoznamsodrkami">
    <w:name w:val="List Bullet"/>
    <w:basedOn w:val="Normlny"/>
    <w:rsid w:val="004002DD"/>
    <w:pPr>
      <w:numPr>
        <w:numId w:val="12"/>
      </w:numPr>
      <w:contextualSpacing/>
    </w:pPr>
  </w:style>
  <w:style w:type="paragraph" w:styleId="Zoznamsodrkami2">
    <w:name w:val="List Bullet 2"/>
    <w:basedOn w:val="Normlny"/>
    <w:rsid w:val="004002DD"/>
    <w:pPr>
      <w:numPr>
        <w:numId w:val="13"/>
      </w:numPr>
      <w:contextualSpacing/>
    </w:pPr>
  </w:style>
  <w:style w:type="paragraph" w:styleId="Zoznamsodrkami3">
    <w:name w:val="List Bullet 3"/>
    <w:basedOn w:val="Normlny"/>
    <w:rsid w:val="004002DD"/>
    <w:pPr>
      <w:numPr>
        <w:numId w:val="14"/>
      </w:numPr>
      <w:contextualSpacing/>
    </w:pPr>
  </w:style>
  <w:style w:type="paragraph" w:styleId="Zoznamsodrkami4">
    <w:name w:val="List Bullet 4"/>
    <w:basedOn w:val="Normlny"/>
    <w:rsid w:val="004002DD"/>
    <w:pPr>
      <w:numPr>
        <w:numId w:val="15"/>
      </w:numPr>
      <w:contextualSpacing/>
    </w:pPr>
  </w:style>
  <w:style w:type="paragraph" w:styleId="Zoznamsodrkami5">
    <w:name w:val="List Bullet 5"/>
    <w:basedOn w:val="Normlny"/>
    <w:rsid w:val="004002DD"/>
    <w:pPr>
      <w:numPr>
        <w:numId w:val="16"/>
      </w:numPr>
      <w:contextualSpacing/>
    </w:pPr>
  </w:style>
  <w:style w:type="paragraph" w:styleId="Zvraznencitcia">
    <w:name w:val="Intense Quote"/>
    <w:basedOn w:val="Normlny"/>
    <w:next w:val="Normlny"/>
    <w:link w:val="ZvraznencitciaChar"/>
    <w:uiPriority w:val="65"/>
    <w:qFormat/>
    <w:rsid w:val="004002DD"/>
    <w:pPr>
      <w:pBdr>
        <w:top w:val="single" w:sz="4" w:space="10" w:color="5F6973" w:themeColor="accent1"/>
        <w:bottom w:val="single" w:sz="4" w:space="10" w:color="5F6973" w:themeColor="accent1"/>
      </w:pBdr>
      <w:spacing w:before="360" w:after="360"/>
      <w:ind w:left="864" w:right="864"/>
      <w:jc w:val="center"/>
    </w:pPr>
    <w:rPr>
      <w:i/>
      <w:iCs/>
      <w:color w:val="5F6973" w:themeColor="accent1"/>
    </w:rPr>
  </w:style>
  <w:style w:type="character" w:customStyle="1" w:styleId="ZvraznencitciaChar">
    <w:name w:val="Zvýraznená citácia Char"/>
    <w:basedOn w:val="Predvolenpsmoodseku"/>
    <w:link w:val="Zvraznencitcia"/>
    <w:uiPriority w:val="65"/>
    <w:rsid w:val="004002DD"/>
    <w:rPr>
      <w:i/>
      <w:iCs/>
      <w:color w:val="5F6973" w:themeColor="accent1"/>
      <w:sz w:val="22"/>
    </w:rPr>
  </w:style>
  <w:style w:type="paragraph" w:customStyle="1" w:styleId="He04Funote">
    <w:name w:val="_He_04_Fußnote"/>
    <w:next w:val="Normlny"/>
    <w:qFormat/>
    <w:rsid w:val="000E5CC6"/>
    <w:pPr>
      <w:tabs>
        <w:tab w:val="left" w:pos="85"/>
      </w:tabs>
      <w:spacing w:line="256" w:lineRule="auto"/>
      <w:ind w:left="85" w:hanging="85"/>
    </w:pPr>
    <w:rPr>
      <w:rFonts w:eastAsiaTheme="minorHAnsi" w:cstheme="minorBidi"/>
      <w:sz w:val="15"/>
      <w:szCs w:val="22"/>
      <w:lang w:val="de-DE"/>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2637588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679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kanuchova@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kel.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nke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2.xml><?xml version="1.0" encoding="utf-8"?>
<ds:datastoreItem xmlns:ds="http://schemas.openxmlformats.org/officeDocument/2006/customXml" ds:itemID="{E6F28B5D-D54D-4E40-AE10-30B9222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2</TotalTime>
  <Pages>10</Pages>
  <Words>3488</Words>
  <Characters>19886</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Pressemitteilung</vt:lpstr>
    </vt:vector>
  </TitlesOfParts>
  <Company>Henkel AG &amp; Co. KGaA</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Dominika Gurová</cp:lastModifiedBy>
  <cp:revision>6</cp:revision>
  <cp:lastPrinted>2016-11-16T19:11:00Z</cp:lastPrinted>
  <dcterms:created xsi:type="dcterms:W3CDTF">2026-03-16T09:05:00Z</dcterms:created>
  <dcterms:modified xsi:type="dcterms:W3CDTF">2026-03-19T07:22:00Z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0x01010068A283F239FC9A47B3A603CC7E078231</vt:lpwstr>
  </property>
  <property fmtid="{D5CDD505-2E9C-101B-9397-08002B2CF9AE}" pid="3" name="MediaServiceImageTags">
    <vt:lpwstr/>
  </property>
  <property fmtid="{D5CDD505-2E9C-101B-9397-08002B2CF9AE}" pid="4" name="GrammarlyDocumentId">
    <vt:lpwstr>4a5502be2729f09ff8c7eb50ee4ca3860a4c3dbb2480334eeebb2a56a6a9d583</vt:lpwstr>
  </property>
</Properties>
</file>