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DFC1E" w14:textId="3BC674F7" w:rsidR="00D92468" w:rsidRPr="000E3A69" w:rsidRDefault="00D92468" w:rsidP="00516003">
      <w:pPr>
        <w:ind w:right="90"/>
        <w:jc w:val="right"/>
        <w:rPr>
          <w:rFonts w:ascii="Segoe UI" w:hAnsi="Segoe UI" w:cs="Segoe UI"/>
          <w:sz w:val="22"/>
          <w:szCs w:val="22"/>
        </w:rPr>
      </w:pPr>
      <w:r w:rsidRPr="000E3A69">
        <w:rPr>
          <w:rFonts w:ascii="Segoe UI" w:hAnsi="Segoe UI" w:cs="Segoe UI"/>
          <w:sz w:val="22"/>
          <w:szCs w:val="22"/>
        </w:rPr>
        <w:t xml:space="preserve">March </w:t>
      </w:r>
      <w:r w:rsidR="00F6353A" w:rsidRPr="000E3A69">
        <w:rPr>
          <w:rFonts w:ascii="Segoe UI" w:hAnsi="Segoe UI" w:cs="Segoe UI"/>
          <w:sz w:val="22"/>
          <w:szCs w:val="22"/>
        </w:rPr>
        <w:t>11</w:t>
      </w:r>
      <w:r w:rsidRPr="000E3A69">
        <w:rPr>
          <w:rFonts w:ascii="Segoe UI" w:hAnsi="Segoe UI" w:cs="Segoe UI"/>
          <w:sz w:val="22"/>
          <w:szCs w:val="22"/>
        </w:rPr>
        <w:t>, 2026</w:t>
      </w:r>
    </w:p>
    <w:p w14:paraId="3043DC58" w14:textId="77777777" w:rsidR="00D92468" w:rsidRPr="003E5028" w:rsidRDefault="00D92468" w:rsidP="00D92468">
      <w:pPr>
        <w:rPr>
          <w:rFonts w:ascii="Segoe UI" w:hAnsi="Segoe UI" w:cs="Segoe UI"/>
          <w:b/>
          <w:bCs/>
          <w:sz w:val="30"/>
          <w:szCs w:val="30"/>
        </w:rPr>
      </w:pPr>
    </w:p>
    <w:p w14:paraId="5337CEA4" w14:textId="77777777" w:rsidR="00D92468" w:rsidRPr="003E5028" w:rsidRDefault="00D92468" w:rsidP="00516003">
      <w:pPr>
        <w:rPr>
          <w:rFonts w:ascii="Segoe UI" w:hAnsi="Segoe UI" w:cs="Segoe UI"/>
          <w:b/>
          <w:bCs/>
          <w:sz w:val="30"/>
          <w:szCs w:val="30"/>
        </w:rPr>
      </w:pPr>
      <w:r w:rsidRPr="003E5028">
        <w:rPr>
          <w:rFonts w:ascii="Segoe UI" w:hAnsi="Segoe UI" w:cs="Segoe UI"/>
          <w:b/>
          <w:bCs/>
          <w:sz w:val="30"/>
          <w:szCs w:val="30"/>
        </w:rPr>
        <w:t>Henkel India partners with DISH to promote workplace safety and Labour Codes awareness in Kurkumbh MIDC</w:t>
      </w:r>
    </w:p>
    <w:p w14:paraId="1EFF42BF" w14:textId="7AF58533" w:rsidR="00D92468" w:rsidRPr="00155A98" w:rsidRDefault="00516003" w:rsidP="00516003">
      <w:pPr>
        <w:jc w:val="both"/>
        <w:rPr>
          <w:rFonts w:ascii="Segoe UI" w:hAnsi="Segoe UI" w:cs="Segoe UI"/>
          <w:sz w:val="22"/>
          <w:szCs w:val="22"/>
        </w:rPr>
      </w:pPr>
      <w:r w:rsidRPr="003E5028">
        <w:rPr>
          <w:rFonts w:ascii="Segoe UI" w:hAnsi="Segoe UI" w:cs="Segoe UI"/>
          <w:b/>
          <w:bCs/>
          <w:i/>
          <w:iCs/>
          <w:sz w:val="22"/>
          <w:szCs w:val="22"/>
        </w:rPr>
        <w:br/>
      </w:r>
      <w:r w:rsidR="00D92468" w:rsidRPr="00155A98">
        <w:rPr>
          <w:rFonts w:ascii="Segoe UI" w:hAnsi="Segoe UI" w:cs="Segoe UI"/>
          <w:i/>
          <w:iCs/>
          <w:sz w:val="22"/>
          <w:szCs w:val="22"/>
        </w:rPr>
        <w:t xml:space="preserve">Kurkumbh, Maharashtra </w:t>
      </w:r>
      <w:r w:rsidR="00D92468" w:rsidRPr="00155A98">
        <w:rPr>
          <w:rFonts w:ascii="Segoe UI" w:hAnsi="Segoe UI" w:cs="Segoe UI"/>
          <w:sz w:val="22"/>
          <w:szCs w:val="22"/>
        </w:rPr>
        <w:t>– Henkel today hosted senior officials from the Directorate of Industrial Safety and Health (DISH), including Shri Sudhir Shinde, Joint Director, along with representatives from industries across Kurkumbh MIDC, as part of the National Safety Week observance.</w:t>
      </w:r>
    </w:p>
    <w:p w14:paraId="416858D9" w14:textId="77777777" w:rsidR="003E5028" w:rsidRPr="00155A98" w:rsidRDefault="003E5028" w:rsidP="00516003">
      <w:pPr>
        <w:jc w:val="both"/>
        <w:rPr>
          <w:rFonts w:ascii="Segoe UI" w:hAnsi="Segoe UI" w:cs="Segoe UI"/>
          <w:sz w:val="22"/>
          <w:szCs w:val="22"/>
        </w:rPr>
      </w:pPr>
      <w:r w:rsidRPr="00155A98">
        <w:rPr>
          <w:rFonts w:ascii="Segoe UI" w:hAnsi="Segoe UI" w:cs="Segoe UI"/>
          <w:sz w:val="22"/>
          <w:szCs w:val="22"/>
        </w:rPr>
        <w:t>The gathering aligned with this year’s theme, “Engage, Educate, Empower,” highlighting the importance of strengthening workplace safety through awareness, training, and shared responsibility. During the interaction, Henkel emphasized the need for industries within the Kurkumbh industrial cluster to collaborate more closely, exchange best practices, and learn from each other across areas such as occupational, health, and process safety.</w:t>
      </w:r>
    </w:p>
    <w:p w14:paraId="555752DD" w14:textId="2A8040B2" w:rsidR="00D92468" w:rsidRPr="00155A98" w:rsidRDefault="00D92468" w:rsidP="00516003">
      <w:pPr>
        <w:jc w:val="both"/>
        <w:rPr>
          <w:rFonts w:ascii="Segoe UI" w:hAnsi="Segoe UI" w:cs="Segoe UI"/>
          <w:sz w:val="22"/>
          <w:szCs w:val="22"/>
        </w:rPr>
      </w:pPr>
      <w:r w:rsidRPr="00AD4EBF">
        <w:rPr>
          <w:rFonts w:ascii="Segoe UI" w:hAnsi="Segoe UI" w:cs="Segoe UI"/>
          <w:sz w:val="22"/>
          <w:szCs w:val="22"/>
        </w:rPr>
        <w:t xml:space="preserve">Speaking on the occasion, Shri Sudhir Shinde, Joint Director, Directorate of Industrial Safety and Health, said, </w:t>
      </w:r>
      <w:r w:rsidR="003E5028" w:rsidRPr="00AD4EBF">
        <w:rPr>
          <w:rFonts w:ascii="Segoe UI" w:hAnsi="Segoe UI" w:cs="Segoe UI"/>
          <w:sz w:val="22"/>
          <w:szCs w:val="22"/>
        </w:rPr>
        <w:t>“</w:t>
      </w:r>
      <w:r w:rsidRPr="00AD4EBF">
        <w:rPr>
          <w:rFonts w:ascii="Segoe UI" w:hAnsi="Segoe UI" w:cs="Segoe UI"/>
          <w:sz w:val="22"/>
          <w:szCs w:val="22"/>
        </w:rPr>
        <w:t>Collaborative efforts like these help raise awareness, strengthen compliance, and reinforce the shared commitment to ensuring safer workplaces across the industrial ecosystem."</w:t>
      </w:r>
    </w:p>
    <w:p w14:paraId="1212D3BC" w14:textId="0B464890" w:rsidR="00D92468" w:rsidRPr="00155A98" w:rsidRDefault="00D92468" w:rsidP="003E5028">
      <w:pPr>
        <w:jc w:val="both"/>
        <w:rPr>
          <w:rFonts w:ascii="Segoe UI" w:hAnsi="Segoe UI" w:cs="Segoe UI"/>
          <w:sz w:val="22"/>
          <w:szCs w:val="22"/>
        </w:rPr>
      </w:pPr>
      <w:r w:rsidRPr="00155A98">
        <w:rPr>
          <w:rFonts w:ascii="Segoe UI" w:hAnsi="Segoe UI" w:cs="Segoe UI"/>
          <w:sz w:val="22"/>
          <w:szCs w:val="22"/>
        </w:rPr>
        <w:t xml:space="preserve">Balaji Gopalaswamy, Site Director, Henkel Kurkumbh, said: </w:t>
      </w:r>
      <w:r w:rsidR="003E5028" w:rsidRPr="00155A98">
        <w:rPr>
          <w:rFonts w:ascii="Segoe UI" w:hAnsi="Segoe UI" w:cs="Segoe UI"/>
          <w:sz w:val="22"/>
          <w:szCs w:val="22"/>
        </w:rPr>
        <w:t>“The theme</w:t>
      </w:r>
      <w:r w:rsidR="00AD4EBF">
        <w:rPr>
          <w:rFonts w:ascii="Segoe UI" w:hAnsi="Segoe UI" w:cs="Segoe UI"/>
          <w:sz w:val="22"/>
          <w:szCs w:val="22"/>
        </w:rPr>
        <w:t>,</w:t>
      </w:r>
      <w:r w:rsidR="003E5028" w:rsidRPr="00155A98">
        <w:rPr>
          <w:rFonts w:ascii="Segoe UI" w:hAnsi="Segoe UI" w:cs="Segoe UI"/>
          <w:sz w:val="22"/>
          <w:szCs w:val="22"/>
        </w:rPr>
        <w:t xml:space="preserve"> ‘Engage, Educate, Empower</w:t>
      </w:r>
      <w:r w:rsidR="00AD4EBF">
        <w:rPr>
          <w:rFonts w:ascii="Segoe UI" w:hAnsi="Segoe UI" w:cs="Segoe UI"/>
          <w:sz w:val="22"/>
          <w:szCs w:val="22"/>
        </w:rPr>
        <w:t>,</w:t>
      </w:r>
      <w:r w:rsidR="003E5028" w:rsidRPr="00155A98">
        <w:rPr>
          <w:rFonts w:ascii="Segoe UI" w:hAnsi="Segoe UI" w:cs="Segoe UI"/>
          <w:sz w:val="22"/>
          <w:szCs w:val="22"/>
        </w:rPr>
        <w:t>’ strongly resonates with our approach to safety. At Henkel, we believe safety is built through continuous engagement with our teams and by learning from each other as industries. Platforms like this allow companies in Kurkumbh MIDC to share expertise across occupational, health, and process safety, and collectively strengthen the safety culture for everyone working in the region.”</w:t>
      </w:r>
    </w:p>
    <w:p w14:paraId="775198E7" w14:textId="77777777" w:rsidR="00D92468" w:rsidRPr="00155A98" w:rsidRDefault="00D92468" w:rsidP="00516003">
      <w:pPr>
        <w:jc w:val="both"/>
        <w:rPr>
          <w:rFonts w:ascii="Segoe UI" w:hAnsi="Segoe UI" w:cs="Segoe UI"/>
          <w:sz w:val="22"/>
          <w:szCs w:val="22"/>
        </w:rPr>
      </w:pPr>
      <w:r w:rsidRPr="00155A98">
        <w:rPr>
          <w:rFonts w:ascii="Segoe UI" w:hAnsi="Segoe UI" w:cs="Segoe UI"/>
          <w:sz w:val="22"/>
          <w:szCs w:val="22"/>
        </w:rPr>
        <w:t>The engagement also focused on raising awareness around the new Labour Codes introduced by the Government of India, particularly the Occupational Safety Health and Working Conditions Code, which aims to streamline and strengthen workplace safety regulations across sectors.</w:t>
      </w:r>
    </w:p>
    <w:p w14:paraId="1063CC4F" w14:textId="77777777" w:rsidR="00D92468" w:rsidRPr="00155A98" w:rsidRDefault="00D92468" w:rsidP="00516003">
      <w:pPr>
        <w:jc w:val="both"/>
        <w:rPr>
          <w:rFonts w:ascii="Segoe UI" w:hAnsi="Segoe UI" w:cs="Segoe UI"/>
          <w:sz w:val="22"/>
          <w:szCs w:val="22"/>
        </w:rPr>
      </w:pPr>
      <w:r w:rsidRPr="00155A98">
        <w:rPr>
          <w:rFonts w:ascii="Segoe UI" w:hAnsi="Segoe UI" w:cs="Segoe UI"/>
          <w:sz w:val="22"/>
          <w:szCs w:val="22"/>
        </w:rPr>
        <w:t>According to data from the Labour Bureau, India has over 500 million workers, making workplace safety and compliance a critical priority for both regulators and industry. In parallel, initiatives such as National Safety Week, led by the National Safety Council of India, continue to play an important role in promoting safety awareness and responsible workplace practices across industries.</w:t>
      </w:r>
    </w:p>
    <w:p w14:paraId="70E78B5B" w14:textId="4A6E2F41" w:rsidR="00F6353A" w:rsidRPr="00155A98" w:rsidRDefault="00D92468" w:rsidP="00516003">
      <w:pPr>
        <w:jc w:val="both"/>
        <w:rPr>
          <w:rFonts w:ascii="Segoe UI" w:hAnsi="Segoe UI" w:cs="Segoe UI"/>
          <w:sz w:val="22"/>
          <w:szCs w:val="22"/>
        </w:rPr>
      </w:pPr>
      <w:r w:rsidRPr="00155A98">
        <w:rPr>
          <w:rFonts w:ascii="Segoe UI" w:hAnsi="Segoe UI" w:cs="Segoe UI"/>
          <w:sz w:val="22"/>
          <w:szCs w:val="22"/>
        </w:rPr>
        <w:lastRenderedPageBreak/>
        <w:t>By hosting the engagement, Henkel reaffirmed its commitment to government–industry collaboration, encouraging companies within the Kurkumbh MIDC cluster to work together to improve safety outcomes by sharing knowledge, supporting one another, and building a stronger culture of workplace safety.</w:t>
      </w:r>
    </w:p>
    <w:p w14:paraId="2277E1B3" w14:textId="77777777" w:rsidR="00F6353A" w:rsidRPr="003E5028" w:rsidRDefault="00F6353A" w:rsidP="00D92468">
      <w:pPr>
        <w:rPr>
          <w:rFonts w:ascii="Segoe UI" w:hAnsi="Segoe UI" w:cs="Segoe UI"/>
          <w:b/>
          <w:bCs/>
          <w:sz w:val="22"/>
          <w:szCs w:val="22"/>
        </w:rPr>
      </w:pPr>
    </w:p>
    <w:p w14:paraId="36227DA7" w14:textId="77777777" w:rsidR="00516003" w:rsidRPr="003E5028" w:rsidRDefault="00516003" w:rsidP="00516003">
      <w:pPr>
        <w:rPr>
          <w:rFonts w:cs="Segoe UI"/>
          <w:b/>
          <w:bCs/>
          <w:szCs w:val="22"/>
        </w:rPr>
      </w:pPr>
      <w:r w:rsidRPr="003E5028">
        <w:rPr>
          <w:b/>
          <w:bCs/>
          <w:sz w:val="18"/>
          <w:szCs w:val="18"/>
        </w:rPr>
        <w:t>About Henkel</w:t>
      </w:r>
    </w:p>
    <w:p w14:paraId="643B375F" w14:textId="77777777" w:rsidR="00516003" w:rsidRPr="00155A98" w:rsidRDefault="00516003" w:rsidP="00516003">
      <w:pPr>
        <w:jc w:val="both"/>
        <w:rPr>
          <w:rFonts w:ascii="Segoe UI" w:hAnsi="Segoe UI" w:cs="Segoe UI"/>
          <w:sz w:val="18"/>
        </w:rPr>
      </w:pPr>
      <w:r w:rsidRPr="00155A98">
        <w:rPr>
          <w:rFonts w:ascii="Segoe UI" w:hAnsi="Segoe UI" w:cs="Segoe UI"/>
          <w:sz w:val="18"/>
        </w:rPr>
        <w:t xml:space="preserve">With its brands, innovations and technologies, Henkel holds leading market positions worldwide in the industrial and consumer businesses. The business unit Adhesive Technologies is the global leader in the market for adhesives, sealants and coatings. With Consumer Brands, the company holds leading positions especially in laundry &amp; home care and hair in many markets and categories around the world. The company's three strongest brands are Loctite, Persil and Schwarzkopf. In fiscal 2025, Henkel reported sales of about 20.5 billion euros and adjusted operating profit of around 3.0 billion euros. Henkel’s preferred shares are listed in the German stock index DAX. Sustainability has a long tradition at Henkel, and the company has a clear sustainability strategy with specific targets. Henkel was founded in 1876 and today employs a diverse team of about 47,000 people worldwide – united by a strong corporate culture, shared values and a common purpose: "Pioneers at heart for the good of generations.” More information at </w:t>
      </w:r>
      <w:hyperlink r:id="rId6" w:history="1">
        <w:r w:rsidRPr="00155A98">
          <w:rPr>
            <w:rFonts w:ascii="Segoe UI" w:hAnsi="Segoe UI" w:cs="Segoe UI"/>
            <w:color w:val="0000FF"/>
            <w:sz w:val="18"/>
            <w:szCs w:val="18"/>
            <w:u w:val="single"/>
          </w:rPr>
          <w:t>www.henkel.com</w:t>
        </w:r>
      </w:hyperlink>
      <w:r w:rsidRPr="00155A98">
        <w:rPr>
          <w:rFonts w:ascii="Segoe UI" w:hAnsi="Segoe UI" w:cs="Segoe UI"/>
          <w:sz w:val="18"/>
        </w:rPr>
        <w:t xml:space="preserve"> </w:t>
      </w:r>
    </w:p>
    <w:p w14:paraId="5F9062EE" w14:textId="6C1A4B98" w:rsidR="00F6353A" w:rsidRPr="003E5028" w:rsidRDefault="00F6353A" w:rsidP="00F6353A">
      <w:pPr>
        <w:rPr>
          <w:rFonts w:ascii="Segoe UI" w:hAnsi="Segoe UI"/>
          <w:b/>
          <w:bCs/>
          <w:sz w:val="18"/>
        </w:rPr>
      </w:pPr>
      <w:r w:rsidRPr="003E5028">
        <w:rPr>
          <w:rFonts w:ascii="Segoe UI" w:hAnsi="Segoe UI"/>
          <w:b/>
          <w:bCs/>
          <w:sz w:val="18"/>
        </w:rPr>
        <w:t>About Henkel India</w:t>
      </w:r>
    </w:p>
    <w:p w14:paraId="413035D4" w14:textId="77777777" w:rsidR="00F6353A" w:rsidRPr="00155A98" w:rsidRDefault="00F6353A" w:rsidP="00155A98">
      <w:pPr>
        <w:jc w:val="both"/>
        <w:rPr>
          <w:rFonts w:ascii="Segoe UI" w:hAnsi="Segoe UI"/>
          <w:sz w:val="18"/>
        </w:rPr>
      </w:pPr>
      <w:r w:rsidRPr="00155A98">
        <w:rPr>
          <w:rFonts w:ascii="Segoe UI" w:hAnsi="Segoe UI"/>
          <w:sz w:val="18"/>
        </w:rPr>
        <w:t xml:space="preserve">Henkel in India has two legal entities, namely, Henkel Adhesives Technologies India Private Limited (a wholly owned subsidiary of Henkel) and Henkel Anand India Private Limited (a joint venture company of Henkel and Anand Group). The adhesive technologies business operates primarily in the business-to-business realm in the country, while in the consumer brands business, Henkel is present in the “hair” category. Headquartered in Navi Mumbai, the adhesive technologies business has a footprint comprising four manufacturing sites, two innovation centers, a customer experience center, a flexible packaging academy and an application center for its Sports &amp; Fashion business, while the hair business has five Schwarzkopf Professional academies. It employs over 1,300 employees across these sites.  More information at </w:t>
      </w:r>
      <w:hyperlink r:id="rId7" w:history="1">
        <w:r w:rsidRPr="00155A98">
          <w:rPr>
            <w:rStyle w:val="Hyperlink"/>
            <w:rFonts w:ascii="Segoe UI" w:hAnsi="Segoe UI"/>
            <w:sz w:val="18"/>
          </w:rPr>
          <w:t>www.henkel.in</w:t>
        </w:r>
      </w:hyperlink>
      <w:r w:rsidRPr="00155A98">
        <w:rPr>
          <w:rFonts w:ascii="Segoe UI" w:hAnsi="Segoe UI"/>
          <w:sz w:val="18"/>
        </w:rPr>
        <w:t>.</w:t>
      </w:r>
    </w:p>
    <w:p w14:paraId="2DA9C783" w14:textId="021A85FF" w:rsidR="00D92468" w:rsidRPr="00155A98" w:rsidRDefault="00D92468" w:rsidP="003E5028">
      <w:pPr>
        <w:rPr>
          <w:rFonts w:ascii="Segoe UI" w:hAnsi="Segoe UI" w:cs="Segoe UI"/>
          <w:b/>
          <w:bCs/>
          <w:sz w:val="18"/>
          <w:szCs w:val="18"/>
        </w:rPr>
      </w:pPr>
      <w:r w:rsidRPr="00155A98">
        <w:rPr>
          <w:rFonts w:ascii="Segoe UI" w:hAnsi="Segoe UI" w:cs="Segoe UI"/>
          <w:b/>
          <w:bCs/>
          <w:sz w:val="18"/>
          <w:szCs w:val="18"/>
        </w:rPr>
        <w:t>Media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64"/>
        <w:gridCol w:w="2659"/>
        <w:gridCol w:w="2785"/>
        <w:gridCol w:w="2965"/>
      </w:tblGrid>
      <w:tr w:rsidR="00155A98" w:rsidRPr="003E5028" w14:paraId="74EB950A" w14:textId="01F9C395" w:rsidTr="00155A98">
        <w:tc>
          <w:tcPr>
            <w:tcW w:w="864" w:type="dxa"/>
          </w:tcPr>
          <w:p w14:paraId="456F98E0" w14:textId="4CDB66C2" w:rsidR="00155A98" w:rsidRPr="00155A98" w:rsidRDefault="00155A98" w:rsidP="003E5028">
            <w:pPr>
              <w:rPr>
                <w:rFonts w:ascii="Segoe UI" w:hAnsi="Segoe UI" w:cs="Segoe UI"/>
                <w:sz w:val="18"/>
                <w:szCs w:val="18"/>
              </w:rPr>
            </w:pPr>
            <w:r w:rsidRPr="00155A98">
              <w:rPr>
                <w:rFonts w:ascii="Segoe UI" w:hAnsi="Segoe UI" w:cs="Segoe UI"/>
                <w:sz w:val="18"/>
                <w:szCs w:val="18"/>
              </w:rPr>
              <w:t>Name</w:t>
            </w:r>
          </w:p>
        </w:tc>
        <w:tc>
          <w:tcPr>
            <w:tcW w:w="2659" w:type="dxa"/>
          </w:tcPr>
          <w:p w14:paraId="6548A28A" w14:textId="5B4C35A6" w:rsidR="00155A98" w:rsidRPr="00155A98" w:rsidRDefault="00155A98" w:rsidP="003E5028">
            <w:pPr>
              <w:rPr>
                <w:rFonts w:ascii="Segoe UI" w:hAnsi="Segoe UI" w:cs="Segoe UI"/>
                <w:sz w:val="18"/>
                <w:szCs w:val="18"/>
              </w:rPr>
            </w:pPr>
            <w:r w:rsidRPr="00155A98">
              <w:rPr>
                <w:rFonts w:ascii="Segoe UI" w:hAnsi="Segoe UI" w:cs="Segoe UI"/>
                <w:sz w:val="18"/>
                <w:szCs w:val="18"/>
              </w:rPr>
              <w:t>Sandhya Kedlaya</w:t>
            </w:r>
          </w:p>
        </w:tc>
        <w:tc>
          <w:tcPr>
            <w:tcW w:w="2785" w:type="dxa"/>
          </w:tcPr>
          <w:p w14:paraId="2E9067D1" w14:textId="0B9C3E57" w:rsidR="00155A98" w:rsidRPr="00155A98" w:rsidRDefault="00155A98" w:rsidP="003E5028">
            <w:pPr>
              <w:rPr>
                <w:rFonts w:ascii="Segoe UI" w:hAnsi="Segoe UI" w:cs="Segoe UI"/>
                <w:sz w:val="18"/>
                <w:szCs w:val="18"/>
              </w:rPr>
            </w:pPr>
            <w:r w:rsidRPr="00155A98">
              <w:rPr>
                <w:rFonts w:ascii="Segoe UI" w:hAnsi="Segoe UI" w:cs="Segoe UI"/>
                <w:sz w:val="18"/>
                <w:szCs w:val="18"/>
              </w:rPr>
              <w:t>Tahera Nasser</w:t>
            </w:r>
          </w:p>
        </w:tc>
        <w:tc>
          <w:tcPr>
            <w:tcW w:w="2965" w:type="dxa"/>
          </w:tcPr>
          <w:p w14:paraId="65D0D28A" w14:textId="664DA293" w:rsidR="00155A98" w:rsidRPr="00155A98" w:rsidRDefault="00155A98" w:rsidP="003E5028">
            <w:pPr>
              <w:rPr>
                <w:rFonts w:ascii="Segoe UI" w:hAnsi="Segoe UI" w:cs="Segoe UI"/>
                <w:sz w:val="18"/>
                <w:szCs w:val="18"/>
              </w:rPr>
            </w:pPr>
            <w:r w:rsidRPr="00155A98">
              <w:rPr>
                <w:rFonts w:ascii="Segoe UI" w:hAnsi="Segoe UI" w:cs="Segoe UI"/>
                <w:sz w:val="18"/>
                <w:szCs w:val="18"/>
              </w:rPr>
              <w:t>Shivangi Gupta</w:t>
            </w:r>
          </w:p>
        </w:tc>
      </w:tr>
      <w:tr w:rsidR="00155A98" w:rsidRPr="003E5028" w14:paraId="532300E1" w14:textId="1729E6CF" w:rsidTr="00155A98">
        <w:tc>
          <w:tcPr>
            <w:tcW w:w="864" w:type="dxa"/>
          </w:tcPr>
          <w:p w14:paraId="52688E74" w14:textId="59A2088A" w:rsidR="00155A98" w:rsidRPr="00155A98" w:rsidRDefault="00155A98" w:rsidP="003E5028">
            <w:pPr>
              <w:rPr>
                <w:rFonts w:ascii="Segoe UI" w:hAnsi="Segoe UI" w:cs="Segoe UI"/>
                <w:sz w:val="18"/>
                <w:szCs w:val="18"/>
              </w:rPr>
            </w:pPr>
            <w:r w:rsidRPr="00155A98">
              <w:rPr>
                <w:rFonts w:ascii="Segoe UI" w:hAnsi="Segoe UI" w:cs="Segoe UI"/>
                <w:sz w:val="18"/>
                <w:szCs w:val="18"/>
              </w:rPr>
              <w:t>Mobile</w:t>
            </w:r>
          </w:p>
        </w:tc>
        <w:tc>
          <w:tcPr>
            <w:tcW w:w="2659" w:type="dxa"/>
          </w:tcPr>
          <w:p w14:paraId="102DE1CB" w14:textId="49F2B0FD" w:rsidR="00155A98" w:rsidRPr="00155A98" w:rsidRDefault="00155A98" w:rsidP="003E5028">
            <w:pPr>
              <w:rPr>
                <w:rFonts w:ascii="Segoe UI" w:hAnsi="Segoe UI" w:cs="Segoe UI"/>
                <w:sz w:val="18"/>
                <w:szCs w:val="18"/>
              </w:rPr>
            </w:pPr>
            <w:r w:rsidRPr="00155A98">
              <w:rPr>
                <w:rFonts w:ascii="Segoe UI" w:hAnsi="Segoe UI" w:cs="Segoe UI"/>
                <w:sz w:val="18"/>
                <w:szCs w:val="18"/>
              </w:rPr>
              <w:t>+919833844631</w:t>
            </w:r>
          </w:p>
        </w:tc>
        <w:tc>
          <w:tcPr>
            <w:tcW w:w="2785" w:type="dxa"/>
          </w:tcPr>
          <w:p w14:paraId="4B3BE091" w14:textId="26EFACE0" w:rsidR="00155A98" w:rsidRPr="00155A98" w:rsidRDefault="00155A98" w:rsidP="003E5028">
            <w:pPr>
              <w:rPr>
                <w:rFonts w:ascii="Segoe UI" w:hAnsi="Segoe UI" w:cs="Segoe UI"/>
                <w:sz w:val="18"/>
                <w:szCs w:val="18"/>
              </w:rPr>
            </w:pPr>
            <w:r w:rsidRPr="00155A98">
              <w:rPr>
                <w:rFonts w:ascii="Segoe UI" w:hAnsi="Segoe UI" w:cs="Segoe UI"/>
                <w:sz w:val="18"/>
                <w:szCs w:val="18"/>
              </w:rPr>
              <w:t>+919004700123</w:t>
            </w:r>
          </w:p>
        </w:tc>
        <w:tc>
          <w:tcPr>
            <w:tcW w:w="2965" w:type="dxa"/>
          </w:tcPr>
          <w:p w14:paraId="3D88422E" w14:textId="6B76D653" w:rsidR="00155A98" w:rsidRPr="00155A98" w:rsidRDefault="00155A98" w:rsidP="003E5028">
            <w:pPr>
              <w:rPr>
                <w:rFonts w:ascii="Segoe UI" w:hAnsi="Segoe UI" w:cs="Segoe UI"/>
                <w:sz w:val="18"/>
                <w:szCs w:val="18"/>
              </w:rPr>
            </w:pPr>
            <w:r w:rsidRPr="00155A98">
              <w:rPr>
                <w:rFonts w:ascii="Segoe UI" w:hAnsi="Segoe UI" w:cs="Segoe UI"/>
                <w:sz w:val="18"/>
                <w:szCs w:val="18"/>
              </w:rPr>
              <w:t>+919461012578</w:t>
            </w:r>
          </w:p>
        </w:tc>
      </w:tr>
      <w:tr w:rsidR="00155A98" w:rsidRPr="003E5028" w14:paraId="259EAD99" w14:textId="2F5FB448" w:rsidTr="00155A98">
        <w:tc>
          <w:tcPr>
            <w:tcW w:w="864" w:type="dxa"/>
          </w:tcPr>
          <w:p w14:paraId="0EDE8534" w14:textId="296877D3" w:rsidR="00155A98" w:rsidRPr="00155A98" w:rsidRDefault="00155A98" w:rsidP="003E5028">
            <w:pPr>
              <w:rPr>
                <w:rFonts w:ascii="Segoe UI" w:hAnsi="Segoe UI" w:cs="Segoe UI"/>
                <w:sz w:val="18"/>
                <w:szCs w:val="18"/>
              </w:rPr>
            </w:pPr>
            <w:r w:rsidRPr="00155A98">
              <w:rPr>
                <w:rFonts w:ascii="Segoe UI" w:hAnsi="Segoe UI" w:cs="Segoe UI"/>
                <w:sz w:val="18"/>
                <w:szCs w:val="18"/>
              </w:rPr>
              <w:t>Email</w:t>
            </w:r>
          </w:p>
        </w:tc>
        <w:tc>
          <w:tcPr>
            <w:tcW w:w="2659" w:type="dxa"/>
          </w:tcPr>
          <w:p w14:paraId="09A8C734" w14:textId="78896572" w:rsidR="00155A98" w:rsidRPr="00155A98" w:rsidRDefault="00155A98" w:rsidP="003E5028">
            <w:pPr>
              <w:rPr>
                <w:rFonts w:ascii="Segoe UI" w:hAnsi="Segoe UI" w:cs="Segoe UI"/>
                <w:sz w:val="18"/>
                <w:szCs w:val="18"/>
              </w:rPr>
            </w:pPr>
            <w:r w:rsidRPr="00155A98">
              <w:rPr>
                <w:rFonts w:ascii="Segoe UI" w:hAnsi="Segoe UI" w:cs="Segoe UI"/>
                <w:sz w:val="18"/>
                <w:szCs w:val="18"/>
              </w:rPr>
              <w:t>sandhya.kedlaya@henkel.com</w:t>
            </w:r>
          </w:p>
        </w:tc>
        <w:tc>
          <w:tcPr>
            <w:tcW w:w="2785" w:type="dxa"/>
          </w:tcPr>
          <w:p w14:paraId="2AEEC8EB" w14:textId="1334F946" w:rsidR="00155A98" w:rsidRPr="00155A98" w:rsidRDefault="00155A98" w:rsidP="003E5028">
            <w:pPr>
              <w:rPr>
                <w:rFonts w:ascii="Segoe UI" w:hAnsi="Segoe UI" w:cs="Segoe UI"/>
                <w:sz w:val="18"/>
                <w:szCs w:val="18"/>
              </w:rPr>
            </w:pPr>
            <w:r w:rsidRPr="00155A98">
              <w:rPr>
                <w:rFonts w:ascii="Segoe UI" w:hAnsi="Segoe UI" w:cs="Segoe UI"/>
                <w:sz w:val="18"/>
                <w:szCs w:val="18"/>
              </w:rPr>
              <w:t>TNasser@webershandwick.com</w:t>
            </w:r>
          </w:p>
        </w:tc>
        <w:tc>
          <w:tcPr>
            <w:tcW w:w="2965" w:type="dxa"/>
          </w:tcPr>
          <w:p w14:paraId="0593F245" w14:textId="488DF524" w:rsidR="00155A98" w:rsidRPr="00155A98" w:rsidRDefault="00155A98" w:rsidP="003E5028">
            <w:pPr>
              <w:rPr>
                <w:rFonts w:ascii="Segoe UI" w:hAnsi="Segoe UI" w:cs="Segoe UI"/>
                <w:sz w:val="18"/>
                <w:szCs w:val="18"/>
              </w:rPr>
            </w:pPr>
            <w:r w:rsidRPr="00155A98">
              <w:rPr>
                <w:rFonts w:ascii="Segoe UI" w:hAnsi="Segoe UI" w:cs="Segoe UI"/>
                <w:sz w:val="18"/>
                <w:szCs w:val="18"/>
              </w:rPr>
              <w:t>SGupta@webershandwick.com</w:t>
            </w:r>
          </w:p>
        </w:tc>
      </w:tr>
    </w:tbl>
    <w:p w14:paraId="20CF2767" w14:textId="77777777" w:rsidR="00D92468" w:rsidRPr="003E5028" w:rsidRDefault="00D92468" w:rsidP="00155A98">
      <w:pPr>
        <w:rPr>
          <w:rFonts w:ascii="Segoe UI" w:hAnsi="Segoe UI" w:cs="Segoe UI"/>
          <w:b/>
          <w:bCs/>
          <w:sz w:val="22"/>
          <w:szCs w:val="22"/>
        </w:rPr>
      </w:pPr>
    </w:p>
    <w:sectPr w:rsidR="00D92468" w:rsidRPr="003E502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BFC41" w14:textId="77777777" w:rsidR="00513F0E" w:rsidRDefault="00513F0E" w:rsidP="00D92468">
      <w:pPr>
        <w:spacing w:after="0" w:line="240" w:lineRule="auto"/>
      </w:pPr>
      <w:r>
        <w:separator/>
      </w:r>
    </w:p>
  </w:endnote>
  <w:endnote w:type="continuationSeparator" w:id="0">
    <w:p w14:paraId="22A3558C" w14:textId="77777777" w:rsidR="00513F0E" w:rsidRDefault="00513F0E" w:rsidP="00D92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FCF5B" w14:textId="77777777" w:rsidR="00513F0E" w:rsidRDefault="00513F0E" w:rsidP="00D92468">
      <w:pPr>
        <w:spacing w:after="0" w:line="240" w:lineRule="auto"/>
      </w:pPr>
      <w:r>
        <w:separator/>
      </w:r>
    </w:p>
  </w:footnote>
  <w:footnote w:type="continuationSeparator" w:id="0">
    <w:p w14:paraId="041ADA1B" w14:textId="77777777" w:rsidR="00513F0E" w:rsidRDefault="00513F0E" w:rsidP="00D924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70BD8" w14:textId="77777777" w:rsidR="00D92468" w:rsidRDefault="00D92468">
    <w:pPr>
      <w:pStyle w:val="Header"/>
    </w:pPr>
  </w:p>
  <w:p w14:paraId="5F8AACCE" w14:textId="77777777" w:rsidR="00D92468" w:rsidRDefault="00D92468">
    <w:pPr>
      <w:pStyle w:val="Header"/>
    </w:pPr>
  </w:p>
  <w:p w14:paraId="153ABBEC" w14:textId="77777777" w:rsidR="00D92468" w:rsidRDefault="00D92468">
    <w:pPr>
      <w:pStyle w:val="Header"/>
    </w:pPr>
  </w:p>
  <w:p w14:paraId="2E4A9A9B" w14:textId="77777777" w:rsidR="00D92468" w:rsidRDefault="00D92468">
    <w:pPr>
      <w:pStyle w:val="Header"/>
    </w:pPr>
  </w:p>
  <w:p w14:paraId="10FC78EE" w14:textId="77777777" w:rsidR="00D92468" w:rsidRDefault="00D92468">
    <w:pPr>
      <w:pStyle w:val="Header"/>
    </w:pPr>
    <w:r w:rsidRPr="00EB46D9">
      <w:rPr>
        <w:noProof/>
      </w:rPr>
      <w:drawing>
        <wp:anchor distT="0" distB="0" distL="114300" distR="114300" simplePos="0" relativeHeight="251659264" behindDoc="0" locked="1" layoutInCell="1" allowOverlap="1" wp14:anchorId="0F43B6B2" wp14:editId="54A8610F">
          <wp:simplePos x="0" y="0"/>
          <wp:positionH relativeFrom="margin">
            <wp:align>right</wp:align>
          </wp:positionH>
          <wp:positionV relativeFrom="topMargin">
            <wp:posOffset>409575</wp:posOffset>
          </wp:positionV>
          <wp:extent cx="1051560" cy="562610"/>
          <wp:effectExtent l="0" t="0" r="0" b="8890"/>
          <wp:wrapNone/>
          <wp:docPr id="1653066876" name="Grafik 1653066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743" cy="562806"/>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4FCABB2" w14:textId="478758F5" w:rsidR="00D92468" w:rsidRDefault="00D92468" w:rsidP="00516003">
    <w:pPr>
      <w:pStyle w:val="Header"/>
      <w:tabs>
        <w:tab w:val="clear" w:pos="9360"/>
      </w:tabs>
      <w:ind w:right="90"/>
      <w:rPr>
        <w:rFonts w:ascii="Segoe UI" w:hAnsi="Segoe UI" w:cs="Segoe UI"/>
        <w:b/>
        <w:bCs/>
        <w:sz w:val="40"/>
        <w:szCs w:val="40"/>
      </w:rPr>
    </w:pPr>
    <w:r>
      <w:t xml:space="preserve">                                                                                                                                           </w:t>
    </w:r>
    <w:r w:rsidRPr="00D92468">
      <w:rPr>
        <w:rFonts w:ascii="Segoe UI" w:hAnsi="Segoe UI" w:cs="Segoe UI"/>
        <w:b/>
        <w:bCs/>
        <w:sz w:val="40"/>
        <w:szCs w:val="40"/>
      </w:rPr>
      <w:t>Press Release</w:t>
    </w:r>
  </w:p>
  <w:p w14:paraId="7A8B9A83" w14:textId="77777777" w:rsidR="00516003" w:rsidRPr="00516003" w:rsidRDefault="00516003" w:rsidP="00516003">
    <w:pPr>
      <w:pStyle w:val="Header"/>
      <w:tabs>
        <w:tab w:val="clear" w:pos="9360"/>
      </w:tabs>
      <w:ind w:right="90"/>
      <w:rPr>
        <w:rFonts w:ascii="Segoe UI" w:hAnsi="Segoe UI" w:cs="Segoe UI"/>
        <w:b/>
        <w:bCs/>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468"/>
    <w:rsid w:val="000A1A40"/>
    <w:rsid w:val="000E3A69"/>
    <w:rsid w:val="00155A98"/>
    <w:rsid w:val="001A541C"/>
    <w:rsid w:val="003E5028"/>
    <w:rsid w:val="00487920"/>
    <w:rsid w:val="004C1843"/>
    <w:rsid w:val="00513F0E"/>
    <w:rsid w:val="00516003"/>
    <w:rsid w:val="00654F0E"/>
    <w:rsid w:val="006D7B93"/>
    <w:rsid w:val="00960BED"/>
    <w:rsid w:val="009B3E10"/>
    <w:rsid w:val="00AD4EBF"/>
    <w:rsid w:val="00D263DE"/>
    <w:rsid w:val="00D57B25"/>
    <w:rsid w:val="00D92468"/>
    <w:rsid w:val="00E139FA"/>
    <w:rsid w:val="00F6353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40064"/>
  <w15:chartTrackingRefBased/>
  <w15:docId w15:val="{E6FF83FA-BD3D-4F16-BF27-C58A50D1C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A98"/>
  </w:style>
  <w:style w:type="paragraph" w:styleId="Heading1">
    <w:name w:val="heading 1"/>
    <w:basedOn w:val="Normal"/>
    <w:next w:val="Normal"/>
    <w:link w:val="Heading1Char"/>
    <w:uiPriority w:val="9"/>
    <w:qFormat/>
    <w:rsid w:val="00D92468"/>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D92468"/>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D92468"/>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D924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24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24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4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4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4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468"/>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D92468"/>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D92468"/>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D924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4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4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4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4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468"/>
    <w:rPr>
      <w:rFonts w:eastAsiaTheme="majorEastAsia" w:cstheme="majorBidi"/>
      <w:color w:val="272727" w:themeColor="text1" w:themeTint="D8"/>
    </w:rPr>
  </w:style>
  <w:style w:type="paragraph" w:styleId="Title">
    <w:name w:val="Title"/>
    <w:basedOn w:val="Normal"/>
    <w:next w:val="Normal"/>
    <w:link w:val="TitleChar"/>
    <w:uiPriority w:val="10"/>
    <w:qFormat/>
    <w:rsid w:val="00D9246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D9246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D9246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D9246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D92468"/>
    <w:pPr>
      <w:spacing w:before="160"/>
      <w:jc w:val="center"/>
    </w:pPr>
    <w:rPr>
      <w:i/>
      <w:iCs/>
      <w:color w:val="404040" w:themeColor="text1" w:themeTint="BF"/>
    </w:rPr>
  </w:style>
  <w:style w:type="character" w:customStyle="1" w:styleId="QuoteChar">
    <w:name w:val="Quote Char"/>
    <w:basedOn w:val="DefaultParagraphFont"/>
    <w:link w:val="Quote"/>
    <w:uiPriority w:val="29"/>
    <w:rsid w:val="00D92468"/>
    <w:rPr>
      <w:i/>
      <w:iCs/>
      <w:color w:val="404040" w:themeColor="text1" w:themeTint="BF"/>
    </w:rPr>
  </w:style>
  <w:style w:type="paragraph" w:styleId="ListParagraph">
    <w:name w:val="List Paragraph"/>
    <w:basedOn w:val="Normal"/>
    <w:uiPriority w:val="34"/>
    <w:qFormat/>
    <w:rsid w:val="00D92468"/>
    <w:pPr>
      <w:ind w:left="720"/>
      <w:contextualSpacing/>
    </w:pPr>
  </w:style>
  <w:style w:type="character" w:styleId="IntenseEmphasis">
    <w:name w:val="Intense Emphasis"/>
    <w:basedOn w:val="DefaultParagraphFont"/>
    <w:uiPriority w:val="21"/>
    <w:qFormat/>
    <w:rsid w:val="00D92468"/>
    <w:rPr>
      <w:i/>
      <w:iCs/>
      <w:color w:val="0F4761" w:themeColor="accent1" w:themeShade="BF"/>
    </w:rPr>
  </w:style>
  <w:style w:type="paragraph" w:styleId="IntenseQuote">
    <w:name w:val="Intense Quote"/>
    <w:basedOn w:val="Normal"/>
    <w:next w:val="Normal"/>
    <w:link w:val="IntenseQuoteChar"/>
    <w:uiPriority w:val="30"/>
    <w:qFormat/>
    <w:rsid w:val="00D924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468"/>
    <w:rPr>
      <w:i/>
      <w:iCs/>
      <w:color w:val="0F4761" w:themeColor="accent1" w:themeShade="BF"/>
    </w:rPr>
  </w:style>
  <w:style w:type="character" w:styleId="IntenseReference">
    <w:name w:val="Intense Reference"/>
    <w:basedOn w:val="DefaultParagraphFont"/>
    <w:uiPriority w:val="32"/>
    <w:qFormat/>
    <w:rsid w:val="00D92468"/>
    <w:rPr>
      <w:b/>
      <w:bCs/>
      <w:smallCaps/>
      <w:color w:val="0F4761" w:themeColor="accent1" w:themeShade="BF"/>
      <w:spacing w:val="5"/>
    </w:rPr>
  </w:style>
  <w:style w:type="paragraph" w:styleId="Header">
    <w:name w:val="header"/>
    <w:basedOn w:val="Normal"/>
    <w:link w:val="HeaderChar"/>
    <w:uiPriority w:val="99"/>
    <w:unhideWhenUsed/>
    <w:rsid w:val="00D924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468"/>
  </w:style>
  <w:style w:type="paragraph" w:styleId="Footer">
    <w:name w:val="footer"/>
    <w:basedOn w:val="Normal"/>
    <w:link w:val="FooterChar"/>
    <w:uiPriority w:val="99"/>
    <w:unhideWhenUsed/>
    <w:rsid w:val="00D924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468"/>
  </w:style>
  <w:style w:type="character" w:styleId="CommentReference">
    <w:name w:val="annotation reference"/>
    <w:basedOn w:val="DefaultParagraphFont"/>
    <w:uiPriority w:val="99"/>
    <w:semiHidden/>
    <w:unhideWhenUsed/>
    <w:rsid w:val="00D92468"/>
    <w:rPr>
      <w:sz w:val="16"/>
      <w:szCs w:val="16"/>
    </w:rPr>
  </w:style>
  <w:style w:type="paragraph" w:styleId="CommentText">
    <w:name w:val="annotation text"/>
    <w:basedOn w:val="Normal"/>
    <w:link w:val="CommentTextChar"/>
    <w:uiPriority w:val="99"/>
    <w:unhideWhenUsed/>
    <w:rsid w:val="00D92468"/>
    <w:pPr>
      <w:spacing w:line="240" w:lineRule="auto"/>
    </w:pPr>
    <w:rPr>
      <w:sz w:val="20"/>
      <w:szCs w:val="18"/>
    </w:rPr>
  </w:style>
  <w:style w:type="character" w:customStyle="1" w:styleId="CommentTextChar">
    <w:name w:val="Comment Text Char"/>
    <w:basedOn w:val="DefaultParagraphFont"/>
    <w:link w:val="CommentText"/>
    <w:uiPriority w:val="99"/>
    <w:rsid w:val="00D92468"/>
    <w:rPr>
      <w:sz w:val="20"/>
      <w:szCs w:val="18"/>
    </w:rPr>
  </w:style>
  <w:style w:type="paragraph" w:styleId="CommentSubject">
    <w:name w:val="annotation subject"/>
    <w:basedOn w:val="CommentText"/>
    <w:next w:val="CommentText"/>
    <w:link w:val="CommentSubjectChar"/>
    <w:uiPriority w:val="99"/>
    <w:semiHidden/>
    <w:unhideWhenUsed/>
    <w:rsid w:val="00D92468"/>
    <w:rPr>
      <w:b/>
      <w:bCs/>
    </w:rPr>
  </w:style>
  <w:style w:type="character" w:customStyle="1" w:styleId="CommentSubjectChar">
    <w:name w:val="Comment Subject Char"/>
    <w:basedOn w:val="CommentTextChar"/>
    <w:link w:val="CommentSubject"/>
    <w:uiPriority w:val="99"/>
    <w:semiHidden/>
    <w:rsid w:val="00D92468"/>
    <w:rPr>
      <w:b/>
      <w:bCs/>
      <w:sz w:val="20"/>
      <w:szCs w:val="18"/>
    </w:rPr>
  </w:style>
  <w:style w:type="character" w:styleId="Hyperlink">
    <w:name w:val="Hyperlink"/>
    <w:basedOn w:val="DefaultParagraphFont"/>
    <w:uiPriority w:val="99"/>
    <w:unhideWhenUsed/>
    <w:rsid w:val="00D92468"/>
    <w:rPr>
      <w:color w:val="467886" w:themeColor="hyperlink"/>
      <w:u w:val="single"/>
    </w:rPr>
  </w:style>
  <w:style w:type="character" w:styleId="UnresolvedMention">
    <w:name w:val="Unresolved Mention"/>
    <w:basedOn w:val="DefaultParagraphFont"/>
    <w:uiPriority w:val="99"/>
    <w:semiHidden/>
    <w:unhideWhenUsed/>
    <w:rsid w:val="00D92468"/>
    <w:rPr>
      <w:color w:val="605E5C"/>
      <w:shd w:val="clear" w:color="auto" w:fill="E1DFDD"/>
    </w:rPr>
  </w:style>
  <w:style w:type="character" w:customStyle="1" w:styleId="AboutandContactBody">
    <w:name w:val="About and Contact Body"/>
    <w:basedOn w:val="DefaultParagraphFont"/>
    <w:rsid w:val="00F6353A"/>
    <w:rPr>
      <w:rFonts w:ascii="Segoe UI" w:hAnsi="Segoe UI"/>
      <w:sz w:val="18"/>
    </w:rPr>
  </w:style>
  <w:style w:type="character" w:customStyle="1" w:styleId="AboutandContactHeadline">
    <w:name w:val="About and Contact Headline"/>
    <w:basedOn w:val="DefaultParagraphFont"/>
    <w:rsid w:val="00F6353A"/>
    <w:rPr>
      <w:rFonts w:ascii="Segoe UI" w:hAnsi="Segoe UI"/>
      <w:b/>
      <w:bCs/>
      <w:sz w:val="18"/>
    </w:rPr>
  </w:style>
  <w:style w:type="table" w:styleId="TableGrid">
    <w:name w:val="Table Grid"/>
    <w:basedOn w:val="TableNormal"/>
    <w:uiPriority w:val="39"/>
    <w:rsid w:val="003E5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henkel.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nke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4095</Characters>
  <Application>Microsoft Office Word</Application>
  <DocSecurity>0</DocSecurity>
  <Lines>68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Shivangi Gupta (Omnicom)</dc:creator>
  <cp:keywords/>
  <dc:description/>
  <cp:lastModifiedBy>Sandhya Kedlaya</cp:lastModifiedBy>
  <cp:revision>6</cp:revision>
  <dcterms:created xsi:type="dcterms:W3CDTF">2026-03-11T10:02:00Z</dcterms:created>
  <dcterms:modified xsi:type="dcterms:W3CDTF">2026-03-26T08:00:00Z</dcterms:modified>
</cp:coreProperties>
</file>