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00B0C20" w:rsidR="00B422EC" w:rsidRPr="00921C0C" w:rsidRDefault="00081692" w:rsidP="00081692">
      <w:pPr>
        <w:pStyle w:val="MonthDayYear"/>
        <w:tabs>
          <w:tab w:val="left" w:pos="7371"/>
        </w:tabs>
        <w:jc w:val="left"/>
      </w:pPr>
      <w:r>
        <w:tab/>
        <w:t>11 Mart 2026</w:t>
      </w:r>
    </w:p>
    <w:p w14:paraId="166A9534" w14:textId="73BB9068" w:rsidR="00497D5E" w:rsidRPr="009D61DC" w:rsidRDefault="009D61DC" w:rsidP="00790993">
      <w:pPr>
        <w:pStyle w:val="Topline"/>
        <w:spacing w:after="240"/>
        <w:rPr>
          <w:rFonts w:asciiTheme="majorHAnsi" w:hAnsiTheme="majorHAnsi" w:cstheme="majorHAnsi"/>
        </w:rPr>
      </w:pPr>
      <w:bookmarkStart w:id="0" w:name="_Hlk190695874"/>
      <w:r>
        <w:rPr>
          <w:rFonts w:asciiTheme="majorHAnsi" w:hAnsiTheme="majorHAnsi"/>
        </w:rPr>
        <w:t>Henkel 2025'e ait yıllık sonuçları açıkladı: Temettü</w:t>
      </w:r>
      <w:r w:rsidR="00274698">
        <w:rPr>
          <w:rFonts w:asciiTheme="majorHAnsi" w:hAnsiTheme="majorHAnsi"/>
        </w:rPr>
        <w:t>ler</w:t>
      </w:r>
      <w:r>
        <w:rPr>
          <w:rFonts w:asciiTheme="majorHAnsi" w:hAnsiTheme="majorHAnsi"/>
        </w:rPr>
        <w:t xml:space="preserve"> daha da art</w:t>
      </w:r>
      <w:r w:rsidR="00274698">
        <w:rPr>
          <w:rFonts w:asciiTheme="majorHAnsi" w:hAnsiTheme="majorHAnsi"/>
        </w:rPr>
        <w:t>ırıl</w:t>
      </w:r>
      <w:r>
        <w:rPr>
          <w:rFonts w:asciiTheme="majorHAnsi" w:hAnsiTheme="majorHAnsi"/>
        </w:rPr>
        <w:t>acak</w:t>
      </w:r>
      <w:r w:rsidR="00F87E7B">
        <w:rPr>
          <w:rFonts w:asciiTheme="majorHAnsi" w:hAnsiTheme="majorHAnsi"/>
        </w:rPr>
        <w:t>.</w:t>
      </w:r>
    </w:p>
    <w:bookmarkEnd w:id="0"/>
    <w:p w14:paraId="5E22EDC4" w14:textId="3BE4DDDD" w:rsidR="00A54C2A" w:rsidRDefault="00054888" w:rsidP="00C65957">
      <w:pPr>
        <w:spacing w:line="240" w:lineRule="auto"/>
        <w:jc w:val="left"/>
        <w:rPr>
          <w:rStyle w:val="Headline"/>
          <w:rFonts w:asciiTheme="majorHAnsi" w:hAnsiTheme="majorHAnsi"/>
        </w:rPr>
      </w:pPr>
      <w:r w:rsidRPr="00054888">
        <w:rPr>
          <w:rStyle w:val="Headline"/>
          <w:rFonts w:asciiTheme="majorHAnsi" w:hAnsiTheme="majorHAnsi"/>
        </w:rPr>
        <w:t xml:space="preserve">Henkel 2025’te organik büyüme kaydetti; inovasyon ve </w:t>
      </w:r>
      <w:r w:rsidR="006D4279">
        <w:rPr>
          <w:rStyle w:val="Headline"/>
          <w:rFonts w:asciiTheme="majorHAnsi" w:hAnsiTheme="majorHAnsi"/>
        </w:rPr>
        <w:t>artan</w:t>
      </w:r>
      <w:r w:rsidRPr="00054888">
        <w:rPr>
          <w:rStyle w:val="Headline"/>
          <w:rFonts w:asciiTheme="majorHAnsi" w:hAnsiTheme="majorHAnsi"/>
        </w:rPr>
        <w:t xml:space="preserve"> verimlilik sayesinde kârlılığını artırdı</w:t>
      </w:r>
    </w:p>
    <w:p w14:paraId="7B8C3C17" w14:textId="77777777" w:rsidR="00054888" w:rsidRPr="00A81C0A" w:rsidRDefault="00054888" w:rsidP="00C65957">
      <w:pPr>
        <w:spacing w:line="240" w:lineRule="auto"/>
        <w:jc w:val="left"/>
        <w:rPr>
          <w:sz w:val="16"/>
          <w:szCs w:val="16"/>
        </w:rPr>
      </w:pPr>
    </w:p>
    <w:p w14:paraId="37685367" w14:textId="57E5DB25" w:rsidR="00645A5C" w:rsidRPr="009D61DC" w:rsidRDefault="008B6086" w:rsidP="002911BF">
      <w:pPr>
        <w:pStyle w:val="ListParagraph"/>
        <w:numPr>
          <w:ilvl w:val="0"/>
          <w:numId w:val="7"/>
        </w:numPr>
        <w:spacing w:after="80"/>
        <w:ind w:left="357" w:right="-108" w:hanging="357"/>
        <w:contextualSpacing w:val="0"/>
        <w:jc w:val="left"/>
        <w:rPr>
          <w:rFonts w:asciiTheme="majorHAnsi" w:hAnsiTheme="majorHAnsi" w:cstheme="majorHAnsi"/>
          <w:b/>
          <w:szCs w:val="22"/>
        </w:rPr>
      </w:pPr>
      <w:bookmarkStart w:id="1" w:name="_Hlk64363173"/>
      <w:bookmarkStart w:id="2" w:name="_Hlk43712519"/>
      <w:r>
        <w:rPr>
          <w:rFonts w:asciiTheme="majorHAnsi" w:hAnsiTheme="majorHAnsi"/>
          <w:b/>
        </w:rPr>
        <w:t>2025 mali yılında güçlü işletme performansı sağlandı</w:t>
      </w:r>
      <w:r w:rsidR="00315395">
        <w:rPr>
          <w:rFonts w:asciiTheme="majorHAnsi" w:hAnsiTheme="majorHAnsi"/>
          <w:b/>
        </w:rPr>
        <w:t>.</w:t>
      </w:r>
    </w:p>
    <w:bookmarkEnd w:id="1"/>
    <w:p w14:paraId="50631AFC" w14:textId="28150EA8" w:rsidR="00635616" w:rsidRPr="009D61DC" w:rsidRDefault="009D61DC" w:rsidP="009D61DC">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Satışlar: yüzde 0,9'luk organik büyümeyle 20,5 milyar Euro olarak gerçekleşti</w:t>
      </w:r>
      <w:bookmarkEnd w:id="2"/>
      <w:r w:rsidR="00315395">
        <w:rPr>
          <w:rFonts w:asciiTheme="majorHAnsi" w:hAnsiTheme="majorHAnsi"/>
          <w:b/>
        </w:rPr>
        <w:t>.</w:t>
      </w:r>
    </w:p>
    <w:p w14:paraId="6851D1BA" w14:textId="7360F55B" w:rsidR="00E86D6E" w:rsidRPr="00EA7720" w:rsidRDefault="009D61DC" w:rsidP="002911BF">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Faaliyet karı (VFÖK)*: Önemli ölçüde negatif seyreden kur etkileri nedeniyle</w:t>
      </w:r>
      <w:r>
        <w:rPr>
          <w:rFonts w:asciiTheme="majorHAnsi" w:hAnsiTheme="majorHAnsi"/>
          <w:b/>
        </w:rPr>
        <w:br/>
        <w:t xml:space="preserve">önceki yılın biraz altında, 3,0 milyar Euro </w:t>
      </w:r>
      <w:r w:rsidR="00274698">
        <w:rPr>
          <w:rFonts w:asciiTheme="majorHAnsi" w:hAnsiTheme="majorHAnsi"/>
          <w:b/>
        </w:rPr>
        <w:t>seviyesinde</w:t>
      </w:r>
      <w:r>
        <w:rPr>
          <w:rFonts w:asciiTheme="majorHAnsi" w:hAnsiTheme="majorHAnsi"/>
          <w:b/>
        </w:rPr>
        <w:t xml:space="preserve"> gerçekleşti</w:t>
      </w:r>
      <w:r w:rsidR="00315395">
        <w:rPr>
          <w:rFonts w:asciiTheme="majorHAnsi" w:hAnsiTheme="majorHAnsi"/>
          <w:b/>
        </w:rPr>
        <w:t>.</w:t>
      </w:r>
    </w:p>
    <w:p w14:paraId="74237D27" w14:textId="112B1AEC" w:rsidR="00256174" w:rsidRPr="00A81C0A" w:rsidRDefault="0007275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VFÖK marjı*: 50 baz puanlık bir artışla yüzde 14,8 seviyesine ulaştı</w:t>
      </w:r>
      <w:r w:rsidR="00315395">
        <w:rPr>
          <w:rFonts w:asciiTheme="majorHAnsi" w:hAnsiTheme="majorHAnsi"/>
          <w:b/>
        </w:rPr>
        <w:t>.</w:t>
      </w:r>
    </w:p>
    <w:p w14:paraId="291880FC" w14:textId="1F758E92" w:rsidR="00A81C0A" w:rsidRPr="00A81C0A" w:rsidRDefault="00A81C0A" w:rsidP="002911BF">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İmtiyazlı hisse senedi başına k</w:t>
      </w:r>
      <w:r w:rsidR="001C236E">
        <w:rPr>
          <w:rFonts w:asciiTheme="majorHAnsi" w:hAnsiTheme="majorHAnsi" w:cstheme="majorHAnsi"/>
          <w:b/>
        </w:rPr>
        <w:t>â</w:t>
      </w:r>
      <w:r>
        <w:rPr>
          <w:rFonts w:asciiTheme="majorHAnsi" w:hAnsiTheme="majorHAnsi"/>
          <w:b/>
        </w:rPr>
        <w:t>rlılık (EPS)*: (sabit kur</w:t>
      </w:r>
      <w:r w:rsidR="00274698">
        <w:rPr>
          <w:rFonts w:asciiTheme="majorHAnsi" w:hAnsiTheme="majorHAnsi"/>
          <w:b/>
        </w:rPr>
        <w:t xml:space="preserve"> ile</w:t>
      </w:r>
      <w:r>
        <w:rPr>
          <w:rFonts w:asciiTheme="majorHAnsi" w:hAnsiTheme="majorHAnsi"/>
          <w:b/>
        </w:rPr>
        <w:t xml:space="preserve">) yüzde </w:t>
      </w:r>
      <w:r w:rsidR="00274698">
        <w:rPr>
          <w:rFonts w:asciiTheme="majorHAnsi" w:hAnsiTheme="majorHAnsi"/>
          <w:b/>
        </w:rPr>
        <w:t>+</w:t>
      </w:r>
      <w:r>
        <w:rPr>
          <w:rFonts w:asciiTheme="majorHAnsi" w:hAnsiTheme="majorHAnsi"/>
          <w:b/>
        </w:rPr>
        <w:t xml:space="preserve">4,7 artışla 5,33 Euro </w:t>
      </w:r>
      <w:r w:rsidR="00274698">
        <w:rPr>
          <w:rFonts w:asciiTheme="majorHAnsi" w:hAnsiTheme="majorHAnsi"/>
          <w:b/>
        </w:rPr>
        <w:t>seviyesine</w:t>
      </w:r>
      <w:r>
        <w:rPr>
          <w:rFonts w:asciiTheme="majorHAnsi" w:hAnsiTheme="majorHAnsi"/>
          <w:b/>
        </w:rPr>
        <w:t xml:space="preserve"> yükseldi</w:t>
      </w:r>
      <w:r w:rsidR="00315395">
        <w:rPr>
          <w:rFonts w:asciiTheme="majorHAnsi" w:hAnsiTheme="majorHAnsi"/>
          <w:b/>
        </w:rPr>
        <w:t>.</w:t>
      </w:r>
    </w:p>
    <w:p w14:paraId="303431FE" w14:textId="5039A79C" w:rsidR="000F333E" w:rsidRPr="009D61DC" w:rsidRDefault="009D61DC" w:rsidP="0092358D">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Yaklaşık 1,9 milyar Euro</w:t>
      </w:r>
      <w:r w:rsidR="00274698">
        <w:rPr>
          <w:rFonts w:asciiTheme="majorHAnsi" w:hAnsiTheme="majorHAnsi"/>
          <w:b/>
        </w:rPr>
        <w:t>’luk</w:t>
      </w:r>
      <w:r>
        <w:rPr>
          <w:rFonts w:asciiTheme="majorHAnsi" w:hAnsiTheme="majorHAnsi"/>
          <w:b/>
        </w:rPr>
        <w:t xml:space="preserve"> güçlü serbest nakit akışı sağlandı</w:t>
      </w:r>
      <w:r w:rsidR="00315395">
        <w:rPr>
          <w:rFonts w:asciiTheme="majorHAnsi" w:hAnsiTheme="majorHAnsi"/>
          <w:b/>
        </w:rPr>
        <w:t>.</w:t>
      </w:r>
    </w:p>
    <w:p w14:paraId="0A57BFFB" w14:textId="7CF37597" w:rsidR="00420F5B" w:rsidRPr="00A81C0A" w:rsidRDefault="00A81C0A" w:rsidP="00A81C0A">
      <w:pPr>
        <w:numPr>
          <w:ilvl w:val="0"/>
          <w:numId w:val="7"/>
        </w:numPr>
        <w:spacing w:after="80"/>
        <w:ind w:left="357" w:right="-108" w:hanging="357"/>
        <w:jc w:val="left"/>
        <w:rPr>
          <w:rFonts w:asciiTheme="majorHAnsi" w:hAnsiTheme="majorHAnsi" w:cstheme="majorHAnsi"/>
          <w:b/>
          <w:szCs w:val="22"/>
        </w:rPr>
      </w:pPr>
      <w:r>
        <w:rPr>
          <w:rFonts w:asciiTheme="majorHAnsi" w:hAnsiTheme="majorHAnsi"/>
          <w:b/>
        </w:rPr>
        <w:t>İmtiyazlı hisse senedi başına temettü</w:t>
      </w:r>
      <w:r w:rsidR="00274698">
        <w:rPr>
          <w:rFonts w:asciiTheme="majorHAnsi" w:hAnsiTheme="majorHAnsi"/>
          <w:b/>
        </w:rPr>
        <w:t>,</w:t>
      </w:r>
      <w:r>
        <w:rPr>
          <w:rFonts w:asciiTheme="majorHAnsi" w:hAnsiTheme="majorHAnsi"/>
          <w:b/>
        </w:rPr>
        <w:t xml:space="preserve"> yüzde 1,5 artışla 2,07 Euro</w:t>
      </w:r>
      <w:r w:rsidR="00274698">
        <w:rPr>
          <w:rFonts w:asciiTheme="majorHAnsi" w:hAnsiTheme="majorHAnsi"/>
          <w:b/>
        </w:rPr>
        <w:t xml:space="preserve"> olarak önerildi</w:t>
      </w:r>
      <w:r w:rsidR="00315395">
        <w:rPr>
          <w:rFonts w:asciiTheme="majorHAnsi" w:hAnsiTheme="majorHAnsi"/>
          <w:b/>
        </w:rPr>
        <w:t>.</w:t>
      </w:r>
    </w:p>
    <w:p w14:paraId="718ADD21" w14:textId="22F30A62" w:rsidR="003B0BD0" w:rsidRPr="00B2292F" w:rsidRDefault="00A81C0A" w:rsidP="00B2292F">
      <w:pPr>
        <w:numPr>
          <w:ilvl w:val="0"/>
          <w:numId w:val="7"/>
        </w:numPr>
        <w:spacing w:after="80"/>
        <w:ind w:left="357" w:right="-108" w:hanging="357"/>
        <w:jc w:val="left"/>
        <w:rPr>
          <w:rFonts w:asciiTheme="majorHAnsi" w:hAnsiTheme="majorHAnsi" w:cstheme="majorHAnsi"/>
          <w:b/>
          <w:szCs w:val="22"/>
        </w:rPr>
      </w:pPr>
      <w:r>
        <w:rPr>
          <w:rFonts w:asciiTheme="majorHAnsi" w:hAnsiTheme="majorHAnsi"/>
          <w:b/>
        </w:rPr>
        <w:t xml:space="preserve">"Amaca Yönelik Büyüme Gündemi"nin uygulanmasında daha </w:t>
      </w:r>
      <w:r w:rsidR="00274698">
        <w:rPr>
          <w:rFonts w:asciiTheme="majorHAnsi" w:hAnsiTheme="majorHAnsi"/>
          <w:b/>
        </w:rPr>
        <w:t>fazla</w:t>
      </w:r>
      <w:r>
        <w:rPr>
          <w:rFonts w:asciiTheme="majorHAnsi" w:hAnsiTheme="majorHAnsi"/>
          <w:b/>
        </w:rPr>
        <w:t xml:space="preserve"> mesafe kat edildi</w:t>
      </w:r>
      <w:r w:rsidR="00315395">
        <w:rPr>
          <w:rFonts w:asciiTheme="majorHAnsi" w:hAnsiTheme="majorHAnsi"/>
          <w:b/>
        </w:rPr>
        <w:t>.</w:t>
      </w:r>
    </w:p>
    <w:p w14:paraId="40E9C5F8" w14:textId="60E21410" w:rsidR="00A81C0A" w:rsidRPr="00A81C0A" w:rsidRDefault="00A81C0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bookmarkStart w:id="3" w:name="_Hlk157433806"/>
      <w:r>
        <w:rPr>
          <w:rFonts w:asciiTheme="majorHAnsi" w:hAnsiTheme="majorHAnsi"/>
          <w:b/>
        </w:rPr>
        <w:t xml:space="preserve">Tüketici </w:t>
      </w:r>
      <w:r w:rsidR="00274698">
        <w:rPr>
          <w:rFonts w:asciiTheme="majorHAnsi" w:hAnsiTheme="majorHAnsi"/>
          <w:b/>
        </w:rPr>
        <w:t>iş birimlerinin</w:t>
      </w:r>
      <w:r>
        <w:rPr>
          <w:rFonts w:asciiTheme="majorHAnsi" w:hAnsiTheme="majorHAnsi"/>
          <w:b/>
        </w:rPr>
        <w:t xml:space="preserve"> birleşme süreci planlanandan önce tamamlandı</w:t>
      </w:r>
      <w:r w:rsidR="00315395">
        <w:rPr>
          <w:rFonts w:asciiTheme="majorHAnsi" w:hAnsiTheme="majorHAnsi"/>
          <w:b/>
        </w:rPr>
        <w:t>.</w:t>
      </w:r>
    </w:p>
    <w:p w14:paraId="5D16A815" w14:textId="5C288812" w:rsidR="009A743E" w:rsidRPr="00A81C0A" w:rsidRDefault="00A81C0A" w:rsidP="002911BF">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 xml:space="preserve">Her iki iş birimindeki yeni satın almalar büyüme potansiyelini </w:t>
      </w:r>
      <w:r w:rsidR="00274698">
        <w:rPr>
          <w:rFonts w:asciiTheme="majorHAnsi" w:hAnsiTheme="majorHAnsi"/>
          <w:b/>
        </w:rPr>
        <w:t>güçlendiriyor</w:t>
      </w:r>
      <w:r w:rsidR="00315395">
        <w:rPr>
          <w:rFonts w:asciiTheme="majorHAnsi" w:hAnsiTheme="majorHAnsi"/>
          <w:b/>
        </w:rPr>
        <w:t>.</w:t>
      </w:r>
      <w:bookmarkEnd w:id="3"/>
    </w:p>
    <w:p w14:paraId="5724C0EE" w14:textId="03FAB76D" w:rsidR="00A81C0A" w:rsidRPr="00835910" w:rsidRDefault="00A81C0A" w:rsidP="00A81C0A">
      <w:pPr>
        <w:numPr>
          <w:ilvl w:val="0"/>
          <w:numId w:val="7"/>
        </w:numPr>
        <w:spacing w:after="80"/>
        <w:ind w:left="357" w:right="-108" w:hanging="357"/>
        <w:jc w:val="left"/>
        <w:rPr>
          <w:rFonts w:asciiTheme="majorHAnsi" w:hAnsiTheme="majorHAnsi" w:cstheme="majorHAnsi"/>
          <w:b/>
          <w:szCs w:val="22"/>
        </w:rPr>
      </w:pPr>
      <w:r>
        <w:rPr>
          <w:rFonts w:asciiTheme="majorHAnsi" w:hAnsiTheme="majorHAnsi"/>
          <w:b/>
        </w:rPr>
        <w:t xml:space="preserve">2026 mali yılı için </w:t>
      </w:r>
      <w:r w:rsidR="00274698">
        <w:rPr>
          <w:rFonts w:asciiTheme="majorHAnsi" w:hAnsiTheme="majorHAnsi"/>
          <w:b/>
        </w:rPr>
        <w:t>öngörü</w:t>
      </w:r>
      <w:r>
        <w:rPr>
          <w:rFonts w:asciiTheme="majorHAnsi" w:hAnsiTheme="majorHAnsi"/>
          <w:b/>
        </w:rPr>
        <w:t xml:space="preserve">: </w:t>
      </w:r>
      <w:r w:rsidR="006D2AC0">
        <w:rPr>
          <w:rFonts w:asciiTheme="majorHAnsi" w:hAnsiTheme="majorHAnsi"/>
          <w:b/>
        </w:rPr>
        <w:t>Gelir</w:t>
      </w:r>
      <w:r w:rsidR="006D2AC0" w:rsidRPr="006D2AC0">
        <w:rPr>
          <w:rFonts w:asciiTheme="majorHAnsi" w:hAnsiTheme="majorHAnsi"/>
          <w:b/>
        </w:rPr>
        <w:t xml:space="preserve"> ve kârlılıkta ilave büyüme bekleniyor</w:t>
      </w:r>
    </w:p>
    <w:p w14:paraId="380A4B0B" w14:textId="1A79167A" w:rsidR="00A81C0A" w:rsidRPr="00CF56F5"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b/>
        </w:rPr>
        <w:t>Organik satışlarda büyüme: yüzde 1,0 ile 3,0 aralığında</w:t>
      </w:r>
      <w:r w:rsidR="00315395">
        <w:rPr>
          <w:rFonts w:asciiTheme="majorHAnsi" w:hAnsiTheme="majorHAnsi"/>
          <w:b/>
        </w:rPr>
        <w:t>.</w:t>
      </w:r>
    </w:p>
    <w:p w14:paraId="7DEDC400" w14:textId="32601333" w:rsidR="00A81C0A" w:rsidRPr="00C82433"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b/>
        </w:rPr>
        <w:t>VFÖK marjı*: yüzde 14,5 ile 16,0 aralığında</w:t>
      </w:r>
      <w:r w:rsidR="00315395">
        <w:rPr>
          <w:rFonts w:asciiTheme="majorHAnsi" w:hAnsiTheme="majorHAnsi"/>
          <w:b/>
        </w:rPr>
        <w:t>.</w:t>
      </w:r>
    </w:p>
    <w:p w14:paraId="2585407E" w14:textId="0A461F0C" w:rsidR="00A81C0A" w:rsidRPr="00232C77"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b/>
        </w:rPr>
        <w:t>İmtiyazlı hisse senedi başına k</w:t>
      </w:r>
      <w:r w:rsidR="001C236E">
        <w:rPr>
          <w:rFonts w:asciiTheme="majorHAnsi" w:hAnsiTheme="majorHAnsi" w:cstheme="majorHAnsi"/>
          <w:b/>
        </w:rPr>
        <w:t>â</w:t>
      </w:r>
      <w:r>
        <w:rPr>
          <w:rFonts w:asciiTheme="majorHAnsi" w:hAnsiTheme="majorHAnsi"/>
          <w:b/>
        </w:rPr>
        <w:t>rlılık (EPS)*: Düşük </w:t>
      </w:r>
      <w:bookmarkStart w:id="4" w:name="_Hlk191544887"/>
      <w:r>
        <w:rPr>
          <w:rFonts w:asciiTheme="majorHAnsi" w:hAnsiTheme="majorHAnsi"/>
          <w:b/>
        </w:rPr>
        <w:t>ila yüksek tek haneli yüzde aralığında artış (sabit kur ile)</w:t>
      </w:r>
      <w:r w:rsidR="00315395">
        <w:rPr>
          <w:rFonts w:asciiTheme="majorHAnsi" w:hAnsiTheme="majorHAnsi"/>
          <w:b/>
        </w:rPr>
        <w:t>.</w:t>
      </w:r>
      <w:bookmarkEnd w:id="4"/>
    </w:p>
    <w:p w14:paraId="0E973721" w14:textId="6F71B699" w:rsidR="00D93B82" w:rsidRPr="00921C0C" w:rsidRDefault="00D93B82" w:rsidP="00037396">
      <w:pPr>
        <w:rPr>
          <w:rFonts w:cs="Segoe UI"/>
          <w:b/>
          <w:bCs/>
          <w:szCs w:val="22"/>
        </w:rPr>
      </w:pPr>
    </w:p>
    <w:p w14:paraId="0015CB3F" w14:textId="024C31E3" w:rsidR="00232594" w:rsidRPr="00921C0C" w:rsidRDefault="00E810D3" w:rsidP="00456F1E">
      <w:pPr>
        <w:rPr>
          <w:rFonts w:cs="Segoe UI"/>
          <w:b/>
          <w:bCs/>
          <w:szCs w:val="22"/>
        </w:rPr>
      </w:pPr>
      <w:r>
        <w:rPr>
          <w:b/>
        </w:rPr>
        <w:t xml:space="preserve">Düsseldorf – Henkel, </w:t>
      </w:r>
      <w:r w:rsidR="00DC1256">
        <w:rPr>
          <w:b/>
        </w:rPr>
        <w:t xml:space="preserve">global </w:t>
      </w:r>
      <w:r>
        <w:rPr>
          <w:b/>
        </w:rPr>
        <w:t>ekonominin ortalama düzeyde büyüdüğü karmaşık bir jeopolitik ortamda</w:t>
      </w:r>
      <w:r w:rsidR="00E162CB">
        <w:rPr>
          <w:b/>
        </w:rPr>
        <w:t>,</w:t>
      </w:r>
      <w:r>
        <w:rPr>
          <w:b/>
        </w:rPr>
        <w:t xml:space="preserve"> zorlu geçen 2025 mali yılında genel anlamda iyi bir performans gösterdi. Gru</w:t>
      </w:r>
      <w:r w:rsidR="00E162CB">
        <w:rPr>
          <w:b/>
        </w:rPr>
        <w:t>p genelinde</w:t>
      </w:r>
      <w:r>
        <w:rPr>
          <w:b/>
        </w:rPr>
        <w:t xml:space="preserve"> satışlar 2025 mali yılında yaklaşık 20,5 milyar Euro olarak gerçekleşirken, düzeltilmiş VFÖK marjı 50 baz puan artarak yüzde 14,8'e yükseldi. Sabit kur</w:t>
      </w:r>
      <w:r w:rsidR="00E162CB">
        <w:rPr>
          <w:b/>
        </w:rPr>
        <w:t xml:space="preserve"> ile</w:t>
      </w:r>
      <w:r>
        <w:rPr>
          <w:b/>
        </w:rPr>
        <w:t xml:space="preserve"> imtiyazlı hisse senedi başına k</w:t>
      </w:r>
      <w:r w:rsidR="001C236E">
        <w:rPr>
          <w:rFonts w:cs="Segoe UI"/>
          <w:b/>
        </w:rPr>
        <w:t>â</w:t>
      </w:r>
      <w:r>
        <w:rPr>
          <w:b/>
        </w:rPr>
        <w:t xml:space="preserve">rlılık </w:t>
      </w:r>
      <w:r w:rsidR="00E162CB">
        <w:rPr>
          <w:b/>
        </w:rPr>
        <w:t xml:space="preserve">ise </w:t>
      </w:r>
      <w:r>
        <w:rPr>
          <w:b/>
        </w:rPr>
        <w:t>yüzde 4,7 oranında arttı.</w:t>
      </w:r>
    </w:p>
    <w:p w14:paraId="453AF329" w14:textId="6B87833F" w:rsidR="00B671E3" w:rsidRDefault="00B671E3" w:rsidP="00B671E3">
      <w:pPr>
        <w:rPr>
          <w:rFonts w:cs="Segoe UI"/>
          <w:b/>
          <w:bCs/>
          <w:szCs w:val="22"/>
        </w:rPr>
      </w:pPr>
      <w:bookmarkStart w:id="5" w:name="_Hlk190074952"/>
      <w:r>
        <w:rPr>
          <w:b/>
        </w:rPr>
        <w:lastRenderedPageBreak/>
        <w:t>Henkel CEO'su Carsten Knobel</w:t>
      </w:r>
      <w:r w:rsidR="00EF4C90">
        <w:rPr>
          <w:b/>
        </w:rPr>
        <w:t>,</w:t>
      </w:r>
      <w:r>
        <w:rPr>
          <w:b/>
        </w:rPr>
        <w:t xml:space="preserve"> "</w:t>
      </w:r>
      <w:r w:rsidR="00A95D55" w:rsidRPr="00A95D55">
        <w:rPr>
          <w:b/>
        </w:rPr>
        <w:t>İş ortamımız</w:t>
      </w:r>
      <w:r w:rsidR="00CF66AF">
        <w:rPr>
          <w:b/>
        </w:rPr>
        <w:t>;</w:t>
      </w:r>
      <w:r w:rsidR="00A95D55" w:rsidRPr="00A95D55">
        <w:rPr>
          <w:b/>
        </w:rPr>
        <w:t xml:space="preserve"> askeri çatışmalar, dünyanın birçok bölgesindeki jeopolitik gerilimler ve kapsamlı ticaret ile gümrük tarifesi anlaşmazlıkları dahil olmak üzere büyük zorluklarla şekillenmeye devam ediyor. </w:t>
      </w:r>
      <w:r w:rsidR="009C647D" w:rsidRPr="009C647D">
        <w:rPr>
          <w:b/>
        </w:rPr>
        <w:t xml:space="preserve">Bunun sonucunda ortaya çıkan </w:t>
      </w:r>
      <w:r>
        <w:rPr>
          <w:b/>
        </w:rPr>
        <w:t>belirsizlikler</w:t>
      </w:r>
      <w:r w:rsidR="00EF4C90">
        <w:rPr>
          <w:b/>
        </w:rPr>
        <w:t>,</w:t>
      </w:r>
      <w:r>
        <w:rPr>
          <w:b/>
        </w:rPr>
        <w:t xml:space="preserve"> tüketici güvenini ve </w:t>
      </w:r>
      <w:r w:rsidR="00EF4C90">
        <w:rPr>
          <w:b/>
        </w:rPr>
        <w:t>endüstriyel</w:t>
      </w:r>
      <w:r>
        <w:rPr>
          <w:b/>
        </w:rPr>
        <w:t xml:space="preserve"> talebi </w:t>
      </w:r>
      <w:r w:rsidR="00CF66AF">
        <w:rPr>
          <w:b/>
        </w:rPr>
        <w:t>zayıflattı.</w:t>
      </w:r>
      <w:r>
        <w:rPr>
          <w:b/>
        </w:rPr>
        <w:t xml:space="preserve"> </w:t>
      </w:r>
      <w:r w:rsidR="002D45DA">
        <w:rPr>
          <w:b/>
        </w:rPr>
        <w:t>Ş</w:t>
      </w:r>
      <w:r>
        <w:rPr>
          <w:b/>
        </w:rPr>
        <w:t xml:space="preserve">ubat ayının sonunda </w:t>
      </w:r>
      <w:r w:rsidR="002D45DA">
        <w:rPr>
          <w:b/>
        </w:rPr>
        <w:t>Ort</w:t>
      </w:r>
      <w:r w:rsidR="00E921EC">
        <w:rPr>
          <w:b/>
        </w:rPr>
        <w:t>a D</w:t>
      </w:r>
      <w:r w:rsidR="002D45DA">
        <w:rPr>
          <w:b/>
        </w:rPr>
        <w:t xml:space="preserve">oğu’da </w:t>
      </w:r>
      <w:r>
        <w:rPr>
          <w:b/>
        </w:rPr>
        <w:t xml:space="preserve">başlayan savaşla birlikte belirsizlikler bir kez daha önemli ölçüde </w:t>
      </w:r>
      <w:r w:rsidR="00CF66AF">
        <w:rPr>
          <w:b/>
        </w:rPr>
        <w:t>arttı.</w:t>
      </w:r>
      <w:r w:rsidR="002D45DA">
        <w:rPr>
          <w:b/>
        </w:rPr>
        <w:t xml:space="preserve"> </w:t>
      </w:r>
      <w:r>
        <w:rPr>
          <w:b/>
        </w:rPr>
        <w:t xml:space="preserve">Süregelen zorlu ekonomik koşullara rağmen, 2025'te </w:t>
      </w:r>
      <w:r w:rsidR="000B36A5" w:rsidRPr="000B36A5">
        <w:rPr>
          <w:b/>
        </w:rPr>
        <w:t>Henkel’i başarıyla ileriye taşıdık</w:t>
      </w:r>
      <w:r w:rsidR="000B36A5">
        <w:rPr>
          <w:b/>
        </w:rPr>
        <w:t xml:space="preserve">. </w:t>
      </w:r>
      <w:r>
        <w:rPr>
          <w:b/>
        </w:rPr>
        <w:t>Önemli hedeflere ulaştık, hatta bu hedefleri aştık ve şirketimizin dönüşümünü sürdürdük. Satışlarımızda organik artış sağladık ve şirketimizin k</w:t>
      </w:r>
      <w:r w:rsidR="00CD0B64" w:rsidRPr="00CD0B64">
        <w:rPr>
          <w:b/>
        </w:rPr>
        <w:t>â</w:t>
      </w:r>
      <w:r>
        <w:rPr>
          <w:b/>
        </w:rPr>
        <w:t>rlılığını önemli ölçüde yükselttik. Hissedarlarımızın da şirketin başarılı gelişimine katılmaları</w:t>
      </w:r>
      <w:r w:rsidR="002D45DA">
        <w:rPr>
          <w:b/>
        </w:rPr>
        <w:t xml:space="preserve">nı </w:t>
      </w:r>
      <w:r w:rsidR="002465D4" w:rsidRPr="002465D4">
        <w:rPr>
          <w:b/>
        </w:rPr>
        <w:t>sağlamak istiyoruz</w:t>
      </w:r>
      <w:r w:rsidR="002D45DA">
        <w:rPr>
          <w:b/>
        </w:rPr>
        <w:t>.</w:t>
      </w:r>
      <w:r>
        <w:rPr>
          <w:b/>
        </w:rPr>
        <w:t xml:space="preserve"> Bu doğrultuda, yüzde 1,5 oranında bir temettü artışı önereceğiz."</w:t>
      </w:r>
      <w:r w:rsidR="00EF4C90">
        <w:rPr>
          <w:b/>
        </w:rPr>
        <w:t xml:space="preserve"> şeklinde konuştu.</w:t>
      </w:r>
    </w:p>
    <w:bookmarkEnd w:id="5"/>
    <w:p w14:paraId="76DA59A6" w14:textId="77777777" w:rsidR="00456F1E" w:rsidRPr="005F750F" w:rsidRDefault="00456F1E" w:rsidP="00456F1E">
      <w:pPr>
        <w:rPr>
          <w:rFonts w:cs="Segoe UI"/>
          <w:b/>
          <w:bCs/>
          <w:szCs w:val="22"/>
        </w:rPr>
      </w:pPr>
    </w:p>
    <w:p w14:paraId="1F6D1AFD" w14:textId="09EFB1C3" w:rsidR="006D4D0C" w:rsidRPr="006D4D0C" w:rsidRDefault="006D4D0C" w:rsidP="006D4D0C">
      <w:pPr>
        <w:rPr>
          <w:rFonts w:cs="Segoe UI"/>
          <w:b/>
          <w:bCs/>
          <w:szCs w:val="22"/>
        </w:rPr>
      </w:pPr>
      <w:bookmarkStart w:id="6" w:name="_Hlk190777016"/>
      <w:r>
        <w:rPr>
          <w:b/>
        </w:rPr>
        <w:t xml:space="preserve">Carsten Knobel sözlerini, "Yapıştırıcı Teknolojileri </w:t>
      </w:r>
      <w:r w:rsidR="000142AC">
        <w:rPr>
          <w:b/>
        </w:rPr>
        <w:t xml:space="preserve">ve </w:t>
      </w:r>
      <w:r>
        <w:rPr>
          <w:b/>
        </w:rPr>
        <w:t>Tüketici Markaları</w:t>
      </w:r>
      <w:r w:rsidR="000142AC">
        <w:rPr>
          <w:b/>
        </w:rPr>
        <w:t xml:space="preserve"> olmak üzere her iki iş birimimizde de</w:t>
      </w:r>
      <w:r>
        <w:rPr>
          <w:b/>
        </w:rPr>
        <w:t xml:space="preserve"> organik satış büyümesi yakaladık ve k</w:t>
      </w:r>
      <w:r w:rsidR="00FA0BEB">
        <w:rPr>
          <w:rFonts w:cs="Segoe UI"/>
          <w:b/>
        </w:rPr>
        <w:t>â</w:t>
      </w:r>
      <w:r>
        <w:rPr>
          <w:b/>
        </w:rPr>
        <w:t>rlılı</w:t>
      </w:r>
      <w:r w:rsidR="000142AC">
        <w:rPr>
          <w:b/>
        </w:rPr>
        <w:t>ğımızı</w:t>
      </w:r>
      <w:r>
        <w:rPr>
          <w:b/>
        </w:rPr>
        <w:t xml:space="preserve"> daha da yükselttik. Bunu esasen daha fazla inovasyon, devam eden maliyet tasarrufu tedbirleri ve verimlilik iyileştirmelerinin yanı sıra</w:t>
      </w:r>
      <w:r w:rsidR="000142AC">
        <w:rPr>
          <w:b/>
        </w:rPr>
        <w:t>,</w:t>
      </w:r>
      <w:r>
        <w:rPr>
          <w:b/>
        </w:rPr>
        <w:t xml:space="preserve"> yüksek marjlı alanlarda daha güçlü büyüme ile sağladık. Tüketici Markaları </w:t>
      </w:r>
      <w:r w:rsidR="000142AC">
        <w:rPr>
          <w:b/>
        </w:rPr>
        <w:t>İ</w:t>
      </w:r>
      <w:r>
        <w:rPr>
          <w:b/>
        </w:rPr>
        <w:t xml:space="preserve">ş </w:t>
      </w:r>
      <w:r w:rsidR="000142AC">
        <w:rPr>
          <w:b/>
        </w:rPr>
        <w:t>B</w:t>
      </w:r>
      <w:r>
        <w:rPr>
          <w:b/>
        </w:rPr>
        <w:t>irimi</w:t>
      </w:r>
      <w:r w:rsidR="000142AC">
        <w:rPr>
          <w:b/>
        </w:rPr>
        <w:t>’</w:t>
      </w:r>
      <w:r>
        <w:rPr>
          <w:b/>
        </w:rPr>
        <w:t>ndeki marj artışı, tamamlanan entegrasyon süreci, devam eden tasarruflar ve ürün portföyünün hedef</w:t>
      </w:r>
      <w:r w:rsidR="000142AC">
        <w:rPr>
          <w:b/>
        </w:rPr>
        <w:t>e yönelik</w:t>
      </w:r>
      <w:r>
        <w:rPr>
          <w:b/>
        </w:rPr>
        <w:t xml:space="preserve"> iyileştirilmesi</w:t>
      </w:r>
      <w:r w:rsidR="00F51A3D">
        <w:rPr>
          <w:b/>
        </w:rPr>
        <w:t xml:space="preserve"> i</w:t>
      </w:r>
      <w:r w:rsidR="000142AC">
        <w:rPr>
          <w:b/>
        </w:rPr>
        <w:t>le sağlandı.</w:t>
      </w:r>
      <w:r>
        <w:rPr>
          <w:b/>
        </w:rPr>
        <w:t xml:space="preserve"> Aynı zamanda, inovasyon, sürdürülebilirlik ve dijitalleşme gibi alanlarda </w:t>
      </w:r>
      <w:r w:rsidR="00F51A3D">
        <w:rPr>
          <w:b/>
        </w:rPr>
        <w:t xml:space="preserve">markalarımızı güçlendirerek </w:t>
      </w:r>
      <w:r>
        <w:rPr>
          <w:b/>
        </w:rPr>
        <w:t>her iki iş biriminin de geleceğine yatırım yapmaya devam ettik. Ayrıca, son üç ay boyunca, iş</w:t>
      </w:r>
      <w:r w:rsidR="00F51A3D">
        <w:rPr>
          <w:b/>
        </w:rPr>
        <w:t xml:space="preserve"> birimlerimizi</w:t>
      </w:r>
      <w:r>
        <w:rPr>
          <w:b/>
        </w:rPr>
        <w:t xml:space="preserve"> güçlendirmek ve büyüme potansiyellerini artırmak amacıyla, her iki iş biriminde toplam satış miktarı yaklaşık 1,2 milyar Euro'ya ulaşan satın almalar üzerinde anlaşmaya vardık. 2025 yılında elde edilen sonuçlar, sürdürülebilir ve ama</w:t>
      </w:r>
      <w:r w:rsidR="00F51A3D">
        <w:rPr>
          <w:b/>
        </w:rPr>
        <w:t>ca</w:t>
      </w:r>
      <w:r>
        <w:rPr>
          <w:b/>
        </w:rPr>
        <w:t xml:space="preserve"> </w:t>
      </w:r>
      <w:r w:rsidR="00F51A3D">
        <w:rPr>
          <w:b/>
        </w:rPr>
        <w:t xml:space="preserve">yönelik </w:t>
      </w:r>
      <w:r>
        <w:rPr>
          <w:b/>
        </w:rPr>
        <w:t xml:space="preserve">büyüme stratejimizle doğru yolda </w:t>
      </w:r>
      <w:r w:rsidR="004F0DC0">
        <w:rPr>
          <w:b/>
        </w:rPr>
        <w:t xml:space="preserve">ilerlediğimizi </w:t>
      </w:r>
      <w:r>
        <w:rPr>
          <w:b/>
        </w:rPr>
        <w:t>ve şirketi gelece</w:t>
      </w:r>
      <w:r w:rsidR="00F51A3D">
        <w:rPr>
          <w:b/>
        </w:rPr>
        <w:t>k için</w:t>
      </w:r>
      <w:r>
        <w:rPr>
          <w:b/>
        </w:rPr>
        <w:t xml:space="preserve"> etkili bir şekilde </w:t>
      </w:r>
      <w:r w:rsidR="00F51A3D">
        <w:rPr>
          <w:b/>
        </w:rPr>
        <w:t>konumlandırdığımızı</w:t>
      </w:r>
      <w:r>
        <w:rPr>
          <w:b/>
        </w:rPr>
        <w:t xml:space="preserve"> açıkça göstermektedir. </w:t>
      </w:r>
      <w:bookmarkEnd w:id="6"/>
      <w:r>
        <w:rPr>
          <w:b/>
        </w:rPr>
        <w:t xml:space="preserve">Bu durum, 2026 mali yılına ilişkin </w:t>
      </w:r>
      <w:r w:rsidR="00F51A3D">
        <w:rPr>
          <w:b/>
        </w:rPr>
        <w:t>öngörümüze</w:t>
      </w:r>
      <w:r>
        <w:rPr>
          <w:b/>
        </w:rPr>
        <w:t xml:space="preserve"> de yansı</w:t>
      </w:r>
      <w:r w:rsidR="00343CCB">
        <w:rPr>
          <w:b/>
        </w:rPr>
        <w:t xml:space="preserve">maktadır. </w:t>
      </w:r>
      <w:r>
        <w:rPr>
          <w:b/>
        </w:rPr>
        <w:t>Bu</w:t>
      </w:r>
      <w:r w:rsidR="00F51A3D">
        <w:rPr>
          <w:b/>
        </w:rPr>
        <w:t>na</w:t>
      </w:r>
      <w:r>
        <w:rPr>
          <w:b/>
        </w:rPr>
        <w:t xml:space="preserve"> göre, nispeten daha </w:t>
      </w:r>
      <w:r w:rsidR="00756EAB">
        <w:rPr>
          <w:b/>
        </w:rPr>
        <w:t xml:space="preserve">temkinli </w:t>
      </w:r>
      <w:r>
        <w:rPr>
          <w:b/>
        </w:rPr>
        <w:t xml:space="preserve">bir başlangıcın ardından yılın tamamında satış ve </w:t>
      </w:r>
      <w:r w:rsidR="00193133" w:rsidRPr="00193133">
        <w:rPr>
          <w:b/>
        </w:rPr>
        <w:t>kârlılıkta</w:t>
      </w:r>
      <w:r>
        <w:rPr>
          <w:b/>
        </w:rPr>
        <w:t xml:space="preserve"> </w:t>
      </w:r>
      <w:r w:rsidR="00307054">
        <w:rPr>
          <w:b/>
        </w:rPr>
        <w:t>ilave</w:t>
      </w:r>
      <w:r>
        <w:rPr>
          <w:b/>
        </w:rPr>
        <w:t xml:space="preserve"> büyüme bekliyoruz. Tüm çalışanlarımıza </w:t>
      </w:r>
      <w:r w:rsidR="006050B4">
        <w:rPr>
          <w:b/>
        </w:rPr>
        <w:t xml:space="preserve">gösterdikleri </w:t>
      </w:r>
      <w:r>
        <w:rPr>
          <w:b/>
        </w:rPr>
        <w:t xml:space="preserve">olağanüstü performansları için teşekkür etmek istiyorum. </w:t>
      </w:r>
      <w:r w:rsidR="001B1D5F">
        <w:rPr>
          <w:b/>
        </w:rPr>
        <w:t>T</w:t>
      </w:r>
      <w:r>
        <w:rPr>
          <w:b/>
        </w:rPr>
        <w:t>akım ruh</w:t>
      </w:r>
      <w:r w:rsidR="001B1D5F">
        <w:rPr>
          <w:b/>
        </w:rPr>
        <w:t>ları</w:t>
      </w:r>
      <w:r>
        <w:rPr>
          <w:b/>
        </w:rPr>
        <w:t xml:space="preserve"> ve </w:t>
      </w:r>
      <w:r w:rsidR="001B1D5F">
        <w:rPr>
          <w:b/>
        </w:rPr>
        <w:t xml:space="preserve">güçlü </w:t>
      </w:r>
      <w:r>
        <w:rPr>
          <w:b/>
        </w:rPr>
        <w:t xml:space="preserve">bağlılıkları sayesinde, şirketimizi zorlu bir ortamda </w:t>
      </w:r>
      <w:r w:rsidR="001B1D5F" w:rsidRPr="001B1D5F">
        <w:rPr>
          <w:b/>
        </w:rPr>
        <w:t>bir kez daha güvenle ileriye taşıdık</w:t>
      </w:r>
      <w:r w:rsidR="00E47259">
        <w:rPr>
          <w:b/>
        </w:rPr>
        <w:t>.</w:t>
      </w:r>
      <w:r>
        <w:rPr>
          <w:b/>
        </w:rPr>
        <w:t xml:space="preserve">" </w:t>
      </w:r>
      <w:r w:rsidR="00414991">
        <w:rPr>
          <w:b/>
        </w:rPr>
        <w:t xml:space="preserve">şeklinde </w:t>
      </w:r>
      <w:r>
        <w:rPr>
          <w:b/>
        </w:rPr>
        <w:t>sonlandırdı.</w:t>
      </w:r>
    </w:p>
    <w:p w14:paraId="59F5F4F0" w14:textId="77777777" w:rsidR="006D4D0C" w:rsidRPr="005F750F" w:rsidRDefault="006D4D0C" w:rsidP="001274FA">
      <w:pPr>
        <w:spacing w:after="120"/>
        <w:rPr>
          <w:rFonts w:cs="Segoe UI"/>
          <w:b/>
          <w:bCs/>
          <w:szCs w:val="22"/>
          <w:lang w:eastAsia="de-DE"/>
        </w:rPr>
      </w:pPr>
    </w:p>
    <w:p w14:paraId="2706BE4B" w14:textId="4542CAF1" w:rsidR="000C47D1" w:rsidRPr="006D4D0C" w:rsidRDefault="006D4D0C" w:rsidP="001274FA">
      <w:pPr>
        <w:spacing w:after="120"/>
        <w:rPr>
          <w:rFonts w:cs="Segoe UI"/>
          <w:b/>
          <w:bCs/>
          <w:szCs w:val="22"/>
        </w:rPr>
      </w:pPr>
      <w:r>
        <w:rPr>
          <w:b/>
        </w:rPr>
        <w:t>2025 Mali Yılında Grup Genelinde Satış ve Kar Performansı</w:t>
      </w:r>
    </w:p>
    <w:p w14:paraId="187DB93D" w14:textId="673879F3" w:rsidR="003C5801" w:rsidRDefault="003C5801" w:rsidP="003C5801">
      <w:r>
        <w:t xml:space="preserve">2025 mali yılında Henkel </w:t>
      </w:r>
      <w:r>
        <w:rPr>
          <w:b/>
          <w:bCs/>
        </w:rPr>
        <w:t>Gru</w:t>
      </w:r>
      <w:r w:rsidR="0045594D">
        <w:rPr>
          <w:b/>
          <w:bCs/>
        </w:rPr>
        <w:t>bu</w:t>
      </w:r>
      <w:r>
        <w:rPr>
          <w:b/>
          <w:bCs/>
        </w:rPr>
        <w:t>'</w:t>
      </w:r>
      <w:r w:rsidR="0045594D">
        <w:rPr>
          <w:b/>
          <w:bCs/>
        </w:rPr>
        <w:t>n</w:t>
      </w:r>
      <w:r>
        <w:rPr>
          <w:b/>
          <w:bCs/>
        </w:rPr>
        <w:t>un satışları</w:t>
      </w:r>
      <w:r>
        <w:t>, bir</w:t>
      </w:r>
      <w:r w:rsidR="00B66FA7">
        <w:t xml:space="preserve"> yıllık dönemde</w:t>
      </w:r>
      <w:r>
        <w:t xml:space="preserve"> </w:t>
      </w:r>
      <w:r w:rsidR="00B66FA7">
        <w:t>yüzde -</w:t>
      </w:r>
      <w:r>
        <w:t xml:space="preserve">5,1 </w:t>
      </w:r>
      <w:r w:rsidR="00B66FA7">
        <w:t xml:space="preserve">oranında </w:t>
      </w:r>
      <w:r>
        <w:t>nominal düşüşle 20,495 milyar Euro olarak gerçekleşti. Döviz kurları satışlar üzerinde yüzde -4,2 oranında negatif bir etki yarattı.  Döviz kurları</w:t>
      </w:r>
      <w:r w:rsidR="00B66FA7">
        <w:t>na göre düzeltilmiş olarak</w:t>
      </w:r>
      <w:r>
        <w:t xml:space="preserve"> satışlardaki değişim </w:t>
      </w:r>
      <w:r w:rsidR="00B66FA7">
        <w:t xml:space="preserve">yüzde </w:t>
      </w:r>
      <w:r>
        <w:t>-0,8 olarak gerçekleşti. Satın alma</w:t>
      </w:r>
      <w:r w:rsidR="006779CD">
        <w:t xml:space="preserve"> </w:t>
      </w:r>
      <w:r>
        <w:t>/</w:t>
      </w:r>
      <w:r w:rsidR="006779CD">
        <w:t xml:space="preserve"> </w:t>
      </w:r>
      <w:r>
        <w:t xml:space="preserve">elden çıkarmalar da satışlar üzerinde yüzde -1,7 oranında olumsuz bir etki yarattı. Bu gerileme, temel olarak Tüketici Markaları </w:t>
      </w:r>
      <w:r w:rsidR="00B66FA7">
        <w:t>İ</w:t>
      </w:r>
      <w:r>
        <w:t xml:space="preserve">ş </w:t>
      </w:r>
      <w:r w:rsidR="00B66FA7">
        <w:t>B</w:t>
      </w:r>
      <w:r>
        <w:t xml:space="preserve">irimi kapsamında Kuzey Amerika'daki Perakende Markaları </w:t>
      </w:r>
      <w:r w:rsidR="006779CD">
        <w:t>iş kolunun</w:t>
      </w:r>
      <w:r>
        <w:t xml:space="preserve"> satılmasından kaynaklandı. </w:t>
      </w:r>
      <w:r>
        <w:rPr>
          <w:b/>
          <w:bCs/>
        </w:rPr>
        <w:lastRenderedPageBreak/>
        <w:t>Satışlardaki</w:t>
      </w:r>
      <w:r>
        <w:t xml:space="preserve"> </w:t>
      </w:r>
      <w:r>
        <w:rPr>
          <w:b/>
        </w:rPr>
        <w:t xml:space="preserve">organik büyüme </w:t>
      </w:r>
      <w:r w:rsidR="006779CD">
        <w:t>(</w:t>
      </w:r>
      <w:r w:rsidR="006779CD" w:rsidRPr="006779CD">
        <w:t>döviz kurları ve satın alma</w:t>
      </w:r>
      <w:r w:rsidR="00D936A0">
        <w:t>lar</w:t>
      </w:r>
      <w:r w:rsidR="006779CD" w:rsidRPr="006779CD">
        <w:t xml:space="preserve"> / elden çıkarmalara göre düzeltilmiş</w:t>
      </w:r>
      <w:r w:rsidR="006779CD">
        <w:t xml:space="preserve">), pozitif yönde </w:t>
      </w:r>
      <w:r>
        <w:t xml:space="preserve">yüzde 0,9 </w:t>
      </w:r>
      <w:r w:rsidR="006779CD">
        <w:t>oranında</w:t>
      </w:r>
      <w:r>
        <w:t xml:space="preserve"> gerçekleşti. Bu artışın altında yatan temel etken fiyatlar olurken, miktar</w:t>
      </w:r>
      <w:r w:rsidR="006779CD">
        <w:t>lar</w:t>
      </w:r>
      <w:r>
        <w:t xml:space="preserve"> ise bir önceki yıla göre sabit kaldı.</w:t>
      </w:r>
    </w:p>
    <w:p w14:paraId="10A7BEEE" w14:textId="77777777" w:rsidR="00D86AF3" w:rsidRPr="00C83BA4" w:rsidRDefault="00D86AF3" w:rsidP="003C5801">
      <w:pPr>
        <w:rPr>
          <w:rFonts w:cs="Segoe UI"/>
          <w:szCs w:val="22"/>
        </w:rPr>
      </w:pPr>
    </w:p>
    <w:p w14:paraId="688727F1" w14:textId="7E1FC3CF" w:rsidR="003663FD" w:rsidRPr="005F750F" w:rsidRDefault="003663FD" w:rsidP="006C4B3D">
      <w:pPr>
        <w:rPr>
          <w:rFonts w:cs="Segoe UI"/>
          <w:szCs w:val="22"/>
        </w:rPr>
      </w:pPr>
      <w:r>
        <w:rPr>
          <w:b/>
          <w:bCs/>
        </w:rPr>
        <w:t>Yapıştırıcı Teknolojileri</w:t>
      </w:r>
      <w:r>
        <w:t xml:space="preserve"> </w:t>
      </w:r>
      <w:r w:rsidR="002911BF">
        <w:t>İ</w:t>
      </w:r>
      <w:r>
        <w:t xml:space="preserve">ş </w:t>
      </w:r>
      <w:r w:rsidR="002911BF">
        <w:t>B</w:t>
      </w:r>
      <w:r>
        <w:t xml:space="preserve">irimi, özellikle Mobilite ve Elektronik iş alanının etkisiyle yüzde 1,5'lik iyi bir organik satış büyümesi kaydetti. </w:t>
      </w:r>
      <w:r>
        <w:rPr>
          <w:b/>
        </w:rPr>
        <w:t xml:space="preserve">Tüketici Markaları </w:t>
      </w:r>
      <w:r w:rsidR="00D34F7C" w:rsidRPr="001524F4">
        <w:t>İ</w:t>
      </w:r>
      <w:r>
        <w:t xml:space="preserve">ş </w:t>
      </w:r>
      <w:r w:rsidR="00D34F7C">
        <w:t>B</w:t>
      </w:r>
      <w:r>
        <w:t>irimi</w:t>
      </w:r>
      <w:r w:rsidR="00D34F7C">
        <w:t xml:space="preserve"> ise</w:t>
      </w:r>
      <w:r>
        <w:t>, özellikle Saç iş alanının etkisiyle yüzde 0,3 oranında pozitif bir organik satış büyümesi kaydetti.</w:t>
      </w:r>
    </w:p>
    <w:p w14:paraId="74F99411" w14:textId="77777777" w:rsidR="006019EB" w:rsidRPr="005F750F" w:rsidRDefault="006019EB" w:rsidP="00D51576">
      <w:pPr>
        <w:rPr>
          <w:rFonts w:cs="Segoe UI"/>
          <w:szCs w:val="22"/>
        </w:rPr>
      </w:pPr>
    </w:p>
    <w:p w14:paraId="2292907A" w14:textId="408F9C32" w:rsidR="00CE32F0" w:rsidRPr="005F750F" w:rsidRDefault="003663FD" w:rsidP="00CE32F0">
      <w:pPr>
        <w:rPr>
          <w:rFonts w:cs="Segoe UI"/>
          <w:szCs w:val="22"/>
        </w:rPr>
      </w:pPr>
      <w:r>
        <w:rPr>
          <w:b/>
          <w:bCs/>
        </w:rPr>
        <w:t>Düzeltilmiş faaliyet karı (düzeltilmiş VFÖK)</w:t>
      </w:r>
      <w:r>
        <w:t>, öncelikle döviz kurlarının kayda değer olumsuz etkisiyle</w:t>
      </w:r>
      <w:r w:rsidR="00410761">
        <w:t>,</w:t>
      </w:r>
      <w:r>
        <w:t xml:space="preserve"> bir önceki yılki seviyenin (2024: 3,089 milyar Euro) altında, 3,026 milyar Euro olarak gerçekleşti.</w:t>
      </w:r>
    </w:p>
    <w:p w14:paraId="57EC4476" w14:textId="77777777" w:rsidR="00CE32F0" w:rsidRPr="005F750F" w:rsidRDefault="00CE32F0" w:rsidP="00CE32F0">
      <w:pPr>
        <w:rPr>
          <w:rFonts w:cs="Segoe UI"/>
          <w:szCs w:val="22"/>
        </w:rPr>
      </w:pPr>
    </w:p>
    <w:p w14:paraId="0F4FCF0E" w14:textId="5F25D2C1" w:rsidR="00CE32F0" w:rsidRPr="005F750F" w:rsidRDefault="003663FD" w:rsidP="00CE32F0">
      <w:pPr>
        <w:rPr>
          <w:rFonts w:cs="Segoe UI"/>
          <w:szCs w:val="22"/>
        </w:rPr>
      </w:pPr>
      <w:r>
        <w:t xml:space="preserve">Öte yandan, incelenen yıldaki </w:t>
      </w:r>
      <w:r>
        <w:rPr>
          <w:b/>
          <w:bCs/>
        </w:rPr>
        <w:t>düzeltilmiş satış kazancı</w:t>
      </w:r>
      <w:r>
        <w:t xml:space="preserve"> </w:t>
      </w:r>
      <w:r>
        <w:rPr>
          <w:b/>
          <w:bCs/>
        </w:rPr>
        <w:t>(düzeltilmiş VFÖK marjı)</w:t>
      </w:r>
      <w:r>
        <w:t xml:space="preserve"> bir </w:t>
      </w:r>
      <w:r w:rsidR="00410761">
        <w:t>yıllık dönemde</w:t>
      </w:r>
      <w:r>
        <w:t xml:space="preserve"> artış göstererek yüzde 14,8 olarak gerçekleşti (2024: yüzde 14,3).</w:t>
      </w:r>
    </w:p>
    <w:p w14:paraId="05DF36A0" w14:textId="77777777" w:rsidR="00CE32F0" w:rsidRPr="005F750F" w:rsidRDefault="00CE32F0" w:rsidP="00D51576">
      <w:pPr>
        <w:rPr>
          <w:rFonts w:cs="Segoe UI"/>
          <w:szCs w:val="22"/>
        </w:rPr>
      </w:pPr>
    </w:p>
    <w:p w14:paraId="15D65414" w14:textId="062DB06C" w:rsidR="003663FD" w:rsidRDefault="003663FD" w:rsidP="00846017">
      <w:pPr>
        <w:rPr>
          <w:rFonts w:cs="Segoe UI"/>
          <w:szCs w:val="22"/>
        </w:rPr>
      </w:pPr>
      <w:bookmarkStart w:id="7" w:name="_Hlk190081485"/>
      <w:r>
        <w:rPr>
          <w:b/>
        </w:rPr>
        <w:t>İmtiyazlı hisse senedi başına k</w:t>
      </w:r>
      <w:r w:rsidR="001C236E">
        <w:rPr>
          <w:rFonts w:cs="Segoe UI"/>
          <w:b/>
        </w:rPr>
        <w:t>â</w:t>
      </w:r>
      <w:r>
        <w:rPr>
          <w:b/>
        </w:rPr>
        <w:t>rlılık</w:t>
      </w:r>
      <w:r>
        <w:t xml:space="preserve"> yüzde -0,6 gibi küçük bir gerilemeyle 5,33 Euro olarak gerçekleşti (2024: 5,36 Euro). Sabit kur ile imtiyazlı hisse senedi başına k</w:t>
      </w:r>
      <w:r w:rsidR="0079358A">
        <w:rPr>
          <w:rFonts w:cs="Segoe UI"/>
        </w:rPr>
        <w:t>â</w:t>
      </w:r>
      <w:r>
        <w:t xml:space="preserve">rlılık yüzde 4,7 oranında artış gösterdi. </w:t>
      </w:r>
    </w:p>
    <w:p w14:paraId="5166EAC4" w14:textId="77777777" w:rsidR="003663FD" w:rsidRDefault="003663FD" w:rsidP="00846017">
      <w:pPr>
        <w:rPr>
          <w:rFonts w:cs="Segoe UI"/>
          <w:szCs w:val="22"/>
        </w:rPr>
      </w:pPr>
    </w:p>
    <w:bookmarkEnd w:id="7"/>
    <w:p w14:paraId="31ACBEBE" w14:textId="3128A7AF" w:rsidR="003663FD" w:rsidRDefault="003818B6" w:rsidP="00841353">
      <w:pPr>
        <w:rPr>
          <w:rFonts w:cs="Segoe UI"/>
          <w:szCs w:val="22"/>
        </w:rPr>
      </w:pPr>
      <w:r>
        <w:rPr>
          <w:b/>
        </w:rPr>
        <w:t>Satış yüzdesi olarak n</w:t>
      </w:r>
      <w:r w:rsidR="003663FD">
        <w:rPr>
          <w:b/>
        </w:rPr>
        <w:t>et işletme sermayesi</w:t>
      </w:r>
      <w:r w:rsidR="003663FD">
        <w:t xml:space="preserve"> </w:t>
      </w:r>
      <w:r>
        <w:t xml:space="preserve">bir yıllık dönemde artış kaydederek </w:t>
      </w:r>
      <w:r w:rsidR="003663FD">
        <w:t xml:space="preserve">yüzde 3,8 </w:t>
      </w:r>
      <w:r>
        <w:t xml:space="preserve">seviyesine ulaştı </w:t>
      </w:r>
      <w:r w:rsidR="003663FD">
        <w:t>(2024: yüzde 3,0).</w:t>
      </w:r>
    </w:p>
    <w:p w14:paraId="22824E39" w14:textId="77777777" w:rsidR="00841353" w:rsidRPr="005F750F" w:rsidRDefault="00841353" w:rsidP="00841353">
      <w:pPr>
        <w:rPr>
          <w:rFonts w:cs="Segoe UI"/>
          <w:szCs w:val="22"/>
        </w:rPr>
      </w:pPr>
    </w:p>
    <w:p w14:paraId="5C6A2D6D" w14:textId="3C9EA7DF" w:rsidR="00740F23" w:rsidRPr="005F750F" w:rsidRDefault="003663FD" w:rsidP="00841353">
      <w:pPr>
        <w:rPr>
          <w:rFonts w:cs="Segoe UI"/>
          <w:szCs w:val="22"/>
        </w:rPr>
      </w:pPr>
      <w:r>
        <w:rPr>
          <w:b/>
          <w:bCs/>
        </w:rPr>
        <w:t>Serbest nakit akışı</w:t>
      </w:r>
      <w:r>
        <w:t>, bir önceki yılda kaydedilen seviyenin (2024: 2,362 milyar Euro) altında, 1,85</w:t>
      </w:r>
      <w:r w:rsidR="00701857">
        <w:t>0</w:t>
      </w:r>
      <w:r>
        <w:t xml:space="preserve"> milyar Euro olarak gerçekleşti. Bu </w:t>
      </w:r>
      <w:r w:rsidR="00701857">
        <w:t>durum</w:t>
      </w:r>
      <w:r>
        <w:t xml:space="preserve">, net işletme sermayesindeki değişimler ve </w:t>
      </w:r>
      <w:r w:rsidR="003D448E">
        <w:t xml:space="preserve">kur </w:t>
      </w:r>
      <w:r w:rsidR="00CA352F">
        <w:t>çevriminden kaynaklanan</w:t>
      </w:r>
      <w:r>
        <w:t xml:space="preserve"> etkiler</w:t>
      </w:r>
      <w:r w:rsidR="009129F0">
        <w:t>den ileri gelmektedir</w:t>
      </w:r>
      <w:r>
        <w:t>.</w:t>
      </w:r>
      <w:bookmarkStart w:id="8" w:name="_Hlk190081658"/>
    </w:p>
    <w:p w14:paraId="4F8FDF20" w14:textId="77777777" w:rsidR="00740F23" w:rsidRPr="005F750F" w:rsidRDefault="00740F23" w:rsidP="007863BF">
      <w:pPr>
        <w:rPr>
          <w:rFonts w:cs="Segoe UI"/>
          <w:szCs w:val="22"/>
        </w:rPr>
      </w:pPr>
    </w:p>
    <w:p w14:paraId="33A51494" w14:textId="4073662A" w:rsidR="00740F23" w:rsidRPr="005F750F" w:rsidRDefault="00DE4DB3" w:rsidP="007863BF">
      <w:pPr>
        <w:rPr>
          <w:rFonts w:cs="Segoe UI"/>
          <w:szCs w:val="22"/>
        </w:rPr>
      </w:pPr>
      <w:r>
        <w:t xml:space="preserve">Temettü ve hisse geri alım programı nedeniyle nakit çıkışları yaşansa da </w:t>
      </w:r>
      <w:r>
        <w:rPr>
          <w:b/>
          <w:bCs/>
        </w:rPr>
        <w:t>net mali durum</w:t>
      </w:r>
      <w:r>
        <w:t xml:space="preserve"> 109 milyon Euro ile bir önceki yılın üzerinde (31 Aralık 2024: -93 milyon Euro) gerçekleşmiştir.</w:t>
      </w:r>
    </w:p>
    <w:bookmarkEnd w:id="8"/>
    <w:p w14:paraId="463E60F7" w14:textId="77777777" w:rsidR="003F4E93" w:rsidRPr="005F750F" w:rsidRDefault="003F4E93" w:rsidP="004C0686">
      <w:pPr>
        <w:rPr>
          <w:rFonts w:cs="Segoe UI"/>
        </w:rPr>
      </w:pPr>
    </w:p>
    <w:p w14:paraId="10505EAC" w14:textId="6ABEDFEA" w:rsidR="00DE4DB3" w:rsidRDefault="00DE4DB3" w:rsidP="004C0686">
      <w:pPr>
        <w:rPr>
          <w:rFonts w:cs="Segoe UI"/>
        </w:rPr>
      </w:pPr>
      <w:r>
        <w:t xml:space="preserve">Yönetim Kurulu, Denetleme Kurulu ve Hissedarlar Komitesi, 27 Nisan 2026 tarihinde yapılacak </w:t>
      </w:r>
      <w:r w:rsidR="00407A6C" w:rsidRPr="00407A6C">
        <w:t>Olağan Genel Kurul</w:t>
      </w:r>
      <w:r w:rsidR="00407A6C">
        <w:t>’da</w:t>
      </w:r>
      <w:r w:rsidR="000310FE">
        <w:t>,</w:t>
      </w:r>
      <w:r>
        <w:t xml:space="preserve"> önceki yıla kıyasla yüzde 1,5 artışla imtiyazlı hisse senedi başına 2,07 Euro, </w:t>
      </w:r>
      <w:r w:rsidR="00944DEE" w:rsidRPr="00944DEE">
        <w:t xml:space="preserve">adi hisse </w:t>
      </w:r>
      <w:r w:rsidR="00B647F5">
        <w:t xml:space="preserve">senedi </w:t>
      </w:r>
      <w:r w:rsidR="00944DEE" w:rsidRPr="00944DEE">
        <w:t xml:space="preserve">başına </w:t>
      </w:r>
      <w:r>
        <w:t xml:space="preserve">ise 2,05 Euro </w:t>
      </w:r>
      <w:r>
        <w:rPr>
          <w:b/>
          <w:bCs/>
        </w:rPr>
        <w:t>temettü</w:t>
      </w:r>
      <w:r>
        <w:t xml:space="preserve"> önerecektir. Temettü artışı, Henkel Gru</w:t>
      </w:r>
      <w:r w:rsidR="00F96473">
        <w:t>bu</w:t>
      </w:r>
      <w:r>
        <w:t>'</w:t>
      </w:r>
      <w:r w:rsidR="00F96473">
        <w:t>n</w:t>
      </w:r>
      <w:r>
        <w:t xml:space="preserve">un geçtiğimiz mali yıldaki başarılı </w:t>
      </w:r>
      <w:r w:rsidR="000310FE">
        <w:t xml:space="preserve">finansal </w:t>
      </w:r>
      <w:r>
        <w:t xml:space="preserve">performansı ve güçlü mali </w:t>
      </w:r>
      <w:r w:rsidR="000310FE">
        <w:t>yapısı</w:t>
      </w:r>
      <w:r>
        <w:t xml:space="preserve"> sayesinde mümkün olmuştur. Yüzde 37,9 </w:t>
      </w:r>
      <w:r w:rsidR="000310FE">
        <w:t xml:space="preserve">olarak </w:t>
      </w:r>
      <w:r>
        <w:t>değişmeden kalan ödeme oranı</w:t>
      </w:r>
      <w:r w:rsidR="000310FE">
        <w:t>,</w:t>
      </w:r>
      <w:r>
        <w:t xml:space="preserve"> yüzde 30 il</w:t>
      </w:r>
      <w:r w:rsidR="000310FE">
        <w:t>e</w:t>
      </w:r>
      <w:r>
        <w:t xml:space="preserve"> 40 </w:t>
      </w:r>
      <w:r w:rsidR="000310FE">
        <w:t xml:space="preserve">arasında olan </w:t>
      </w:r>
      <w:r>
        <w:t>hedef aralığı içinde</w:t>
      </w:r>
      <w:r w:rsidR="000310FE">
        <w:t>dir.</w:t>
      </w:r>
      <w:r>
        <w:t xml:space="preserve"> </w:t>
      </w:r>
    </w:p>
    <w:p w14:paraId="3A63A046" w14:textId="4B63A259" w:rsidR="002464E3" w:rsidRPr="005F750F" w:rsidRDefault="002464E3" w:rsidP="001274FA">
      <w:pPr>
        <w:rPr>
          <w:rFonts w:cs="Segoe UI"/>
          <w:szCs w:val="22"/>
        </w:rPr>
      </w:pPr>
    </w:p>
    <w:p w14:paraId="2E56F5E3" w14:textId="2FB753D6" w:rsidR="003C2AB0" w:rsidRDefault="003C2AB0">
      <w:pPr>
        <w:spacing w:line="240" w:lineRule="auto"/>
        <w:jc w:val="left"/>
        <w:rPr>
          <w:rFonts w:cs="Segoe UI"/>
          <w:b/>
          <w:bCs/>
          <w:szCs w:val="22"/>
        </w:rPr>
      </w:pPr>
      <w:r>
        <w:br w:type="page"/>
      </w:r>
    </w:p>
    <w:p w14:paraId="4649C4D4" w14:textId="7103801E" w:rsidR="00846017" w:rsidRPr="00B312F1" w:rsidRDefault="00DE4DB3" w:rsidP="00CD1F32">
      <w:pPr>
        <w:spacing w:after="120"/>
        <w:rPr>
          <w:rFonts w:cs="Segoe UI"/>
          <w:b/>
          <w:bCs/>
          <w:szCs w:val="22"/>
        </w:rPr>
      </w:pPr>
      <w:r>
        <w:rPr>
          <w:b/>
        </w:rPr>
        <w:lastRenderedPageBreak/>
        <w:t>2025 Mali Yılında İş Birimi Performansı</w:t>
      </w:r>
    </w:p>
    <w:p w14:paraId="50922014" w14:textId="22A8FA00" w:rsidR="004A2703" w:rsidRPr="005F750F" w:rsidRDefault="00B312F1" w:rsidP="00B312F1">
      <w:pPr>
        <w:rPr>
          <w:rFonts w:cs="Segoe UI"/>
          <w:szCs w:val="22"/>
        </w:rPr>
      </w:pPr>
      <w:r>
        <w:rPr>
          <w:b/>
          <w:bCs/>
        </w:rPr>
        <w:t>Yapıştırıcı Teknolojileri</w:t>
      </w:r>
      <w:r>
        <w:t xml:space="preserve"> </w:t>
      </w:r>
      <w:r w:rsidR="00821014">
        <w:t>İ</w:t>
      </w:r>
      <w:r>
        <w:t xml:space="preserve">ş </w:t>
      </w:r>
      <w:r w:rsidR="00821014">
        <w:t>B</w:t>
      </w:r>
      <w:r>
        <w:t>irimi</w:t>
      </w:r>
      <w:r w:rsidR="00821014">
        <w:t>’</w:t>
      </w:r>
      <w:r>
        <w:t xml:space="preserve">nin </w:t>
      </w:r>
      <w:r>
        <w:rPr>
          <w:b/>
          <w:bCs/>
        </w:rPr>
        <w:t>satışlarında</w:t>
      </w:r>
      <w:r>
        <w:t xml:space="preserve"> ilgili yılda toplam 10,667 milyar Euro ile nominal olarak bir </w:t>
      </w:r>
      <w:r w:rsidR="00821014">
        <w:t>yıllık dönemde</w:t>
      </w:r>
      <w:r>
        <w:t xml:space="preserve"> yüzde -2,8 </w:t>
      </w:r>
      <w:r w:rsidR="00821014">
        <w:t xml:space="preserve">oranında </w:t>
      </w:r>
      <w:r>
        <w:t>değişim kaydedilmiştir. Kur etkileri satışları yüzde -4,1 oranında düşürmüştür. Satın almalar ve elden çıkarmaların</w:t>
      </w:r>
      <w:r w:rsidR="00821014">
        <w:t xml:space="preserve"> ise</w:t>
      </w:r>
      <w:r>
        <w:t xml:space="preserve"> yüzde -0,1'lik bir etkisi görülmüştür. Satışlar </w:t>
      </w:r>
      <w:r>
        <w:rPr>
          <w:b/>
        </w:rPr>
        <w:t>organik</w:t>
      </w:r>
      <w:r>
        <w:t xml:space="preserve"> olarak yüzde 1,5 oranında arttı. Satışlardaki bu artış, özellikle bazı hedef pazarlarda</w:t>
      </w:r>
      <w:r w:rsidR="0020242B">
        <w:t xml:space="preserve"> hafif ölçekte</w:t>
      </w:r>
      <w:r>
        <w:t xml:space="preserve"> artan talebin etkisiyle</w:t>
      </w:r>
      <w:r w:rsidR="0020242B">
        <w:t>,</w:t>
      </w:r>
      <w:r>
        <w:t xml:space="preserve"> yılın ikinci yarısında bir önceki yıla kıyasla gerçekleşen </w:t>
      </w:r>
      <w:r w:rsidR="00821014">
        <w:t xml:space="preserve">pozitif </w:t>
      </w:r>
      <w:r>
        <w:t xml:space="preserve">bir miktar </w:t>
      </w:r>
      <w:r w:rsidR="00821014">
        <w:t>gelişimine</w:t>
      </w:r>
      <w:r>
        <w:t xml:space="preserve"> dayanmaktadır. </w:t>
      </w:r>
      <w:bookmarkStart w:id="9" w:name="_Hlk190097207"/>
      <w:r w:rsidR="0020242B">
        <w:t xml:space="preserve">Fiyatlar da bir önceki yıla kıyasla pozitif yönde gelişim göstermiştir. </w:t>
      </w:r>
      <w:r>
        <w:rPr>
          <w:b/>
          <w:bCs/>
        </w:rPr>
        <w:t>Düzeltilmiş faaliyet karı</w:t>
      </w:r>
      <w:r>
        <w:t xml:space="preserve"> bir yıllık dönemde hafif bir düşüşle 1,779 milyar Euro olarak gerçekleşmiştir. Brüt kar marjı, önceki yıla göre değişmeden, yüksek seyrini sürdürmüştür. </w:t>
      </w:r>
      <w:r>
        <w:rPr>
          <w:b/>
          <w:bCs/>
        </w:rPr>
        <w:t>Düzeltilmiş satış kazancı</w:t>
      </w:r>
      <w:r>
        <w:t xml:space="preserve">, </w:t>
      </w:r>
      <w:r w:rsidR="00DE1C7B">
        <w:t xml:space="preserve">bir yıllık dönemde </w:t>
      </w:r>
      <w:r>
        <w:t xml:space="preserve"> hafif bir artışla yüzde 16,7 seviyesine ulaşmıştır.</w:t>
      </w:r>
      <w:bookmarkEnd w:id="9"/>
    </w:p>
    <w:p w14:paraId="282DCCAB" w14:textId="77777777" w:rsidR="004C0686" w:rsidRPr="005F750F" w:rsidRDefault="004C0686" w:rsidP="00024483">
      <w:pPr>
        <w:rPr>
          <w:rFonts w:cs="Segoe UI"/>
          <w:szCs w:val="22"/>
        </w:rPr>
      </w:pPr>
    </w:p>
    <w:p w14:paraId="2669D3B3" w14:textId="35DD1674" w:rsidR="005F2643" w:rsidRPr="00521B13" w:rsidRDefault="00521B13" w:rsidP="00521B13">
      <w:pPr>
        <w:rPr>
          <w:rFonts w:cs="Segoe UI"/>
          <w:szCs w:val="22"/>
        </w:rPr>
      </w:pPr>
      <w:r>
        <w:rPr>
          <w:b/>
          <w:bCs/>
        </w:rPr>
        <w:t>Tüketici Markaları</w:t>
      </w:r>
      <w:r>
        <w:t xml:space="preserve"> </w:t>
      </w:r>
      <w:r w:rsidR="002F6F92">
        <w:t>İ</w:t>
      </w:r>
      <w:r>
        <w:t xml:space="preserve">ş </w:t>
      </w:r>
      <w:r w:rsidR="002F6F92">
        <w:t>B</w:t>
      </w:r>
      <w:r>
        <w:t xml:space="preserve">irimi </w:t>
      </w:r>
      <w:r>
        <w:rPr>
          <w:b/>
          <w:bCs/>
        </w:rPr>
        <w:t>satışları</w:t>
      </w:r>
      <w:r>
        <w:t xml:space="preserve"> nominal olarak bir önceki yılın yüzde -7,5 altında seyrederek toplam 9,677 milyar Euro olarak gerçekleşmiştir. Kur etkileri satışları yüzde -4,4 oranında düşürmüştür. Satın alma</w:t>
      </w:r>
      <w:r w:rsidR="002F6F92">
        <w:t xml:space="preserve"> </w:t>
      </w:r>
      <w:r>
        <w:t>/</w:t>
      </w:r>
      <w:r w:rsidR="002F6F92">
        <w:t xml:space="preserve"> </w:t>
      </w:r>
      <w:r>
        <w:t xml:space="preserve">elden çıkarmalar da satışlar üzerinde yüzde -3,4 oranında olumsuz bir etki yaratmıştır. Bu gerileme, temel olarak Nisan 2025'te Tüketici Markaları </w:t>
      </w:r>
      <w:r w:rsidR="002F6F92">
        <w:t>İ</w:t>
      </w:r>
      <w:r>
        <w:t xml:space="preserve">ş </w:t>
      </w:r>
      <w:r w:rsidR="002F6F92">
        <w:t>B</w:t>
      </w:r>
      <w:r>
        <w:t xml:space="preserve">irimi kapsamında Kuzey Amerika'daki Perakende Markaları </w:t>
      </w:r>
      <w:r w:rsidR="002F6F92">
        <w:t>iş kolunun</w:t>
      </w:r>
      <w:r>
        <w:t xml:space="preserve"> </w:t>
      </w:r>
      <w:r w:rsidR="002F6F92">
        <w:t>elden çıkarılmasından</w:t>
      </w:r>
      <w:r>
        <w:t xml:space="preserve"> kaynaklanmıştır. Satışlar </w:t>
      </w:r>
      <w:r>
        <w:rPr>
          <w:b/>
        </w:rPr>
        <w:t>organik</w:t>
      </w:r>
      <w:r>
        <w:t xml:space="preserve"> olarak yüzde 0,3 oranında art</w:t>
      </w:r>
      <w:r w:rsidR="002F6F92">
        <w:t>mıştır.</w:t>
      </w:r>
      <w:r>
        <w:t xml:space="preserve"> Satışlardaki bu artış fiyatların </w:t>
      </w:r>
      <w:r w:rsidR="002F6F92">
        <w:t>iyi yöndeki gelişiminden kaynaklanırken,</w:t>
      </w:r>
      <w:r>
        <w:t xml:space="preserve"> miktar</w:t>
      </w:r>
      <w:r w:rsidR="002F6F92">
        <w:t>larda</w:t>
      </w:r>
      <w:r>
        <w:t xml:space="preserve"> hafif bir düşüş görülmüştür.</w:t>
      </w:r>
      <w:bookmarkStart w:id="10" w:name="_Hlk190100714"/>
      <w:r>
        <w:t xml:space="preserve"> </w:t>
      </w:r>
      <w:r>
        <w:rPr>
          <w:b/>
          <w:bCs/>
        </w:rPr>
        <w:t>Düzeltilmiş faaliyet karı</w:t>
      </w:r>
      <w:r>
        <w:t xml:space="preserve"> 1,400 milyar Euro ile neredeyse bir önceki yılki seviyesini korumuştur. Buna karşılık, brüt kar marjı önemli ölçüde iyileşmiştir. </w:t>
      </w:r>
      <w:r>
        <w:rPr>
          <w:b/>
          <w:bCs/>
        </w:rPr>
        <w:t>Düzeltilmiş satış kazancı</w:t>
      </w:r>
      <w:r>
        <w:t xml:space="preserve"> </w:t>
      </w:r>
      <w:r w:rsidR="002F6F92">
        <w:t xml:space="preserve">bir yıllık dönemde </w:t>
      </w:r>
      <w:r>
        <w:t xml:space="preserve">önemli bir artışla yüzde 14,5'e ulaşmıştır. </w:t>
      </w:r>
      <w:bookmarkEnd w:id="10"/>
    </w:p>
    <w:p w14:paraId="6C0C5E75" w14:textId="77777777" w:rsidR="00242C71" w:rsidRPr="00521B13" w:rsidRDefault="00242C71" w:rsidP="003F4E93">
      <w:pPr>
        <w:rPr>
          <w:rFonts w:cs="Segoe UI"/>
          <w:szCs w:val="22"/>
        </w:rPr>
      </w:pPr>
    </w:p>
    <w:p w14:paraId="39AAD420" w14:textId="3769F819" w:rsidR="00A540B0" w:rsidRPr="00FB398A" w:rsidRDefault="00FB398A" w:rsidP="00A540B0">
      <w:pPr>
        <w:spacing w:after="120"/>
        <w:rPr>
          <w:rFonts w:cs="Segoe UI"/>
          <w:b/>
          <w:bCs/>
          <w:szCs w:val="22"/>
        </w:rPr>
      </w:pPr>
      <w:r>
        <w:rPr>
          <w:b/>
        </w:rPr>
        <w:t>2026 Yılı</w:t>
      </w:r>
      <w:r w:rsidR="008B24FA">
        <w:rPr>
          <w:b/>
        </w:rPr>
        <w:t xml:space="preserve"> İçin</w:t>
      </w:r>
      <w:r>
        <w:rPr>
          <w:b/>
        </w:rPr>
        <w:t xml:space="preserve"> Öngörü</w:t>
      </w:r>
    </w:p>
    <w:p w14:paraId="6E64D031" w14:textId="6FBD6C6C" w:rsidR="00FB398A" w:rsidRPr="00FB398A" w:rsidRDefault="00FB398A" w:rsidP="00A540B0">
      <w:pPr>
        <w:rPr>
          <w:rFonts w:cs="Segoe UI"/>
          <w:szCs w:val="22"/>
        </w:rPr>
      </w:pPr>
      <w:r>
        <w:t xml:space="preserve">Geçtiğimiz mali yılda orta düzeyde büyüme </w:t>
      </w:r>
      <w:r w:rsidR="00DC1256">
        <w:t xml:space="preserve">artışı </w:t>
      </w:r>
      <w:r>
        <w:t xml:space="preserve">kaydeden </w:t>
      </w:r>
      <w:r w:rsidR="00DC1256">
        <w:t xml:space="preserve">global </w:t>
      </w:r>
      <w:r>
        <w:t xml:space="preserve">ekonominin, 2026 yılında da sınırlı bir büyüme </w:t>
      </w:r>
      <w:r w:rsidR="00DC1256">
        <w:t>ivmesini</w:t>
      </w:r>
      <w:r>
        <w:t xml:space="preserve"> sürdürmesi beklenmektedir. </w:t>
      </w:r>
      <w:r w:rsidR="00DC1256">
        <w:t xml:space="preserve">Global </w:t>
      </w:r>
      <w:r>
        <w:t>ekonomik geliş</w:t>
      </w:r>
      <w:r w:rsidR="00DC1256">
        <w:t>im</w:t>
      </w:r>
      <w:r>
        <w:t>de</w:t>
      </w:r>
      <w:r w:rsidR="00DC1256">
        <w:t>,</w:t>
      </w:r>
      <w:r>
        <w:t xml:space="preserve"> devam eden jeopolitik belirsizlikler ve genel olarak yüksek fiyat seviyelerinin belirleyici ro</w:t>
      </w:r>
      <w:r w:rsidR="00DC1256">
        <w:t>l</w:t>
      </w:r>
      <w:r>
        <w:t>l</w:t>
      </w:r>
      <w:r w:rsidR="00DC1256">
        <w:t>erini</w:t>
      </w:r>
      <w:r>
        <w:t xml:space="preserve"> sürdürme</w:t>
      </w:r>
      <w:r w:rsidR="00DC1256">
        <w:t>leri</w:t>
      </w:r>
      <w:r>
        <w:t xml:space="preserve"> beklenmektedir. </w:t>
      </w:r>
      <w:r w:rsidR="00471D5A" w:rsidRPr="00471D5A">
        <w:t>Bu</w:t>
      </w:r>
      <w:r w:rsidR="00471D5A">
        <w:t xml:space="preserve"> bağlamda</w:t>
      </w:r>
      <w:r w:rsidR="00471D5A" w:rsidRPr="00471D5A">
        <w:t xml:space="preserve">, </w:t>
      </w:r>
      <w:r w:rsidR="00471D5A">
        <w:t>Henkel için tüketici ürünleri faaliyetleri ile ilgili iş alanlar</w:t>
      </w:r>
      <w:r w:rsidR="006E0024">
        <w:t>ın</w:t>
      </w:r>
      <w:r w:rsidR="00471D5A" w:rsidRPr="00471D5A">
        <w:t xml:space="preserve">da hem endüstriyel hem de tüketici talebinin </w:t>
      </w:r>
      <w:r w:rsidR="00471D5A">
        <w:t xml:space="preserve">sadece </w:t>
      </w:r>
      <w:r w:rsidR="00471D5A" w:rsidRPr="00471D5A">
        <w:t>ılımlı bir düz</w:t>
      </w:r>
      <w:r w:rsidR="00471D5A">
        <w:t>eyde artması öngörülmektedir.</w:t>
      </w:r>
    </w:p>
    <w:p w14:paraId="186840F7" w14:textId="77777777" w:rsidR="00A540B0" w:rsidRPr="00FB398A" w:rsidRDefault="00A540B0" w:rsidP="00A540B0">
      <w:pPr>
        <w:rPr>
          <w:rFonts w:cs="Segoe UI"/>
          <w:szCs w:val="22"/>
        </w:rPr>
      </w:pPr>
    </w:p>
    <w:p w14:paraId="5BC2FF69" w14:textId="6323FE71" w:rsidR="00A540B0" w:rsidRPr="00456A96" w:rsidRDefault="00456A96" w:rsidP="00A540B0">
      <w:r w:rsidRPr="00456A96">
        <w:t xml:space="preserve">Döviz çevrim etkilerinin satışlar üzerinde </w:t>
      </w:r>
      <w:r w:rsidR="00FB398A">
        <w:t xml:space="preserve">düşük tek haneli yüzde aralığında negatif bir etki yaşanacağı öngörülmektedir. Doğrudan malzeme fiyatlarında 2025 yılı ortalamasına kıyasla düşük tek haneli </w:t>
      </w:r>
      <w:r w:rsidR="006E0024">
        <w:t>yüzde aralığında</w:t>
      </w:r>
      <w:r w:rsidR="00FB398A">
        <w:t xml:space="preserve"> artış beklenmektedir.</w:t>
      </w:r>
    </w:p>
    <w:p w14:paraId="6EFB10DD" w14:textId="77777777" w:rsidR="001F0F3B" w:rsidRDefault="001F0F3B" w:rsidP="00521B13">
      <w:pPr>
        <w:rPr>
          <w:rFonts w:cs="Segoe UI"/>
        </w:rPr>
      </w:pPr>
    </w:p>
    <w:p w14:paraId="668E42FE" w14:textId="20639FED" w:rsidR="00FB398A" w:rsidRPr="00F46706" w:rsidRDefault="00FB398A" w:rsidP="00521B13">
      <w:pPr>
        <w:rPr>
          <w:rFonts w:cs="Segoe UI"/>
          <w:szCs w:val="22"/>
        </w:rPr>
      </w:pPr>
      <w:r>
        <w:t xml:space="preserve">Bu varsayımlar ışığında, Henkel 2026 mali yılında </w:t>
      </w:r>
      <w:r>
        <w:rPr>
          <w:b/>
          <w:bCs/>
        </w:rPr>
        <w:t>satışlarda</w:t>
      </w:r>
      <w:r>
        <w:t xml:space="preserve"> yüzde 1,0 ile 3,0 arasında </w:t>
      </w:r>
      <w:r>
        <w:rPr>
          <w:b/>
          <w:bCs/>
        </w:rPr>
        <w:t>organik büyüme</w:t>
      </w:r>
      <w:r>
        <w:t xml:space="preserve"> elde etmeyi bekliyor. Yapıştırıcı Teknolojileri </w:t>
      </w:r>
      <w:r w:rsidR="007956D5">
        <w:t>İ</w:t>
      </w:r>
      <w:r>
        <w:t xml:space="preserve">ş </w:t>
      </w:r>
      <w:r w:rsidR="007956D5">
        <w:t>B</w:t>
      </w:r>
      <w:r>
        <w:t xml:space="preserve">irimi için yüzde 1,0 ile 3,0 arasında, Tüketici Markaları için ise yüzde 0,5 ile 2,5 arasında organik büyüme beklenmektedir. </w:t>
      </w:r>
      <w:r>
        <w:rPr>
          <w:b/>
          <w:bCs/>
        </w:rPr>
        <w:lastRenderedPageBreak/>
        <w:t>Düzeltilmiş satış kazancının (düzeltilmiş VFÖK marjı)</w:t>
      </w:r>
      <w:r>
        <w:t xml:space="preserve"> yüzde 14,5 ile yüzde 16,0 arasında olması bekleniyor. Yapıştırıcı Teknolojileri için düzeltilmiş satış kazancının yüzde 16,5 ile 18,0 arasında, Tüketici Markaları için ise yüzde 14,0 ile 15,5 arasında olması beklenmektedir. Sabit kur ile </w:t>
      </w:r>
      <w:r>
        <w:rPr>
          <w:b/>
          <w:bCs/>
        </w:rPr>
        <w:t>imtiyazlı hisse senedi başına k</w:t>
      </w:r>
      <w:r w:rsidR="001C236E">
        <w:rPr>
          <w:rFonts w:cs="Segoe UI"/>
          <w:b/>
          <w:bCs/>
        </w:rPr>
        <w:t>â</w:t>
      </w:r>
      <w:r>
        <w:rPr>
          <w:b/>
          <w:bCs/>
        </w:rPr>
        <w:t>rlılıkta (EPS)</w:t>
      </w:r>
      <w:r>
        <w:t>, düşük ila yüksek tek haneli yüzde aralığında bir artış beklenmektedir.</w:t>
      </w:r>
    </w:p>
    <w:p w14:paraId="2B58C77B" w14:textId="77777777" w:rsidR="00A540B0" w:rsidRPr="00F46706" w:rsidRDefault="00A540B0" w:rsidP="008450BB">
      <w:pPr>
        <w:rPr>
          <w:rFonts w:cs="Segoe UI"/>
          <w:b/>
          <w:bCs/>
          <w:szCs w:val="22"/>
          <w:lang w:eastAsia="de-DE"/>
        </w:rPr>
      </w:pPr>
    </w:p>
    <w:p w14:paraId="282D382E" w14:textId="7B7CB626" w:rsidR="006E1A70" w:rsidRPr="00467CC0" w:rsidRDefault="00467CC0" w:rsidP="008450BB">
      <w:pPr>
        <w:rPr>
          <w:rFonts w:cs="Segoe UI"/>
          <w:b/>
          <w:bCs/>
          <w:szCs w:val="22"/>
        </w:rPr>
      </w:pPr>
      <w:r>
        <w:rPr>
          <w:b/>
        </w:rPr>
        <w:t xml:space="preserve">Dönüşüm </w:t>
      </w:r>
      <w:r w:rsidR="006A1C9E">
        <w:rPr>
          <w:b/>
        </w:rPr>
        <w:t>S</w:t>
      </w:r>
      <w:r>
        <w:rPr>
          <w:b/>
        </w:rPr>
        <w:t xml:space="preserve">ürecinde </w:t>
      </w:r>
      <w:r w:rsidR="006A1C9E">
        <w:rPr>
          <w:b/>
        </w:rPr>
        <w:t>Önemli</w:t>
      </w:r>
      <w:r>
        <w:rPr>
          <w:b/>
        </w:rPr>
        <w:t xml:space="preserve"> </w:t>
      </w:r>
      <w:r w:rsidR="006A1C9E">
        <w:rPr>
          <w:b/>
        </w:rPr>
        <w:t>İ</w:t>
      </w:r>
      <w:r>
        <w:rPr>
          <w:b/>
        </w:rPr>
        <w:t>lerleme</w:t>
      </w:r>
    </w:p>
    <w:p w14:paraId="4790C752" w14:textId="7A64C8BC" w:rsidR="00875A71" w:rsidRDefault="00875A71" w:rsidP="00B05ECC">
      <w:pPr>
        <w:rPr>
          <w:rFonts w:cs="Segoe UI"/>
          <w:szCs w:val="22"/>
        </w:rPr>
      </w:pPr>
      <w:r>
        <w:t>Geçtiğimiz yıllarda Henkel</w:t>
      </w:r>
      <w:r w:rsidR="00CD5110">
        <w:t>,</w:t>
      </w:r>
      <w:r>
        <w:t xml:space="preserve"> </w:t>
      </w:r>
      <w:r w:rsidR="00CD5110">
        <w:t xml:space="preserve">kendini </w:t>
      </w:r>
      <w:r>
        <w:t xml:space="preserve">birçok alanda köklü bir </w:t>
      </w:r>
      <w:r w:rsidR="00CD5110">
        <w:t>şekilde yenilemiş</w:t>
      </w:r>
      <w:r>
        <w:t xml:space="preserve"> ve amaca yönelik büyüme stratejik gündemini tutarlı bir şekilde uygulamıştır. Uzun vadeli başarıyı getiren temel faktörlerden biri, sürekli gelişmeye ve değişimi aktif olarak şekillendirmeye açık olmaktır. </w:t>
      </w:r>
    </w:p>
    <w:p w14:paraId="45F7F611" w14:textId="6AC974FB" w:rsidR="00B05ECC" w:rsidRPr="005F750F" w:rsidRDefault="00B05ECC" w:rsidP="00B05ECC">
      <w:pPr>
        <w:rPr>
          <w:rFonts w:cs="Segoe UI"/>
          <w:szCs w:val="22"/>
        </w:rPr>
      </w:pPr>
    </w:p>
    <w:p w14:paraId="29ED0BF6" w14:textId="48D99139" w:rsidR="006E1A70" w:rsidRPr="009C6158" w:rsidRDefault="00B2292F" w:rsidP="006E1A70">
      <w:pPr>
        <w:spacing w:after="120"/>
        <w:jc w:val="left"/>
        <w:rPr>
          <w:rFonts w:cs="Segoe UI"/>
          <w:b/>
          <w:bCs/>
          <w:szCs w:val="22"/>
        </w:rPr>
      </w:pPr>
      <w:r>
        <w:rPr>
          <w:b/>
        </w:rPr>
        <w:t xml:space="preserve">Tüketici Markaları: Birleşme </w:t>
      </w:r>
      <w:r w:rsidR="00CD5110">
        <w:rPr>
          <w:b/>
        </w:rPr>
        <w:t>B</w:t>
      </w:r>
      <w:r>
        <w:rPr>
          <w:b/>
        </w:rPr>
        <w:t xml:space="preserve">aşarıyla </w:t>
      </w:r>
      <w:r w:rsidR="00CD5110">
        <w:rPr>
          <w:b/>
        </w:rPr>
        <w:t>T</w:t>
      </w:r>
      <w:r>
        <w:rPr>
          <w:b/>
        </w:rPr>
        <w:t>amamlandı</w:t>
      </w:r>
    </w:p>
    <w:p w14:paraId="18CACE59" w14:textId="32F43F62" w:rsidR="0024732C" w:rsidRPr="009C6158" w:rsidRDefault="00FB4BF5" w:rsidP="0024732C">
      <w:pPr>
        <w:rPr>
          <w:rFonts w:cs="Segoe UI"/>
          <w:szCs w:val="22"/>
        </w:rPr>
      </w:pPr>
      <w:r>
        <w:t>2022 başında açıklan</w:t>
      </w:r>
      <w:r w:rsidR="0005646D">
        <w:t>an,</w:t>
      </w:r>
      <w:r>
        <w:t xml:space="preserve"> tüketi</w:t>
      </w:r>
      <w:r w:rsidR="0005646D">
        <w:t>ci</w:t>
      </w:r>
      <w:r>
        <w:t xml:space="preserve"> </w:t>
      </w:r>
      <w:r w:rsidR="0005646D">
        <w:t xml:space="preserve">ürünleri iş </w:t>
      </w:r>
      <w:r w:rsidR="00755141">
        <w:t xml:space="preserve">kollarının </w:t>
      </w:r>
      <w:r>
        <w:rPr>
          <w:b/>
          <w:bCs/>
        </w:rPr>
        <w:t>Tüketici Markaları</w:t>
      </w:r>
      <w:r>
        <w:t xml:space="preserve"> </w:t>
      </w:r>
      <w:r w:rsidR="0005646D">
        <w:t>İ</w:t>
      </w:r>
      <w:r>
        <w:t xml:space="preserve">ş </w:t>
      </w:r>
      <w:r w:rsidR="0005646D">
        <w:t>B</w:t>
      </w:r>
      <w:r>
        <w:t xml:space="preserve">irimi çatısı altında </w:t>
      </w:r>
      <w:r w:rsidR="002E2C14">
        <w:t>birleştirilmesi</w:t>
      </w:r>
      <w:r>
        <w:t xml:space="preserve"> süreci 2025 mali yılının sonunda tamamlandı. Genel tabloya bakıldığında, başlangıçta hedeflenen yıllık 525 milyon Euro tasarruf </w:t>
      </w:r>
      <w:r w:rsidR="0005646D">
        <w:t>miktarı,</w:t>
      </w:r>
      <w:r>
        <w:t xml:space="preserve"> 2025 mali yılının sonunda aşılmıştır. Böyle</w:t>
      </w:r>
      <w:r w:rsidR="0005646D">
        <w:t>ce</w:t>
      </w:r>
      <w:r>
        <w:t xml:space="preserve">, Tüketici Markaları </w:t>
      </w:r>
      <w:r w:rsidR="0005646D">
        <w:t>İ</w:t>
      </w:r>
      <w:r>
        <w:t xml:space="preserve">ş </w:t>
      </w:r>
      <w:r w:rsidR="0005646D">
        <w:t>B</w:t>
      </w:r>
      <w:r>
        <w:t>irimi</w:t>
      </w:r>
      <w:r w:rsidR="0005646D">
        <w:t>’</w:t>
      </w:r>
      <w:r>
        <w:t>nin entegrasyonu, başlangıçta planlanandan bir yıl önce başarıyla tamamlanmıştır.</w:t>
      </w:r>
      <w:bookmarkStart w:id="11" w:name="_Hlk190100871"/>
    </w:p>
    <w:p w14:paraId="15975637" w14:textId="77777777" w:rsidR="00ED1B01" w:rsidRDefault="00ED1B01" w:rsidP="0024732C">
      <w:pPr>
        <w:rPr>
          <w:rFonts w:cs="Segoe UI"/>
          <w:szCs w:val="22"/>
          <w:lang w:eastAsia="de-DE"/>
        </w:rPr>
      </w:pPr>
    </w:p>
    <w:p w14:paraId="3817138C" w14:textId="3B809B74" w:rsidR="004D1DBD" w:rsidRDefault="009E6ADF" w:rsidP="0024732C">
      <w:pPr>
        <w:rPr>
          <w:rFonts w:cs="Segoe UI"/>
          <w:szCs w:val="22"/>
        </w:rPr>
      </w:pPr>
      <w:r w:rsidRPr="009E6ADF">
        <w:t>Aynı zamanda</w:t>
      </w:r>
      <w:r>
        <w:t xml:space="preserve"> </w:t>
      </w:r>
      <w:r w:rsidR="004D1DBD">
        <w:t xml:space="preserve">Tüketici Markaları </w:t>
      </w:r>
      <w:r w:rsidR="0005646D">
        <w:t>İ</w:t>
      </w:r>
      <w:r w:rsidR="004D1DBD">
        <w:t xml:space="preserve">ş </w:t>
      </w:r>
      <w:r w:rsidR="0005646D">
        <w:t>B</w:t>
      </w:r>
      <w:r w:rsidR="004D1DBD">
        <w:t xml:space="preserve">irimi </w:t>
      </w:r>
      <w:r w:rsidR="0005646D">
        <w:t xml:space="preserve">sürekli olarak </w:t>
      </w:r>
      <w:r w:rsidR="004D1DBD">
        <w:t>güçlü markalar</w:t>
      </w:r>
      <w:r w:rsidR="003F2191">
        <w:t>ın</w:t>
      </w:r>
      <w:r w:rsidR="004D1DBD">
        <w:t xml:space="preserve"> ve yüksek brüt k</w:t>
      </w:r>
      <w:r w:rsidR="00901D28">
        <w:rPr>
          <w:rFonts w:cs="Segoe UI"/>
        </w:rPr>
        <w:t>â</w:t>
      </w:r>
      <w:r w:rsidR="004D1DBD">
        <w:t>r marjına sahip iş</w:t>
      </w:r>
      <w:r w:rsidR="00027C2B">
        <w:t xml:space="preserve"> alanlarının</w:t>
      </w:r>
      <w:r w:rsidR="004D1DBD">
        <w:t xml:space="preserve"> yanı sıra</w:t>
      </w:r>
      <w:r w:rsidR="0005646D">
        <w:t>,</w:t>
      </w:r>
      <w:r w:rsidR="004D1DBD">
        <w:t xml:space="preserve"> pazarlarda ve kategorilerde lider konumlara odaklan</w:t>
      </w:r>
      <w:r w:rsidR="0005646D">
        <w:t xml:space="preserve">mıştır. </w:t>
      </w:r>
      <w:r w:rsidR="004D1DBD">
        <w:t xml:space="preserve">Yüksek büyüme ve yüksek marjlı markalara ve </w:t>
      </w:r>
      <w:r w:rsidR="00501B09" w:rsidRPr="00501B09">
        <w:t>iş alanlarına yönelik bu odaklanma olumlu sonuç vermektedir:</w:t>
      </w:r>
      <w:r w:rsidR="004D1DBD">
        <w:t xml:space="preserve"> 2025 yılında Tüketici Markaları</w:t>
      </w:r>
      <w:r w:rsidR="009D4CE0">
        <w:t>’nda</w:t>
      </w:r>
      <w:r w:rsidR="004D1DBD">
        <w:t xml:space="preserve"> gelirlerin yaklaşık yüzde 60'ını </w:t>
      </w:r>
      <w:r w:rsidR="00D246F8">
        <w:t>sağlayan</w:t>
      </w:r>
      <w:r w:rsidR="004D1DBD">
        <w:t xml:space="preserve"> ilk on marka, miktarda da olumlu bir artışla birlikte</w:t>
      </w:r>
      <w:r w:rsidR="00226769">
        <w:t>,</w:t>
      </w:r>
      <w:r w:rsidR="004D1DBD">
        <w:t xml:space="preserve"> çok güçlü bir organik büyüme kaydetmiştir. </w:t>
      </w:r>
    </w:p>
    <w:bookmarkEnd w:id="11"/>
    <w:p w14:paraId="639E7A08" w14:textId="77777777" w:rsidR="00F158DF" w:rsidRDefault="00F158DF" w:rsidP="00FE683A"/>
    <w:p w14:paraId="2FA5E8DB" w14:textId="59DBFAB3" w:rsidR="004D1DBD" w:rsidRPr="004D1DBD" w:rsidRDefault="00F158DF" w:rsidP="00FE683A">
      <w:pPr>
        <w:rPr>
          <w:rFonts w:cs="Segoe UI"/>
          <w:szCs w:val="22"/>
        </w:rPr>
      </w:pPr>
      <w:r w:rsidRPr="00F158DF">
        <w:t>Tüketici işlerini birleştirmenin önemi son üç yıldaki performansa bakıldığında – yeni iş biriminin kurulduğundan bu yana – özellikle net bir şekilde ortaya çıkmaktadır.</w:t>
      </w:r>
      <w:r>
        <w:t xml:space="preserve"> </w:t>
      </w:r>
      <w:r w:rsidR="004D1DBD">
        <w:t>2022 mali yılında, ilgili işlerin toplam düzeltilmiş satış kazancı yüzde 8,3 seviyesinde</w:t>
      </w:r>
      <w:r w:rsidR="009D0639">
        <w:t xml:space="preserve"> idi.</w:t>
      </w:r>
      <w:r w:rsidR="004D1DBD">
        <w:t xml:space="preserve"> 2025 mali yılının sonuna gelindiğinde </w:t>
      </w:r>
      <w:r w:rsidR="009D0639">
        <w:t xml:space="preserve">ise </w:t>
      </w:r>
      <w:r w:rsidR="004D1DBD">
        <w:t xml:space="preserve">bu </w:t>
      </w:r>
      <w:r w:rsidR="009D0639">
        <w:t>seviye</w:t>
      </w:r>
      <w:r w:rsidR="004D1DBD">
        <w:t xml:space="preserve"> yüzde 14,5'e çıkmıştır. Bu, ilgili iş biriminde markalara ve inovasyon </w:t>
      </w:r>
      <w:r w:rsidR="00722E39">
        <w:t>becerilerine</w:t>
      </w:r>
      <w:r w:rsidR="004D1DBD">
        <w:t xml:space="preserve"> yapılan yatırımların önemli ölçüde arttığı üç yıllık dönemde 6,2 </w:t>
      </w:r>
      <w:r w:rsidR="00722E39">
        <w:t xml:space="preserve">yüzde </w:t>
      </w:r>
      <w:r w:rsidR="004D1DBD">
        <w:t>puanlık bir gelişmeye tekabül etmektedir.</w:t>
      </w:r>
    </w:p>
    <w:p w14:paraId="5321A51A" w14:textId="4AA495EE" w:rsidR="00875A71" w:rsidRPr="004D1DBD" w:rsidRDefault="00875A71">
      <w:pPr>
        <w:spacing w:line="240" w:lineRule="auto"/>
        <w:jc w:val="left"/>
        <w:rPr>
          <w:rFonts w:cs="Segoe UI"/>
          <w:b/>
          <w:bCs/>
          <w:szCs w:val="22"/>
          <w:lang w:eastAsia="de-DE"/>
        </w:rPr>
      </w:pPr>
    </w:p>
    <w:p w14:paraId="2024FF95" w14:textId="64B13F5A" w:rsidR="00E21F5D" w:rsidRPr="00E21F5D" w:rsidRDefault="00E21F5D" w:rsidP="00E21F5D">
      <w:pPr>
        <w:spacing w:after="120"/>
        <w:rPr>
          <w:rFonts w:cs="Segoe UI"/>
          <w:b/>
          <w:bCs/>
          <w:szCs w:val="22"/>
        </w:rPr>
      </w:pPr>
      <w:r>
        <w:rPr>
          <w:b/>
        </w:rPr>
        <w:t xml:space="preserve">Stratejik </w:t>
      </w:r>
      <w:r w:rsidR="000C36A5">
        <w:rPr>
          <w:b/>
        </w:rPr>
        <w:t>G</w:t>
      </w:r>
      <w:r>
        <w:rPr>
          <w:b/>
        </w:rPr>
        <w:t xml:space="preserve">ündemin </w:t>
      </w:r>
      <w:r w:rsidR="000C36A5">
        <w:rPr>
          <w:b/>
        </w:rPr>
        <w:t>T</w:t>
      </w:r>
      <w:r>
        <w:rPr>
          <w:b/>
        </w:rPr>
        <w:t xml:space="preserve">utarlı </w:t>
      </w:r>
      <w:r w:rsidR="000C36A5">
        <w:rPr>
          <w:b/>
        </w:rPr>
        <w:t>B</w:t>
      </w:r>
      <w:r>
        <w:rPr>
          <w:b/>
        </w:rPr>
        <w:t xml:space="preserve">ir </w:t>
      </w:r>
      <w:r w:rsidR="000C36A5">
        <w:rPr>
          <w:b/>
        </w:rPr>
        <w:t>Ş</w:t>
      </w:r>
      <w:r>
        <w:rPr>
          <w:b/>
        </w:rPr>
        <w:t xml:space="preserve">ekilde </w:t>
      </w:r>
      <w:r w:rsidR="000C36A5">
        <w:rPr>
          <w:b/>
        </w:rPr>
        <w:t>U</w:t>
      </w:r>
      <w:r>
        <w:rPr>
          <w:b/>
        </w:rPr>
        <w:t>ygulanması</w:t>
      </w:r>
    </w:p>
    <w:p w14:paraId="466DB146" w14:textId="2C5D7491" w:rsidR="00E21F5D" w:rsidRPr="00E21F5D" w:rsidRDefault="00E21F5D" w:rsidP="00E21F5D">
      <w:pPr>
        <w:autoSpaceDE w:val="0"/>
        <w:autoSpaceDN w:val="0"/>
        <w:adjustRightInd w:val="0"/>
        <w:rPr>
          <w:rFonts w:cs="Segoe UI"/>
          <w:bCs/>
          <w:szCs w:val="22"/>
        </w:rPr>
      </w:pPr>
      <w:r>
        <w:t xml:space="preserve">Zorlu bir makroekonomik ve jeopolitik ortamda </w:t>
      </w:r>
      <w:r w:rsidR="001364BE">
        <w:t xml:space="preserve">dahi </w:t>
      </w:r>
      <w:r>
        <w:t xml:space="preserve">Henkel, geçtiğimiz mali yılda stratejik gündemini </w:t>
      </w:r>
      <w:r w:rsidR="005F4DB7">
        <w:t xml:space="preserve">sürekli </w:t>
      </w:r>
      <w:r>
        <w:t xml:space="preserve">bir şekilde uygulamaya devam etmiş ve tüm alanlarda önemli ilerlemeler kaydetmiştir. Şirket, iş ve marka portföyünü daha da geliştirmiş, inovasyon, sürdürülebilirlik ve dijitalleşmede rekabet </w:t>
      </w:r>
      <w:r w:rsidR="001364BE">
        <w:t>gücünü</w:t>
      </w:r>
      <w:r>
        <w:t xml:space="preserve"> artırmış, iş süreçlerini optimize etmiş ve kurumsal kültürünü </w:t>
      </w:r>
      <w:r w:rsidR="005F4DB7">
        <w:t>güçlendirmiştir.</w:t>
      </w:r>
    </w:p>
    <w:p w14:paraId="02BF1EFC" w14:textId="6BA87244" w:rsidR="005110D3" w:rsidRPr="00E21F5D" w:rsidRDefault="005110D3" w:rsidP="00E21F5D">
      <w:pPr>
        <w:autoSpaceDE w:val="0"/>
        <w:autoSpaceDN w:val="0"/>
        <w:adjustRightInd w:val="0"/>
        <w:rPr>
          <w:rFonts w:cs="Segoe UI"/>
          <w:bCs/>
          <w:szCs w:val="22"/>
        </w:rPr>
      </w:pPr>
    </w:p>
    <w:p w14:paraId="4AAE23F0" w14:textId="58959E29" w:rsidR="00E21F5D" w:rsidRDefault="00E21F5D" w:rsidP="00DE567C">
      <w:pPr>
        <w:autoSpaceDE w:val="0"/>
        <w:autoSpaceDN w:val="0"/>
        <w:adjustRightInd w:val="0"/>
        <w:rPr>
          <w:rFonts w:cs="Segoe UI"/>
          <w:bCs/>
          <w:szCs w:val="22"/>
        </w:rPr>
      </w:pPr>
      <w:r>
        <w:rPr>
          <w:b/>
          <w:bCs/>
        </w:rPr>
        <w:lastRenderedPageBreak/>
        <w:t>Aktif portföy yönetimi</w:t>
      </w:r>
      <w:r>
        <w:t xml:space="preserve"> kapsamında Henkel, bir yandan bazı faaliyetlerini durdurarak veya elden çıkararak, bir yandan da yeni satın almalarla portföyünü daha da geliştirmiştir. Henkel, Kuzey Amerika'daki Perakende Markaları </w:t>
      </w:r>
      <w:r w:rsidR="00CC6350">
        <w:t>iş kolunun</w:t>
      </w:r>
      <w:r>
        <w:t xml:space="preserve"> </w:t>
      </w:r>
      <w:r w:rsidR="00CC6350">
        <w:t xml:space="preserve">elden çıkarma </w:t>
      </w:r>
      <w:r>
        <w:t>sürecini 2025 ilkbaharında başarıyla tamamlayarak, daha önce ayrı olan tüketici iş</w:t>
      </w:r>
      <w:r w:rsidR="00CC6350">
        <w:t xml:space="preserve"> birim</w:t>
      </w:r>
      <w:r>
        <w:t xml:space="preserve">lerinin birleşmesinin </w:t>
      </w:r>
      <w:r w:rsidR="00CC6350">
        <w:t>başlamasıyla duyurulan</w:t>
      </w:r>
      <w:r>
        <w:t xml:space="preserve"> portföy tedbirlerini sonuçlandırmıştır. Böylelikle 2022 yılının başından bu yana Henkel, toplam satışları 1 milyar Euro'nun biraz üzerinde olan markaları ve faaliyetleri </w:t>
      </w:r>
      <w:r w:rsidR="00CC6350">
        <w:t>satmış</w:t>
      </w:r>
      <w:r>
        <w:t xml:space="preserve"> veya sonlandırmıştır. </w:t>
      </w:r>
    </w:p>
    <w:p w14:paraId="0F99C05C" w14:textId="77777777" w:rsidR="00E21F5D" w:rsidRPr="0006442E" w:rsidRDefault="00E21F5D" w:rsidP="008762E7">
      <w:pPr>
        <w:autoSpaceDE w:val="0"/>
        <w:autoSpaceDN w:val="0"/>
        <w:adjustRightInd w:val="0"/>
        <w:rPr>
          <w:rFonts w:cs="Segoe UI"/>
          <w:bCs/>
          <w:szCs w:val="22"/>
        </w:rPr>
      </w:pPr>
    </w:p>
    <w:p w14:paraId="021BE4F3" w14:textId="1B155376" w:rsidR="00DD5FF5" w:rsidRPr="00DD5FF5" w:rsidRDefault="00E21F5D" w:rsidP="00DD5FF5">
      <w:pPr>
        <w:autoSpaceDE w:val="0"/>
        <w:autoSpaceDN w:val="0"/>
        <w:adjustRightInd w:val="0"/>
        <w:rPr>
          <w:rFonts w:cs="Segoe UI"/>
          <w:bCs/>
          <w:szCs w:val="22"/>
        </w:rPr>
      </w:pPr>
      <w:r w:rsidRPr="00D202E6">
        <w:t xml:space="preserve">Hedef odaklı </w:t>
      </w:r>
      <w:r w:rsidRPr="00D202E6">
        <w:rPr>
          <w:b/>
          <w:bCs/>
        </w:rPr>
        <w:t>satın almalar</w:t>
      </w:r>
      <w:r w:rsidRPr="00D202E6">
        <w:t xml:space="preserve"> yoluyla portföyü</w:t>
      </w:r>
      <w:r w:rsidR="00CC6350" w:rsidRPr="00D202E6">
        <w:t>nü</w:t>
      </w:r>
      <w:r w:rsidRPr="00D202E6">
        <w:t xml:space="preserve"> genişletmek de Henkel'in büyüme gündeminin önemli bir parçasıdır. 2025 yılında Henkel, ATP Adhesive Systems AG'yi satın almak için bir anlaşmaya imza atmıştır. İsviçre merkezli şirket, otomotiv, elektronik, medikal, inşaat ve grafik endüstrisi dâhil olmak üzere çok çeşitli son pazarlara yönelik yüksek performanslı, su bazlı özel bantların önde gelen tedarikçileri arasındadır. ATP, Kuzey Amerika ve Avrupa'da güçlü bir konumdadır ve 2025 mali yılında yaklaşık 270 milyon Euro satış gerçekleştirmiştir.</w:t>
      </w:r>
      <w:r>
        <w:t xml:space="preserve"> </w:t>
      </w:r>
    </w:p>
    <w:p w14:paraId="086542D4" w14:textId="77777777" w:rsidR="00DD5FF5" w:rsidRPr="009C6158" w:rsidRDefault="00DD5FF5" w:rsidP="00DE567C">
      <w:pPr>
        <w:autoSpaceDE w:val="0"/>
        <w:autoSpaceDN w:val="0"/>
        <w:adjustRightInd w:val="0"/>
        <w:rPr>
          <w:rFonts w:cs="Segoe UI"/>
          <w:bCs/>
          <w:szCs w:val="22"/>
        </w:rPr>
      </w:pPr>
    </w:p>
    <w:p w14:paraId="76CA2124" w14:textId="02A6F2B5" w:rsidR="00DD5FF5" w:rsidRDefault="00DD5FF5" w:rsidP="00DD5FF5">
      <w:pPr>
        <w:autoSpaceDE w:val="0"/>
        <w:autoSpaceDN w:val="0"/>
        <w:adjustRightInd w:val="0"/>
        <w:rPr>
          <w:rFonts w:cs="Segoe UI"/>
          <w:bCs/>
          <w:szCs w:val="22"/>
        </w:rPr>
      </w:pPr>
      <w:r>
        <w:t xml:space="preserve">Henkel, Şubat 2026'da Hollanda merkezli Stahl Group'u satın almaya onay vermiştir. Şirket, esnek malzemeler için yüksek performanslı özel kaplamalar alanında </w:t>
      </w:r>
      <w:r w:rsidR="00DC1256">
        <w:t xml:space="preserve">global </w:t>
      </w:r>
      <w:r>
        <w:t>ölçekte faaliyet göstermekte ve otomotiv, moda ve yaşam tarzı ile ambalaj pazarlarında dünya çapında önde gelen şirketlere hizmet vermektedir. 2025 mali yılında Stahl, dengeli bir coğrafi yayılımla yaklaşık 725 milyon Euro satış gerçekleştir</w:t>
      </w:r>
      <w:r w:rsidR="00B349C5">
        <w:t>miştir.</w:t>
      </w:r>
      <w:r>
        <w:t xml:space="preserve"> </w:t>
      </w:r>
    </w:p>
    <w:p w14:paraId="46DB7840" w14:textId="77777777" w:rsidR="00DD5FF5" w:rsidRDefault="00DD5FF5" w:rsidP="00DD5FF5">
      <w:pPr>
        <w:autoSpaceDE w:val="0"/>
        <w:autoSpaceDN w:val="0"/>
        <w:adjustRightInd w:val="0"/>
        <w:rPr>
          <w:rFonts w:cs="Segoe UI"/>
          <w:bCs/>
          <w:szCs w:val="22"/>
        </w:rPr>
      </w:pPr>
    </w:p>
    <w:p w14:paraId="2248A617" w14:textId="11EF8E6D" w:rsidR="00EA5996" w:rsidRDefault="00EA5996" w:rsidP="00EA5996">
      <w:pPr>
        <w:autoSpaceDE w:val="0"/>
        <w:autoSpaceDN w:val="0"/>
        <w:adjustRightInd w:val="0"/>
        <w:rPr>
          <w:rFonts w:cs="Segoe UI"/>
          <w:bCs/>
          <w:szCs w:val="22"/>
        </w:rPr>
      </w:pPr>
      <w:r>
        <w:t xml:space="preserve">Ayrıca Henkel, Mart ayı başında Kuzey Amerika'nın önde gelen tüketici saç bakım ve şekillendirme markalarından biri olan “Not Your Mother's”ı satın almak için bir anlaşma imzaladı. Bu adım, Henkel'in Tüketici Markaları </w:t>
      </w:r>
      <w:r w:rsidR="00ED2887">
        <w:t>İ</w:t>
      </w:r>
      <w:r>
        <w:t xml:space="preserve">ş </w:t>
      </w:r>
      <w:r w:rsidR="00ED2887">
        <w:t>B</w:t>
      </w:r>
      <w:r>
        <w:t>irimi</w:t>
      </w:r>
      <w:r w:rsidR="00ED2887">
        <w:t>’</w:t>
      </w:r>
      <w:r>
        <w:t xml:space="preserve">nin temel kategorilerinden biri olan saç </w:t>
      </w:r>
      <w:r w:rsidR="00ED2887">
        <w:t>iş alanındaki</w:t>
      </w:r>
      <w:r>
        <w:t xml:space="preserve"> konumunu güçlendiriyor. “Not Your Mother's” geniş bir şampuan, saç kremi, bakım ve şekillendirme ürünü yelpazesiyle başarılı ve hızla büyüyen bir markadır. 2025 mali yılında, marka çift haneli büyüme ve yüksek k</w:t>
      </w:r>
      <w:r w:rsidR="00C12BF6">
        <w:rPr>
          <w:rFonts w:cs="Segoe UI"/>
        </w:rPr>
        <w:t>â</w:t>
      </w:r>
      <w:r>
        <w:t>rlılık sağlayarak yaklaşık 190 milyon Euro satış gerçekleştirmiştir.</w:t>
      </w:r>
    </w:p>
    <w:p w14:paraId="40FD5790" w14:textId="77777777" w:rsidR="00EA5996" w:rsidRDefault="00EA5996" w:rsidP="00DD5FF5">
      <w:pPr>
        <w:autoSpaceDE w:val="0"/>
        <w:autoSpaceDN w:val="0"/>
        <w:adjustRightInd w:val="0"/>
        <w:rPr>
          <w:rFonts w:cs="Segoe UI"/>
          <w:bCs/>
          <w:szCs w:val="22"/>
        </w:rPr>
      </w:pPr>
    </w:p>
    <w:p w14:paraId="7255BCCF" w14:textId="0B59B309" w:rsidR="00C249E3" w:rsidRDefault="00C249E3" w:rsidP="00841179">
      <w:pPr>
        <w:pStyle w:val="Topline"/>
        <w:spacing w:before="0" w:after="0"/>
      </w:pPr>
      <w:r>
        <w:t xml:space="preserve">Halen olağan sonuçlandırma süreçlerine ve rekabet </w:t>
      </w:r>
      <w:r w:rsidR="0086109E">
        <w:t>otorilerilerinin onayına</w:t>
      </w:r>
      <w:r>
        <w:t xml:space="preserve"> tabi olan bu işlemler, </w:t>
      </w:r>
      <w:r>
        <w:rPr>
          <w:b/>
          <w:bCs/>
        </w:rPr>
        <w:t xml:space="preserve">toplamda yaklaşık 1,2 milyar Euro'luk ek satış </w:t>
      </w:r>
      <w:r w:rsidR="002F2401">
        <w:t>hacmi oluşturmakta olup</w:t>
      </w:r>
      <w:r w:rsidR="00FD56E1">
        <w:t>,</w:t>
      </w:r>
      <w:r>
        <w:t xml:space="preserve"> dünya lideri Yapıştırıcı Teknolojileri ve Tüketici Markaları iş birimlerinin </w:t>
      </w:r>
      <w:r>
        <w:rPr>
          <w:b/>
          <w:bCs/>
        </w:rPr>
        <w:t>büyüme potansiyelini daha da artıracaktır</w:t>
      </w:r>
      <w:r w:rsidRPr="008422B5">
        <w:t>.</w:t>
      </w:r>
    </w:p>
    <w:p w14:paraId="2C100848" w14:textId="77777777" w:rsidR="00DD5FF5" w:rsidRPr="009C6158" w:rsidRDefault="00DD5FF5" w:rsidP="00841179">
      <w:pPr>
        <w:pStyle w:val="Topline"/>
        <w:spacing w:before="0" w:after="0"/>
      </w:pPr>
    </w:p>
    <w:p w14:paraId="5475D3A1" w14:textId="3BAAED2D" w:rsidR="00B027BA" w:rsidRDefault="00E21F5D" w:rsidP="007B2C2C">
      <w:r>
        <w:t>Henkel, 2025 yılında da önemli trendler</w:t>
      </w:r>
      <w:r w:rsidR="003A15DF">
        <w:t xml:space="preserve">i ele alan </w:t>
      </w:r>
      <w:r>
        <w:t xml:space="preserve">ve müşteriler ve tüketiciler için değer yaratan çok sayıda </w:t>
      </w:r>
      <w:r>
        <w:rPr>
          <w:b/>
          <w:bCs/>
        </w:rPr>
        <w:t>inovasyonu</w:t>
      </w:r>
      <w:r>
        <w:t xml:space="preserve"> piyasaya sundu. </w:t>
      </w:r>
      <w:bookmarkStart w:id="12" w:name="_Hlk190180076"/>
      <w:r w:rsidR="00C72ACA">
        <w:t xml:space="preserve">Tüketici ürünleri pazarında </w:t>
      </w:r>
      <w:r>
        <w:t xml:space="preserve">inovasyon, farklılaşmanın anahtarı niteliğinde bir başarı faktörüdür. Bunun bir örneği, Schwarzkopf'un yeni Creme Supreme saç boyasıdır. Henkel, profesyonel kuaför uygulamalarından esinlenerek, mikro bağlar </w:t>
      </w:r>
      <w:r>
        <w:lastRenderedPageBreak/>
        <w:t>yardımıyla saç yapısını güçlendiren ve besleyen yeni bir teknoloji ile Creme Supreme'i geliştirmiştir. Bu mikro bağlar saç liflerini daha etkili bir şekilde bir arada tutar ve saçın etrafında özel bir koruyucu tabaka oluşturur. Bu da boyama işleminde tüketicilerin en çok endişe duyduğu konulardan biri olan saç kırıklarını önemli ölçüde azaltır.</w:t>
      </w:r>
    </w:p>
    <w:p w14:paraId="494B81C0" w14:textId="77777777" w:rsidR="00377C93" w:rsidRDefault="00377C93" w:rsidP="007B2C2C">
      <w:pPr>
        <w:rPr>
          <w:rFonts w:cs="Segoe UI"/>
          <w:bCs/>
          <w:szCs w:val="22"/>
        </w:rPr>
      </w:pPr>
    </w:p>
    <w:p w14:paraId="2F9AD5B3" w14:textId="394A7540" w:rsidR="00D64961" w:rsidRPr="0006442E" w:rsidRDefault="001A66E1" w:rsidP="00484218">
      <w:pPr>
        <w:rPr>
          <w:rFonts w:cs="Segoe UI"/>
          <w:bCs/>
          <w:szCs w:val="22"/>
        </w:rPr>
      </w:pPr>
      <w:r>
        <w:t>“</w:t>
      </w:r>
      <w:r w:rsidR="005D18DD">
        <w:t>House of Hair</w:t>
      </w:r>
      <w:r>
        <w:t xml:space="preserve">” (Saç Evi) </w:t>
      </w:r>
      <w:r w:rsidR="007B2C2C">
        <w:t xml:space="preserve"> konsepti de Saç kategorisinde yenilikler geliştirmede önemli bir rol oynamaktadır. Mart 2025'ten bu yana Henkel, saç kozmetiği alanındaki başlıca faaliyetleri</w:t>
      </w:r>
      <w:r w:rsidR="005D18DD">
        <w:t xml:space="preserve"> olan</w:t>
      </w:r>
      <w:r w:rsidR="007B2C2C">
        <w:t xml:space="preserve"> araştırma ve geliştirme, test kuaförleri, pazarlama ve </w:t>
      </w:r>
      <w:r w:rsidR="00F96C34">
        <w:t>S</w:t>
      </w:r>
      <w:r w:rsidR="00733A4F">
        <w:t xml:space="preserve">aç </w:t>
      </w:r>
      <w:r w:rsidR="00F96C34">
        <w:t>A</w:t>
      </w:r>
      <w:r w:rsidR="00733A4F">
        <w:t>kademisi</w:t>
      </w:r>
      <w:r w:rsidR="00F96C34">
        <w:t>’</w:t>
      </w:r>
      <w:r w:rsidR="00733A4F">
        <w:t>ni</w:t>
      </w:r>
      <w:r w:rsidR="007B2C2C">
        <w:t xml:space="preserve"> Almanya'nın Hamburg kentindeki tek bir tesiste toplamıştır. Burada, 300'den fazla uzman, yenilikçi ürünler geliştirmek için </w:t>
      </w:r>
      <w:r w:rsidR="005D18DD">
        <w:t>birlikte çalışmaktadır.</w:t>
      </w:r>
      <w:r w:rsidR="007B2C2C">
        <w:t xml:space="preserve"> Hamburg'un yanı sıra Los Angeles, Tokyo, Şang</w:t>
      </w:r>
      <w:r w:rsidR="00681240">
        <w:t>h</w:t>
      </w:r>
      <w:r w:rsidR="007B2C2C">
        <w:t>ay ve Guadalajara'da dört lokasyon daha bulunmaktadır. Her bir tesis, müşteri ihtiyaçlarında bölgesel farklılıkları dikkate alan müşteri odaklı saç kozmetik ürünlerinin geliştirilmesinde önemli bir rol oynamaktadır.</w:t>
      </w:r>
    </w:p>
    <w:p w14:paraId="2FE51A11" w14:textId="77777777" w:rsidR="00B027BA" w:rsidRPr="0006442E" w:rsidRDefault="00B027BA" w:rsidP="00273099">
      <w:pPr>
        <w:rPr>
          <w:rFonts w:cs="Segoe UI"/>
          <w:bCs/>
          <w:szCs w:val="22"/>
        </w:rPr>
      </w:pPr>
    </w:p>
    <w:p w14:paraId="7B6A7686" w14:textId="2B8CAEE0" w:rsidR="00545516" w:rsidRDefault="00545516" w:rsidP="00545516">
      <w:pPr>
        <w:rPr>
          <w:rFonts w:cs="Segoe UI"/>
          <w:bCs/>
          <w:szCs w:val="22"/>
        </w:rPr>
      </w:pPr>
      <w:r>
        <w:t xml:space="preserve">İnovasyon, Yapıştırıcı Teknolojileri </w:t>
      </w:r>
      <w:r w:rsidR="00053F32">
        <w:t>İ</w:t>
      </w:r>
      <w:r>
        <w:t xml:space="preserve">ş </w:t>
      </w:r>
      <w:r w:rsidR="00053F32">
        <w:t>B</w:t>
      </w:r>
      <w:r>
        <w:t xml:space="preserve">irimi için de temel bir başarı faktörüdür. Bu nedenle Henkel, </w:t>
      </w:r>
      <w:r w:rsidR="00053F32">
        <w:t xml:space="preserve">mevcut </w:t>
      </w:r>
      <w:r>
        <w:t>rekabet</w:t>
      </w:r>
      <w:r w:rsidR="00053F32">
        <w:t>çi</w:t>
      </w:r>
      <w:r>
        <w:t xml:space="preserve"> ortam</w:t>
      </w:r>
      <w:r w:rsidR="00053F32">
        <w:t>da</w:t>
      </w:r>
      <w:r>
        <w:t xml:space="preserve"> </w:t>
      </w:r>
      <w:r w:rsidR="0052395A" w:rsidRPr="0052395A">
        <w:t>başarılı bir şekilde konumlanabilmek</w:t>
      </w:r>
      <w:r w:rsidR="00E46C67">
        <w:t xml:space="preserve"> </w:t>
      </w:r>
      <w:r>
        <w:t xml:space="preserve">için yatırımlarına istikrarlı bir şekilde devam etmektedir. </w:t>
      </w:r>
      <w:r w:rsidR="008745AC" w:rsidRPr="008745AC">
        <w:t>Son teknolojiye sahip araştırma ve inovasyon merkezlerinden oluşan ağın genişletilmesi temel odak alanlarından biridir.</w:t>
      </w:r>
      <w:r w:rsidR="008745AC">
        <w:t xml:space="preserve"> </w:t>
      </w:r>
      <w:r>
        <w:t xml:space="preserve">Bu tür </w:t>
      </w:r>
      <w:r w:rsidR="001A66E1">
        <w:t>“</w:t>
      </w:r>
      <w:r w:rsidR="00053F32">
        <w:t>Inspiration Centers</w:t>
      </w:r>
      <w:r w:rsidR="001A66E1">
        <w:t>” (İlham Merkezleri)</w:t>
      </w:r>
      <w:r w:rsidR="00053F32">
        <w:t xml:space="preserve"> </w:t>
      </w:r>
      <w:r>
        <w:t xml:space="preserve">bir süredir Düsseldorf'ta, Hindistan'ın Mumbai kentinde ve ABD'nin New Jersey </w:t>
      </w:r>
      <w:r w:rsidR="00053F32">
        <w:t>şehrinde</w:t>
      </w:r>
      <w:r>
        <w:t xml:space="preserve"> faaliyet göstermektedir. 2025 yılında Henkel, Asya-Pasifik bölgesi için Şanghay'da 60 milyon Euro yatırımla bir başka </w:t>
      </w:r>
      <w:r w:rsidR="00EB2FDE">
        <w:t>“Inspiration Center”</w:t>
      </w:r>
      <w:r>
        <w:t xml:space="preserve"> daha açmıştır. Bu merkezde 500'den fazla araştırmacı ve geliştirici, çok çeşitli sektörlerden müşterilerle çalışmaktadır. </w:t>
      </w:r>
    </w:p>
    <w:bookmarkEnd w:id="12"/>
    <w:p w14:paraId="14D137F5" w14:textId="77777777" w:rsidR="00A2751B" w:rsidRPr="009C6158" w:rsidRDefault="00A2751B" w:rsidP="008E6661">
      <w:pPr>
        <w:rPr>
          <w:rFonts w:cs="Segoe UI"/>
          <w:bCs/>
          <w:szCs w:val="22"/>
        </w:rPr>
      </w:pPr>
    </w:p>
    <w:p w14:paraId="7AAEEAC0" w14:textId="10A7006F" w:rsidR="00E810D3" w:rsidRPr="00921C0C" w:rsidRDefault="00E810D3" w:rsidP="00E810D3">
      <w:pPr>
        <w:rPr>
          <w:rFonts w:cs="Segoe UI"/>
          <w:bCs/>
          <w:szCs w:val="22"/>
        </w:rPr>
      </w:pPr>
      <w:bookmarkStart w:id="13" w:name="_Hlk190180237"/>
      <w:r>
        <w:t xml:space="preserve">Değer zinciri boyunca emisyonların azaltılması Henkel'in </w:t>
      </w:r>
      <w:r>
        <w:rPr>
          <w:b/>
          <w:bCs/>
        </w:rPr>
        <w:t>sürdürülebilirlik</w:t>
      </w:r>
      <w:r>
        <w:t xml:space="preserve"> öncelikleri arasında yer almaya devam ediyor. 2045 yılına kadar, şirket mutlak Kapsam 1, 2 ve 3 sera gazı emisyonlarını (2021 baz yılına kıyasla) yüzde 90 oranında azaltmayı ve böylece net sıfır hedefine ulaşmayı amaçlamaktadır. Henkel, geç</w:t>
      </w:r>
      <w:r w:rsidR="00FE6398">
        <w:t>tiğimiz</w:t>
      </w:r>
      <w:r>
        <w:t xml:space="preserve"> yıl ilerleme kaydetmiş ve 2021 baz yılına </w:t>
      </w:r>
      <w:r w:rsidR="00FE6398">
        <w:t xml:space="preserve">kıyasla </w:t>
      </w:r>
      <w:r>
        <w:t xml:space="preserve">emisyonlarını şimdiden yüzde 29 oranında azaltmıştır. Henkel, sürdürülebilir tedarik zincirleri alanında da iyileştirmeler gerçekleştirmiştir. Sorumlu bir şekilde tedarik edilen ve </w:t>
      </w:r>
      <w:r w:rsidR="00021FDF">
        <w:t>sertifikalandırıl</w:t>
      </w:r>
      <w:r w:rsidR="00EF2517">
        <w:t>an</w:t>
      </w:r>
      <w:r>
        <w:t xml:space="preserve"> palm bazlı </w:t>
      </w:r>
      <w:r w:rsidR="00916874">
        <w:t>içeriklerin</w:t>
      </w:r>
      <w:r>
        <w:t xml:space="preserve"> oranı yüzde 98'e ulaşmıştır. Şirket, uluslararası alanda </w:t>
      </w:r>
      <w:r w:rsidR="00DF455B">
        <w:t>tanınan</w:t>
      </w:r>
      <w:r>
        <w:t xml:space="preserve"> sürdürülebilirlik derecelendirmelerinde</w:t>
      </w:r>
      <w:r w:rsidR="00B60C50">
        <w:t xml:space="preserve">ki </w:t>
      </w:r>
      <w:r>
        <w:t xml:space="preserve">performansını daha da </w:t>
      </w:r>
      <w:r w:rsidR="00B60C50">
        <w:t>geliştir</w:t>
      </w:r>
      <w:r w:rsidR="00F92025">
        <w:t>miştir</w:t>
      </w:r>
      <w:r w:rsidR="00B60C50">
        <w:t>.</w:t>
      </w:r>
      <w:r>
        <w:t xml:space="preserve"> Henkel'in 2025 CDP değerlendirmesinde İklim kategorisinde ilk kez A notu alması da dikkat çeken bir diğer </w:t>
      </w:r>
      <w:r w:rsidR="00FF182C">
        <w:t>başarısıdır.</w:t>
      </w:r>
      <w:r>
        <w:t xml:space="preserve"> Henkel, ayrıca son EcoVadis değerlendirmesinde performansını daha da iyileştirerek bir kez daha Altın derecelendirme almıştır.</w:t>
      </w:r>
    </w:p>
    <w:bookmarkEnd w:id="13"/>
    <w:p w14:paraId="0671982D" w14:textId="77777777" w:rsidR="00C9109C" w:rsidRDefault="00C9109C" w:rsidP="00062741">
      <w:pPr>
        <w:rPr>
          <w:rFonts w:cs="Segoe UI"/>
          <w:szCs w:val="22"/>
          <w:lang w:eastAsia="de-DE"/>
        </w:rPr>
      </w:pPr>
    </w:p>
    <w:p w14:paraId="3F73236A" w14:textId="644E3F5B" w:rsidR="00F237A6" w:rsidRPr="001545BB" w:rsidRDefault="00884205" w:rsidP="00062741">
      <w:bookmarkStart w:id="14" w:name="_Hlk190182641"/>
      <w:r w:rsidRPr="00884205">
        <w:t xml:space="preserve">Henkel ayrıca </w:t>
      </w:r>
      <w:r w:rsidRPr="00BC5B7D">
        <w:rPr>
          <w:b/>
        </w:rPr>
        <w:t>dijitalleşme</w:t>
      </w:r>
      <w:r w:rsidRPr="00884205">
        <w:t xml:space="preserve"> alanındaki ilerlemelerini daha da ileriye taşıdı.</w:t>
      </w:r>
      <w:r>
        <w:t xml:space="preserve"> </w:t>
      </w:r>
      <w:r w:rsidR="00062741">
        <w:t>2025'te Yapay Zeka (AI) alanındaki hızlı gelişmeler gündemin belirleyici konusu oldu. Yapay zek</w:t>
      </w:r>
      <w:r>
        <w:t>a</w:t>
      </w:r>
      <w:r w:rsidR="00062741">
        <w:t xml:space="preserve">, şirketin gelecekte nasıl </w:t>
      </w:r>
      <w:r>
        <w:t xml:space="preserve">faaliyet göstereceği </w:t>
      </w:r>
      <w:r w:rsidR="00062741">
        <w:t>üzerinde önemli</w:t>
      </w:r>
      <w:r>
        <w:t xml:space="preserve"> bir</w:t>
      </w:r>
      <w:r w:rsidR="00062741">
        <w:t xml:space="preserve"> etkiye sahip olacak</w:t>
      </w:r>
      <w:r>
        <w:t>.</w:t>
      </w:r>
      <w:r w:rsidR="00062741">
        <w:t xml:space="preserve"> Henkel, hem endüstriyel hem </w:t>
      </w:r>
      <w:r w:rsidR="00062741">
        <w:lastRenderedPageBreak/>
        <w:t>de tüketi</w:t>
      </w:r>
      <w:r>
        <w:t>ci ürünleri iş birimlerinde</w:t>
      </w:r>
      <w:r w:rsidR="00062741">
        <w:t xml:space="preserve"> birçok uygulamada yapay zek</w:t>
      </w:r>
      <w:r>
        <w:t>a</w:t>
      </w:r>
      <w:r w:rsidR="00062741">
        <w:t xml:space="preserve"> teknolojilerini kullanmaktadır. 2025 yılında Henkel, </w:t>
      </w:r>
      <w:r>
        <w:t xml:space="preserve">şirketin </w:t>
      </w:r>
      <w:r w:rsidR="00062741">
        <w:t>ilk yapay zek</w:t>
      </w:r>
      <w:r>
        <w:t>a</w:t>
      </w:r>
      <w:r w:rsidR="00062741">
        <w:t xml:space="preserve"> destekli TV reklamını </w:t>
      </w:r>
      <w:r>
        <w:t xml:space="preserve">Almanya’da </w:t>
      </w:r>
      <w:r w:rsidR="00062741">
        <w:t>yayınlayarak Persil'in ikonik Beyaz Kadın</w:t>
      </w:r>
      <w:r>
        <w:t xml:space="preserve"> (White Lady)</w:t>
      </w:r>
      <w:r w:rsidR="00062741">
        <w:t xml:space="preserve"> karakterini yeni bir çağa taşıdı. AI, yapıştırıcı geliştirme laboratuvarlarında</w:t>
      </w:r>
      <w:r>
        <w:t>ki</w:t>
      </w:r>
      <w:r w:rsidR="00062741">
        <w:t xml:space="preserve"> süreçlerin otomasyonunda da kullanılmaktadır. </w:t>
      </w:r>
      <w:r w:rsidR="00F237A6" w:rsidRPr="001545BB">
        <w:rPr>
          <w:rFonts w:cs="Segoe UI"/>
          <w:szCs w:val="22"/>
        </w:rPr>
        <w:t xml:space="preserve">Batarya üretiminde Henkel, yapay zeka destekli simülasyonlar ve yenilikçi debonding </w:t>
      </w:r>
      <w:r w:rsidR="00242207">
        <w:rPr>
          <w:rFonts w:cs="Segoe UI"/>
          <w:szCs w:val="22"/>
        </w:rPr>
        <w:t>(</w:t>
      </w:r>
      <w:r w:rsidR="00242207" w:rsidRPr="00242207">
        <w:rPr>
          <w:rFonts w:cs="Segoe UI"/>
          <w:szCs w:val="22"/>
        </w:rPr>
        <w:t>kontrollü ayrılma</w:t>
      </w:r>
      <w:r w:rsidR="00242207">
        <w:rPr>
          <w:rFonts w:cs="Segoe UI"/>
          <w:szCs w:val="22"/>
        </w:rPr>
        <w:t xml:space="preserve">) </w:t>
      </w:r>
      <w:r w:rsidR="00F237A6" w:rsidRPr="001545BB">
        <w:rPr>
          <w:rFonts w:cs="Segoe UI"/>
          <w:szCs w:val="22"/>
        </w:rPr>
        <w:t>çözümleri kullanarak müşterilerinin geliştirme sürelerini ve maliyetlerini azaltmalarına, aynı zamanda performansı optimize etmelerine yardımcı olmaktadır.</w:t>
      </w:r>
    </w:p>
    <w:p w14:paraId="61B25AFC" w14:textId="77777777" w:rsidR="00062741" w:rsidRDefault="00062741" w:rsidP="00FA397B">
      <w:pPr>
        <w:rPr>
          <w:rFonts w:cs="Segoe UI"/>
          <w:szCs w:val="22"/>
          <w:lang w:eastAsia="de-DE"/>
        </w:rPr>
      </w:pPr>
    </w:p>
    <w:p w14:paraId="752AC14F" w14:textId="5813DAF5" w:rsidR="005F750F" w:rsidRPr="005F750F" w:rsidRDefault="00E810D3" w:rsidP="005F750F">
      <w:pPr>
        <w:rPr>
          <w:rFonts w:cs="Segoe UI"/>
          <w:szCs w:val="22"/>
        </w:rPr>
      </w:pPr>
      <w:bookmarkStart w:id="15" w:name="_Hlk190182811"/>
      <w:bookmarkEnd w:id="14"/>
      <w:r>
        <w:t xml:space="preserve">Uzun vadeli büyüme stratejisi kapsamında Henkel, </w:t>
      </w:r>
      <w:r>
        <w:rPr>
          <w:b/>
          <w:bCs/>
        </w:rPr>
        <w:t>geleceğe hazır işletme modelleriyle</w:t>
      </w:r>
      <w:r>
        <w:t xml:space="preserve"> uzun vadeli başarı elde etmek için, sürekli olarak iş birimlerini dinamik pazarların gereklilikleri ve değişen müşteri beklentileriyle uyumlu hale getirmektedir. </w:t>
      </w:r>
      <w:bookmarkStart w:id="16" w:name="_Hlk191457890"/>
      <w:bookmarkStart w:id="17" w:name="_Hlk222133417"/>
      <w:r>
        <w:t>Mart 2025'te Henkel, iki iş birimi olan Yapıştırıcı Teknolojileri (HAT) ve Tüketici Markaları (HCB) için Almanya ve diğer bazı ülkelerde ayrı tüzel kişilikler kurma olasılığını değerlendireceğini açıklamıştır. Bu adım, SAP S/4HANA</w:t>
      </w:r>
      <w:r w:rsidR="00144851">
        <w:t xml:space="preserve">’ya </w:t>
      </w:r>
      <w:r>
        <w:t xml:space="preserve">geçiş </w:t>
      </w:r>
      <w:r w:rsidR="008507D2">
        <w:t xml:space="preserve">süreci </w:t>
      </w:r>
      <w:r>
        <w:t>için yapılan hazırlıklarla da bağlantılıdır. Yönetim Kurulu, ilgili denetim organları</w:t>
      </w:r>
      <w:r w:rsidR="00392745">
        <w:t xml:space="preserve"> ile</w:t>
      </w:r>
      <w:r>
        <w:t xml:space="preserve"> öneriyi ayrıntılı olarak görüşmüş ve üzerinde anlaşmaya varmıştır. Buna göre, ilk adım olarak Almanya'daki iki mevcut iş birimi için ayrı tüzel kişilikler kurulması planlanmaktadır. Bu hamle ile Henkel, süreçlerini ve yapılarını daha çevik hale getirmeyi ve iş</w:t>
      </w:r>
      <w:r w:rsidR="000D7640">
        <w:t xml:space="preserve"> birimlerinin</w:t>
      </w:r>
      <w:r>
        <w:t xml:space="preserve"> gelecekteki ihtiyaçlarını ve Henkel Gru</w:t>
      </w:r>
      <w:r w:rsidR="0096587B">
        <w:t>bu</w:t>
      </w:r>
      <w:r>
        <w:t>'</w:t>
      </w:r>
      <w:r w:rsidR="0096587B">
        <w:t>n</w:t>
      </w:r>
      <w:r>
        <w:t>un büyüme gündemini daha iyi desteklemeyi amaçlamaktadır. Grup ve iş birimlerinin stratejik ve operasyonel yönetimi aynen korunacaktır. Öneri, 2026 Yıllık Genel Kurul</w:t>
      </w:r>
      <w:r w:rsidR="00734195">
        <w:t>u</w:t>
      </w:r>
      <w:r w:rsidR="00911F53">
        <w:t>’</w:t>
      </w:r>
      <w:r w:rsidR="00734195">
        <w:t>nda</w:t>
      </w:r>
      <w:r>
        <w:t xml:space="preserve"> hissedarların takdirine sunulacaktır.</w:t>
      </w:r>
    </w:p>
    <w:bookmarkEnd w:id="16"/>
    <w:bookmarkEnd w:id="17"/>
    <w:p w14:paraId="3A1D5552" w14:textId="77777777" w:rsidR="008B3182" w:rsidRPr="00921C0C" w:rsidRDefault="008B3182" w:rsidP="008B3182">
      <w:pPr>
        <w:rPr>
          <w:rFonts w:cs="Segoe UI"/>
          <w:szCs w:val="22"/>
          <w:lang w:eastAsia="de-DE"/>
        </w:rPr>
      </w:pPr>
    </w:p>
    <w:bookmarkEnd w:id="15"/>
    <w:p w14:paraId="18EADE9F" w14:textId="3E6BDF11" w:rsidR="003A11DF" w:rsidRDefault="003A11DF" w:rsidP="00607621">
      <w:pPr>
        <w:rPr>
          <w:rFonts w:cs="Segoe UI"/>
          <w:szCs w:val="22"/>
        </w:rPr>
      </w:pPr>
      <w:r>
        <w:t xml:space="preserve">Henkel'de, güçlü </w:t>
      </w:r>
      <w:r>
        <w:rPr>
          <w:b/>
          <w:bCs/>
        </w:rPr>
        <w:t>kurum</w:t>
      </w:r>
      <w:r w:rsidR="00CA60BD">
        <w:rPr>
          <w:b/>
          <w:bCs/>
        </w:rPr>
        <w:t>sal</w:t>
      </w:r>
      <w:r>
        <w:rPr>
          <w:b/>
          <w:bCs/>
        </w:rPr>
        <w:t xml:space="preserve"> kültür</w:t>
      </w:r>
      <w:r>
        <w:t xml:space="preserve"> amaca yönelik büyüme gündeminin temelini oluşturur. Bu kurumsal kültürün belirleyici özelliklerini</w:t>
      </w:r>
      <w:r w:rsidR="00324F3F">
        <w:t>,</w:t>
      </w:r>
      <w:r>
        <w:t xml:space="preserve"> iş birimleri</w:t>
      </w:r>
      <w:r w:rsidR="00324F3F">
        <w:t xml:space="preserve"> ve </w:t>
      </w:r>
      <w:r w:rsidR="00CA60BD">
        <w:t>farklı ülkeler</w:t>
      </w:r>
      <w:r>
        <w:t xml:space="preserve"> ve ekipler arasında</w:t>
      </w:r>
      <w:r w:rsidR="00324F3F">
        <w:t>ki</w:t>
      </w:r>
      <w:r>
        <w:t xml:space="preserve"> güvene dayalı işbirliği ile</w:t>
      </w:r>
      <w:r w:rsidR="00324F3F">
        <w:t>,</w:t>
      </w:r>
      <w:r>
        <w:t xml:space="preserve"> çalışanlar</w:t>
      </w:r>
      <w:r w:rsidR="00324F3F">
        <w:t>a</w:t>
      </w:r>
      <w:r>
        <w:t xml:space="preserve"> sorumluluk alma ve sonuçları aktif olarak şekillendirme gücü vermek oluşturmaktadır. Böyle bir kültür sürekli olarak teşvik edilmelidir. Çalışanların bununla ilgili fikirlerini öğrenmek için Henkel, birkaç yıldır her ay</w:t>
      </w:r>
      <w:r w:rsidR="00324F3F">
        <w:t>,</w:t>
      </w:r>
      <w:r>
        <w:t xml:space="preserve"> rastgele seçilen 5.000 çalışanı kapsayan ve </w:t>
      </w:r>
      <w:r w:rsidR="00324F3F">
        <w:t xml:space="preserve">bir nevi </w:t>
      </w:r>
      <w:r>
        <w:t xml:space="preserve">“nabız kontrolü” </w:t>
      </w:r>
      <w:r w:rsidR="00324F3F">
        <w:t>işlevi gören</w:t>
      </w:r>
      <w:r w:rsidR="00EB3541">
        <w:t xml:space="preserve"> </w:t>
      </w:r>
      <w:r>
        <w:t>anket</w:t>
      </w:r>
      <w:r w:rsidR="00324F3F">
        <w:t>ler</w:t>
      </w:r>
      <w:r>
        <w:t xml:space="preserve"> düzenlemektedir. Bu anonim anketler, işbirliği, hesap verebilirlik, inovasyon, çeşitlilik ve Henkel'in uzun vadeli stratejisiyle uyum gibi konularda değerli bilgiler sağlamaktadır. 2025 yılı anketinin sonuçları, Henkel'in bu alanlarda önemli ilerleme kaydettiğini göstermektedir. Bu da</w:t>
      </w:r>
      <w:r w:rsidR="00EB3541">
        <w:t>,</w:t>
      </w:r>
      <w:r>
        <w:t xml:space="preserve"> son yıllarda hayata geçirilen çeşitli girişim ve </w:t>
      </w:r>
      <w:r w:rsidR="00EB3541">
        <w:t>tedbirlerin</w:t>
      </w:r>
      <w:r>
        <w:t xml:space="preserve"> etkili olduğunu ve kurum</w:t>
      </w:r>
      <w:r w:rsidR="00EB3541">
        <w:t>sal</w:t>
      </w:r>
      <w:r>
        <w:t xml:space="preserve"> kültürün sürekli olarak güçlendiğini teyit etmektedir.</w:t>
      </w:r>
    </w:p>
    <w:p w14:paraId="1A3BACE2" w14:textId="77777777" w:rsidR="00607621" w:rsidRPr="00FB4BF5" w:rsidRDefault="00607621" w:rsidP="00607621">
      <w:pPr>
        <w:rPr>
          <w:rFonts w:cs="Segoe UI"/>
          <w:szCs w:val="22"/>
          <w:lang w:eastAsia="de-DE"/>
        </w:rPr>
      </w:pPr>
    </w:p>
    <w:p w14:paraId="4312476B" w14:textId="39E1492E" w:rsidR="00FE00EA" w:rsidRPr="003A11DF" w:rsidRDefault="00FE00EA" w:rsidP="00765D0E">
      <w:pPr>
        <w:spacing w:after="120"/>
        <w:rPr>
          <w:rFonts w:cs="Segoe UI"/>
          <w:b/>
          <w:bCs/>
          <w:szCs w:val="22"/>
        </w:rPr>
      </w:pPr>
      <w:r>
        <w:rPr>
          <w:b/>
        </w:rPr>
        <w:t xml:space="preserve">Henkel, 150 </w:t>
      </w:r>
      <w:r w:rsidR="00B3575F">
        <w:rPr>
          <w:b/>
        </w:rPr>
        <w:t>Y</w:t>
      </w:r>
      <w:r>
        <w:rPr>
          <w:b/>
        </w:rPr>
        <w:t xml:space="preserve">ıllık </w:t>
      </w:r>
      <w:r w:rsidR="00B3575F">
        <w:rPr>
          <w:b/>
        </w:rPr>
        <w:t>B</w:t>
      </w:r>
      <w:r>
        <w:rPr>
          <w:b/>
        </w:rPr>
        <w:t xml:space="preserve">aşarılı </w:t>
      </w:r>
      <w:r w:rsidR="00B3575F">
        <w:rPr>
          <w:b/>
        </w:rPr>
        <w:t>G</w:t>
      </w:r>
      <w:r>
        <w:rPr>
          <w:b/>
        </w:rPr>
        <w:t xml:space="preserve">eçmişini </w:t>
      </w:r>
      <w:r w:rsidR="00B3575F">
        <w:rPr>
          <w:b/>
        </w:rPr>
        <w:t>K</w:t>
      </w:r>
      <w:r>
        <w:rPr>
          <w:b/>
        </w:rPr>
        <w:t>utluyor</w:t>
      </w:r>
    </w:p>
    <w:p w14:paraId="1E91AE04" w14:textId="4E18E2AA" w:rsidR="00062741" w:rsidRPr="001058F1" w:rsidRDefault="00062741" w:rsidP="00062741">
      <w:pPr>
        <w:rPr>
          <w:rFonts w:cs="Segoe UI"/>
          <w:szCs w:val="22"/>
        </w:rPr>
      </w:pPr>
      <w:bookmarkStart w:id="18" w:name="_Hlk190182989"/>
      <w:r>
        <w:t xml:space="preserve">Carsten Knobel </w:t>
      </w:r>
      <w:r w:rsidR="00B3575F">
        <w:t>görüşlerini,</w:t>
      </w:r>
      <w:r>
        <w:t xml:space="preserve"> “2025, bir kez daha büyük zorlukların üstesinden gelerek önemli ilerlemeler kaydettiğimiz başarılı bir yıl oldu. Finansal hedeflerimize büyük ölçüde ulaştık. Tüm stratejik </w:t>
      </w:r>
      <w:r w:rsidR="00C72426">
        <w:t>alanlarda</w:t>
      </w:r>
      <w:r>
        <w:t xml:space="preserve"> amaca yönelik büyüme gündemimizi </w:t>
      </w:r>
      <w:r w:rsidR="00C72426">
        <w:t xml:space="preserve">istikrarlı </w:t>
      </w:r>
      <w:r>
        <w:t xml:space="preserve">bir şekilde uyguladık ve </w:t>
      </w:r>
      <w:r w:rsidR="00C72426">
        <w:t xml:space="preserve">tüketici </w:t>
      </w:r>
      <w:r w:rsidR="00C72426">
        <w:lastRenderedPageBreak/>
        <w:t>ürünleri iş birimlerimizin</w:t>
      </w:r>
      <w:r>
        <w:t xml:space="preserve"> entegrasyonunu başarıyla tamamladık. </w:t>
      </w:r>
      <w:r w:rsidR="00C72426" w:rsidRPr="00C72426">
        <w:t>Hedeflerimiz doğrultusunda ilerliyoruz ve şirketimizin dönüşümü somut sonuçlar veriyor.</w:t>
      </w:r>
      <w:r w:rsidR="00C72426">
        <w:t>”</w:t>
      </w:r>
    </w:p>
    <w:p w14:paraId="5720D19B" w14:textId="77777777" w:rsidR="00F460F3" w:rsidRDefault="00F460F3" w:rsidP="003A11DF">
      <w:pPr>
        <w:rPr>
          <w:rFonts w:cs="Segoe UI"/>
          <w:szCs w:val="22"/>
        </w:rPr>
      </w:pPr>
    </w:p>
    <w:p w14:paraId="7267CF84" w14:textId="50AD51E5" w:rsidR="00250E04" w:rsidRDefault="00062741" w:rsidP="003A11DF">
      <w:r>
        <w:t xml:space="preserve">"Şimdi, 150. </w:t>
      </w:r>
      <w:r w:rsidR="00FC6D59">
        <w:t xml:space="preserve">yıl </w:t>
      </w:r>
      <w:r>
        <w:t>dönümümüzü kutlayacağımız heyecan verici bir yıl olan 2026'ya odaklanıyoruz. Elbette mirasımızla gurur duyuyoruz.</w:t>
      </w:r>
      <w:r w:rsidR="00250E04">
        <w:t xml:space="preserve"> </w:t>
      </w:r>
      <w:r w:rsidR="00250E04" w:rsidRPr="00250E04">
        <w:t xml:space="preserve">Ancak bu, yerimizde saymak </w:t>
      </w:r>
      <w:r w:rsidR="00250E04">
        <w:t>için bir gerekçe değildir.</w:t>
      </w:r>
    </w:p>
    <w:p w14:paraId="65AD4A67" w14:textId="04A2BE36" w:rsidR="00062741" w:rsidRDefault="00062741" w:rsidP="003A11DF">
      <w:pPr>
        <w:rPr>
          <w:rFonts w:cs="Segoe UI"/>
          <w:szCs w:val="22"/>
        </w:rPr>
      </w:pPr>
      <w:r>
        <w:t xml:space="preserve">Aksine bu, önümüzdeki yol için bir motivasyon kaynağıdır. Geleceğe hazırız. </w:t>
      </w:r>
      <w:r w:rsidR="00E377AD">
        <w:t>Dün olduğu gibi bugün de</w:t>
      </w:r>
      <w:r>
        <w:t>, gelecek nesiller için ileriye dönük ürünler ve çözümler geliştir</w:t>
      </w:r>
      <w:r w:rsidR="00825990">
        <w:t>mek</w:t>
      </w:r>
      <w:r>
        <w:t xml:space="preserve"> </w:t>
      </w:r>
      <w:r w:rsidR="0062391A">
        <w:t>hedefiyle</w:t>
      </w:r>
      <w:r w:rsidR="00825990">
        <w:t xml:space="preserve"> öncü ruhumuzdan ilham alacağız. </w:t>
      </w:r>
      <w:r>
        <w:t>Bu</w:t>
      </w:r>
      <w:r w:rsidR="0062391A">
        <w:t xml:space="preserve"> </w:t>
      </w:r>
      <w:r w:rsidR="00825990">
        <w:t>ise</w:t>
      </w:r>
      <w:r w:rsidR="0062391A">
        <w:t>,</w:t>
      </w:r>
      <w:r w:rsidR="00825990">
        <w:t xml:space="preserve"> amacımızla tam bir uyum içindedir: </w:t>
      </w:r>
      <w:r w:rsidR="006F5721">
        <w:t>“</w:t>
      </w:r>
      <w:r w:rsidR="00825990">
        <w:t xml:space="preserve">Pioneers at heart for the good of generations.” </w:t>
      </w:r>
      <w:r w:rsidR="006F5721">
        <w:t>(Gelecek nesiller için iyiliğ</w:t>
      </w:r>
      <w:r w:rsidR="00B43256">
        <w:t>e</w:t>
      </w:r>
      <w:r w:rsidR="006F5721">
        <w:t xml:space="preserve"> öncülük ediyoruz) </w:t>
      </w:r>
      <w:r w:rsidR="00825990">
        <w:t>sözleriyle özetledi.</w:t>
      </w:r>
    </w:p>
    <w:bookmarkEnd w:id="18"/>
    <w:p w14:paraId="33E22388" w14:textId="77777777" w:rsidR="00B312F1" w:rsidRDefault="00B312F1">
      <w:pPr>
        <w:spacing w:line="240" w:lineRule="auto"/>
        <w:jc w:val="left"/>
        <w:rPr>
          <w:rFonts w:eastAsia="PMingLiU"/>
          <w:b/>
          <w:bCs/>
          <w:sz w:val="18"/>
        </w:rPr>
      </w:pPr>
    </w:p>
    <w:p w14:paraId="32D90A78" w14:textId="77777777" w:rsidR="00062741" w:rsidRPr="00841179" w:rsidRDefault="00062741">
      <w:pPr>
        <w:spacing w:line="240" w:lineRule="auto"/>
        <w:jc w:val="left"/>
        <w:rPr>
          <w:rFonts w:eastAsia="PMingLiU"/>
          <w:b/>
          <w:bCs/>
          <w:sz w:val="18"/>
        </w:rPr>
      </w:pPr>
    </w:p>
    <w:p w14:paraId="58E2CB06" w14:textId="51DBE973" w:rsidR="00856533" w:rsidRPr="00DC48FC" w:rsidRDefault="00856533" w:rsidP="00856533">
      <w:pPr>
        <w:pStyle w:val="He01Flietext"/>
        <w:spacing w:line="240" w:lineRule="auto"/>
        <w:contextualSpacing/>
        <w:rPr>
          <w:b/>
          <w:szCs w:val="18"/>
        </w:rPr>
      </w:pPr>
      <w:r w:rsidRPr="000B179E">
        <w:rPr>
          <w:b/>
          <w:szCs w:val="18"/>
        </w:rPr>
        <w:t xml:space="preserve">Henkel Hakkında </w:t>
      </w:r>
    </w:p>
    <w:p w14:paraId="0F93791A" w14:textId="77777777" w:rsidR="00856533" w:rsidRPr="00CB6882" w:rsidRDefault="00856533" w:rsidP="00856533">
      <w:pPr>
        <w:pStyle w:val="He01Flietext"/>
        <w:spacing w:line="240" w:lineRule="auto"/>
        <w:contextualSpacing/>
        <w:rPr>
          <w:rFonts w:cs="Segoe UI"/>
          <w:noProof/>
          <w:kern w:val="2"/>
          <w:lang w:val="en-US"/>
          <w14:ligatures w14:val="standardContextual"/>
        </w:rPr>
      </w:pPr>
      <w:r w:rsidRPr="000219EC">
        <w:rPr>
          <w:rFonts w:cs="Segoe UI"/>
          <w:noProof/>
          <w:kern w:val="2"/>
          <w:lang w:val="en-US"/>
          <w14:ligatures w14:val="standardContextual"/>
        </w:rPr>
        <w:t xml:space="preserve">Markaları, inovasyonları ve teknolojileri ile Henkel, endüstriyel ve tüketici iş birimlerinde, dünya genelindeki pazarlarda lider konumlara sahiptir. Henkel’in Yapıştırıcı Teknolojileri İş </w:t>
      </w:r>
      <w:r w:rsidRPr="00CB6882">
        <w:rPr>
          <w:rFonts w:cs="Segoe UI"/>
          <w:noProof/>
          <w:kern w:val="2"/>
          <w:lang w:val="en-US"/>
          <w14:ligatures w14:val="standardContextual"/>
        </w:rPr>
        <w:t xml:space="preserve">Birimi; yapıştırıcılar, yalıtım malzemeleri ve kaplamalar pazarlarında global bir liderdir. Tüketici Markaları İş Birimi, özellikle Çamaşır ve Ev Bakım ile Saç iş alanları olmak üzere, dünya genelinde pek çok pazar ve kategoride lider konumlarda bulunmaktadır. Henkel’in en büyük üç markası Loctite, Persil ve Schwarzkopf markalarıdır. 2025 mali yılında Henkel, yaklaşık 20,5 milyar Euro satış ve yaklaşık 3,0 milyar Euro düzeltilmiş faaliyet karı bildirmiştir. Henkel’in imtiyazlı hisse senetleri, Almanya DAX borsa endeksine kayıtlıdır. Sürdürülebilirlik, Henkel’in köklü geleneğinin önemli bir bileşenidir ve şirket somut hedefler doğrultusunda hayata geçirdiği net bir sürdürülebilirlik stratejisine sahiptir. 1876’da kurulmuş olan Henkel, bugün dünyanın dört bir yanında güçlü bir şirket kültürü ile bir araya gelen, ortak değerlerde birleşen ve “Pioneers at heart for the good of generations” (Gelecek Nesiller İçin İyiliğe Öncülük Ediyoruz) amacında buluşan yaklaşık 47.000 kişiyi istihdam etmektedir. Detaylı bilgi için </w:t>
      </w:r>
      <w:hyperlink r:id="rId12" w:history="1">
        <w:r w:rsidRPr="000B179E">
          <w:rPr>
            <w:rFonts w:cs="Segoe UI"/>
            <w:color w:val="0000FF"/>
            <w:szCs w:val="18"/>
            <w:u w:val="single"/>
          </w:rPr>
          <w:t>www.henkel.com</w:t>
        </w:r>
      </w:hyperlink>
      <w:r w:rsidRPr="000B179E">
        <w:rPr>
          <w:rFonts w:cs="Segoe UI"/>
        </w:rPr>
        <w:t xml:space="preserve"> </w:t>
      </w:r>
      <w:r w:rsidRPr="00CB6882">
        <w:rPr>
          <w:rFonts w:cs="Segoe UI"/>
          <w:noProof/>
          <w:kern w:val="2"/>
          <w:lang w:val="en-US"/>
          <w14:ligatures w14:val="standardContextual"/>
        </w:rPr>
        <w:t>adresini ziyaret edebilirsiniz.</w:t>
      </w:r>
    </w:p>
    <w:p w14:paraId="352EA0FD" w14:textId="77777777" w:rsidR="00856533" w:rsidRPr="00CB6882" w:rsidRDefault="00856533" w:rsidP="006B7A99">
      <w:pPr>
        <w:pStyle w:val="He01Flietext"/>
        <w:rPr>
          <w:rFonts w:cs="Segoe UI"/>
          <w:noProof/>
          <w:kern w:val="2"/>
          <w:lang w:val="en-US"/>
          <w14:ligatures w14:val="standardContextual"/>
        </w:rPr>
      </w:pPr>
    </w:p>
    <w:p w14:paraId="25DBBED5" w14:textId="77777777" w:rsidR="00292C23" w:rsidRPr="00292C23" w:rsidRDefault="00292C23" w:rsidP="00292C23">
      <w:pPr>
        <w:rPr>
          <w:sz w:val="14"/>
          <w:szCs w:val="14"/>
        </w:rPr>
      </w:pPr>
    </w:p>
    <w:p w14:paraId="6626B667" w14:textId="77777777" w:rsidR="00292C23" w:rsidRPr="00292C23" w:rsidRDefault="00292C23" w:rsidP="00292C23">
      <w:pPr>
        <w:tabs>
          <w:tab w:val="left" w:pos="1080"/>
          <w:tab w:val="left" w:pos="4500"/>
        </w:tabs>
        <w:spacing w:line="264" w:lineRule="auto"/>
        <w:rPr>
          <w:rFonts w:asciiTheme="majorHAnsi" w:eastAsia="PMingLiU" w:hAnsiTheme="majorHAnsi" w:cs="Calibri Light"/>
          <w:b/>
          <w:sz w:val="18"/>
          <w:szCs w:val="18"/>
        </w:rPr>
      </w:pPr>
    </w:p>
    <w:p w14:paraId="763085E6" w14:textId="0579D4F4" w:rsidR="00292C23" w:rsidRPr="00292C23" w:rsidRDefault="00292C23" w:rsidP="00292C23">
      <w:pPr>
        <w:spacing w:line="240" w:lineRule="auto"/>
        <w:jc w:val="left"/>
        <w:rPr>
          <w:rFonts w:asciiTheme="majorHAnsi" w:hAnsiTheme="majorHAnsi" w:cs="Calibri Light"/>
          <w:b/>
          <w:sz w:val="18"/>
          <w:szCs w:val="18"/>
        </w:rPr>
      </w:pPr>
    </w:p>
    <w:p w14:paraId="47F7007F" w14:textId="467041FD" w:rsidR="009C4BFB" w:rsidRPr="009C4BFB" w:rsidRDefault="009C4BFB" w:rsidP="009C4BFB">
      <w:pPr>
        <w:spacing w:line="240" w:lineRule="auto"/>
        <w:jc w:val="left"/>
        <w:rPr>
          <w:rStyle w:val="Hyperlink"/>
          <w:rFonts w:asciiTheme="majorHAnsi" w:hAnsiTheme="majorHAnsi" w:cs="Calibri Light"/>
          <w:b/>
          <w:color w:val="auto"/>
          <w:u w:val="none"/>
        </w:rPr>
      </w:pPr>
    </w:p>
    <w:sectPr w:rsidR="009C4BFB" w:rsidRPr="009C4BFB" w:rsidSect="00164C82">
      <w:headerReference w:type="even" r:id="rId13"/>
      <w:footerReference w:type="default" r:id="rId14"/>
      <w:headerReference w:type="first" r:id="rId15"/>
      <w:footerReference w:type="first" r:id="rId16"/>
      <w:pgSz w:w="11907" w:h="16840" w:code="9"/>
      <w:pgMar w:top="1944" w:right="1411" w:bottom="1843" w:left="1411" w:header="1253" w:footer="10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F701" w14:textId="77777777" w:rsidR="00BC64C0" w:rsidRDefault="00BC64C0">
      <w:r>
        <w:separator/>
      </w:r>
    </w:p>
  </w:endnote>
  <w:endnote w:type="continuationSeparator" w:id="0">
    <w:p w14:paraId="258BE499" w14:textId="77777777" w:rsidR="00BC64C0" w:rsidRDefault="00BC64C0">
      <w:r>
        <w:continuationSeparator/>
      </w:r>
    </w:p>
  </w:endnote>
  <w:endnote w:type="continuationNotice" w:id="1">
    <w:p w14:paraId="21245A33" w14:textId="77777777" w:rsidR="00BC64C0" w:rsidRDefault="00BC64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1CEE9B7" w:rsidR="00681240" w:rsidRPr="00112A28" w:rsidRDefault="00681240" w:rsidP="00112A28">
    <w:pPr>
      <w:pStyle w:val="Footer"/>
      <w:tabs>
        <w:tab w:val="clear" w:pos="7083"/>
        <w:tab w:val="clear" w:pos="8640"/>
        <w:tab w:val="right" w:pos="9071"/>
      </w:tabs>
      <w:jc w:val="both"/>
    </w:pPr>
    <w:r>
      <w:tab/>
    </w:r>
    <w:r>
      <w:t xml:space="preserve">Sayfa </w:t>
    </w:r>
    <w:r w:rsidRPr="00BF6E82">
      <w:fldChar w:fldCharType="begin"/>
    </w:r>
    <w:r w:rsidRPr="00BF6E82">
      <w:instrText xml:space="preserve"> PAGE  \* Arabic  \* MERGEFORMAT </w:instrText>
    </w:r>
    <w:r w:rsidRPr="00BF6E82">
      <w:fldChar w:fldCharType="separate"/>
    </w:r>
    <w:r w:rsidR="00F87E7B">
      <w:t>10</w:t>
    </w:r>
    <w:r w:rsidRPr="00BF6E82">
      <w:fldChar w:fldCharType="end"/>
    </w:r>
    <w:r>
      <w:t>/</w:t>
    </w:r>
    <w:fldSimple w:instr="NUMPAGES  \* Arabic  \* MERGEFORMAT">
      <w:r w:rsidR="00F87E7B">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7169" w14:textId="77777777" w:rsidR="00164C82" w:rsidRDefault="00164C82" w:rsidP="00164C82">
    <w:pPr>
      <w:pStyle w:val="Footer"/>
      <w:jc w:val="left"/>
    </w:pPr>
  </w:p>
  <w:p w14:paraId="577A058E" w14:textId="3A1C1763" w:rsidR="00681240" w:rsidRPr="00992A11" w:rsidRDefault="00164C82" w:rsidP="00164C82">
    <w:pPr>
      <w:pStyle w:val="Footer"/>
      <w:jc w:val="left"/>
    </w:pPr>
    <w:r>
      <w:t xml:space="preserve">    </w:t>
    </w:r>
    <w:r w:rsidRPr="00164C82">
      <w:t>* Tek seferlik gider ve gelirler ile yeniden yapılandırma giderlerine göre düzeltilmiştir.</w:t>
    </w:r>
    <w:r w:rsidR="00681240">
      <w:rPr>
        <w:lang w:eastAsia="tr-TR"/>
      </w:rPr>
      <w:drawing>
        <wp:anchor distT="0" distB="0" distL="114300" distR="114300" simplePos="0" relativeHeight="251660289" behindDoc="0" locked="0" layoutInCell="1" allowOverlap="1" wp14:anchorId="134B6F6F" wp14:editId="687DE7DE">
          <wp:simplePos x="0" y="0"/>
          <wp:positionH relativeFrom="column">
            <wp:posOffset>0</wp:posOffset>
          </wp:positionH>
          <wp:positionV relativeFrom="paragraph">
            <wp:posOffset>-365833</wp:posOffset>
          </wp:positionV>
          <wp:extent cx="4967544" cy="407963"/>
          <wp:effectExtent l="0" t="0" r="5080" b="0"/>
          <wp:wrapNone/>
          <wp:docPr id="3013863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C9E9" w14:textId="77777777" w:rsidR="00BC64C0" w:rsidRDefault="00BC64C0">
      <w:r>
        <w:separator/>
      </w:r>
    </w:p>
  </w:footnote>
  <w:footnote w:type="continuationSeparator" w:id="0">
    <w:p w14:paraId="20923C56" w14:textId="77777777" w:rsidR="00BC64C0" w:rsidRDefault="00BC64C0">
      <w:r>
        <w:continuationSeparator/>
      </w:r>
    </w:p>
  </w:footnote>
  <w:footnote w:type="continuationNotice" w:id="1">
    <w:p w14:paraId="0E7B8B82" w14:textId="77777777" w:rsidR="00BC64C0" w:rsidRDefault="00BC64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681240" w:rsidRDefault="00681240"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5DAD93D" w:rsidR="00681240" w:rsidRPr="00EB46D9" w:rsidRDefault="00681240" w:rsidP="00EB46D9">
    <w:pPr>
      <w:pStyle w:val="Header"/>
    </w:pPr>
    <w:r>
      <w:rPr>
        <w:noProof/>
        <w:lang w:eastAsia="tr-TR"/>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303523085"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C8350C8"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Basın Bülteni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22E4"/>
    <w:multiLevelType w:val="hybridMultilevel"/>
    <w:tmpl w:val="9E440B88"/>
    <w:lvl w:ilvl="0" w:tplc="A6BA9BCA">
      <w:start w:val="1"/>
      <w:numFmt w:val="bullet"/>
      <w:lvlText w:val=""/>
      <w:lvlJc w:val="left"/>
      <w:pPr>
        <w:ind w:left="720" w:hanging="360"/>
      </w:pPr>
      <w:rPr>
        <w:rFonts w:ascii="Symbol" w:hAnsi="Symbol"/>
      </w:rPr>
    </w:lvl>
    <w:lvl w:ilvl="1" w:tplc="2EEA38E4">
      <w:start w:val="1"/>
      <w:numFmt w:val="bullet"/>
      <w:lvlText w:val=""/>
      <w:lvlJc w:val="left"/>
      <w:pPr>
        <w:ind w:left="720" w:hanging="360"/>
      </w:pPr>
      <w:rPr>
        <w:rFonts w:ascii="Symbol" w:hAnsi="Symbol"/>
      </w:rPr>
    </w:lvl>
    <w:lvl w:ilvl="2" w:tplc="DD3AA1B8">
      <w:start w:val="1"/>
      <w:numFmt w:val="bullet"/>
      <w:lvlText w:val=""/>
      <w:lvlJc w:val="left"/>
      <w:pPr>
        <w:ind w:left="720" w:hanging="360"/>
      </w:pPr>
      <w:rPr>
        <w:rFonts w:ascii="Symbol" w:hAnsi="Symbol"/>
      </w:rPr>
    </w:lvl>
    <w:lvl w:ilvl="3" w:tplc="7C5C33A8">
      <w:start w:val="1"/>
      <w:numFmt w:val="bullet"/>
      <w:lvlText w:val=""/>
      <w:lvlJc w:val="left"/>
      <w:pPr>
        <w:ind w:left="720" w:hanging="360"/>
      </w:pPr>
      <w:rPr>
        <w:rFonts w:ascii="Symbol" w:hAnsi="Symbol"/>
      </w:rPr>
    </w:lvl>
    <w:lvl w:ilvl="4" w:tplc="09067C82">
      <w:start w:val="1"/>
      <w:numFmt w:val="bullet"/>
      <w:lvlText w:val=""/>
      <w:lvlJc w:val="left"/>
      <w:pPr>
        <w:ind w:left="720" w:hanging="360"/>
      </w:pPr>
      <w:rPr>
        <w:rFonts w:ascii="Symbol" w:hAnsi="Symbol"/>
      </w:rPr>
    </w:lvl>
    <w:lvl w:ilvl="5" w:tplc="29DE95A4">
      <w:start w:val="1"/>
      <w:numFmt w:val="bullet"/>
      <w:lvlText w:val=""/>
      <w:lvlJc w:val="left"/>
      <w:pPr>
        <w:ind w:left="720" w:hanging="360"/>
      </w:pPr>
      <w:rPr>
        <w:rFonts w:ascii="Symbol" w:hAnsi="Symbol"/>
      </w:rPr>
    </w:lvl>
    <w:lvl w:ilvl="6" w:tplc="2F8A1F5E">
      <w:start w:val="1"/>
      <w:numFmt w:val="bullet"/>
      <w:lvlText w:val=""/>
      <w:lvlJc w:val="left"/>
      <w:pPr>
        <w:ind w:left="720" w:hanging="360"/>
      </w:pPr>
      <w:rPr>
        <w:rFonts w:ascii="Symbol" w:hAnsi="Symbol"/>
      </w:rPr>
    </w:lvl>
    <w:lvl w:ilvl="7" w:tplc="A54A7BAA">
      <w:start w:val="1"/>
      <w:numFmt w:val="bullet"/>
      <w:lvlText w:val=""/>
      <w:lvlJc w:val="left"/>
      <w:pPr>
        <w:ind w:left="720" w:hanging="360"/>
      </w:pPr>
      <w:rPr>
        <w:rFonts w:ascii="Symbol" w:hAnsi="Symbol"/>
      </w:rPr>
    </w:lvl>
    <w:lvl w:ilvl="8" w:tplc="CD84D822">
      <w:start w:val="1"/>
      <w:numFmt w:val="bullet"/>
      <w:lvlText w:val=""/>
      <w:lvlJc w:val="left"/>
      <w:pPr>
        <w:ind w:left="720" w:hanging="360"/>
      </w:pPr>
      <w:rPr>
        <w:rFonts w:ascii="Symbol" w:hAnsi="Symbol"/>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01729"/>
    <w:multiLevelType w:val="hybridMultilevel"/>
    <w:tmpl w:val="48C2947A"/>
    <w:lvl w:ilvl="0" w:tplc="7DFE0B60">
      <w:start w:val="1"/>
      <w:numFmt w:val="bullet"/>
      <w:lvlText w:val=""/>
      <w:lvlJc w:val="left"/>
      <w:pPr>
        <w:ind w:left="1060" w:hanging="360"/>
      </w:pPr>
      <w:rPr>
        <w:rFonts w:ascii="Symbol" w:hAnsi="Symbol"/>
      </w:rPr>
    </w:lvl>
    <w:lvl w:ilvl="1" w:tplc="D7905774">
      <w:start w:val="1"/>
      <w:numFmt w:val="bullet"/>
      <w:lvlText w:val=""/>
      <w:lvlJc w:val="left"/>
      <w:pPr>
        <w:ind w:left="1060" w:hanging="360"/>
      </w:pPr>
      <w:rPr>
        <w:rFonts w:ascii="Symbol" w:hAnsi="Symbol"/>
      </w:rPr>
    </w:lvl>
    <w:lvl w:ilvl="2" w:tplc="79F0725E">
      <w:start w:val="1"/>
      <w:numFmt w:val="bullet"/>
      <w:lvlText w:val=""/>
      <w:lvlJc w:val="left"/>
      <w:pPr>
        <w:ind w:left="1060" w:hanging="360"/>
      </w:pPr>
      <w:rPr>
        <w:rFonts w:ascii="Symbol" w:hAnsi="Symbol"/>
      </w:rPr>
    </w:lvl>
    <w:lvl w:ilvl="3" w:tplc="F2101AC4">
      <w:start w:val="1"/>
      <w:numFmt w:val="bullet"/>
      <w:lvlText w:val=""/>
      <w:lvlJc w:val="left"/>
      <w:pPr>
        <w:ind w:left="1060" w:hanging="360"/>
      </w:pPr>
      <w:rPr>
        <w:rFonts w:ascii="Symbol" w:hAnsi="Symbol"/>
      </w:rPr>
    </w:lvl>
    <w:lvl w:ilvl="4" w:tplc="1DE07DD6">
      <w:start w:val="1"/>
      <w:numFmt w:val="bullet"/>
      <w:lvlText w:val=""/>
      <w:lvlJc w:val="left"/>
      <w:pPr>
        <w:ind w:left="1060" w:hanging="360"/>
      </w:pPr>
      <w:rPr>
        <w:rFonts w:ascii="Symbol" w:hAnsi="Symbol"/>
      </w:rPr>
    </w:lvl>
    <w:lvl w:ilvl="5" w:tplc="0C4AACF6">
      <w:start w:val="1"/>
      <w:numFmt w:val="bullet"/>
      <w:lvlText w:val=""/>
      <w:lvlJc w:val="left"/>
      <w:pPr>
        <w:ind w:left="1060" w:hanging="360"/>
      </w:pPr>
      <w:rPr>
        <w:rFonts w:ascii="Symbol" w:hAnsi="Symbol"/>
      </w:rPr>
    </w:lvl>
    <w:lvl w:ilvl="6" w:tplc="02667BF6">
      <w:start w:val="1"/>
      <w:numFmt w:val="bullet"/>
      <w:lvlText w:val=""/>
      <w:lvlJc w:val="left"/>
      <w:pPr>
        <w:ind w:left="1060" w:hanging="360"/>
      </w:pPr>
      <w:rPr>
        <w:rFonts w:ascii="Symbol" w:hAnsi="Symbol"/>
      </w:rPr>
    </w:lvl>
    <w:lvl w:ilvl="7" w:tplc="E8468D64">
      <w:start w:val="1"/>
      <w:numFmt w:val="bullet"/>
      <w:lvlText w:val=""/>
      <w:lvlJc w:val="left"/>
      <w:pPr>
        <w:ind w:left="1060" w:hanging="360"/>
      </w:pPr>
      <w:rPr>
        <w:rFonts w:ascii="Symbol" w:hAnsi="Symbol"/>
      </w:rPr>
    </w:lvl>
    <w:lvl w:ilvl="8" w:tplc="E1308E84">
      <w:start w:val="1"/>
      <w:numFmt w:val="bullet"/>
      <w:lvlText w:val=""/>
      <w:lvlJc w:val="left"/>
      <w:pPr>
        <w:ind w:left="1060" w:hanging="360"/>
      </w:pPr>
      <w:rPr>
        <w:rFonts w:ascii="Symbol" w:hAnsi="Symbol"/>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218035">
    <w:abstractNumId w:val="2"/>
  </w:num>
  <w:num w:numId="2" w16cid:durableId="4793015">
    <w:abstractNumId w:val="0"/>
  </w:num>
  <w:num w:numId="3" w16cid:durableId="1530147277">
    <w:abstractNumId w:val="9"/>
  </w:num>
  <w:num w:numId="4" w16cid:durableId="2093120490">
    <w:abstractNumId w:val="6"/>
  </w:num>
  <w:num w:numId="5" w16cid:durableId="388498464">
    <w:abstractNumId w:val="4"/>
  </w:num>
  <w:num w:numId="6" w16cid:durableId="29039705">
    <w:abstractNumId w:val="7"/>
  </w:num>
  <w:num w:numId="7" w16cid:durableId="1916352529">
    <w:abstractNumId w:val="5"/>
  </w:num>
  <w:num w:numId="8" w16cid:durableId="438644100">
    <w:abstractNumId w:val="8"/>
  </w:num>
  <w:num w:numId="9" w16cid:durableId="92868111">
    <w:abstractNumId w:val="3"/>
  </w:num>
  <w:num w:numId="10" w16cid:durableId="43837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2AC"/>
    <w:rsid w:val="00014FC1"/>
    <w:rsid w:val="00016137"/>
    <w:rsid w:val="00017389"/>
    <w:rsid w:val="00020DC3"/>
    <w:rsid w:val="00021C67"/>
    <w:rsid w:val="00021FDF"/>
    <w:rsid w:val="00024147"/>
    <w:rsid w:val="00024483"/>
    <w:rsid w:val="000256A9"/>
    <w:rsid w:val="00026EEE"/>
    <w:rsid w:val="00027C2B"/>
    <w:rsid w:val="000301F0"/>
    <w:rsid w:val="00030557"/>
    <w:rsid w:val="00030701"/>
    <w:rsid w:val="00030F51"/>
    <w:rsid w:val="000310FE"/>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3F32"/>
    <w:rsid w:val="00054888"/>
    <w:rsid w:val="00054AFE"/>
    <w:rsid w:val="0005544E"/>
    <w:rsid w:val="00055CE4"/>
    <w:rsid w:val="0005646D"/>
    <w:rsid w:val="000575F9"/>
    <w:rsid w:val="000618FC"/>
    <w:rsid w:val="00062741"/>
    <w:rsid w:val="0006442E"/>
    <w:rsid w:val="00065466"/>
    <w:rsid w:val="000665F3"/>
    <w:rsid w:val="00066A9C"/>
    <w:rsid w:val="00067071"/>
    <w:rsid w:val="00067F67"/>
    <w:rsid w:val="00070652"/>
    <w:rsid w:val="00070757"/>
    <w:rsid w:val="00071284"/>
    <w:rsid w:val="0007275A"/>
    <w:rsid w:val="00073AED"/>
    <w:rsid w:val="000751A7"/>
    <w:rsid w:val="00075A8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875"/>
    <w:rsid w:val="000979FE"/>
    <w:rsid w:val="000A0598"/>
    <w:rsid w:val="000A05E0"/>
    <w:rsid w:val="000A06FB"/>
    <w:rsid w:val="000A31D3"/>
    <w:rsid w:val="000A50CF"/>
    <w:rsid w:val="000A511E"/>
    <w:rsid w:val="000A64B3"/>
    <w:rsid w:val="000A6C25"/>
    <w:rsid w:val="000B005C"/>
    <w:rsid w:val="000B10DE"/>
    <w:rsid w:val="000B2E86"/>
    <w:rsid w:val="000B36A5"/>
    <w:rsid w:val="000B576C"/>
    <w:rsid w:val="000B5D2F"/>
    <w:rsid w:val="000B5E32"/>
    <w:rsid w:val="000B6244"/>
    <w:rsid w:val="000B695A"/>
    <w:rsid w:val="000B6EF1"/>
    <w:rsid w:val="000B72A8"/>
    <w:rsid w:val="000C0715"/>
    <w:rsid w:val="000C1254"/>
    <w:rsid w:val="000C210A"/>
    <w:rsid w:val="000C27E5"/>
    <w:rsid w:val="000C30D6"/>
    <w:rsid w:val="000C36A5"/>
    <w:rsid w:val="000C3D86"/>
    <w:rsid w:val="000C47D1"/>
    <w:rsid w:val="000C50A1"/>
    <w:rsid w:val="000C56DD"/>
    <w:rsid w:val="000C63F4"/>
    <w:rsid w:val="000D11CB"/>
    <w:rsid w:val="000D14C4"/>
    <w:rsid w:val="000D1672"/>
    <w:rsid w:val="000D178A"/>
    <w:rsid w:val="000D18CE"/>
    <w:rsid w:val="000D257E"/>
    <w:rsid w:val="000D40C6"/>
    <w:rsid w:val="000D6C67"/>
    <w:rsid w:val="000D7640"/>
    <w:rsid w:val="000E0CAB"/>
    <w:rsid w:val="000E1B84"/>
    <w:rsid w:val="000E21E4"/>
    <w:rsid w:val="000E2F62"/>
    <w:rsid w:val="000E38ED"/>
    <w:rsid w:val="000E45C7"/>
    <w:rsid w:val="000E67D5"/>
    <w:rsid w:val="000E755E"/>
    <w:rsid w:val="000E7F24"/>
    <w:rsid w:val="000F03BE"/>
    <w:rsid w:val="000F10AC"/>
    <w:rsid w:val="000F1757"/>
    <w:rsid w:val="000F225B"/>
    <w:rsid w:val="000F333E"/>
    <w:rsid w:val="000F3949"/>
    <w:rsid w:val="000F41BC"/>
    <w:rsid w:val="000F48E9"/>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4383"/>
    <w:rsid w:val="0013569C"/>
    <w:rsid w:val="00135939"/>
    <w:rsid w:val="001364BE"/>
    <w:rsid w:val="001369E3"/>
    <w:rsid w:val="001375DD"/>
    <w:rsid w:val="00142EFB"/>
    <w:rsid w:val="001438BF"/>
    <w:rsid w:val="001443BD"/>
    <w:rsid w:val="00144851"/>
    <w:rsid w:val="00144A87"/>
    <w:rsid w:val="00145B62"/>
    <w:rsid w:val="00146193"/>
    <w:rsid w:val="00147E09"/>
    <w:rsid w:val="001511CB"/>
    <w:rsid w:val="00152022"/>
    <w:rsid w:val="00152026"/>
    <w:rsid w:val="00152392"/>
    <w:rsid w:val="001524F4"/>
    <w:rsid w:val="00152A41"/>
    <w:rsid w:val="001544C3"/>
    <w:rsid w:val="001545BB"/>
    <w:rsid w:val="00154D75"/>
    <w:rsid w:val="001577E9"/>
    <w:rsid w:val="00157A59"/>
    <w:rsid w:val="00157F37"/>
    <w:rsid w:val="0016138C"/>
    <w:rsid w:val="00162D60"/>
    <w:rsid w:val="001640D5"/>
    <w:rsid w:val="00164C82"/>
    <w:rsid w:val="001653D7"/>
    <w:rsid w:val="001659FB"/>
    <w:rsid w:val="00165B46"/>
    <w:rsid w:val="00171763"/>
    <w:rsid w:val="00171D3F"/>
    <w:rsid w:val="00172151"/>
    <w:rsid w:val="00172C99"/>
    <w:rsid w:val="001731CE"/>
    <w:rsid w:val="001742EE"/>
    <w:rsid w:val="00175C72"/>
    <w:rsid w:val="00177D1E"/>
    <w:rsid w:val="00180F93"/>
    <w:rsid w:val="00181B06"/>
    <w:rsid w:val="0018672E"/>
    <w:rsid w:val="001928FC"/>
    <w:rsid w:val="00193133"/>
    <w:rsid w:val="00193BD5"/>
    <w:rsid w:val="00194571"/>
    <w:rsid w:val="00196308"/>
    <w:rsid w:val="0019782F"/>
    <w:rsid w:val="00197E9B"/>
    <w:rsid w:val="001A1185"/>
    <w:rsid w:val="001A3D77"/>
    <w:rsid w:val="001A4A02"/>
    <w:rsid w:val="001A66E1"/>
    <w:rsid w:val="001B1D5F"/>
    <w:rsid w:val="001B30F7"/>
    <w:rsid w:val="001B31F0"/>
    <w:rsid w:val="001B4862"/>
    <w:rsid w:val="001B5147"/>
    <w:rsid w:val="001B65FF"/>
    <w:rsid w:val="001B710A"/>
    <w:rsid w:val="001B771D"/>
    <w:rsid w:val="001B7C20"/>
    <w:rsid w:val="001C0B32"/>
    <w:rsid w:val="001C236E"/>
    <w:rsid w:val="001C2D66"/>
    <w:rsid w:val="001C36F7"/>
    <w:rsid w:val="001C43A5"/>
    <w:rsid w:val="001C4BE1"/>
    <w:rsid w:val="001C5338"/>
    <w:rsid w:val="001C5847"/>
    <w:rsid w:val="001C7F21"/>
    <w:rsid w:val="001D1497"/>
    <w:rsid w:val="001D5339"/>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6347"/>
    <w:rsid w:val="001F7110"/>
    <w:rsid w:val="001F7185"/>
    <w:rsid w:val="001F773D"/>
    <w:rsid w:val="001F7E96"/>
    <w:rsid w:val="002005F5"/>
    <w:rsid w:val="0020202E"/>
    <w:rsid w:val="00202284"/>
    <w:rsid w:val="0020242B"/>
    <w:rsid w:val="0020528D"/>
    <w:rsid w:val="0020543B"/>
    <w:rsid w:val="00205A66"/>
    <w:rsid w:val="002063CF"/>
    <w:rsid w:val="00206613"/>
    <w:rsid w:val="0020756B"/>
    <w:rsid w:val="00207E75"/>
    <w:rsid w:val="00210D86"/>
    <w:rsid w:val="0021158F"/>
    <w:rsid w:val="00212488"/>
    <w:rsid w:val="002129A6"/>
    <w:rsid w:val="002151DB"/>
    <w:rsid w:val="00220628"/>
    <w:rsid w:val="00221A45"/>
    <w:rsid w:val="00221BA0"/>
    <w:rsid w:val="00221DBC"/>
    <w:rsid w:val="00224CB4"/>
    <w:rsid w:val="002260C7"/>
    <w:rsid w:val="00226769"/>
    <w:rsid w:val="002304D2"/>
    <w:rsid w:val="002310E3"/>
    <w:rsid w:val="00232594"/>
    <w:rsid w:val="00232C77"/>
    <w:rsid w:val="002338C1"/>
    <w:rsid w:val="00233D04"/>
    <w:rsid w:val="00234ABD"/>
    <w:rsid w:val="00236491"/>
    <w:rsid w:val="00236C3B"/>
    <w:rsid w:val="00236E2A"/>
    <w:rsid w:val="00237F62"/>
    <w:rsid w:val="00241E10"/>
    <w:rsid w:val="00242207"/>
    <w:rsid w:val="00242C71"/>
    <w:rsid w:val="0024586A"/>
    <w:rsid w:val="0024601F"/>
    <w:rsid w:val="002464E3"/>
    <w:rsid w:val="002465D4"/>
    <w:rsid w:val="0024732C"/>
    <w:rsid w:val="002502E1"/>
    <w:rsid w:val="00250C98"/>
    <w:rsid w:val="00250E04"/>
    <w:rsid w:val="00250F80"/>
    <w:rsid w:val="0025124F"/>
    <w:rsid w:val="002518A2"/>
    <w:rsid w:val="002528B3"/>
    <w:rsid w:val="00253854"/>
    <w:rsid w:val="0025551F"/>
    <w:rsid w:val="00255F8C"/>
    <w:rsid w:val="00256174"/>
    <w:rsid w:val="00256F0C"/>
    <w:rsid w:val="00257231"/>
    <w:rsid w:val="00260318"/>
    <w:rsid w:val="00261C23"/>
    <w:rsid w:val="00262007"/>
    <w:rsid w:val="00262C05"/>
    <w:rsid w:val="002715AF"/>
    <w:rsid w:val="002717F0"/>
    <w:rsid w:val="0027214F"/>
    <w:rsid w:val="0027301C"/>
    <w:rsid w:val="00273099"/>
    <w:rsid w:val="00274698"/>
    <w:rsid w:val="00281D14"/>
    <w:rsid w:val="00282C13"/>
    <w:rsid w:val="002833D8"/>
    <w:rsid w:val="002836D7"/>
    <w:rsid w:val="00284538"/>
    <w:rsid w:val="00285669"/>
    <w:rsid w:val="002858F6"/>
    <w:rsid w:val="00286BF6"/>
    <w:rsid w:val="002903B7"/>
    <w:rsid w:val="002911BF"/>
    <w:rsid w:val="002919AD"/>
    <w:rsid w:val="00292C23"/>
    <w:rsid w:val="00295E54"/>
    <w:rsid w:val="002962D7"/>
    <w:rsid w:val="00296C33"/>
    <w:rsid w:val="002A0D7B"/>
    <w:rsid w:val="002A0DF7"/>
    <w:rsid w:val="002A268C"/>
    <w:rsid w:val="002A2975"/>
    <w:rsid w:val="002A460D"/>
    <w:rsid w:val="002A505B"/>
    <w:rsid w:val="002A5EE9"/>
    <w:rsid w:val="002A60E0"/>
    <w:rsid w:val="002A6148"/>
    <w:rsid w:val="002A69D0"/>
    <w:rsid w:val="002A72F8"/>
    <w:rsid w:val="002B1AA8"/>
    <w:rsid w:val="002B1E87"/>
    <w:rsid w:val="002B4583"/>
    <w:rsid w:val="002B687A"/>
    <w:rsid w:val="002C1344"/>
    <w:rsid w:val="002C252E"/>
    <w:rsid w:val="002C3A2A"/>
    <w:rsid w:val="002C458A"/>
    <w:rsid w:val="002C6093"/>
    <w:rsid w:val="002C6552"/>
    <w:rsid w:val="002C6773"/>
    <w:rsid w:val="002C6F51"/>
    <w:rsid w:val="002C73EC"/>
    <w:rsid w:val="002D0055"/>
    <w:rsid w:val="002D0FE0"/>
    <w:rsid w:val="002D269A"/>
    <w:rsid w:val="002D2A3D"/>
    <w:rsid w:val="002D3E72"/>
    <w:rsid w:val="002D3EAC"/>
    <w:rsid w:val="002D45DA"/>
    <w:rsid w:val="002D46A9"/>
    <w:rsid w:val="002D5D1D"/>
    <w:rsid w:val="002D6EFD"/>
    <w:rsid w:val="002D74CF"/>
    <w:rsid w:val="002D7B8C"/>
    <w:rsid w:val="002E0A45"/>
    <w:rsid w:val="002E0B17"/>
    <w:rsid w:val="002E26B4"/>
    <w:rsid w:val="002E2C14"/>
    <w:rsid w:val="002E31C0"/>
    <w:rsid w:val="002E3A73"/>
    <w:rsid w:val="002E4FFB"/>
    <w:rsid w:val="002E63A7"/>
    <w:rsid w:val="002E650E"/>
    <w:rsid w:val="002E6E2F"/>
    <w:rsid w:val="002E7DED"/>
    <w:rsid w:val="002F0334"/>
    <w:rsid w:val="002F0900"/>
    <w:rsid w:val="002F1500"/>
    <w:rsid w:val="002F2401"/>
    <w:rsid w:val="002F2A7B"/>
    <w:rsid w:val="002F4AB2"/>
    <w:rsid w:val="002F4F67"/>
    <w:rsid w:val="002F5944"/>
    <w:rsid w:val="002F6F92"/>
    <w:rsid w:val="002F7BC2"/>
    <w:rsid w:val="002F7E11"/>
    <w:rsid w:val="003002BA"/>
    <w:rsid w:val="0030037C"/>
    <w:rsid w:val="003008B9"/>
    <w:rsid w:val="00304087"/>
    <w:rsid w:val="003053DC"/>
    <w:rsid w:val="003054B0"/>
    <w:rsid w:val="003057B1"/>
    <w:rsid w:val="003062AD"/>
    <w:rsid w:val="00307054"/>
    <w:rsid w:val="00310ACD"/>
    <w:rsid w:val="00312C23"/>
    <w:rsid w:val="0031379F"/>
    <w:rsid w:val="00313A9C"/>
    <w:rsid w:val="00315395"/>
    <w:rsid w:val="0031621E"/>
    <w:rsid w:val="00316A16"/>
    <w:rsid w:val="00316B30"/>
    <w:rsid w:val="00320228"/>
    <w:rsid w:val="00320372"/>
    <w:rsid w:val="00320A26"/>
    <w:rsid w:val="003212F3"/>
    <w:rsid w:val="00321344"/>
    <w:rsid w:val="00321622"/>
    <w:rsid w:val="00321788"/>
    <w:rsid w:val="00323FA3"/>
    <w:rsid w:val="00324F3F"/>
    <w:rsid w:val="00325064"/>
    <w:rsid w:val="00325EC9"/>
    <w:rsid w:val="00326735"/>
    <w:rsid w:val="003279C6"/>
    <w:rsid w:val="0032B295"/>
    <w:rsid w:val="00331A3E"/>
    <w:rsid w:val="0033451C"/>
    <w:rsid w:val="00335660"/>
    <w:rsid w:val="00335FBD"/>
    <w:rsid w:val="0033649A"/>
    <w:rsid w:val="00336854"/>
    <w:rsid w:val="0033769B"/>
    <w:rsid w:val="00337A89"/>
    <w:rsid w:val="0034015C"/>
    <w:rsid w:val="00341409"/>
    <w:rsid w:val="00341CAE"/>
    <w:rsid w:val="00343CCB"/>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39C"/>
    <w:rsid w:val="00376792"/>
    <w:rsid w:val="003767D3"/>
    <w:rsid w:val="00376EE9"/>
    <w:rsid w:val="00376FFC"/>
    <w:rsid w:val="00377C93"/>
    <w:rsid w:val="00377CBB"/>
    <w:rsid w:val="003818B6"/>
    <w:rsid w:val="00382CCB"/>
    <w:rsid w:val="00382DA3"/>
    <w:rsid w:val="00384F62"/>
    <w:rsid w:val="00385438"/>
    <w:rsid w:val="003858E5"/>
    <w:rsid w:val="003877B6"/>
    <w:rsid w:val="00391539"/>
    <w:rsid w:val="003921B7"/>
    <w:rsid w:val="00392745"/>
    <w:rsid w:val="00392D73"/>
    <w:rsid w:val="00393887"/>
    <w:rsid w:val="00393F1B"/>
    <w:rsid w:val="00394C6B"/>
    <w:rsid w:val="0039610B"/>
    <w:rsid w:val="00396442"/>
    <w:rsid w:val="00397C2B"/>
    <w:rsid w:val="003A11DF"/>
    <w:rsid w:val="003A15DF"/>
    <w:rsid w:val="003A290F"/>
    <w:rsid w:val="003A4AAA"/>
    <w:rsid w:val="003A4B10"/>
    <w:rsid w:val="003A4E2E"/>
    <w:rsid w:val="003A4E62"/>
    <w:rsid w:val="003A5A6A"/>
    <w:rsid w:val="003A775E"/>
    <w:rsid w:val="003B02F2"/>
    <w:rsid w:val="003B0BD0"/>
    <w:rsid w:val="003B0CDD"/>
    <w:rsid w:val="003B1069"/>
    <w:rsid w:val="003B1F2E"/>
    <w:rsid w:val="003B2C2F"/>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D10BB"/>
    <w:rsid w:val="003D3968"/>
    <w:rsid w:val="003D42AF"/>
    <w:rsid w:val="003D448E"/>
    <w:rsid w:val="003D4899"/>
    <w:rsid w:val="003D4AD2"/>
    <w:rsid w:val="003D5E11"/>
    <w:rsid w:val="003D73C0"/>
    <w:rsid w:val="003E031D"/>
    <w:rsid w:val="003E1833"/>
    <w:rsid w:val="003E6DA3"/>
    <w:rsid w:val="003E7305"/>
    <w:rsid w:val="003F0C1C"/>
    <w:rsid w:val="003F1AF3"/>
    <w:rsid w:val="003F2191"/>
    <w:rsid w:val="003F25E4"/>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07A6C"/>
    <w:rsid w:val="00410761"/>
    <w:rsid w:val="004137C0"/>
    <w:rsid w:val="004138F3"/>
    <w:rsid w:val="00414991"/>
    <w:rsid w:val="00420F5B"/>
    <w:rsid w:val="00421F20"/>
    <w:rsid w:val="0042238F"/>
    <w:rsid w:val="00423B63"/>
    <w:rsid w:val="00427BEA"/>
    <w:rsid w:val="00430120"/>
    <w:rsid w:val="004313E7"/>
    <w:rsid w:val="00432542"/>
    <w:rsid w:val="004326FE"/>
    <w:rsid w:val="004339B2"/>
    <w:rsid w:val="0044344E"/>
    <w:rsid w:val="00444A70"/>
    <w:rsid w:val="0044763B"/>
    <w:rsid w:val="00452696"/>
    <w:rsid w:val="00452726"/>
    <w:rsid w:val="004527DB"/>
    <w:rsid w:val="00453F32"/>
    <w:rsid w:val="00454DAA"/>
    <w:rsid w:val="0045594D"/>
    <w:rsid w:val="00456765"/>
    <w:rsid w:val="00456A53"/>
    <w:rsid w:val="00456A96"/>
    <w:rsid w:val="00456F1E"/>
    <w:rsid w:val="0046213C"/>
    <w:rsid w:val="00462518"/>
    <w:rsid w:val="0046266D"/>
    <w:rsid w:val="004629B3"/>
    <w:rsid w:val="0046376E"/>
    <w:rsid w:val="00463B50"/>
    <w:rsid w:val="00464251"/>
    <w:rsid w:val="00464860"/>
    <w:rsid w:val="0046587C"/>
    <w:rsid w:val="0046690F"/>
    <w:rsid w:val="00467CC0"/>
    <w:rsid w:val="00467ED2"/>
    <w:rsid w:val="00471116"/>
    <w:rsid w:val="00471D5A"/>
    <w:rsid w:val="00472FEC"/>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4C27"/>
    <w:rsid w:val="004A4D16"/>
    <w:rsid w:val="004B0801"/>
    <w:rsid w:val="004B1117"/>
    <w:rsid w:val="004B1A6B"/>
    <w:rsid w:val="004B1FC8"/>
    <w:rsid w:val="004B339A"/>
    <w:rsid w:val="004B39DA"/>
    <w:rsid w:val="004B54E8"/>
    <w:rsid w:val="004B646C"/>
    <w:rsid w:val="004B7595"/>
    <w:rsid w:val="004B773C"/>
    <w:rsid w:val="004C0138"/>
    <w:rsid w:val="004C0686"/>
    <w:rsid w:val="004C12E8"/>
    <w:rsid w:val="004C130C"/>
    <w:rsid w:val="004C1389"/>
    <w:rsid w:val="004C1578"/>
    <w:rsid w:val="004C174B"/>
    <w:rsid w:val="004C2482"/>
    <w:rsid w:val="004C33BA"/>
    <w:rsid w:val="004C47EA"/>
    <w:rsid w:val="004C4FEB"/>
    <w:rsid w:val="004C6570"/>
    <w:rsid w:val="004C678C"/>
    <w:rsid w:val="004C6B79"/>
    <w:rsid w:val="004C7345"/>
    <w:rsid w:val="004C76D8"/>
    <w:rsid w:val="004D059B"/>
    <w:rsid w:val="004D09F9"/>
    <w:rsid w:val="004D0E64"/>
    <w:rsid w:val="004D144F"/>
    <w:rsid w:val="004D1DBD"/>
    <w:rsid w:val="004D304E"/>
    <w:rsid w:val="004D4543"/>
    <w:rsid w:val="004D45A3"/>
    <w:rsid w:val="004D48A8"/>
    <w:rsid w:val="004D4CB6"/>
    <w:rsid w:val="004D4DCB"/>
    <w:rsid w:val="004E031A"/>
    <w:rsid w:val="004E0907"/>
    <w:rsid w:val="004E20CF"/>
    <w:rsid w:val="004E2324"/>
    <w:rsid w:val="004E28C9"/>
    <w:rsid w:val="004E3341"/>
    <w:rsid w:val="004E3406"/>
    <w:rsid w:val="004E5124"/>
    <w:rsid w:val="004E7BE2"/>
    <w:rsid w:val="004E7E3A"/>
    <w:rsid w:val="004F0DC0"/>
    <w:rsid w:val="004F10C1"/>
    <w:rsid w:val="004F1C5E"/>
    <w:rsid w:val="004F3032"/>
    <w:rsid w:val="004F3E47"/>
    <w:rsid w:val="004F4CC8"/>
    <w:rsid w:val="004F4F5A"/>
    <w:rsid w:val="004F51FF"/>
    <w:rsid w:val="004F5AD9"/>
    <w:rsid w:val="0050159C"/>
    <w:rsid w:val="00501B09"/>
    <w:rsid w:val="005022B7"/>
    <w:rsid w:val="00502E62"/>
    <w:rsid w:val="005044C2"/>
    <w:rsid w:val="00506B8A"/>
    <w:rsid w:val="00507029"/>
    <w:rsid w:val="005110D3"/>
    <w:rsid w:val="00511161"/>
    <w:rsid w:val="0051413C"/>
    <w:rsid w:val="00515F4A"/>
    <w:rsid w:val="0051693C"/>
    <w:rsid w:val="00520A65"/>
    <w:rsid w:val="005218B8"/>
    <w:rsid w:val="00521B13"/>
    <w:rsid w:val="0052212B"/>
    <w:rsid w:val="005221A8"/>
    <w:rsid w:val="005230C7"/>
    <w:rsid w:val="0052395A"/>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3009"/>
    <w:rsid w:val="005635B7"/>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1072"/>
    <w:rsid w:val="005B2CD2"/>
    <w:rsid w:val="005B632A"/>
    <w:rsid w:val="005B6788"/>
    <w:rsid w:val="005B6A58"/>
    <w:rsid w:val="005C0F5F"/>
    <w:rsid w:val="005C4C2F"/>
    <w:rsid w:val="005C5A83"/>
    <w:rsid w:val="005C7112"/>
    <w:rsid w:val="005D0155"/>
    <w:rsid w:val="005D0561"/>
    <w:rsid w:val="005D0AD9"/>
    <w:rsid w:val="005D18DD"/>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66B4"/>
    <w:rsid w:val="005E69D9"/>
    <w:rsid w:val="005E6CB1"/>
    <w:rsid w:val="005E7116"/>
    <w:rsid w:val="005E7971"/>
    <w:rsid w:val="005F17D1"/>
    <w:rsid w:val="005F23BC"/>
    <w:rsid w:val="005F2643"/>
    <w:rsid w:val="005F27F4"/>
    <w:rsid w:val="005F297C"/>
    <w:rsid w:val="005F3239"/>
    <w:rsid w:val="005F39BF"/>
    <w:rsid w:val="005F4DB7"/>
    <w:rsid w:val="005F566C"/>
    <w:rsid w:val="005F5D54"/>
    <w:rsid w:val="005F5F4D"/>
    <w:rsid w:val="005F6567"/>
    <w:rsid w:val="005F676D"/>
    <w:rsid w:val="005F6A21"/>
    <w:rsid w:val="005F750F"/>
    <w:rsid w:val="005F7A8A"/>
    <w:rsid w:val="00600998"/>
    <w:rsid w:val="00600ACF"/>
    <w:rsid w:val="006019EB"/>
    <w:rsid w:val="00601CC1"/>
    <w:rsid w:val="006020EE"/>
    <w:rsid w:val="006022D0"/>
    <w:rsid w:val="006050B4"/>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8D9"/>
    <w:rsid w:val="00621BC7"/>
    <w:rsid w:val="00622033"/>
    <w:rsid w:val="0062391A"/>
    <w:rsid w:val="0062460B"/>
    <w:rsid w:val="00630644"/>
    <w:rsid w:val="006335F1"/>
    <w:rsid w:val="006336FD"/>
    <w:rsid w:val="00633B49"/>
    <w:rsid w:val="006345B6"/>
    <w:rsid w:val="006345CD"/>
    <w:rsid w:val="00635616"/>
    <w:rsid w:val="00635712"/>
    <w:rsid w:val="00635984"/>
    <w:rsid w:val="00635F41"/>
    <w:rsid w:val="006368FF"/>
    <w:rsid w:val="00636D95"/>
    <w:rsid w:val="00636DB5"/>
    <w:rsid w:val="006377D4"/>
    <w:rsid w:val="00640135"/>
    <w:rsid w:val="006402FF"/>
    <w:rsid w:val="006403D4"/>
    <w:rsid w:val="0064107F"/>
    <w:rsid w:val="00643D8A"/>
    <w:rsid w:val="00645A5C"/>
    <w:rsid w:val="006460E5"/>
    <w:rsid w:val="00647A78"/>
    <w:rsid w:val="00647AB9"/>
    <w:rsid w:val="00647C4B"/>
    <w:rsid w:val="00650894"/>
    <w:rsid w:val="0065112B"/>
    <w:rsid w:val="00652091"/>
    <w:rsid w:val="00652229"/>
    <w:rsid w:val="00652793"/>
    <w:rsid w:val="006528DE"/>
    <w:rsid w:val="00652AEB"/>
    <w:rsid w:val="006541A1"/>
    <w:rsid w:val="00657789"/>
    <w:rsid w:val="00660320"/>
    <w:rsid w:val="0066187E"/>
    <w:rsid w:val="00662375"/>
    <w:rsid w:val="006626CA"/>
    <w:rsid w:val="00663487"/>
    <w:rsid w:val="00672382"/>
    <w:rsid w:val="006733BB"/>
    <w:rsid w:val="0067607A"/>
    <w:rsid w:val="006763B5"/>
    <w:rsid w:val="00676E80"/>
    <w:rsid w:val="006775C2"/>
    <w:rsid w:val="006779CD"/>
    <w:rsid w:val="00681240"/>
    <w:rsid w:val="00681257"/>
    <w:rsid w:val="00681C3E"/>
    <w:rsid w:val="00682191"/>
    <w:rsid w:val="006822E9"/>
    <w:rsid w:val="00682643"/>
    <w:rsid w:val="00682EB9"/>
    <w:rsid w:val="00682F1E"/>
    <w:rsid w:val="0068378C"/>
    <w:rsid w:val="006839D3"/>
    <w:rsid w:val="0068441A"/>
    <w:rsid w:val="00684EDC"/>
    <w:rsid w:val="0068699A"/>
    <w:rsid w:val="00690B19"/>
    <w:rsid w:val="006917C9"/>
    <w:rsid w:val="006938EE"/>
    <w:rsid w:val="00694195"/>
    <w:rsid w:val="0069650C"/>
    <w:rsid w:val="006A0A3C"/>
    <w:rsid w:val="006A1C9E"/>
    <w:rsid w:val="006A1ED8"/>
    <w:rsid w:val="006A3D5B"/>
    <w:rsid w:val="006A442A"/>
    <w:rsid w:val="006A55A4"/>
    <w:rsid w:val="006A59E9"/>
    <w:rsid w:val="006A5AB1"/>
    <w:rsid w:val="006A6F2B"/>
    <w:rsid w:val="006A75B8"/>
    <w:rsid w:val="006A79F0"/>
    <w:rsid w:val="006B048F"/>
    <w:rsid w:val="006B359D"/>
    <w:rsid w:val="006B47EE"/>
    <w:rsid w:val="006B499F"/>
    <w:rsid w:val="006B54C6"/>
    <w:rsid w:val="006B617F"/>
    <w:rsid w:val="006B78E0"/>
    <w:rsid w:val="006B7A99"/>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2AC0"/>
    <w:rsid w:val="006D33E1"/>
    <w:rsid w:val="006D4279"/>
    <w:rsid w:val="006D4996"/>
    <w:rsid w:val="006D4D0C"/>
    <w:rsid w:val="006D510B"/>
    <w:rsid w:val="006D535B"/>
    <w:rsid w:val="006D54AB"/>
    <w:rsid w:val="006D58E5"/>
    <w:rsid w:val="006E0024"/>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721"/>
    <w:rsid w:val="006F5D57"/>
    <w:rsid w:val="006F643F"/>
    <w:rsid w:val="006F670F"/>
    <w:rsid w:val="006F77F3"/>
    <w:rsid w:val="0070063C"/>
    <w:rsid w:val="00700D69"/>
    <w:rsid w:val="00701857"/>
    <w:rsid w:val="0070243F"/>
    <w:rsid w:val="00702921"/>
    <w:rsid w:val="00703272"/>
    <w:rsid w:val="0070362C"/>
    <w:rsid w:val="00703652"/>
    <w:rsid w:val="00704020"/>
    <w:rsid w:val="00704044"/>
    <w:rsid w:val="00705B35"/>
    <w:rsid w:val="00705BBE"/>
    <w:rsid w:val="0070733C"/>
    <w:rsid w:val="007102D5"/>
    <w:rsid w:val="00710C5D"/>
    <w:rsid w:val="00711F29"/>
    <w:rsid w:val="0071348C"/>
    <w:rsid w:val="00717273"/>
    <w:rsid w:val="00720FD4"/>
    <w:rsid w:val="007212FE"/>
    <w:rsid w:val="00721EEF"/>
    <w:rsid w:val="00722A02"/>
    <w:rsid w:val="00722E39"/>
    <w:rsid w:val="00723A21"/>
    <w:rsid w:val="00723B91"/>
    <w:rsid w:val="00723C6D"/>
    <w:rsid w:val="00724550"/>
    <w:rsid w:val="00724AF2"/>
    <w:rsid w:val="00724E51"/>
    <w:rsid w:val="00726C65"/>
    <w:rsid w:val="00730624"/>
    <w:rsid w:val="0073096C"/>
    <w:rsid w:val="0073100D"/>
    <w:rsid w:val="00731368"/>
    <w:rsid w:val="00732A2A"/>
    <w:rsid w:val="00733429"/>
    <w:rsid w:val="00733A46"/>
    <w:rsid w:val="00733A4F"/>
    <w:rsid w:val="00733BB0"/>
    <w:rsid w:val="00734195"/>
    <w:rsid w:val="00735E2D"/>
    <w:rsid w:val="00736F2C"/>
    <w:rsid w:val="007371B2"/>
    <w:rsid w:val="00740F23"/>
    <w:rsid w:val="007419C8"/>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5141"/>
    <w:rsid w:val="00756EAB"/>
    <w:rsid w:val="0075779F"/>
    <w:rsid w:val="0076106F"/>
    <w:rsid w:val="0076354B"/>
    <w:rsid w:val="00764668"/>
    <w:rsid w:val="007658F3"/>
    <w:rsid w:val="00765D0E"/>
    <w:rsid w:val="00765E3B"/>
    <w:rsid w:val="00766EA2"/>
    <w:rsid w:val="00767034"/>
    <w:rsid w:val="00772188"/>
    <w:rsid w:val="0077222A"/>
    <w:rsid w:val="00772B98"/>
    <w:rsid w:val="00773909"/>
    <w:rsid w:val="0077433B"/>
    <w:rsid w:val="00774E1E"/>
    <w:rsid w:val="0077544E"/>
    <w:rsid w:val="00776743"/>
    <w:rsid w:val="00776D7F"/>
    <w:rsid w:val="007813D0"/>
    <w:rsid w:val="007845AC"/>
    <w:rsid w:val="00785993"/>
    <w:rsid w:val="00785A0D"/>
    <w:rsid w:val="007863BF"/>
    <w:rsid w:val="007865F8"/>
    <w:rsid w:val="007866E2"/>
    <w:rsid w:val="00786BA3"/>
    <w:rsid w:val="00790993"/>
    <w:rsid w:val="0079202F"/>
    <w:rsid w:val="0079203E"/>
    <w:rsid w:val="007934C3"/>
    <w:rsid w:val="0079358A"/>
    <w:rsid w:val="00793FDA"/>
    <w:rsid w:val="00794903"/>
    <w:rsid w:val="00795486"/>
    <w:rsid w:val="007956D5"/>
    <w:rsid w:val="00795AF2"/>
    <w:rsid w:val="00795E4F"/>
    <w:rsid w:val="007A0287"/>
    <w:rsid w:val="007A09FC"/>
    <w:rsid w:val="007A25BA"/>
    <w:rsid w:val="007A2AAD"/>
    <w:rsid w:val="007A3017"/>
    <w:rsid w:val="007A4432"/>
    <w:rsid w:val="007A59E9"/>
    <w:rsid w:val="007A7636"/>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7DE"/>
    <w:rsid w:val="007C3AE3"/>
    <w:rsid w:val="007C6C51"/>
    <w:rsid w:val="007D0000"/>
    <w:rsid w:val="007D2A02"/>
    <w:rsid w:val="007D33A9"/>
    <w:rsid w:val="007D5EA2"/>
    <w:rsid w:val="007D6144"/>
    <w:rsid w:val="007D62A4"/>
    <w:rsid w:val="007D6CE5"/>
    <w:rsid w:val="007E0917"/>
    <w:rsid w:val="007E136B"/>
    <w:rsid w:val="007E1736"/>
    <w:rsid w:val="007E25DD"/>
    <w:rsid w:val="007E2887"/>
    <w:rsid w:val="007E3318"/>
    <w:rsid w:val="007E6EA1"/>
    <w:rsid w:val="007E769D"/>
    <w:rsid w:val="007F0F16"/>
    <w:rsid w:val="007F0F63"/>
    <w:rsid w:val="007F2B1E"/>
    <w:rsid w:val="007F4590"/>
    <w:rsid w:val="007F62B4"/>
    <w:rsid w:val="007F6418"/>
    <w:rsid w:val="007F7C05"/>
    <w:rsid w:val="007F7DF9"/>
    <w:rsid w:val="00800FD6"/>
    <w:rsid w:val="00801517"/>
    <w:rsid w:val="008019C0"/>
    <w:rsid w:val="00804966"/>
    <w:rsid w:val="0080510A"/>
    <w:rsid w:val="008058F6"/>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1014"/>
    <w:rsid w:val="008229F5"/>
    <w:rsid w:val="008236AD"/>
    <w:rsid w:val="00824293"/>
    <w:rsid w:val="00825990"/>
    <w:rsid w:val="008259DE"/>
    <w:rsid w:val="0082699A"/>
    <w:rsid w:val="00827F2A"/>
    <w:rsid w:val="00832633"/>
    <w:rsid w:val="0083342C"/>
    <w:rsid w:val="00833869"/>
    <w:rsid w:val="00833CEB"/>
    <w:rsid w:val="0083662B"/>
    <w:rsid w:val="008372D2"/>
    <w:rsid w:val="008377BC"/>
    <w:rsid w:val="00841179"/>
    <w:rsid w:val="00841353"/>
    <w:rsid w:val="008422B5"/>
    <w:rsid w:val="00844C17"/>
    <w:rsid w:val="008450BB"/>
    <w:rsid w:val="00846017"/>
    <w:rsid w:val="008464F2"/>
    <w:rsid w:val="008472AC"/>
    <w:rsid w:val="00847726"/>
    <w:rsid w:val="008507D2"/>
    <w:rsid w:val="00851033"/>
    <w:rsid w:val="00851A55"/>
    <w:rsid w:val="00851CB1"/>
    <w:rsid w:val="00852511"/>
    <w:rsid w:val="0085252F"/>
    <w:rsid w:val="00853FD6"/>
    <w:rsid w:val="0085544A"/>
    <w:rsid w:val="00855F22"/>
    <w:rsid w:val="00855FD0"/>
    <w:rsid w:val="00856533"/>
    <w:rsid w:val="0085658E"/>
    <w:rsid w:val="008568E6"/>
    <w:rsid w:val="00857408"/>
    <w:rsid w:val="008578A9"/>
    <w:rsid w:val="00860338"/>
    <w:rsid w:val="0086072A"/>
    <w:rsid w:val="0086088F"/>
    <w:rsid w:val="0086109E"/>
    <w:rsid w:val="008614F1"/>
    <w:rsid w:val="008639B3"/>
    <w:rsid w:val="00863C1A"/>
    <w:rsid w:val="00863F9D"/>
    <w:rsid w:val="0086470F"/>
    <w:rsid w:val="00865882"/>
    <w:rsid w:val="00866CDD"/>
    <w:rsid w:val="00867B3D"/>
    <w:rsid w:val="0087082E"/>
    <w:rsid w:val="008712FE"/>
    <w:rsid w:val="0087142D"/>
    <w:rsid w:val="00872928"/>
    <w:rsid w:val="00872DA6"/>
    <w:rsid w:val="00873416"/>
    <w:rsid w:val="00873956"/>
    <w:rsid w:val="008745AC"/>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205"/>
    <w:rsid w:val="008849B2"/>
    <w:rsid w:val="0088596E"/>
    <w:rsid w:val="00885D26"/>
    <w:rsid w:val="00886C54"/>
    <w:rsid w:val="008870ED"/>
    <w:rsid w:val="008877FC"/>
    <w:rsid w:val="00892132"/>
    <w:rsid w:val="008947FF"/>
    <w:rsid w:val="00895FBE"/>
    <w:rsid w:val="0089796A"/>
    <w:rsid w:val="0089799B"/>
    <w:rsid w:val="008979FA"/>
    <w:rsid w:val="008A2375"/>
    <w:rsid w:val="008A54B6"/>
    <w:rsid w:val="008A7693"/>
    <w:rsid w:val="008A7DEB"/>
    <w:rsid w:val="008B1B65"/>
    <w:rsid w:val="008B2185"/>
    <w:rsid w:val="008B24FA"/>
    <w:rsid w:val="008B3182"/>
    <w:rsid w:val="008B3557"/>
    <w:rsid w:val="008B39E0"/>
    <w:rsid w:val="008B4302"/>
    <w:rsid w:val="008B4431"/>
    <w:rsid w:val="008B605A"/>
    <w:rsid w:val="008B6086"/>
    <w:rsid w:val="008B760D"/>
    <w:rsid w:val="008C093B"/>
    <w:rsid w:val="008C0E76"/>
    <w:rsid w:val="008C2665"/>
    <w:rsid w:val="008C6041"/>
    <w:rsid w:val="008C74E3"/>
    <w:rsid w:val="008D0936"/>
    <w:rsid w:val="008D1AAA"/>
    <w:rsid w:val="008D403B"/>
    <w:rsid w:val="008D4707"/>
    <w:rsid w:val="008D556B"/>
    <w:rsid w:val="008D764F"/>
    <w:rsid w:val="008D76C5"/>
    <w:rsid w:val="008E0A04"/>
    <w:rsid w:val="008E0AFA"/>
    <w:rsid w:val="008E0B0A"/>
    <w:rsid w:val="008E28BD"/>
    <w:rsid w:val="008E2C6D"/>
    <w:rsid w:val="008E490F"/>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432"/>
    <w:rsid w:val="00900D3C"/>
    <w:rsid w:val="00901D28"/>
    <w:rsid w:val="00906292"/>
    <w:rsid w:val="00906D5B"/>
    <w:rsid w:val="00911F53"/>
    <w:rsid w:val="009129F0"/>
    <w:rsid w:val="0091352F"/>
    <w:rsid w:val="00914B5B"/>
    <w:rsid w:val="009152B8"/>
    <w:rsid w:val="00916874"/>
    <w:rsid w:val="00917162"/>
    <w:rsid w:val="009172B9"/>
    <w:rsid w:val="009178AA"/>
    <w:rsid w:val="00920430"/>
    <w:rsid w:val="00921C0C"/>
    <w:rsid w:val="00923001"/>
    <w:rsid w:val="0092358D"/>
    <w:rsid w:val="009238BF"/>
    <w:rsid w:val="009251CC"/>
    <w:rsid w:val="0092680D"/>
    <w:rsid w:val="0092714E"/>
    <w:rsid w:val="00927661"/>
    <w:rsid w:val="00931E24"/>
    <w:rsid w:val="009324F0"/>
    <w:rsid w:val="009325AC"/>
    <w:rsid w:val="00933130"/>
    <w:rsid w:val="00934240"/>
    <w:rsid w:val="0093478F"/>
    <w:rsid w:val="00936826"/>
    <w:rsid w:val="00940B3D"/>
    <w:rsid w:val="00942002"/>
    <w:rsid w:val="00942359"/>
    <w:rsid w:val="00944DEE"/>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4E3D"/>
    <w:rsid w:val="00965192"/>
    <w:rsid w:val="0096587B"/>
    <w:rsid w:val="00967DD4"/>
    <w:rsid w:val="009700B1"/>
    <w:rsid w:val="00970ECF"/>
    <w:rsid w:val="00971261"/>
    <w:rsid w:val="00971FD4"/>
    <w:rsid w:val="009722CB"/>
    <w:rsid w:val="009739A0"/>
    <w:rsid w:val="00974EE4"/>
    <w:rsid w:val="00974F84"/>
    <w:rsid w:val="00975D5B"/>
    <w:rsid w:val="00976216"/>
    <w:rsid w:val="009767C7"/>
    <w:rsid w:val="00977D30"/>
    <w:rsid w:val="00980E69"/>
    <w:rsid w:val="0098334C"/>
    <w:rsid w:val="00984643"/>
    <w:rsid w:val="0098576C"/>
    <w:rsid w:val="0098579A"/>
    <w:rsid w:val="00985B03"/>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743E"/>
    <w:rsid w:val="009A7CF6"/>
    <w:rsid w:val="009B10F6"/>
    <w:rsid w:val="009B1B55"/>
    <w:rsid w:val="009B29B7"/>
    <w:rsid w:val="009B3199"/>
    <w:rsid w:val="009B3B37"/>
    <w:rsid w:val="009B63F4"/>
    <w:rsid w:val="009B7D1F"/>
    <w:rsid w:val="009C088E"/>
    <w:rsid w:val="009C17DC"/>
    <w:rsid w:val="009C37AB"/>
    <w:rsid w:val="009C4BFB"/>
    <w:rsid w:val="009C4C7A"/>
    <w:rsid w:val="009C4D35"/>
    <w:rsid w:val="009C5E51"/>
    <w:rsid w:val="009C6158"/>
    <w:rsid w:val="009C647D"/>
    <w:rsid w:val="009C75A2"/>
    <w:rsid w:val="009C7B68"/>
    <w:rsid w:val="009D0639"/>
    <w:rsid w:val="009D11A7"/>
    <w:rsid w:val="009D1522"/>
    <w:rsid w:val="009D4CE0"/>
    <w:rsid w:val="009D51F0"/>
    <w:rsid w:val="009D61DC"/>
    <w:rsid w:val="009D7252"/>
    <w:rsid w:val="009D7652"/>
    <w:rsid w:val="009E13C0"/>
    <w:rsid w:val="009E1FF6"/>
    <w:rsid w:val="009E3CAF"/>
    <w:rsid w:val="009E3E5E"/>
    <w:rsid w:val="009E3F48"/>
    <w:rsid w:val="009E53A5"/>
    <w:rsid w:val="009E5EB4"/>
    <w:rsid w:val="009E6ADF"/>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71C"/>
    <w:rsid w:val="00A15B6B"/>
    <w:rsid w:val="00A15D78"/>
    <w:rsid w:val="00A15EBE"/>
    <w:rsid w:val="00A17CAF"/>
    <w:rsid w:val="00A17F5B"/>
    <w:rsid w:val="00A216E5"/>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927"/>
    <w:rsid w:val="00A45A62"/>
    <w:rsid w:val="00A462DC"/>
    <w:rsid w:val="00A4657C"/>
    <w:rsid w:val="00A51DB8"/>
    <w:rsid w:val="00A52E0B"/>
    <w:rsid w:val="00A52FA1"/>
    <w:rsid w:val="00A540B0"/>
    <w:rsid w:val="00A54AC5"/>
    <w:rsid w:val="00A54C2A"/>
    <w:rsid w:val="00A54D12"/>
    <w:rsid w:val="00A55DC3"/>
    <w:rsid w:val="00A56D41"/>
    <w:rsid w:val="00A56DEC"/>
    <w:rsid w:val="00A60179"/>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FDC"/>
    <w:rsid w:val="00A77192"/>
    <w:rsid w:val="00A80661"/>
    <w:rsid w:val="00A8089F"/>
    <w:rsid w:val="00A81C0A"/>
    <w:rsid w:val="00A820BE"/>
    <w:rsid w:val="00A842D5"/>
    <w:rsid w:val="00A87870"/>
    <w:rsid w:val="00A903F3"/>
    <w:rsid w:val="00A90F18"/>
    <w:rsid w:val="00A90FFB"/>
    <w:rsid w:val="00A9149D"/>
    <w:rsid w:val="00A91A70"/>
    <w:rsid w:val="00A92FCD"/>
    <w:rsid w:val="00A9302F"/>
    <w:rsid w:val="00A93032"/>
    <w:rsid w:val="00A957F6"/>
    <w:rsid w:val="00A959CF"/>
    <w:rsid w:val="00A95D55"/>
    <w:rsid w:val="00A9635E"/>
    <w:rsid w:val="00A97316"/>
    <w:rsid w:val="00A97BD8"/>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EAC"/>
    <w:rsid w:val="00AC073C"/>
    <w:rsid w:val="00AC304D"/>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E05A4"/>
    <w:rsid w:val="00AE177E"/>
    <w:rsid w:val="00AE25FC"/>
    <w:rsid w:val="00AE400C"/>
    <w:rsid w:val="00AE49F1"/>
    <w:rsid w:val="00AE4A1C"/>
    <w:rsid w:val="00AE4B7A"/>
    <w:rsid w:val="00AE5532"/>
    <w:rsid w:val="00AE74D8"/>
    <w:rsid w:val="00AF0B6F"/>
    <w:rsid w:val="00AF0F75"/>
    <w:rsid w:val="00AF1D69"/>
    <w:rsid w:val="00AF23A8"/>
    <w:rsid w:val="00AF30D0"/>
    <w:rsid w:val="00AF41FA"/>
    <w:rsid w:val="00AF4796"/>
    <w:rsid w:val="00AF58E7"/>
    <w:rsid w:val="00AF71EB"/>
    <w:rsid w:val="00B00988"/>
    <w:rsid w:val="00B01405"/>
    <w:rsid w:val="00B02062"/>
    <w:rsid w:val="00B027BA"/>
    <w:rsid w:val="00B052E8"/>
    <w:rsid w:val="00B05CCA"/>
    <w:rsid w:val="00B05ECC"/>
    <w:rsid w:val="00B06DC3"/>
    <w:rsid w:val="00B100C9"/>
    <w:rsid w:val="00B11099"/>
    <w:rsid w:val="00B116B7"/>
    <w:rsid w:val="00B1230C"/>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13EB"/>
    <w:rsid w:val="00B33837"/>
    <w:rsid w:val="00B33C2A"/>
    <w:rsid w:val="00B349C5"/>
    <w:rsid w:val="00B349F7"/>
    <w:rsid w:val="00B34A14"/>
    <w:rsid w:val="00B3575F"/>
    <w:rsid w:val="00B35967"/>
    <w:rsid w:val="00B35CBA"/>
    <w:rsid w:val="00B363D9"/>
    <w:rsid w:val="00B416D1"/>
    <w:rsid w:val="00B422EC"/>
    <w:rsid w:val="00B43256"/>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0C50"/>
    <w:rsid w:val="00B61117"/>
    <w:rsid w:val="00B614C0"/>
    <w:rsid w:val="00B61EBB"/>
    <w:rsid w:val="00B634AB"/>
    <w:rsid w:val="00B63624"/>
    <w:rsid w:val="00B647F5"/>
    <w:rsid w:val="00B66FA7"/>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5B7D"/>
    <w:rsid w:val="00BC64C0"/>
    <w:rsid w:val="00BC6C56"/>
    <w:rsid w:val="00BC6DE2"/>
    <w:rsid w:val="00BC6E62"/>
    <w:rsid w:val="00BD013A"/>
    <w:rsid w:val="00BD2510"/>
    <w:rsid w:val="00BD3A53"/>
    <w:rsid w:val="00BD4ECD"/>
    <w:rsid w:val="00BD5A19"/>
    <w:rsid w:val="00BD6539"/>
    <w:rsid w:val="00BD656A"/>
    <w:rsid w:val="00BD6D1B"/>
    <w:rsid w:val="00BE0D52"/>
    <w:rsid w:val="00BE2403"/>
    <w:rsid w:val="00BE2D0A"/>
    <w:rsid w:val="00BE47D4"/>
    <w:rsid w:val="00BE66DB"/>
    <w:rsid w:val="00BE793A"/>
    <w:rsid w:val="00BE7A0B"/>
    <w:rsid w:val="00BF114D"/>
    <w:rsid w:val="00BF1B93"/>
    <w:rsid w:val="00BF1FA9"/>
    <w:rsid w:val="00BF2B82"/>
    <w:rsid w:val="00BF2CEB"/>
    <w:rsid w:val="00BF432A"/>
    <w:rsid w:val="00BF66DA"/>
    <w:rsid w:val="00BF6E82"/>
    <w:rsid w:val="00C020A1"/>
    <w:rsid w:val="00C0361D"/>
    <w:rsid w:val="00C041A4"/>
    <w:rsid w:val="00C0539F"/>
    <w:rsid w:val="00C060C7"/>
    <w:rsid w:val="00C06DCC"/>
    <w:rsid w:val="00C07F92"/>
    <w:rsid w:val="00C10EA4"/>
    <w:rsid w:val="00C11D25"/>
    <w:rsid w:val="00C12BF6"/>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3E76"/>
    <w:rsid w:val="00C3411D"/>
    <w:rsid w:val="00C34357"/>
    <w:rsid w:val="00C34829"/>
    <w:rsid w:val="00C363B8"/>
    <w:rsid w:val="00C3758F"/>
    <w:rsid w:val="00C40B88"/>
    <w:rsid w:val="00C43DDD"/>
    <w:rsid w:val="00C44489"/>
    <w:rsid w:val="00C44D87"/>
    <w:rsid w:val="00C44FC2"/>
    <w:rsid w:val="00C47D87"/>
    <w:rsid w:val="00C47FCD"/>
    <w:rsid w:val="00C50FA6"/>
    <w:rsid w:val="00C53430"/>
    <w:rsid w:val="00C5376E"/>
    <w:rsid w:val="00C549AA"/>
    <w:rsid w:val="00C554C1"/>
    <w:rsid w:val="00C558F2"/>
    <w:rsid w:val="00C55AEE"/>
    <w:rsid w:val="00C5701B"/>
    <w:rsid w:val="00C6069A"/>
    <w:rsid w:val="00C61501"/>
    <w:rsid w:val="00C61BDC"/>
    <w:rsid w:val="00C64D40"/>
    <w:rsid w:val="00C65957"/>
    <w:rsid w:val="00C66218"/>
    <w:rsid w:val="00C677C9"/>
    <w:rsid w:val="00C70B76"/>
    <w:rsid w:val="00C70DBC"/>
    <w:rsid w:val="00C70FB7"/>
    <w:rsid w:val="00C71E80"/>
    <w:rsid w:val="00C72426"/>
    <w:rsid w:val="00C72ACA"/>
    <w:rsid w:val="00C750AE"/>
    <w:rsid w:val="00C75DCE"/>
    <w:rsid w:val="00C7750A"/>
    <w:rsid w:val="00C808A6"/>
    <w:rsid w:val="00C83BA4"/>
    <w:rsid w:val="00C84AC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153"/>
    <w:rsid w:val="00CA2B10"/>
    <w:rsid w:val="00CA352F"/>
    <w:rsid w:val="00CA3F11"/>
    <w:rsid w:val="00CA5256"/>
    <w:rsid w:val="00CA5564"/>
    <w:rsid w:val="00CA60BD"/>
    <w:rsid w:val="00CB078E"/>
    <w:rsid w:val="00CB3782"/>
    <w:rsid w:val="00CB4D20"/>
    <w:rsid w:val="00CB5B6C"/>
    <w:rsid w:val="00CB60EF"/>
    <w:rsid w:val="00CB74E3"/>
    <w:rsid w:val="00CC052E"/>
    <w:rsid w:val="00CC06E5"/>
    <w:rsid w:val="00CC0B14"/>
    <w:rsid w:val="00CC5B9C"/>
    <w:rsid w:val="00CC6350"/>
    <w:rsid w:val="00CD02DF"/>
    <w:rsid w:val="00CD0B64"/>
    <w:rsid w:val="00CD10A5"/>
    <w:rsid w:val="00CD16BE"/>
    <w:rsid w:val="00CD179F"/>
    <w:rsid w:val="00CD1F32"/>
    <w:rsid w:val="00CD2268"/>
    <w:rsid w:val="00CD4616"/>
    <w:rsid w:val="00CD50DC"/>
    <w:rsid w:val="00CD5110"/>
    <w:rsid w:val="00CD56AF"/>
    <w:rsid w:val="00CD5FFA"/>
    <w:rsid w:val="00CD608B"/>
    <w:rsid w:val="00CD61BB"/>
    <w:rsid w:val="00CE32F0"/>
    <w:rsid w:val="00CE33D5"/>
    <w:rsid w:val="00CE4712"/>
    <w:rsid w:val="00CE6073"/>
    <w:rsid w:val="00CE761C"/>
    <w:rsid w:val="00CF55EF"/>
    <w:rsid w:val="00CF5D37"/>
    <w:rsid w:val="00CF6353"/>
    <w:rsid w:val="00CF66AF"/>
    <w:rsid w:val="00CF6F33"/>
    <w:rsid w:val="00D02248"/>
    <w:rsid w:val="00D04429"/>
    <w:rsid w:val="00D04B47"/>
    <w:rsid w:val="00D04E37"/>
    <w:rsid w:val="00D063B8"/>
    <w:rsid w:val="00D063EF"/>
    <w:rsid w:val="00D06825"/>
    <w:rsid w:val="00D0702E"/>
    <w:rsid w:val="00D07467"/>
    <w:rsid w:val="00D076E6"/>
    <w:rsid w:val="00D1044F"/>
    <w:rsid w:val="00D106BD"/>
    <w:rsid w:val="00D14E64"/>
    <w:rsid w:val="00D17185"/>
    <w:rsid w:val="00D17D02"/>
    <w:rsid w:val="00D17E3B"/>
    <w:rsid w:val="00D202E6"/>
    <w:rsid w:val="00D22A9A"/>
    <w:rsid w:val="00D2306F"/>
    <w:rsid w:val="00D23C09"/>
    <w:rsid w:val="00D23CED"/>
    <w:rsid w:val="00D241D1"/>
    <w:rsid w:val="00D246F8"/>
    <w:rsid w:val="00D24BD2"/>
    <w:rsid w:val="00D24F2C"/>
    <w:rsid w:val="00D254F7"/>
    <w:rsid w:val="00D2573D"/>
    <w:rsid w:val="00D260A2"/>
    <w:rsid w:val="00D30CC6"/>
    <w:rsid w:val="00D30DA4"/>
    <w:rsid w:val="00D31722"/>
    <w:rsid w:val="00D3260C"/>
    <w:rsid w:val="00D3391A"/>
    <w:rsid w:val="00D33DB5"/>
    <w:rsid w:val="00D34F7C"/>
    <w:rsid w:val="00D35790"/>
    <w:rsid w:val="00D40124"/>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32BE"/>
    <w:rsid w:val="00D76C7E"/>
    <w:rsid w:val="00D771DE"/>
    <w:rsid w:val="00D7776D"/>
    <w:rsid w:val="00D77ADC"/>
    <w:rsid w:val="00D81AEF"/>
    <w:rsid w:val="00D82A42"/>
    <w:rsid w:val="00D834F1"/>
    <w:rsid w:val="00D83609"/>
    <w:rsid w:val="00D83AA6"/>
    <w:rsid w:val="00D85C0D"/>
    <w:rsid w:val="00D866CB"/>
    <w:rsid w:val="00D86909"/>
    <w:rsid w:val="00D86AF3"/>
    <w:rsid w:val="00D87A9A"/>
    <w:rsid w:val="00D87E39"/>
    <w:rsid w:val="00D90625"/>
    <w:rsid w:val="00D909F8"/>
    <w:rsid w:val="00D9152C"/>
    <w:rsid w:val="00D92179"/>
    <w:rsid w:val="00D922C6"/>
    <w:rsid w:val="00D9293F"/>
    <w:rsid w:val="00D92C6A"/>
    <w:rsid w:val="00D92DE7"/>
    <w:rsid w:val="00D93598"/>
    <w:rsid w:val="00D936A0"/>
    <w:rsid w:val="00D93B82"/>
    <w:rsid w:val="00D93FDD"/>
    <w:rsid w:val="00D94253"/>
    <w:rsid w:val="00D942F8"/>
    <w:rsid w:val="00D94933"/>
    <w:rsid w:val="00D96FA9"/>
    <w:rsid w:val="00D97A5B"/>
    <w:rsid w:val="00D97D9B"/>
    <w:rsid w:val="00DA1E18"/>
    <w:rsid w:val="00DA2009"/>
    <w:rsid w:val="00DA2295"/>
    <w:rsid w:val="00DA3F5E"/>
    <w:rsid w:val="00DA585A"/>
    <w:rsid w:val="00DA6DF7"/>
    <w:rsid w:val="00DA7741"/>
    <w:rsid w:val="00DA7769"/>
    <w:rsid w:val="00DA78D6"/>
    <w:rsid w:val="00DB01C3"/>
    <w:rsid w:val="00DB05B1"/>
    <w:rsid w:val="00DB2823"/>
    <w:rsid w:val="00DB2D74"/>
    <w:rsid w:val="00DB3786"/>
    <w:rsid w:val="00DB59E8"/>
    <w:rsid w:val="00DB5A79"/>
    <w:rsid w:val="00DB638B"/>
    <w:rsid w:val="00DC1256"/>
    <w:rsid w:val="00DC1347"/>
    <w:rsid w:val="00DC2465"/>
    <w:rsid w:val="00DC4BCA"/>
    <w:rsid w:val="00DC5E2C"/>
    <w:rsid w:val="00DC7D48"/>
    <w:rsid w:val="00DD0253"/>
    <w:rsid w:val="00DD145A"/>
    <w:rsid w:val="00DD512E"/>
    <w:rsid w:val="00DD5EC8"/>
    <w:rsid w:val="00DD5FF5"/>
    <w:rsid w:val="00DD61D4"/>
    <w:rsid w:val="00DD7BEC"/>
    <w:rsid w:val="00DE083E"/>
    <w:rsid w:val="00DE0C22"/>
    <w:rsid w:val="00DE1177"/>
    <w:rsid w:val="00DE1C7B"/>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455B"/>
    <w:rsid w:val="00DF53D9"/>
    <w:rsid w:val="00DF5AEA"/>
    <w:rsid w:val="00DF5D49"/>
    <w:rsid w:val="00DF63F6"/>
    <w:rsid w:val="00DF7992"/>
    <w:rsid w:val="00DF7BD0"/>
    <w:rsid w:val="00E00C8E"/>
    <w:rsid w:val="00E0219D"/>
    <w:rsid w:val="00E0276A"/>
    <w:rsid w:val="00E0374B"/>
    <w:rsid w:val="00E0392F"/>
    <w:rsid w:val="00E03A7E"/>
    <w:rsid w:val="00E0632F"/>
    <w:rsid w:val="00E06922"/>
    <w:rsid w:val="00E06C36"/>
    <w:rsid w:val="00E071A9"/>
    <w:rsid w:val="00E07D26"/>
    <w:rsid w:val="00E10047"/>
    <w:rsid w:val="00E10B28"/>
    <w:rsid w:val="00E117FD"/>
    <w:rsid w:val="00E13747"/>
    <w:rsid w:val="00E14758"/>
    <w:rsid w:val="00E162CB"/>
    <w:rsid w:val="00E16BDE"/>
    <w:rsid w:val="00E21088"/>
    <w:rsid w:val="00E21F5D"/>
    <w:rsid w:val="00E22B1C"/>
    <w:rsid w:val="00E23C5E"/>
    <w:rsid w:val="00E23E29"/>
    <w:rsid w:val="00E24632"/>
    <w:rsid w:val="00E25155"/>
    <w:rsid w:val="00E25AEA"/>
    <w:rsid w:val="00E27C2C"/>
    <w:rsid w:val="00E30D26"/>
    <w:rsid w:val="00E30DEF"/>
    <w:rsid w:val="00E30ED2"/>
    <w:rsid w:val="00E31276"/>
    <w:rsid w:val="00E3155D"/>
    <w:rsid w:val="00E32102"/>
    <w:rsid w:val="00E34666"/>
    <w:rsid w:val="00E349A2"/>
    <w:rsid w:val="00E34B74"/>
    <w:rsid w:val="00E35F4B"/>
    <w:rsid w:val="00E36A66"/>
    <w:rsid w:val="00E377AD"/>
    <w:rsid w:val="00E37EF3"/>
    <w:rsid w:val="00E37F70"/>
    <w:rsid w:val="00E41377"/>
    <w:rsid w:val="00E41985"/>
    <w:rsid w:val="00E42B89"/>
    <w:rsid w:val="00E430B8"/>
    <w:rsid w:val="00E446C1"/>
    <w:rsid w:val="00E4499D"/>
    <w:rsid w:val="00E46BCD"/>
    <w:rsid w:val="00E46C67"/>
    <w:rsid w:val="00E47259"/>
    <w:rsid w:val="00E5099B"/>
    <w:rsid w:val="00E51CCC"/>
    <w:rsid w:val="00E52079"/>
    <w:rsid w:val="00E52FC7"/>
    <w:rsid w:val="00E545D7"/>
    <w:rsid w:val="00E547FE"/>
    <w:rsid w:val="00E54960"/>
    <w:rsid w:val="00E55447"/>
    <w:rsid w:val="00E55927"/>
    <w:rsid w:val="00E5669C"/>
    <w:rsid w:val="00E570D4"/>
    <w:rsid w:val="00E60ECA"/>
    <w:rsid w:val="00E613AB"/>
    <w:rsid w:val="00E61DE0"/>
    <w:rsid w:val="00E637B6"/>
    <w:rsid w:val="00E6487C"/>
    <w:rsid w:val="00E654A9"/>
    <w:rsid w:val="00E658DC"/>
    <w:rsid w:val="00E663B6"/>
    <w:rsid w:val="00E66B13"/>
    <w:rsid w:val="00E66BBE"/>
    <w:rsid w:val="00E6780D"/>
    <w:rsid w:val="00E71142"/>
    <w:rsid w:val="00E71DFE"/>
    <w:rsid w:val="00E728D3"/>
    <w:rsid w:val="00E72BDE"/>
    <w:rsid w:val="00E73083"/>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1EC"/>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2FDE"/>
    <w:rsid w:val="00EB3541"/>
    <w:rsid w:val="00EB3A98"/>
    <w:rsid w:val="00EB46D9"/>
    <w:rsid w:val="00EB6383"/>
    <w:rsid w:val="00EB6EF6"/>
    <w:rsid w:val="00EC0199"/>
    <w:rsid w:val="00EC0E64"/>
    <w:rsid w:val="00EC142D"/>
    <w:rsid w:val="00EC1E16"/>
    <w:rsid w:val="00EC2DD1"/>
    <w:rsid w:val="00EC4A19"/>
    <w:rsid w:val="00EC4BA5"/>
    <w:rsid w:val="00EC52DA"/>
    <w:rsid w:val="00EC6F28"/>
    <w:rsid w:val="00EC7220"/>
    <w:rsid w:val="00ED0024"/>
    <w:rsid w:val="00ED0EA0"/>
    <w:rsid w:val="00ED0F85"/>
    <w:rsid w:val="00ED1B01"/>
    <w:rsid w:val="00ED2887"/>
    <w:rsid w:val="00ED2B5C"/>
    <w:rsid w:val="00ED3269"/>
    <w:rsid w:val="00ED3A18"/>
    <w:rsid w:val="00ED3AB7"/>
    <w:rsid w:val="00ED3C57"/>
    <w:rsid w:val="00EE1A8C"/>
    <w:rsid w:val="00EE3FED"/>
    <w:rsid w:val="00EE4643"/>
    <w:rsid w:val="00EE529F"/>
    <w:rsid w:val="00EE65B6"/>
    <w:rsid w:val="00EE7C86"/>
    <w:rsid w:val="00EF0D12"/>
    <w:rsid w:val="00EF1330"/>
    <w:rsid w:val="00EF15FF"/>
    <w:rsid w:val="00EF2517"/>
    <w:rsid w:val="00EF2D80"/>
    <w:rsid w:val="00EF31D8"/>
    <w:rsid w:val="00EF4C90"/>
    <w:rsid w:val="00EF55E6"/>
    <w:rsid w:val="00EF5707"/>
    <w:rsid w:val="00EF587E"/>
    <w:rsid w:val="00EF588D"/>
    <w:rsid w:val="00EF66B1"/>
    <w:rsid w:val="00EF67D3"/>
    <w:rsid w:val="00EF6F1F"/>
    <w:rsid w:val="00EF70EC"/>
    <w:rsid w:val="00EF7111"/>
    <w:rsid w:val="00EF7D1A"/>
    <w:rsid w:val="00F02350"/>
    <w:rsid w:val="00F02759"/>
    <w:rsid w:val="00F02DC7"/>
    <w:rsid w:val="00F03B49"/>
    <w:rsid w:val="00F0448F"/>
    <w:rsid w:val="00F0716C"/>
    <w:rsid w:val="00F105AE"/>
    <w:rsid w:val="00F108A8"/>
    <w:rsid w:val="00F13319"/>
    <w:rsid w:val="00F13E77"/>
    <w:rsid w:val="00F14353"/>
    <w:rsid w:val="00F158DF"/>
    <w:rsid w:val="00F1628B"/>
    <w:rsid w:val="00F16990"/>
    <w:rsid w:val="00F22E81"/>
    <w:rsid w:val="00F23591"/>
    <w:rsid w:val="00F237A6"/>
    <w:rsid w:val="00F250ED"/>
    <w:rsid w:val="00F270E9"/>
    <w:rsid w:val="00F27440"/>
    <w:rsid w:val="00F275C0"/>
    <w:rsid w:val="00F3011D"/>
    <w:rsid w:val="00F30443"/>
    <w:rsid w:val="00F3048B"/>
    <w:rsid w:val="00F315C6"/>
    <w:rsid w:val="00F317B5"/>
    <w:rsid w:val="00F33348"/>
    <w:rsid w:val="00F346B6"/>
    <w:rsid w:val="00F34AB1"/>
    <w:rsid w:val="00F36145"/>
    <w:rsid w:val="00F36227"/>
    <w:rsid w:val="00F37994"/>
    <w:rsid w:val="00F37BDD"/>
    <w:rsid w:val="00F40716"/>
    <w:rsid w:val="00F41503"/>
    <w:rsid w:val="00F417D4"/>
    <w:rsid w:val="00F41D5C"/>
    <w:rsid w:val="00F432CF"/>
    <w:rsid w:val="00F4352F"/>
    <w:rsid w:val="00F437FD"/>
    <w:rsid w:val="00F43B69"/>
    <w:rsid w:val="00F4479A"/>
    <w:rsid w:val="00F44D82"/>
    <w:rsid w:val="00F45589"/>
    <w:rsid w:val="00F460F3"/>
    <w:rsid w:val="00F46207"/>
    <w:rsid w:val="00F466C8"/>
    <w:rsid w:val="00F46706"/>
    <w:rsid w:val="00F469A9"/>
    <w:rsid w:val="00F46B50"/>
    <w:rsid w:val="00F47C20"/>
    <w:rsid w:val="00F50B46"/>
    <w:rsid w:val="00F50D1F"/>
    <w:rsid w:val="00F51545"/>
    <w:rsid w:val="00F51A3D"/>
    <w:rsid w:val="00F521DE"/>
    <w:rsid w:val="00F52654"/>
    <w:rsid w:val="00F541D4"/>
    <w:rsid w:val="00F553CE"/>
    <w:rsid w:val="00F56043"/>
    <w:rsid w:val="00F5664E"/>
    <w:rsid w:val="00F56BD8"/>
    <w:rsid w:val="00F56CE7"/>
    <w:rsid w:val="00F56E86"/>
    <w:rsid w:val="00F56FA9"/>
    <w:rsid w:val="00F571B9"/>
    <w:rsid w:val="00F6171A"/>
    <w:rsid w:val="00F619BA"/>
    <w:rsid w:val="00F62306"/>
    <w:rsid w:val="00F6294D"/>
    <w:rsid w:val="00F635FC"/>
    <w:rsid w:val="00F63D03"/>
    <w:rsid w:val="00F65E2F"/>
    <w:rsid w:val="00F67385"/>
    <w:rsid w:val="00F67DF1"/>
    <w:rsid w:val="00F7054E"/>
    <w:rsid w:val="00F7137C"/>
    <w:rsid w:val="00F72A09"/>
    <w:rsid w:val="00F74E67"/>
    <w:rsid w:val="00F76734"/>
    <w:rsid w:val="00F76814"/>
    <w:rsid w:val="00F769B6"/>
    <w:rsid w:val="00F77A5F"/>
    <w:rsid w:val="00F8309B"/>
    <w:rsid w:val="00F833C9"/>
    <w:rsid w:val="00F836C8"/>
    <w:rsid w:val="00F85198"/>
    <w:rsid w:val="00F87E7B"/>
    <w:rsid w:val="00F90064"/>
    <w:rsid w:val="00F90BF7"/>
    <w:rsid w:val="00F92025"/>
    <w:rsid w:val="00F94217"/>
    <w:rsid w:val="00F9586C"/>
    <w:rsid w:val="00F96473"/>
    <w:rsid w:val="00F96AFD"/>
    <w:rsid w:val="00F96C34"/>
    <w:rsid w:val="00F96F4C"/>
    <w:rsid w:val="00FA07F4"/>
    <w:rsid w:val="00FA0BEB"/>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6D59"/>
    <w:rsid w:val="00FC7B66"/>
    <w:rsid w:val="00FD0D94"/>
    <w:rsid w:val="00FD106C"/>
    <w:rsid w:val="00FD2BD3"/>
    <w:rsid w:val="00FD2DE3"/>
    <w:rsid w:val="00FD3DEF"/>
    <w:rsid w:val="00FD4CCA"/>
    <w:rsid w:val="00FD56E1"/>
    <w:rsid w:val="00FD58B1"/>
    <w:rsid w:val="00FE00EA"/>
    <w:rsid w:val="00FE04BA"/>
    <w:rsid w:val="00FE066C"/>
    <w:rsid w:val="00FE234B"/>
    <w:rsid w:val="00FE2A9E"/>
    <w:rsid w:val="00FE34B3"/>
    <w:rsid w:val="00FE46B7"/>
    <w:rsid w:val="00FE4CEC"/>
    <w:rsid w:val="00FE6398"/>
    <w:rsid w:val="00FE683A"/>
    <w:rsid w:val="00FF0420"/>
    <w:rsid w:val="00FF182C"/>
    <w:rsid w:val="00FF41B8"/>
    <w:rsid w:val="00FF47C1"/>
    <w:rsid w:val="00FF4F5A"/>
    <w:rsid w:val="00FF5237"/>
    <w:rsid w:val="00FF5629"/>
    <w:rsid w:val="00FF5B79"/>
    <w:rsid w:val="00FF689D"/>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D8A9B98D-733D-4FF4-9BF4-D50BB21B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tr-TR"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tr-TR"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tr-TR"/>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tr-TR"/>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tr-TR"/>
    </w:rPr>
  </w:style>
  <w:style w:type="character" w:customStyle="1" w:styleId="UnresolvedMention1">
    <w:name w:val="Unresolved Mention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rPr>
  </w:style>
  <w:style w:type="character" w:customStyle="1" w:styleId="CommentTextChar">
    <w:name w:val="Comment Text Char"/>
    <w:basedOn w:val="DefaultParagraphFont"/>
    <w:link w:val="CommentText"/>
    <w:rsid w:val="00846017"/>
    <w:rPr>
      <w:rFonts w:ascii="Arial" w:hAnsi="Arial"/>
      <w:sz w:val="20"/>
      <w:szCs w:val="20"/>
      <w:lang w:val="tr-TR"/>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rPr>
  </w:style>
  <w:style w:type="character" w:customStyle="1" w:styleId="CommentSubjectChar">
    <w:name w:val="Comment Subject Char"/>
    <w:basedOn w:val="CommentTextChar"/>
    <w:link w:val="CommentSubject"/>
    <w:rsid w:val="0020528D"/>
    <w:rPr>
      <w:rFonts w:ascii="Arial" w:hAnsi="Arial"/>
      <w:b/>
      <w:bCs/>
      <w:sz w:val="20"/>
      <w:szCs w:val="20"/>
      <w:lang w:val="tr-TR"/>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14:numForm w14:val="lining"/>
    </w:rPr>
  </w:style>
  <w:style w:type="character" w:styleId="FootnoteReference">
    <w:name w:val="footnote reference"/>
    <w:basedOn w:val="DefaultParagraphFont"/>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rPr>
  </w:style>
  <w:style w:type="character" w:customStyle="1" w:styleId="He05FettZchn">
    <w:name w:val="_He_05_Fett Zchn"/>
    <w:basedOn w:val="DefaultParagraphFont"/>
    <w:link w:val="He05Fett"/>
    <w:rsid w:val="00A92FCD"/>
    <w:rPr>
      <w:rFonts w:eastAsiaTheme="minorHAnsi" w:cstheme="minorBidi"/>
      <w:b/>
      <w:szCs w:val="22"/>
      <w:lang w:val="tr-TR"/>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rPr>
  </w:style>
  <w:style w:type="character" w:styleId="PlaceholderText">
    <w:name w:val="Placeholder Text"/>
    <w:basedOn w:val="DefaultParagraphFont"/>
    <w:uiPriority w:val="99"/>
    <w:unhideWhenUsed/>
    <w:rsid w:val="001C23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592780272">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2f792e8-4dad-42c1-ad63-44982727bf4d"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Props1.xml><?xml version="1.0" encoding="utf-8"?>
<ds:datastoreItem xmlns:ds="http://schemas.openxmlformats.org/officeDocument/2006/customXml" ds:itemID="{41ECC1B5-F89A-424E-B143-373E1CFF5736}">
  <ds:schemaRefs>
    <ds:schemaRef ds:uri="http://schemas.openxmlformats.org/officeDocument/2006/bibliography"/>
  </ds:schemaRefs>
</ds:datastoreItem>
</file>

<file path=customXml/itemProps2.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9</Pages>
  <Words>3013</Words>
  <Characters>20284</Characters>
  <Application>Microsoft Office Word</Application>
  <DocSecurity>0</DocSecurity>
  <Lines>321</Lines>
  <Paragraphs>72</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23225</CharactersWithSpaces>
  <SharedDoc>false</SharedDoc>
  <HLinks>
    <vt:vector size="66" baseType="variant">
      <vt:variant>
        <vt:i4>6946937</vt:i4>
      </vt:variant>
      <vt:variant>
        <vt:i4>30</vt:i4>
      </vt:variant>
      <vt:variant>
        <vt:i4>0</vt:i4>
      </vt:variant>
      <vt:variant>
        <vt:i4>5</vt:i4>
      </vt:variant>
      <vt:variant>
        <vt:lpwstr>http://www.henkel.de/ir</vt:lpwstr>
      </vt:variant>
      <vt:variant>
        <vt:lpwstr/>
      </vt:variant>
      <vt:variant>
        <vt:i4>6619256</vt:i4>
      </vt:variant>
      <vt:variant>
        <vt:i4>27</vt:i4>
      </vt:variant>
      <vt:variant>
        <vt:i4>0</vt:i4>
      </vt:variant>
      <vt:variant>
        <vt:i4>5</vt:i4>
      </vt:variant>
      <vt:variant>
        <vt:lpwstr>http://www.henkel.de/presse</vt:lpwstr>
      </vt:variant>
      <vt:variant>
        <vt:lpwstr/>
      </vt:variant>
      <vt:variant>
        <vt:i4>2228305</vt:i4>
      </vt:variant>
      <vt:variant>
        <vt:i4>24</vt:i4>
      </vt:variant>
      <vt:variant>
        <vt:i4>0</vt:i4>
      </vt:variant>
      <vt:variant>
        <vt:i4>5</vt:i4>
      </vt:variant>
      <vt:variant>
        <vt:lpwstr>mailto:linda.gehring@henkel.com</vt:lpwstr>
      </vt:variant>
      <vt:variant>
        <vt:lpwstr/>
      </vt:variant>
      <vt:variant>
        <vt:i4>7208970</vt:i4>
      </vt:variant>
      <vt:variant>
        <vt:i4>21</vt:i4>
      </vt:variant>
      <vt:variant>
        <vt:i4>0</vt:i4>
      </vt:variant>
      <vt:variant>
        <vt:i4>5</vt:i4>
      </vt:variant>
      <vt:variant>
        <vt:lpwstr>mailto:dennis.starke@henkel.com</vt:lpwstr>
      </vt:variant>
      <vt:variant>
        <vt:lpwstr/>
      </vt:variant>
      <vt:variant>
        <vt:i4>2687054</vt:i4>
      </vt:variant>
      <vt:variant>
        <vt:i4>18</vt:i4>
      </vt:variant>
      <vt:variant>
        <vt:i4>0</vt:i4>
      </vt:variant>
      <vt:variant>
        <vt:i4>5</vt:i4>
      </vt:variant>
      <vt:variant>
        <vt:lpwstr>mailto:hanna.philipps@henkel.com</vt:lpwstr>
      </vt:variant>
      <vt:variant>
        <vt:lpwstr/>
      </vt:variant>
      <vt:variant>
        <vt:i4>1835116</vt:i4>
      </vt:variant>
      <vt:variant>
        <vt:i4>15</vt:i4>
      </vt:variant>
      <vt:variant>
        <vt:i4>0</vt:i4>
      </vt:variant>
      <vt:variant>
        <vt:i4>5</vt:i4>
      </vt:variant>
      <vt:variant>
        <vt:lpwstr>mailto:jennifer.ott@henkel.com</vt:lpwstr>
      </vt:variant>
      <vt:variant>
        <vt:lpwstr/>
      </vt:variant>
      <vt:variant>
        <vt:i4>7667735</vt:i4>
      </vt:variant>
      <vt:variant>
        <vt:i4>12</vt:i4>
      </vt:variant>
      <vt:variant>
        <vt:i4>0</vt:i4>
      </vt:variant>
      <vt:variant>
        <vt:i4>5</vt:i4>
      </vt:variant>
      <vt:variant>
        <vt:lpwstr>mailto:wulf.klueppelholz@henkel.com</vt:lpwstr>
      </vt:variant>
      <vt:variant>
        <vt:lpwstr/>
      </vt:variant>
      <vt:variant>
        <vt:i4>7602201</vt:i4>
      </vt:variant>
      <vt:variant>
        <vt:i4>9</vt:i4>
      </vt:variant>
      <vt:variant>
        <vt:i4>0</vt:i4>
      </vt:variant>
      <vt:variant>
        <vt:i4>5</vt:i4>
      </vt:variant>
      <vt:variant>
        <vt:lpwstr>mailto:manuel.boesing@henkel.com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786533</vt:i4>
      </vt:variant>
      <vt:variant>
        <vt:i4>3</vt:i4>
      </vt:variant>
      <vt:variant>
        <vt:i4>0</vt:i4>
      </vt:variant>
      <vt:variant>
        <vt:i4>5</vt:i4>
      </vt:variant>
      <vt:variant>
        <vt:lpwstr>mailto:lars.korinth@henkel.com</vt:lpwstr>
      </vt:variant>
      <vt:variant>
        <vt:lpwstr/>
      </vt:variant>
      <vt:variant>
        <vt:i4>196694</vt:i4>
      </vt:variant>
      <vt:variant>
        <vt:i4>0</vt:i4>
      </vt:variant>
      <vt:variant>
        <vt:i4>0</vt:i4>
      </vt:variant>
      <vt:variant>
        <vt:i4>5</vt:i4>
      </vt:variant>
      <vt:variant>
        <vt:lpwstr>http://www.henkel.de/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Oznur Cati</cp:lastModifiedBy>
  <cp:revision>230</cp:revision>
  <cp:lastPrinted>2026-02-11T08:17:00Z</cp:lastPrinted>
  <dcterms:created xsi:type="dcterms:W3CDTF">2026-03-12T18:51:00Z</dcterms:created>
  <dcterms:modified xsi:type="dcterms:W3CDTF">2026-03-27T12:19:00Z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ies>
</file>