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AF202" w14:textId="00E73B6B" w:rsidR="0032329F" w:rsidRPr="002024B0" w:rsidRDefault="00000000" w:rsidP="002024B0">
      <w:pPr>
        <w:pStyle w:val="Ttulo2"/>
        <w:keepNext w:val="0"/>
        <w:spacing w:before="360" w:after="80" w:line="240" w:lineRule="auto"/>
        <w:jc w:val="center"/>
        <w:rPr>
          <w:rFonts w:asciiTheme="majorHAnsi" w:hAnsiTheme="majorHAnsi" w:cstheme="majorHAnsi"/>
          <w:b/>
          <w:bCs/>
          <w:color w:val="000000"/>
          <w:sz w:val="34"/>
          <w:szCs w:val="34"/>
        </w:rPr>
      </w:pPr>
      <w:bookmarkStart w:id="0" w:name="_heading=h.qoiy60x0xd6c" w:colFirst="0" w:colLast="0"/>
      <w:bookmarkEnd w:id="0"/>
      <w:r w:rsidRPr="002024B0">
        <w:rPr>
          <w:rFonts w:asciiTheme="majorHAnsi" w:hAnsiTheme="majorHAnsi" w:cstheme="majorHAnsi"/>
          <w:b/>
          <w:bCs/>
          <w:color w:val="000000"/>
          <w:sz w:val="34"/>
          <w:szCs w:val="34"/>
        </w:rPr>
        <w:t xml:space="preserve">Henkel </w:t>
      </w:r>
      <w:r w:rsidR="002024B0">
        <w:rPr>
          <w:rFonts w:asciiTheme="majorHAnsi" w:hAnsiTheme="majorHAnsi" w:cstheme="majorHAnsi"/>
          <w:b/>
          <w:bCs/>
          <w:color w:val="000000"/>
          <w:sz w:val="34"/>
          <w:szCs w:val="34"/>
        </w:rPr>
        <w:t>anuncia aquisição da</w:t>
      </w:r>
      <w:r w:rsidRPr="002024B0">
        <w:rPr>
          <w:rFonts w:asciiTheme="majorHAnsi" w:hAnsiTheme="majorHAnsi" w:cstheme="majorHAnsi"/>
          <w:b/>
          <w:bCs/>
          <w:color w:val="000000"/>
          <w:sz w:val="34"/>
          <w:szCs w:val="34"/>
        </w:rPr>
        <w:t xml:space="preserve"> marca de luxo OLAPLEX por US$ 1,4 bilhão e reforça unidade de marcas de consumo</w:t>
      </w:r>
    </w:p>
    <w:p w14:paraId="6592E375" w14:textId="77777777" w:rsidR="0032329F" w:rsidRPr="002024B0" w:rsidRDefault="00000000">
      <w:pPr>
        <w:numPr>
          <w:ilvl w:val="0"/>
          <w:numId w:val="1"/>
        </w:numPr>
        <w:spacing w:before="240" w:line="240" w:lineRule="auto"/>
        <w:jc w:val="left"/>
        <w:rPr>
          <w:rFonts w:asciiTheme="majorHAnsi" w:hAnsiTheme="majorHAnsi" w:cstheme="majorHAnsi"/>
        </w:rPr>
      </w:pPr>
      <w:r w:rsidRPr="002024B0">
        <w:rPr>
          <w:rFonts w:asciiTheme="majorHAnsi" w:hAnsiTheme="majorHAnsi" w:cstheme="majorHAnsi"/>
          <w:i/>
          <w:iCs/>
        </w:rPr>
        <w:t>A aquisição une a expertise científica da OLAPLEX ao portfólio global da unidade de marcas de consumo da Henkel.</w:t>
      </w:r>
    </w:p>
    <w:p w14:paraId="4F2CEA34" w14:textId="77777777" w:rsidR="0032329F" w:rsidRPr="002024B0" w:rsidRDefault="00000000">
      <w:pPr>
        <w:numPr>
          <w:ilvl w:val="0"/>
          <w:numId w:val="1"/>
        </w:numPr>
        <w:spacing w:line="240" w:lineRule="auto"/>
        <w:jc w:val="left"/>
        <w:rPr>
          <w:rFonts w:asciiTheme="majorHAnsi" w:hAnsiTheme="majorHAnsi" w:cstheme="majorHAnsi"/>
        </w:rPr>
      </w:pPr>
      <w:r w:rsidRPr="002024B0">
        <w:rPr>
          <w:rFonts w:asciiTheme="majorHAnsi" w:hAnsiTheme="majorHAnsi" w:cstheme="majorHAnsi"/>
          <w:i/>
          <w:iCs/>
        </w:rPr>
        <w:t>A marca apresenta forte presença nos canais profissionais, varejo especializado e e-commerce.</w:t>
      </w:r>
    </w:p>
    <w:p w14:paraId="690C3C5D" w14:textId="673E9B9C" w:rsidR="0032329F" w:rsidRPr="00630F91" w:rsidRDefault="00000000" w:rsidP="00630F91">
      <w:pPr>
        <w:numPr>
          <w:ilvl w:val="0"/>
          <w:numId w:val="1"/>
        </w:numPr>
        <w:spacing w:after="240" w:line="240" w:lineRule="auto"/>
        <w:jc w:val="left"/>
        <w:rPr>
          <w:rFonts w:asciiTheme="majorHAnsi" w:hAnsiTheme="majorHAnsi" w:cstheme="majorHAnsi"/>
        </w:rPr>
      </w:pPr>
      <w:r w:rsidRPr="002024B0">
        <w:rPr>
          <w:rFonts w:asciiTheme="majorHAnsi" w:hAnsiTheme="majorHAnsi" w:cstheme="majorHAnsi"/>
          <w:i/>
          <w:iCs/>
        </w:rPr>
        <w:t>A transação acelera a inovação e o desenvolvimento de produtos de alta tecnologia para o cuidado dos fios.</w:t>
      </w:r>
    </w:p>
    <w:p w14:paraId="39C17191" w14:textId="1F4A177B" w:rsidR="0032329F" w:rsidRPr="002024B0" w:rsidRDefault="00171A80">
      <w:pPr>
        <w:spacing w:before="240" w:after="24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São Paulo</w:t>
      </w:r>
      <w:r w:rsidR="00000000" w:rsidRPr="002024B0">
        <w:rPr>
          <w:rFonts w:asciiTheme="majorHAnsi" w:hAnsiTheme="majorHAnsi" w:cstheme="majorHAnsi"/>
          <w:b/>
          <w:bCs/>
        </w:rPr>
        <w:t>, março de 2026 –</w:t>
      </w:r>
      <w:r w:rsidR="00000000" w:rsidRPr="002024B0">
        <w:rPr>
          <w:rFonts w:asciiTheme="majorHAnsi" w:hAnsiTheme="majorHAnsi" w:cstheme="majorHAnsi"/>
        </w:rPr>
        <w:t xml:space="preserve"> </w:t>
      </w:r>
      <w:r w:rsidR="00630F91" w:rsidRPr="00630F91">
        <w:rPr>
          <w:rFonts w:asciiTheme="majorHAnsi" w:hAnsiTheme="majorHAnsi" w:cstheme="majorHAnsi"/>
        </w:rPr>
        <w:t>A Henkel celebrou um acordo definitivo para adquirir 100% da OLAPLEX,</w:t>
      </w:r>
      <w:r w:rsidR="00630F91">
        <w:rPr>
          <w:rFonts w:asciiTheme="majorHAnsi" w:hAnsiTheme="majorHAnsi" w:cstheme="majorHAnsi"/>
        </w:rPr>
        <w:t xml:space="preserve"> </w:t>
      </w:r>
      <w:r w:rsidR="00630F91" w:rsidRPr="00630F91">
        <w:rPr>
          <w:rFonts w:asciiTheme="majorHAnsi" w:hAnsiTheme="majorHAnsi" w:cstheme="majorHAnsi"/>
        </w:rPr>
        <w:t>marca premium de produtos para os cabelos</w:t>
      </w:r>
      <w:r w:rsidR="00000000" w:rsidRPr="002024B0">
        <w:rPr>
          <w:rFonts w:asciiTheme="majorHAnsi" w:hAnsiTheme="majorHAnsi" w:cstheme="majorHAnsi"/>
        </w:rPr>
        <w:t xml:space="preserve">. A transação, avaliada em aproximadamente US$ 1,4 bilhão (oferta de US$ 2,06 por ação), foi aprovada por unanimidade pelo Conselho de Administração da OLAPLEX e conta com o consentimento da </w:t>
      </w:r>
      <w:proofErr w:type="spellStart"/>
      <w:r w:rsidR="00000000" w:rsidRPr="002024B0">
        <w:rPr>
          <w:rFonts w:asciiTheme="majorHAnsi" w:hAnsiTheme="majorHAnsi" w:cstheme="majorHAnsi"/>
        </w:rPr>
        <w:t>Advent</w:t>
      </w:r>
      <w:proofErr w:type="spellEnd"/>
      <w:r w:rsidR="00000000" w:rsidRPr="002024B0">
        <w:rPr>
          <w:rFonts w:asciiTheme="majorHAnsi" w:hAnsiTheme="majorHAnsi" w:cstheme="majorHAnsi"/>
        </w:rPr>
        <w:t>, acionista majoritária da marca.</w:t>
      </w:r>
      <w:r w:rsidR="00630F91">
        <w:rPr>
          <w:rFonts w:asciiTheme="majorHAnsi" w:hAnsiTheme="majorHAnsi" w:cstheme="majorHAnsi"/>
        </w:rPr>
        <w:t xml:space="preserve"> </w:t>
      </w:r>
      <w:r w:rsidR="00000000" w:rsidRPr="002024B0">
        <w:rPr>
          <w:rFonts w:asciiTheme="majorHAnsi" w:hAnsiTheme="majorHAnsi" w:cstheme="majorHAnsi"/>
        </w:rPr>
        <w:t xml:space="preserve">Este movimento representa um marco estratégico na agenda de crescimento da Henkel, consolidando a categoria de cuidados com o cabelo como um pilar central da unidade de negócios </w:t>
      </w:r>
      <w:proofErr w:type="spellStart"/>
      <w:r w:rsidR="00000000" w:rsidRPr="002024B0">
        <w:rPr>
          <w:rFonts w:asciiTheme="majorHAnsi" w:hAnsiTheme="majorHAnsi" w:cstheme="majorHAnsi"/>
        </w:rPr>
        <w:t>Consumer</w:t>
      </w:r>
      <w:proofErr w:type="spellEnd"/>
      <w:r w:rsidR="00000000" w:rsidRPr="002024B0">
        <w:rPr>
          <w:rFonts w:asciiTheme="majorHAnsi" w:hAnsiTheme="majorHAnsi" w:cstheme="majorHAnsi"/>
        </w:rPr>
        <w:t xml:space="preserve"> Brands.</w:t>
      </w:r>
    </w:p>
    <w:p w14:paraId="4D2E996C" w14:textId="77777777" w:rsidR="0032329F" w:rsidRPr="002024B0" w:rsidRDefault="00000000">
      <w:pPr>
        <w:spacing w:before="240" w:after="240" w:line="240" w:lineRule="auto"/>
        <w:rPr>
          <w:rFonts w:asciiTheme="majorHAnsi" w:hAnsiTheme="majorHAnsi" w:cstheme="majorHAnsi"/>
        </w:rPr>
      </w:pPr>
      <w:r w:rsidRPr="002024B0">
        <w:rPr>
          <w:rFonts w:asciiTheme="majorHAnsi" w:hAnsiTheme="majorHAnsi" w:cstheme="majorHAnsi"/>
        </w:rPr>
        <w:t>A OLAPLEX é reconhecida mundialmente por seu portfólio de alta performance baseado em ciência. Com vendas equilibradas entre os Estados Unidos e mercados internacionais, a marca registrou faturamento de aproximadamente 370 milhões de euros no ano fiscal de 2025, mantendo margens brutas sólidas.</w:t>
      </w:r>
    </w:p>
    <w:p w14:paraId="0FC0A498" w14:textId="35FF59C3" w:rsidR="0032329F" w:rsidRPr="002024B0" w:rsidRDefault="00000000" w:rsidP="00630F91">
      <w:pPr>
        <w:spacing w:before="240" w:after="240" w:line="240" w:lineRule="auto"/>
        <w:ind w:right="13"/>
        <w:rPr>
          <w:rFonts w:asciiTheme="majorHAnsi" w:hAnsiTheme="majorHAnsi" w:cstheme="majorHAnsi"/>
        </w:rPr>
      </w:pPr>
      <w:r w:rsidRPr="002024B0">
        <w:rPr>
          <w:rFonts w:asciiTheme="majorHAnsi" w:hAnsiTheme="majorHAnsi" w:cstheme="majorHAnsi"/>
        </w:rPr>
        <w:t xml:space="preserve">"A aquisição da OLAPLEX está totalmente alinhada com a nossa estratégia de expandir o portfólio por meio de fusões e aquisições que gerem valor real", afirma </w:t>
      </w:r>
      <w:r w:rsidRPr="002024B0">
        <w:rPr>
          <w:rFonts w:asciiTheme="majorHAnsi" w:hAnsiTheme="majorHAnsi" w:cstheme="majorHAnsi"/>
          <w:b/>
          <w:bCs/>
        </w:rPr>
        <w:t xml:space="preserve">Carsten </w:t>
      </w:r>
      <w:proofErr w:type="spellStart"/>
      <w:r w:rsidRPr="002024B0">
        <w:rPr>
          <w:rFonts w:asciiTheme="majorHAnsi" w:hAnsiTheme="majorHAnsi" w:cstheme="majorHAnsi"/>
          <w:b/>
          <w:bCs/>
        </w:rPr>
        <w:t>Knobel</w:t>
      </w:r>
      <w:proofErr w:type="spellEnd"/>
      <w:r w:rsidRPr="002024B0">
        <w:rPr>
          <w:rFonts w:asciiTheme="majorHAnsi" w:hAnsiTheme="majorHAnsi" w:cstheme="majorHAnsi"/>
          <w:b/>
          <w:bCs/>
        </w:rPr>
        <w:t>, CEO da Henkel.</w:t>
      </w:r>
      <w:r w:rsidRPr="002024B0">
        <w:rPr>
          <w:rFonts w:asciiTheme="majorHAnsi" w:hAnsiTheme="majorHAnsi" w:cstheme="majorHAnsi"/>
        </w:rPr>
        <w:t xml:space="preserve"> "Esta transação nos permite ampliar nossa presença no segmento premium, criando oportunidades atrativas para crescimento futuro e inovação"</w:t>
      </w:r>
      <w:r w:rsidR="00671526">
        <w:rPr>
          <w:rFonts w:asciiTheme="majorHAnsi" w:hAnsiTheme="majorHAnsi" w:cstheme="majorHAnsi"/>
        </w:rPr>
        <w:t xml:space="preserve">, complementa. </w:t>
      </w:r>
    </w:p>
    <w:p w14:paraId="6C772552" w14:textId="77777777" w:rsidR="0032329F" w:rsidRPr="002024B0" w:rsidRDefault="00000000">
      <w:pPr>
        <w:spacing w:before="240" w:after="240" w:line="240" w:lineRule="auto"/>
        <w:rPr>
          <w:rFonts w:asciiTheme="majorHAnsi" w:hAnsiTheme="majorHAnsi" w:cstheme="majorHAnsi"/>
        </w:rPr>
      </w:pPr>
      <w:r w:rsidRPr="002024B0">
        <w:rPr>
          <w:rFonts w:asciiTheme="majorHAnsi" w:hAnsiTheme="majorHAnsi" w:cstheme="majorHAnsi"/>
        </w:rPr>
        <w:t xml:space="preserve">Para </w:t>
      </w:r>
      <w:r w:rsidRPr="002024B0">
        <w:rPr>
          <w:rFonts w:asciiTheme="majorHAnsi" w:hAnsiTheme="majorHAnsi" w:cstheme="majorHAnsi"/>
          <w:b/>
          <w:bCs/>
        </w:rPr>
        <w:t xml:space="preserve">Wolfgang </w:t>
      </w:r>
      <w:proofErr w:type="spellStart"/>
      <w:r w:rsidRPr="002024B0">
        <w:rPr>
          <w:rFonts w:asciiTheme="majorHAnsi" w:hAnsiTheme="majorHAnsi" w:cstheme="majorHAnsi"/>
          <w:b/>
          <w:bCs/>
        </w:rPr>
        <w:t>König</w:t>
      </w:r>
      <w:proofErr w:type="spellEnd"/>
      <w:r w:rsidRPr="002024B0">
        <w:rPr>
          <w:rFonts w:asciiTheme="majorHAnsi" w:hAnsiTheme="majorHAnsi" w:cstheme="majorHAnsi"/>
          <w:b/>
          <w:bCs/>
        </w:rPr>
        <w:t xml:space="preserve">, Vice-Presidente Executivo da unidade de </w:t>
      </w:r>
      <w:proofErr w:type="spellStart"/>
      <w:r w:rsidRPr="002024B0">
        <w:rPr>
          <w:rFonts w:asciiTheme="majorHAnsi" w:hAnsiTheme="majorHAnsi" w:cstheme="majorHAnsi"/>
          <w:b/>
          <w:bCs/>
        </w:rPr>
        <w:t>Consumer</w:t>
      </w:r>
      <w:proofErr w:type="spellEnd"/>
      <w:r w:rsidRPr="002024B0">
        <w:rPr>
          <w:rFonts w:asciiTheme="majorHAnsi" w:hAnsiTheme="majorHAnsi" w:cstheme="majorHAnsi"/>
          <w:b/>
          <w:bCs/>
        </w:rPr>
        <w:t xml:space="preserve"> Brands da Henkel</w:t>
      </w:r>
      <w:r w:rsidRPr="002024B0">
        <w:rPr>
          <w:rFonts w:asciiTheme="majorHAnsi" w:hAnsiTheme="majorHAnsi" w:cstheme="majorHAnsi"/>
        </w:rPr>
        <w:t>, a sinergia entre as empresas é clara: "A OLAPLEX possui uma base científica robusta e uma conexão profunda com a comunidade profissional. Isso a torna altamente complementar ao nosso portfólio atual, permitindo acelerar o desenvolvimento de produtos de tecnologia avançada."</w:t>
      </w:r>
    </w:p>
    <w:p w14:paraId="31DFAD48" w14:textId="77777777" w:rsidR="0032329F" w:rsidRPr="002024B0" w:rsidRDefault="00000000">
      <w:pPr>
        <w:spacing w:before="240" w:after="240" w:line="240" w:lineRule="auto"/>
        <w:rPr>
          <w:rFonts w:asciiTheme="majorHAnsi" w:hAnsiTheme="majorHAnsi" w:cstheme="majorHAnsi"/>
        </w:rPr>
      </w:pPr>
      <w:r w:rsidRPr="002024B0">
        <w:rPr>
          <w:rFonts w:asciiTheme="majorHAnsi" w:hAnsiTheme="majorHAnsi" w:cstheme="majorHAnsi"/>
        </w:rPr>
        <w:t>A conclusão da transação está sujeita às condições habituais de fechamento e aprovações regulatórias de órgãos competentes.</w:t>
      </w:r>
    </w:p>
    <w:p w14:paraId="6D076B9C" w14:textId="77777777" w:rsidR="0032329F" w:rsidRPr="002024B0" w:rsidRDefault="0032329F">
      <w:pPr>
        <w:spacing w:line="240" w:lineRule="auto"/>
        <w:jc w:val="left"/>
        <w:rPr>
          <w:rFonts w:asciiTheme="majorHAnsi" w:hAnsiTheme="majorHAnsi" w:cstheme="majorHAnsi"/>
        </w:rPr>
      </w:pPr>
    </w:p>
    <w:p w14:paraId="50B83250" w14:textId="77777777" w:rsidR="0032329F" w:rsidRPr="002024B0" w:rsidRDefault="0032329F">
      <w:pPr>
        <w:spacing w:line="240" w:lineRule="auto"/>
        <w:jc w:val="left"/>
        <w:rPr>
          <w:rFonts w:asciiTheme="majorHAnsi" w:hAnsiTheme="majorHAnsi" w:cstheme="majorHAnsi"/>
        </w:rPr>
      </w:pPr>
    </w:p>
    <w:p w14:paraId="456EFD9B" w14:textId="77777777" w:rsidR="0032329F" w:rsidRPr="002024B0" w:rsidRDefault="0032329F">
      <w:pPr>
        <w:spacing w:line="240" w:lineRule="auto"/>
        <w:jc w:val="left"/>
        <w:rPr>
          <w:rFonts w:asciiTheme="majorHAnsi" w:hAnsiTheme="majorHAnsi" w:cstheme="majorHAnsi"/>
          <w:b/>
          <w:bCs/>
          <w:sz w:val="18"/>
          <w:szCs w:val="18"/>
        </w:rPr>
      </w:pPr>
    </w:p>
    <w:p w14:paraId="4E03F548" w14:textId="77777777" w:rsidR="0032329F" w:rsidRPr="002024B0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2024B0">
        <w:rPr>
          <w:rFonts w:asciiTheme="minorHAnsi" w:hAnsiTheme="minorHAnsi" w:cstheme="minorHAnsi"/>
          <w:b/>
          <w:bCs/>
          <w:sz w:val="18"/>
          <w:szCs w:val="18"/>
        </w:rPr>
        <w:t>Sobre Henkel</w:t>
      </w:r>
    </w:p>
    <w:p w14:paraId="08E59A0F" w14:textId="77777777" w:rsidR="0032329F" w:rsidRPr="002024B0" w:rsidRDefault="00000000">
      <w:pPr>
        <w:rPr>
          <w:rFonts w:asciiTheme="minorHAnsi" w:hAnsiTheme="minorHAnsi" w:cstheme="minorHAnsi"/>
          <w:sz w:val="18"/>
          <w:szCs w:val="18"/>
        </w:rPr>
      </w:pPr>
      <w:r w:rsidRPr="002024B0">
        <w:rPr>
          <w:rFonts w:asciiTheme="minorHAnsi" w:hAnsiTheme="minorHAnsi" w:cstheme="minorHAnsi"/>
          <w:sz w:val="18"/>
          <w:szCs w:val="18"/>
        </w:rPr>
        <w:t xml:space="preserve">Com suas marcas, inovações e tecnologias, a Henkel ocupa posições de liderança de mercado em todo o mundo nos setores industrial e de bens de consumo. A unidade de negócios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Adhesive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 Technologies é líder global no mercado de adesivos, selantes e revestimentos. Com a divisão de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Consumer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 Brands, a empresa ocupa posições de liderança, especialmente em lavanderia e cuidados domésticos e produtos para cabelo, em diversos mercados e categorias ao redor do mundo. As três marcas mais fortes da empresa são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Loctite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, Persil e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Schwarzkopf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. No ano fiscal de 2025, a Henkel registrou vendas de cerca de 20,5 bilhões de euros e lucro operacional ajustado de cerca de 3 bilhões de euros. As ações preferenciais da Henkel são negociadas no índice DAX da bolsa de valores alemã. A sustentabilidade tem uma longa tradição na Henkel, e a empresa possui uma estratégia clara de sustentabilidade com metas específicas. A Henkel foi fundada em 1876 e hoje emprega uma equipe diversificada de cerca de 47.000 pessoas em todo o mundo – unidas por uma forte cultura corporativa, valores compartilhados e um propósito comum: “Pioneiros de coração para o bem das gerações”. Mais informações em </w:t>
      </w:r>
      <w:hyperlink r:id="rId8">
        <w:r w:rsidRPr="002024B0">
          <w:rPr>
            <w:rFonts w:asciiTheme="minorHAnsi" w:hAnsiTheme="minorHAnsi" w:cstheme="minorHAnsi"/>
            <w:color w:val="0000FF"/>
            <w:sz w:val="18"/>
            <w:szCs w:val="18"/>
            <w:u w:val="single"/>
          </w:rPr>
          <w:t>www.henkel.com</w:t>
        </w:r>
      </w:hyperlink>
      <w:r w:rsidRPr="002024B0">
        <w:rPr>
          <w:rFonts w:asciiTheme="minorHAnsi" w:hAnsiTheme="minorHAnsi" w:cstheme="minorHAnsi"/>
          <w:sz w:val="18"/>
          <w:szCs w:val="18"/>
        </w:rPr>
        <w:t>.</w:t>
      </w:r>
    </w:p>
    <w:p w14:paraId="6B53EF30" w14:textId="77777777" w:rsidR="0032329F" w:rsidRPr="002024B0" w:rsidRDefault="0032329F">
      <w:pPr>
        <w:rPr>
          <w:rFonts w:asciiTheme="minorHAnsi" w:hAnsiTheme="minorHAnsi" w:cstheme="minorHAnsi"/>
          <w:sz w:val="18"/>
          <w:szCs w:val="18"/>
        </w:rPr>
      </w:pPr>
    </w:p>
    <w:p w14:paraId="0E0BF80E" w14:textId="77777777" w:rsidR="0032329F" w:rsidRPr="002024B0" w:rsidRDefault="0000000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2024B0">
        <w:rPr>
          <w:rFonts w:asciiTheme="minorHAnsi" w:hAnsiTheme="minorHAnsi" w:cstheme="minorHAnsi"/>
          <w:b/>
          <w:bCs/>
          <w:sz w:val="18"/>
          <w:szCs w:val="18"/>
        </w:rPr>
        <w:t>Sobre a Henkel Brasil</w:t>
      </w:r>
    </w:p>
    <w:p w14:paraId="7C37EF0C" w14:textId="77777777" w:rsidR="0032329F" w:rsidRPr="002024B0" w:rsidRDefault="00000000">
      <w:pPr>
        <w:rPr>
          <w:rFonts w:asciiTheme="minorHAnsi" w:hAnsiTheme="minorHAnsi" w:cstheme="minorHAnsi"/>
          <w:sz w:val="18"/>
          <w:szCs w:val="18"/>
        </w:rPr>
      </w:pPr>
      <w:r w:rsidRPr="002024B0">
        <w:rPr>
          <w:rFonts w:asciiTheme="minorHAnsi" w:hAnsiTheme="minorHAnsi" w:cstheme="minorHAnsi"/>
          <w:sz w:val="18"/>
          <w:szCs w:val="18"/>
        </w:rPr>
        <w:t xml:space="preserve">A Henkel está presente no Brasil há 70 anos e atua nas áreas de Adesivos, Selantes e Tratamento de Superfícies, bem como em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Consumer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 Brands, com marcas reconhecidas, como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Cascola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Loctite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Pritt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Bonderite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 e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Schwarzkopf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 Professional. A Henkel Brasil conta com cerca de 1.000 profissionais distribuídos nas plantas de Itapevi e Jundiaí, além de um Centro de Distribuição, em Jundiaí, e uma ASK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Academy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 localizada na Avenida Paulista, em São Paulo. Em 2026, a Henkel inaugurou o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Inspiration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 Center Jundiaí. Com um investimento de R$ 232,5 milhões, o complexo de 5.000 metros quadrados passa a ser o novo centro de Pesquisa &amp; Desenvolvimento (P&amp;D) de </w:t>
      </w:r>
      <w:proofErr w:type="spellStart"/>
      <w:r w:rsidRPr="002024B0">
        <w:rPr>
          <w:rFonts w:asciiTheme="minorHAnsi" w:hAnsiTheme="minorHAnsi" w:cstheme="minorHAnsi"/>
          <w:sz w:val="18"/>
          <w:szCs w:val="18"/>
        </w:rPr>
        <w:t>Adhesive</w:t>
      </w:r>
      <w:proofErr w:type="spellEnd"/>
      <w:r w:rsidRPr="002024B0">
        <w:rPr>
          <w:rFonts w:asciiTheme="minorHAnsi" w:hAnsiTheme="minorHAnsi" w:cstheme="minorHAnsi"/>
          <w:sz w:val="18"/>
          <w:szCs w:val="18"/>
        </w:rPr>
        <w:t xml:space="preserve"> Technologies na América Latina, com mais de 20 laboratórios, além de um prédio construído em madeira engenheirada que passa a ser o escritório administrativo da empresa no país.</w:t>
      </w:r>
    </w:p>
    <w:p w14:paraId="08DAA7E2" w14:textId="77777777" w:rsidR="0032329F" w:rsidRPr="002024B0" w:rsidRDefault="0032329F">
      <w:pPr>
        <w:rPr>
          <w:rFonts w:asciiTheme="majorHAnsi" w:hAnsiTheme="majorHAnsi" w:cstheme="majorHAnsi"/>
          <w:sz w:val="20"/>
          <w:szCs w:val="20"/>
        </w:rPr>
      </w:pPr>
    </w:p>
    <w:p w14:paraId="47673AC7" w14:textId="77777777" w:rsidR="0032329F" w:rsidRPr="002024B0" w:rsidRDefault="00000000">
      <w:pPr>
        <w:rPr>
          <w:rFonts w:asciiTheme="majorHAnsi" w:hAnsiTheme="majorHAnsi" w:cstheme="majorHAnsi"/>
          <w:sz w:val="20"/>
          <w:szCs w:val="20"/>
        </w:rPr>
      </w:pPr>
      <w:r w:rsidRPr="002024B0">
        <w:rPr>
          <w:rFonts w:asciiTheme="majorHAnsi" w:hAnsiTheme="majorHAnsi" w:cstheme="majorHAnsi"/>
          <w:b/>
          <w:bCs/>
          <w:sz w:val="20"/>
          <w:szCs w:val="20"/>
        </w:rPr>
        <w:t>Contatos com a imprensa:</w:t>
      </w:r>
    </w:p>
    <w:p w14:paraId="5E46CE8A" w14:textId="77777777" w:rsidR="0032329F" w:rsidRPr="002024B0" w:rsidRDefault="00000000">
      <w:pPr>
        <w:rPr>
          <w:rFonts w:asciiTheme="majorHAnsi" w:hAnsiTheme="majorHAnsi" w:cstheme="majorHAnsi"/>
          <w:sz w:val="20"/>
          <w:szCs w:val="20"/>
        </w:rPr>
      </w:pPr>
      <w:proofErr w:type="spellStart"/>
      <w:r w:rsidRPr="002024B0">
        <w:rPr>
          <w:rFonts w:asciiTheme="majorHAnsi" w:hAnsiTheme="majorHAnsi" w:cstheme="majorHAnsi"/>
          <w:b/>
          <w:bCs/>
          <w:sz w:val="20"/>
          <w:szCs w:val="20"/>
        </w:rPr>
        <w:t>InPress</w:t>
      </w:r>
      <w:proofErr w:type="spellEnd"/>
      <w:r w:rsidRPr="002024B0">
        <w:rPr>
          <w:rFonts w:asciiTheme="majorHAnsi" w:hAnsiTheme="majorHAnsi" w:cstheme="majorHAnsi"/>
          <w:b/>
          <w:bCs/>
          <w:sz w:val="20"/>
          <w:szCs w:val="20"/>
        </w:rPr>
        <w:t xml:space="preserve"> Porter Novelli</w:t>
      </w:r>
    </w:p>
    <w:p w14:paraId="5D6E73B3" w14:textId="77777777" w:rsidR="0032329F" w:rsidRPr="002024B0" w:rsidRDefault="00000000">
      <w:pPr>
        <w:rPr>
          <w:rFonts w:asciiTheme="majorHAnsi" w:hAnsiTheme="majorHAnsi" w:cstheme="majorHAnsi"/>
          <w:sz w:val="20"/>
          <w:szCs w:val="20"/>
          <w:lang w:val="es-419"/>
        </w:rPr>
      </w:pPr>
      <w:r w:rsidRPr="002024B0">
        <w:rPr>
          <w:rFonts w:asciiTheme="majorHAnsi" w:hAnsiTheme="majorHAnsi" w:cstheme="majorHAnsi"/>
          <w:b/>
          <w:bCs/>
          <w:sz w:val="20"/>
          <w:szCs w:val="20"/>
          <w:lang w:val="es-419"/>
        </w:rPr>
        <w:t>Rafael Bullara</w:t>
      </w:r>
    </w:p>
    <w:p w14:paraId="7159859F" w14:textId="77777777" w:rsidR="0032329F" w:rsidRPr="002024B0" w:rsidRDefault="00000000">
      <w:pPr>
        <w:rPr>
          <w:rFonts w:asciiTheme="majorHAnsi" w:hAnsiTheme="majorHAnsi" w:cstheme="majorHAnsi"/>
          <w:sz w:val="20"/>
          <w:szCs w:val="20"/>
          <w:lang w:val="es-419"/>
        </w:rPr>
      </w:pPr>
      <w:r w:rsidRPr="002024B0">
        <w:rPr>
          <w:rFonts w:asciiTheme="majorHAnsi" w:hAnsiTheme="majorHAnsi" w:cstheme="majorHAnsi"/>
          <w:sz w:val="20"/>
          <w:szCs w:val="20"/>
          <w:lang w:val="es-419"/>
        </w:rPr>
        <w:t>(11) 99688-6553 – rafael.bullara@inpresspni.com.br / imprensahenkel@inpresspni.com.br</w:t>
      </w:r>
    </w:p>
    <w:sectPr w:rsidR="0032329F" w:rsidRPr="002024B0">
      <w:headerReference w:type="even" r:id="rId9"/>
      <w:footerReference w:type="default" r:id="rId10"/>
      <w:headerReference w:type="first" r:id="rId11"/>
      <w:footerReference w:type="first" r:id="rId12"/>
      <w:pgSz w:w="11907" w:h="16840"/>
      <w:pgMar w:top="1944" w:right="1411" w:bottom="1843" w:left="1411" w:header="1253" w:footer="9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E286B" w14:textId="77777777" w:rsidR="00C07136" w:rsidRDefault="00C07136">
      <w:pPr>
        <w:spacing w:line="240" w:lineRule="auto"/>
      </w:pPr>
      <w:r>
        <w:separator/>
      </w:r>
    </w:p>
  </w:endnote>
  <w:endnote w:type="continuationSeparator" w:id="0">
    <w:p w14:paraId="26ED5FAF" w14:textId="77777777" w:rsidR="00C07136" w:rsidRDefault="00C071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F710967B-F28D-443E-86A3-6E52227301F2}"/>
    <w:embedBold r:id="rId2" w:fontKey="{5C7BAB44-95C5-40DA-87C5-CACF6BBEEA28}"/>
    <w:embedItalic r:id="rId3" w:fontKey="{003680A5-05E7-472F-B0A7-1109BA0763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8CE83C-901A-4BD7-B02D-0A5D4F74B548}"/>
    <w:embedBold r:id="rId5" w:fontKey="{2D7A92C1-D9B2-4258-BC36-04DC366EA291}"/>
    <w:embedItalic r:id="rId6" w:fontKey="{A1EAB206-910F-488A-A8BC-5DF4374F0F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BE5BCF5-F81C-493F-9376-EF2C93E313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94904" w14:textId="7F5C9B77" w:rsidR="0032329F" w:rsidRDefault="00000000">
    <w:pPr>
      <w:pBdr>
        <w:top w:val="nil"/>
        <w:left w:val="nil"/>
        <w:bottom w:val="nil"/>
        <w:right w:val="nil"/>
        <w:between w:val="nil"/>
      </w:pBdr>
      <w:tabs>
        <w:tab w:val="right" w:pos="7083"/>
        <w:tab w:val="right" w:pos="8640"/>
        <w:tab w:val="right" w:pos="9071"/>
      </w:tabs>
      <w:rPr>
        <w:color w:val="000000"/>
        <w:sz w:val="12"/>
        <w:szCs w:val="12"/>
      </w:rPr>
    </w:pPr>
    <w:r>
      <w:rPr>
        <w:color w:val="000000"/>
        <w:sz w:val="12"/>
        <w:szCs w:val="12"/>
      </w:rPr>
      <w:t>Henkel AG &amp; Co. KGaA</w:t>
    </w:r>
    <w:r>
      <w:rPr>
        <w:color w:val="000000"/>
        <w:sz w:val="12"/>
        <w:szCs w:val="12"/>
      </w:rPr>
      <w:tab/>
      <w:t xml:space="preserve">Page </w:t>
    </w:r>
    <w:r>
      <w:rPr>
        <w:color w:val="000000"/>
        <w:sz w:val="12"/>
        <w:szCs w:val="12"/>
      </w:rPr>
      <w:fldChar w:fldCharType="begin"/>
    </w:r>
    <w:r>
      <w:rPr>
        <w:color w:val="000000"/>
        <w:sz w:val="12"/>
        <w:szCs w:val="12"/>
      </w:rPr>
      <w:instrText>PAGE</w:instrText>
    </w:r>
    <w:r>
      <w:rPr>
        <w:color w:val="000000"/>
        <w:sz w:val="12"/>
        <w:szCs w:val="12"/>
      </w:rPr>
      <w:fldChar w:fldCharType="separate"/>
    </w:r>
    <w:r w:rsidR="002024B0">
      <w:rPr>
        <w:noProof/>
        <w:color w:val="000000"/>
        <w:sz w:val="12"/>
        <w:szCs w:val="12"/>
      </w:rPr>
      <w:t>2</w:t>
    </w:r>
    <w:r>
      <w:rPr>
        <w:color w:val="000000"/>
        <w:sz w:val="12"/>
        <w:szCs w:val="12"/>
      </w:rPr>
      <w:fldChar w:fldCharType="end"/>
    </w:r>
    <w:r>
      <w:rPr>
        <w:color w:val="000000"/>
        <w:sz w:val="12"/>
        <w:szCs w:val="12"/>
      </w:rPr>
      <w:t>/</w:t>
    </w:r>
    <w:r>
      <w:rPr>
        <w:color w:val="000000"/>
        <w:sz w:val="12"/>
        <w:szCs w:val="12"/>
      </w:rPr>
      <w:fldChar w:fldCharType="begin"/>
    </w:r>
    <w:r>
      <w:rPr>
        <w:color w:val="000000"/>
        <w:sz w:val="12"/>
        <w:szCs w:val="12"/>
      </w:rPr>
      <w:instrText>NUMPAGES</w:instrText>
    </w:r>
    <w:r>
      <w:rPr>
        <w:color w:val="000000"/>
        <w:sz w:val="12"/>
        <w:szCs w:val="12"/>
      </w:rPr>
      <w:fldChar w:fldCharType="separate"/>
    </w:r>
    <w:r w:rsidR="002024B0">
      <w:rPr>
        <w:noProof/>
        <w:color w:val="000000"/>
        <w:sz w:val="12"/>
        <w:szCs w:val="12"/>
      </w:rPr>
      <w:t>2</w:t>
    </w:r>
    <w:r>
      <w:rPr>
        <w:color w:val="000000"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0D235" w14:textId="77777777" w:rsidR="0032329F" w:rsidRDefault="00000000">
    <w:pPr>
      <w:pBdr>
        <w:top w:val="nil"/>
        <w:left w:val="nil"/>
        <w:bottom w:val="nil"/>
        <w:right w:val="nil"/>
        <w:between w:val="nil"/>
      </w:pBdr>
      <w:tabs>
        <w:tab w:val="right" w:pos="7083"/>
        <w:tab w:val="right" w:pos="8640"/>
      </w:tabs>
      <w:jc w:val="right"/>
      <w:rPr>
        <w:color w:val="000000"/>
        <w:sz w:val="12"/>
        <w:szCs w:val="12"/>
      </w:rPr>
    </w:pPr>
    <w:r>
      <w:rPr>
        <w:color w:val="000000"/>
        <w:sz w:val="12"/>
        <w:szCs w:val="12"/>
      </w:rPr>
      <w:t xml:space="preserve">age </w:t>
    </w:r>
    <w:r>
      <w:rPr>
        <w:color w:val="000000"/>
        <w:sz w:val="12"/>
        <w:szCs w:val="12"/>
      </w:rPr>
      <w:fldChar w:fldCharType="begin"/>
    </w:r>
    <w:r>
      <w:rPr>
        <w:color w:val="000000"/>
        <w:sz w:val="12"/>
        <w:szCs w:val="12"/>
      </w:rPr>
      <w:instrText>PAGE</w:instrText>
    </w:r>
    <w:r>
      <w:rPr>
        <w:color w:val="000000"/>
        <w:sz w:val="12"/>
        <w:szCs w:val="12"/>
      </w:rPr>
      <w:fldChar w:fldCharType="separate"/>
    </w:r>
    <w:r w:rsidR="002024B0">
      <w:rPr>
        <w:noProof/>
        <w:color w:val="000000"/>
        <w:sz w:val="12"/>
        <w:szCs w:val="12"/>
      </w:rPr>
      <w:t>1</w:t>
    </w:r>
    <w:r>
      <w:rPr>
        <w:color w:val="000000"/>
        <w:sz w:val="12"/>
        <w:szCs w:val="12"/>
      </w:rPr>
      <w:fldChar w:fldCharType="end"/>
    </w:r>
    <w:r>
      <w:rPr>
        <w:color w:val="000000"/>
        <w:sz w:val="12"/>
        <w:szCs w:val="12"/>
      </w:rPr>
      <w:t>/</w:t>
    </w:r>
    <w:r>
      <w:rPr>
        <w:color w:val="000000"/>
        <w:sz w:val="12"/>
        <w:szCs w:val="12"/>
      </w:rPr>
      <w:fldChar w:fldCharType="begin"/>
    </w:r>
    <w:r>
      <w:rPr>
        <w:color w:val="000000"/>
        <w:sz w:val="12"/>
        <w:szCs w:val="12"/>
      </w:rPr>
      <w:instrText>NUMPAGES</w:instrText>
    </w:r>
    <w:r>
      <w:rPr>
        <w:color w:val="000000"/>
        <w:sz w:val="12"/>
        <w:szCs w:val="12"/>
      </w:rPr>
      <w:fldChar w:fldCharType="separate"/>
    </w:r>
    <w:r w:rsidR="002024B0">
      <w:rPr>
        <w:noProof/>
        <w:color w:val="000000"/>
        <w:sz w:val="12"/>
        <w:szCs w:val="12"/>
      </w:rPr>
      <w:t>2</w:t>
    </w:r>
    <w:r>
      <w:rPr>
        <w:color w:val="000000"/>
        <w:sz w:val="12"/>
        <w:szCs w:val="12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C83A64D" wp14:editId="418FC059">
          <wp:simplePos x="0" y="0"/>
          <wp:positionH relativeFrom="column">
            <wp:posOffset>2</wp:posOffset>
          </wp:positionH>
          <wp:positionV relativeFrom="paragraph">
            <wp:posOffset>-365830</wp:posOffset>
          </wp:positionV>
          <wp:extent cx="4967544" cy="407963"/>
          <wp:effectExtent l="0" t="0" r="0" b="0"/>
          <wp:wrapNone/>
          <wp:docPr id="165306688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67544" cy="407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0FE63" w14:textId="77777777" w:rsidR="00C07136" w:rsidRDefault="00C07136">
      <w:pPr>
        <w:spacing w:line="240" w:lineRule="auto"/>
      </w:pPr>
      <w:r>
        <w:separator/>
      </w:r>
    </w:p>
  </w:footnote>
  <w:footnote w:type="continuationSeparator" w:id="0">
    <w:p w14:paraId="751E8517" w14:textId="77777777" w:rsidR="00C07136" w:rsidRDefault="00C071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2AAEE" w14:textId="77777777" w:rsidR="0032329F" w:rsidRDefault="0032329F">
    <w:pPr>
      <w:pBdr>
        <w:top w:val="nil"/>
        <w:left w:val="nil"/>
        <w:bottom w:val="nil"/>
        <w:right w:val="nil"/>
        <w:between w:val="nil"/>
      </w:pBdr>
      <w:tabs>
        <w:tab w:val="left" w:pos="2607"/>
        <w:tab w:val="center" w:pos="4320"/>
        <w:tab w:val="right" w:pos="9356"/>
      </w:tabs>
      <w:spacing w:before="1440"/>
      <w:rPr>
        <w:b/>
        <w:bCs/>
        <w:color w:val="3E3C3C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02FAB" w14:textId="32E1A28A" w:rsidR="002024B0" w:rsidRPr="002024B0" w:rsidRDefault="002024B0" w:rsidP="002024B0">
    <w:pPr>
      <w:pStyle w:val="Cabealho"/>
      <w:rPr>
        <w:rFonts w:asciiTheme="majorHAnsi" w:hAnsiTheme="majorHAnsi" w:cstheme="majorHAnsi"/>
        <w:noProof/>
      </w:rPr>
    </w:pPr>
    <w:r w:rsidRPr="002024B0">
      <w:rPr>
        <w:rFonts w:asciiTheme="majorHAnsi" w:hAnsiTheme="majorHAnsi" w:cstheme="majorHAnsi"/>
        <w:noProof/>
      </w:rPr>
      <w:drawing>
        <wp:anchor distT="0" distB="0" distL="114300" distR="114300" simplePos="0" relativeHeight="251663360" behindDoc="0" locked="1" layoutInCell="1" allowOverlap="1" wp14:anchorId="6D978AB2" wp14:editId="69B0AFFE">
          <wp:simplePos x="0" y="0"/>
          <wp:positionH relativeFrom="margin">
            <wp:posOffset>4717415</wp:posOffset>
          </wp:positionH>
          <wp:positionV relativeFrom="topMargin">
            <wp:posOffset>600075</wp:posOffset>
          </wp:positionV>
          <wp:extent cx="1051560" cy="603250"/>
          <wp:effectExtent l="0" t="0" r="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4B0">
      <w:rPr>
        <w:rFonts w:asciiTheme="majorHAnsi" w:hAnsiTheme="majorHAnsi" w:cstheme="majorHAns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A5CA1AE" wp14:editId="0EB35419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4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BA977E" id="Grupo 2" o:spid="_x0000_s1026" style="position:absolute;margin-left:14.2pt;margin-top:297.7pt;width:14.15pt;height:297.65pt;z-index:251662336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DJxRuY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000000" w:rsidRPr="002024B0">
      <w:rPr>
        <w:rFonts w:asciiTheme="majorHAnsi" w:hAnsiTheme="majorHAnsi" w:cstheme="majorHAnsi"/>
        <w:b w:val="0"/>
        <w:bCs w:val="0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3FD5AB6" wp14:editId="0C31A2A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0" b="0"/>
              <wp:wrapNone/>
              <wp:docPr id="1653066881" name="Agrupar 16530668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705" cy="3780155"/>
                        <a:chOff x="5256125" y="1889900"/>
                        <a:chExt cx="179750" cy="3780200"/>
                      </a:xfrm>
                    </wpg:grpSpPr>
                    <wpg:grpSp>
                      <wpg:cNvPr id="798221004" name="Agrupar 798221004"/>
                      <wpg:cNvGrpSpPr/>
                      <wpg:grpSpPr>
                        <a:xfrm>
                          <a:off x="5256148" y="1889923"/>
                          <a:ext cx="179705" cy="3780155"/>
                          <a:chOff x="5256125" y="1889900"/>
                          <a:chExt cx="179750" cy="3780200"/>
                        </a:xfrm>
                      </wpg:grpSpPr>
                      <wps:wsp>
                        <wps:cNvPr id="101469086" name="Retângulo 101469086"/>
                        <wps:cNvSpPr/>
                        <wps:spPr>
                          <a:xfrm>
                            <a:off x="5256125" y="1889900"/>
                            <a:ext cx="179750" cy="378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D2F125" w14:textId="77777777" w:rsidR="0032329F" w:rsidRDefault="0032329F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39013716" name="Agrupar 839013716"/>
                        <wpg:cNvGrpSpPr/>
                        <wpg:grpSpPr>
                          <a:xfrm>
                            <a:off x="5256148" y="1889923"/>
                            <a:ext cx="179705" cy="3780155"/>
                            <a:chOff x="0" y="5954"/>
                            <a:chExt cx="283" cy="5953"/>
                          </a:xfrm>
                        </wpg:grpSpPr>
                        <wps:wsp>
                          <wps:cNvPr id="2044983346" name="Retângulo 2044983346"/>
                          <wps:cNvSpPr/>
                          <wps:spPr>
                            <a:xfrm>
                              <a:off x="0" y="5954"/>
                              <a:ext cx="275" cy="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2AFC00" w14:textId="77777777" w:rsidR="0032329F" w:rsidRDefault="0032329F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8351894" name="Conector de Seta Reta 1798351894"/>
                          <wps:cNvCnPr/>
                          <wps:spPr>
                            <a:xfrm>
                              <a:off x="0" y="5954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301026595" name="Conector de Seta Reta 1301026595"/>
                          <wps:cNvCnPr/>
                          <wps:spPr>
                            <a:xfrm>
                              <a:off x="0" y="842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47351200" name="Conector de Seta Reta 847351200"/>
                          <wps:cNvCnPr/>
                          <wps:spPr>
                            <a:xfrm>
                              <a:off x="0" y="11907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3FD5AB6" id="Agrupar 1653066881" o:spid="_x0000_s1026" style="position:absolute;left:0;text-align:left;margin-left:14.2pt;margin-top:297.7pt;width:14.15pt;height:297.65pt;z-index:251659264;mso-position-horizontal-relative:page;mso-position-vertical-relative:page" coordorigin="52561,18899" coordsize="1797,37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">
              <v:group id="Agrupar 798221004" o:spid="_x0000_s1027" style="position:absolute;left:52561;top:18899;width:1797;height:37801" coordorigin="52561,18899" coordsize="1797,3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">
                <v:rect id="Retângulo 101469086" o:spid="_x0000_s1028" style="position:absolute;left:52561;top:18899;width:1797;height:37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" filled="f" stroked="f">
                  <v:textbox inset="2.53958mm,2.53958mm,2.53958mm,2.53958mm">
                    <w:txbxContent>
                      <w:p w14:paraId="42D2F125" w14:textId="77777777" w:rsidR="0032329F" w:rsidRDefault="0032329F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839013716" o:spid="_x0000_s1029" style="position:absolute;left:52561;top:18899;width:1797;height:37801" coordorigin=",5954" coordsize="283,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">
                  <v:rect id="Retângulo 2044983346" o:spid="_x0000_s1030" style="position:absolute;top:5954;width:275;height:5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2F2AFC00" w14:textId="77777777" w:rsidR="0032329F" w:rsidRDefault="0032329F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1798351894" o:spid="_x0000_s1031" type="#_x0000_t32" style="position:absolute;top:5954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" stroked="f"/>
                  <v:shape id="Conector de Seta Reta 1301026595" o:spid="_x0000_s1032" type="#_x0000_t32" style="position:absolute;top:8420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" stroked="f"/>
                  <v:shape id="Conector de Seta Reta 847351200" o:spid="_x0000_s1033" type="#_x0000_t32" style="position:absolute;top:11907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" stroked="f"/>
                </v:group>
              </v:group>
              <w10:wrap anchorx="page" anchory="page"/>
            </v:group>
          </w:pict>
        </mc:Fallback>
      </mc:AlternateContent>
    </w:r>
    <w:r>
      <w:rPr>
        <w:rFonts w:asciiTheme="majorHAnsi" w:hAnsiTheme="majorHAnsi" w:cstheme="majorHAnsi"/>
        <w:noProof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263EF"/>
    <w:multiLevelType w:val="multilevel"/>
    <w:tmpl w:val="2C182180"/>
    <w:lvl w:ilvl="0">
      <w:start w:val="1"/>
      <w:numFmt w:val="bullet"/>
      <w:pStyle w:val="Num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6756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29F"/>
    <w:rsid w:val="00171A80"/>
    <w:rsid w:val="002024B0"/>
    <w:rsid w:val="0032329F"/>
    <w:rsid w:val="00630F91"/>
    <w:rsid w:val="00671526"/>
    <w:rsid w:val="00B64050"/>
    <w:rsid w:val="00C0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9FE8D"/>
  <w15:docId w15:val="{D3EF6A0F-248C-4801-BE51-AEAC5D4A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2"/>
        <w:szCs w:val="22"/>
        <w:lang w:val="pt-BR" w:eastAsia="pt-B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outlineLvl w:val="1"/>
    </w:pPr>
    <w:rPr>
      <w:color w:val="E1000F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Rodap">
    <w:name w:val="footer"/>
    <w:basedOn w:val="Normal"/>
    <w:link w:val="Rodap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comgrade">
    <w:name w:val="Table Grid"/>
    <w:basedOn w:val="Tabe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har">
    <w:name w:val="Título 1 Char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Textodebalo">
    <w:name w:val="Balloon Text"/>
    <w:basedOn w:val="Normal"/>
    <w:link w:val="TextodebaloChar"/>
    <w:rsid w:val="00336854"/>
    <w:pPr>
      <w:spacing w:line="240" w:lineRule="auto"/>
    </w:pPr>
    <w:rPr>
      <w:sz w:val="18"/>
      <w:szCs w:val="18"/>
    </w:rPr>
  </w:style>
  <w:style w:type="character" w:customStyle="1" w:styleId="TextodebaloChar">
    <w:name w:val="Texto de balão Char"/>
    <w:link w:val="Textodebalo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RodapChar">
    <w:name w:val="Rodapé Char"/>
    <w:link w:val="Rodap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MenoPendente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Fontepargpadro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</w:rPr>
  </w:style>
  <w:style w:type="character" w:customStyle="1" w:styleId="AboutandContactBody">
    <w:name w:val="About and Contact Body"/>
    <w:basedOn w:val="Fontepargpadro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Fontepargpadro"/>
    <w:rsid w:val="00336854"/>
    <w:rPr>
      <w:rFonts w:ascii="Segoe UI" w:hAnsi="Segoe UI"/>
      <w:b/>
      <w:bCs/>
      <w:sz w:val="18"/>
    </w:rPr>
  </w:style>
  <w:style w:type="paragraph" w:styleId="PargrafodaLista">
    <w:name w:val="List Paragraph"/>
    <w:basedOn w:val="Normal"/>
    <w:uiPriority w:val="34"/>
    <w:qFormat/>
    <w:rsid w:val="00635616"/>
    <w:pPr>
      <w:ind w:left="720"/>
      <w:contextualSpacing/>
    </w:pPr>
  </w:style>
  <w:style w:type="character" w:styleId="Refdecomentrio">
    <w:name w:val="annotation reference"/>
    <w:rsid w:val="0084601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46017"/>
    <w:pPr>
      <w:spacing w:line="260" w:lineRule="atLeast"/>
      <w:jc w:val="left"/>
    </w:pPr>
    <w:rPr>
      <w:rFonts w:ascii="Arial" w:hAnsi="Arial"/>
      <w:sz w:val="20"/>
      <w:szCs w:val="20"/>
      <w:lang w:val="de-DE"/>
    </w:rPr>
  </w:style>
  <w:style w:type="character" w:customStyle="1" w:styleId="TextodecomentrioChar">
    <w:name w:val="Texto de comentário Char"/>
    <w:basedOn w:val="Fontepargpadro"/>
    <w:link w:val="Textodecomentrio"/>
    <w:rsid w:val="00846017"/>
    <w:rPr>
      <w:rFonts w:ascii="Arial" w:hAnsi="Arial"/>
      <w:sz w:val="20"/>
      <w:szCs w:val="20"/>
      <w:lang w:val="de-DE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20528D"/>
    <w:pPr>
      <w:spacing w:line="240" w:lineRule="auto"/>
      <w:jc w:val="both"/>
    </w:pPr>
    <w:rPr>
      <w:rFonts w:ascii="Segoe UI" w:hAnsi="Segoe UI"/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rsid w:val="0020528D"/>
    <w:rPr>
      <w:rFonts w:ascii="Arial" w:hAnsi="Arial"/>
      <w:b/>
      <w:bCs/>
      <w:sz w:val="20"/>
      <w:szCs w:val="20"/>
      <w:lang w:val="de-DE"/>
    </w:rPr>
  </w:style>
  <w:style w:type="paragraph" w:styleId="Reviso">
    <w:name w:val="Revision"/>
    <w:hidden/>
    <w:uiPriority w:val="62"/>
    <w:unhideWhenUsed/>
    <w:rsid w:val="006E2D24"/>
  </w:style>
  <w:style w:type="paragraph" w:customStyle="1" w:styleId="He04Funote">
    <w:name w:val="_He_04_Fußnote"/>
    <w:next w:val="Normal"/>
    <w:qFormat/>
    <w:rsid w:val="00A90F18"/>
    <w:pPr>
      <w:tabs>
        <w:tab w:val="left" w:pos="85"/>
      </w:tabs>
      <w:spacing w:line="256" w:lineRule="auto"/>
      <w:ind w:left="85" w:hanging="85"/>
    </w:pPr>
    <w:rPr>
      <w:rFonts w:eastAsiaTheme="minorHAnsi" w:cstheme="minorBidi"/>
      <w:sz w:val="15"/>
      <w:lang w:val="de-DE"/>
    </w:rPr>
  </w:style>
  <w:style w:type="character" w:styleId="Refdenotaderodap">
    <w:name w:val="footnote reference"/>
    <w:basedOn w:val="Fontepargpadro"/>
    <w:uiPriority w:val="99"/>
    <w:unhideWhenUsed/>
    <w:rsid w:val="00A90F18"/>
    <w:rPr>
      <w:vertAlign w:val="superscript"/>
    </w:rPr>
  </w:style>
  <w:style w:type="paragraph" w:customStyle="1" w:styleId="He05Fett">
    <w:name w:val="_He_05_Fett"/>
    <w:next w:val="Normal"/>
    <w:link w:val="He05FettZchn"/>
    <w:qFormat/>
    <w:rsid w:val="00A92FCD"/>
    <w:pPr>
      <w:spacing w:after="160" w:line="259" w:lineRule="auto"/>
    </w:pPr>
    <w:rPr>
      <w:rFonts w:eastAsiaTheme="minorHAnsi" w:cstheme="minorBidi"/>
      <w:b/>
      <w:lang w:val="de-DE"/>
    </w:rPr>
  </w:style>
  <w:style w:type="character" w:customStyle="1" w:styleId="He05FettZchn">
    <w:name w:val="_He_05_Fett Zchn"/>
    <w:basedOn w:val="Fontepargpadro"/>
    <w:link w:val="He05Fett"/>
    <w:rsid w:val="00A92FCD"/>
    <w:rPr>
      <w:rFonts w:eastAsiaTheme="minorHAnsi" w:cstheme="minorBidi"/>
      <w:b/>
      <w:szCs w:val="22"/>
      <w:lang w:val="de-DE"/>
    </w:rPr>
  </w:style>
  <w:style w:type="paragraph" w:customStyle="1" w:styleId="He01Flietext">
    <w:name w:val="_He_01_Fließtext"/>
    <w:qFormat/>
    <w:rsid w:val="00FE683A"/>
    <w:pPr>
      <w:tabs>
        <w:tab w:val="left" w:pos="284"/>
      </w:tabs>
      <w:spacing w:after="160" w:line="259" w:lineRule="auto"/>
    </w:pPr>
    <w:rPr>
      <w:rFonts w:eastAsiaTheme="minorHAnsi" w:cstheme="minorBidi"/>
      <w:lang w:val="de-DE"/>
    </w:rPr>
  </w:style>
  <w:style w:type="character" w:styleId="TextodoEspaoReservado">
    <w:name w:val="Placeholder Text"/>
    <w:basedOn w:val="Fontepargpadro"/>
    <w:uiPriority w:val="99"/>
    <w:unhideWhenUsed/>
    <w:rsid w:val="002A0230"/>
    <w:rPr>
      <w:color w:val="666666"/>
    </w:rPr>
  </w:style>
  <w:style w:type="paragraph" w:styleId="NormalWeb">
    <w:name w:val="Normal (Web)"/>
    <w:basedOn w:val="Normal"/>
    <w:rsid w:val="0049557D"/>
    <w:rPr>
      <w:rFonts w:ascii="Times New Roman" w:hAnsi="Times New Roman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YyjzjcmGWh5TbGJQlZ9IusQsfA==">CgMxLjAyDmgucW9peTYweDB4ZDZjOAByITFJNmIxY190dEJxdUFFd1RiWS1UcFZ3aXM1ODU2bjNhWA==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3771</Characters>
  <Application>Microsoft Office Word</Application>
  <DocSecurity>0</DocSecurity>
  <Lines>71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Henkel</dc:creator>
  <cp:lastModifiedBy>Adriana Sandoval</cp:lastModifiedBy>
  <cp:revision>4</cp:revision>
  <dcterms:created xsi:type="dcterms:W3CDTF">2026-03-30T11:37:00Z</dcterms:created>
  <dcterms:modified xsi:type="dcterms:W3CDTF">2026-03-30T11:54:00Z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0x0101004E3C925157EE074095811C87522C7BC7</vt:lpwstr>
  </property>
  <property fmtid="{D5CDD505-2E9C-101B-9397-08002B2CF9AE}" pid="3" name="MediaServiceImageTags">
    <vt:lpwstr/>
  </property>
</Properties>
</file>