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855C" w14:textId="77777777" w:rsidR="00C45B51" w:rsidRPr="00CB6116" w:rsidRDefault="00590DDD" w:rsidP="005D639D">
      <w:pPr>
        <w:pStyle w:val="BodyText"/>
        <w:widowControl/>
        <w:jc w:val="right"/>
        <w:rPr>
          <w:rFonts w:eastAsia="宋体"/>
          <w:sz w:val="20"/>
        </w:rPr>
      </w:pPr>
      <w:r w:rsidRPr="00CB6116">
        <w:rPr>
          <w:rFonts w:eastAsia="宋体"/>
          <w:noProof/>
          <w:sz w:val="20"/>
          <w:lang w:eastAsia="zh-CN" w:bidi="ar-SA"/>
        </w:rPr>
        <w:drawing>
          <wp:inline distT="0" distB="0" distL="0" distR="0" wp14:anchorId="2B65ADDA" wp14:editId="76CB53EA">
            <wp:extent cx="1052023" cy="5913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023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45F5A" w14:textId="3E085EDE" w:rsidR="000B2B33" w:rsidRPr="00CB6116" w:rsidRDefault="005A3A39" w:rsidP="005D639D">
      <w:pPr>
        <w:widowControl/>
        <w:spacing w:before="101"/>
        <w:jc w:val="right"/>
        <w:rPr>
          <w:rFonts w:eastAsia="宋体"/>
          <w:b/>
          <w:sz w:val="40"/>
          <w:lang w:eastAsia="zh-CN"/>
        </w:rPr>
      </w:pPr>
      <w:r w:rsidRPr="005A3A39">
        <w:rPr>
          <w:rFonts w:eastAsia="PMingLiU" w:hint="eastAsia"/>
          <w:b/>
          <w:color w:val="3D3B3B"/>
          <w:sz w:val="40"/>
          <w:lang w:eastAsia="zh-TW"/>
        </w:rPr>
        <w:t>新聞稿</w:t>
      </w:r>
    </w:p>
    <w:p w14:paraId="19FDC38C" w14:textId="54D36502" w:rsidR="000B2B33" w:rsidRPr="00CB6116" w:rsidRDefault="005A3A39" w:rsidP="005D639D">
      <w:pPr>
        <w:pStyle w:val="BodyText"/>
        <w:widowControl/>
        <w:spacing w:before="121"/>
        <w:jc w:val="right"/>
        <w:rPr>
          <w:rFonts w:eastAsia="宋体"/>
          <w:lang w:eastAsia="zh-CN"/>
        </w:rPr>
      </w:pPr>
      <w:proofErr w:type="gramStart"/>
      <w:r w:rsidRPr="005A3A39">
        <w:rPr>
          <w:rFonts w:eastAsia="PMingLiU"/>
          <w:lang w:eastAsia="zh-TW"/>
        </w:rPr>
        <w:t>2026</w:t>
      </w:r>
      <w:r w:rsidRPr="005A3A39">
        <w:rPr>
          <w:rFonts w:eastAsia="PMingLiU" w:hint="eastAsia"/>
          <w:lang w:eastAsia="zh-TW"/>
        </w:rPr>
        <w:t>年</w:t>
      </w:r>
      <w:r w:rsidRPr="005A3A39">
        <w:rPr>
          <w:rFonts w:eastAsia="PMingLiU"/>
          <w:lang w:eastAsia="zh-TW"/>
        </w:rPr>
        <w:t>4</w:t>
      </w:r>
      <w:r w:rsidRPr="005A3A39">
        <w:rPr>
          <w:rFonts w:eastAsia="PMingLiU" w:hint="eastAsia"/>
          <w:lang w:eastAsia="zh-TW"/>
        </w:rPr>
        <w:t>月</w:t>
      </w:r>
      <w:r w:rsidRPr="005A3A39">
        <w:rPr>
          <w:rFonts w:eastAsia="PMingLiU"/>
          <w:lang w:eastAsia="zh-TW"/>
        </w:rPr>
        <w:t>14</w:t>
      </w:r>
      <w:r w:rsidRPr="005A3A39">
        <w:rPr>
          <w:rFonts w:eastAsia="PMingLiU" w:hint="eastAsia"/>
          <w:lang w:eastAsia="zh-TW"/>
        </w:rPr>
        <w:t>日</w:t>
      </w:r>
      <w:proofErr w:type="gramEnd"/>
    </w:p>
    <w:p w14:paraId="23625C6A" w14:textId="77777777" w:rsidR="00295B68" w:rsidRDefault="00295B68" w:rsidP="005D639D">
      <w:pPr>
        <w:pStyle w:val="BodyText"/>
        <w:widowControl/>
        <w:spacing w:after="240"/>
        <w:jc w:val="both"/>
        <w:rPr>
          <w:rFonts w:eastAsia="宋体"/>
          <w:lang w:eastAsia="zh-CN"/>
        </w:rPr>
      </w:pPr>
    </w:p>
    <w:p w14:paraId="330EAE6A" w14:textId="7B9A62CF" w:rsidR="000B2B33" w:rsidRDefault="005A3A39" w:rsidP="005D639D">
      <w:pPr>
        <w:widowControl/>
        <w:autoSpaceDE/>
        <w:autoSpaceDN/>
        <w:spacing w:line="276" w:lineRule="auto"/>
        <w:rPr>
          <w:rFonts w:eastAsia="宋体"/>
          <w:b/>
          <w:sz w:val="32"/>
          <w:lang w:eastAsia="zh-CN"/>
        </w:rPr>
      </w:pPr>
      <w:r w:rsidRPr="005A3A39">
        <w:rPr>
          <w:rFonts w:eastAsia="PMingLiU" w:hint="eastAsia"/>
          <w:b/>
          <w:sz w:val="32"/>
          <w:lang w:eastAsia="zh-TW"/>
        </w:rPr>
        <w:t>漢高公佈</w:t>
      </w:r>
      <w:r w:rsidRPr="005A3A39">
        <w:rPr>
          <w:rFonts w:eastAsia="PMingLiU"/>
          <w:b/>
          <w:sz w:val="32"/>
          <w:lang w:eastAsia="zh-TW"/>
        </w:rPr>
        <w:t>2030</w:t>
      </w:r>
      <w:r w:rsidRPr="005A3A39">
        <w:rPr>
          <w:rFonts w:eastAsia="PMingLiU" w:hint="eastAsia"/>
          <w:b/>
          <w:sz w:val="32"/>
          <w:lang w:eastAsia="zh-TW"/>
        </w:rPr>
        <w:t>年</w:t>
      </w:r>
      <w:r>
        <w:rPr>
          <w:rFonts w:eastAsia="PMingLiU" w:hint="eastAsia"/>
          <w:b/>
          <w:sz w:val="32"/>
          <w:lang w:eastAsia="zh-TW"/>
        </w:rPr>
        <w:t>永續</w:t>
      </w:r>
      <w:r w:rsidRPr="005A3A39">
        <w:rPr>
          <w:rFonts w:eastAsia="PMingLiU" w:hint="eastAsia"/>
          <w:b/>
          <w:sz w:val="32"/>
          <w:lang w:eastAsia="zh-TW"/>
        </w:rPr>
        <w:t>發展新目標</w:t>
      </w:r>
    </w:p>
    <w:p w14:paraId="12EA8048" w14:textId="77777777" w:rsidR="00BE7444" w:rsidRDefault="00BE7444" w:rsidP="005D639D">
      <w:pPr>
        <w:widowControl/>
        <w:autoSpaceDE/>
        <w:autoSpaceDN/>
        <w:spacing w:line="276" w:lineRule="auto"/>
        <w:rPr>
          <w:rFonts w:eastAsia="宋体"/>
          <w:b/>
          <w:sz w:val="32"/>
          <w:lang w:eastAsia="zh-CN"/>
        </w:rPr>
      </w:pPr>
    </w:p>
    <w:p w14:paraId="6BBFCBAA" w14:textId="294BEE71" w:rsidR="00BE7444" w:rsidRPr="00BE7444" w:rsidRDefault="005A3A39" w:rsidP="00BE7444">
      <w:pPr>
        <w:pStyle w:val="BodyText"/>
        <w:widowControl/>
        <w:spacing w:after="240"/>
        <w:jc w:val="both"/>
        <w:rPr>
          <w:rFonts w:eastAsia="宋体"/>
          <w:lang w:eastAsia="zh-CN"/>
        </w:rPr>
      </w:pPr>
      <w:r w:rsidRPr="005A3A39">
        <w:rPr>
          <w:rFonts w:eastAsia="PMingLiU" w:hint="eastAsia"/>
          <w:lang w:eastAsia="zh-TW"/>
        </w:rPr>
        <w:t>漢高重申其對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發展的堅定承諾</w:t>
      </w:r>
    </w:p>
    <w:p w14:paraId="28475D54" w14:textId="77777777" w:rsidR="00C45B51" w:rsidRPr="00CB6116" w:rsidRDefault="00C45B51" w:rsidP="00E1398E">
      <w:pPr>
        <w:widowControl/>
        <w:rPr>
          <w:rFonts w:eastAsia="宋体"/>
          <w:lang w:eastAsia="zh-CN"/>
        </w:rPr>
      </w:pPr>
    </w:p>
    <w:p w14:paraId="0B10EC1F" w14:textId="5F0B16D6" w:rsidR="000B2B33" w:rsidRPr="00CB6116" w:rsidRDefault="005A3A39" w:rsidP="00002C0B">
      <w:pPr>
        <w:pStyle w:val="Heading1"/>
        <w:widowControl/>
        <w:numPr>
          <w:ilvl w:val="0"/>
          <w:numId w:val="1"/>
        </w:numPr>
        <w:tabs>
          <w:tab w:val="left" w:pos="578"/>
          <w:tab w:val="left" w:pos="579"/>
        </w:tabs>
        <w:spacing w:line="276" w:lineRule="auto"/>
        <w:ind w:left="425" w:hanging="425"/>
        <w:contextualSpacing/>
        <w:mirrorIndents/>
        <w:rPr>
          <w:rFonts w:eastAsia="宋体"/>
          <w:lang w:eastAsia="zh-CN"/>
        </w:rPr>
      </w:pPr>
      <w:r w:rsidRPr="005A3A39">
        <w:rPr>
          <w:rFonts w:eastAsia="PMingLiU" w:hint="eastAsia"/>
          <w:lang w:eastAsia="zh-TW"/>
        </w:rPr>
        <w:t>淨零排放：將範圍</w:t>
      </w:r>
      <w:r w:rsidRPr="005A3A39">
        <w:rPr>
          <w:rFonts w:eastAsia="PMingLiU"/>
          <w:lang w:eastAsia="zh-TW"/>
        </w:rPr>
        <w:t>1</w:t>
      </w:r>
      <w:r w:rsidRPr="005A3A39">
        <w:rPr>
          <w:rFonts w:eastAsia="PMingLiU" w:hint="eastAsia"/>
          <w:lang w:eastAsia="zh-TW"/>
        </w:rPr>
        <w:t>和範圍</w:t>
      </w:r>
      <w:r w:rsidRPr="005A3A39">
        <w:rPr>
          <w:rFonts w:eastAsia="PMingLiU"/>
          <w:lang w:eastAsia="zh-TW"/>
        </w:rPr>
        <w:t>2</w:t>
      </w:r>
      <w:r w:rsidRPr="005A3A39">
        <w:rPr>
          <w:rFonts w:eastAsia="PMingLiU" w:hint="eastAsia"/>
          <w:lang w:eastAsia="zh-TW"/>
        </w:rPr>
        <w:t>溫室氣體的絕對排放量減少</w:t>
      </w:r>
      <w:r w:rsidRPr="005A3A39">
        <w:rPr>
          <w:rFonts w:eastAsia="PMingLiU"/>
          <w:lang w:eastAsia="zh-TW"/>
        </w:rPr>
        <w:t>42%</w:t>
      </w:r>
      <w:r w:rsidRPr="005A3A39">
        <w:rPr>
          <w:rFonts w:eastAsia="PMingLiU" w:hint="eastAsia"/>
          <w:lang w:eastAsia="zh-TW"/>
        </w:rPr>
        <w:t>，將範圍</w:t>
      </w:r>
      <w:r w:rsidRPr="005A3A39">
        <w:rPr>
          <w:rFonts w:eastAsia="PMingLiU"/>
          <w:lang w:eastAsia="zh-TW"/>
        </w:rPr>
        <w:t>3</w:t>
      </w:r>
      <w:r w:rsidRPr="005A3A39">
        <w:rPr>
          <w:rFonts w:eastAsia="PMingLiU" w:hint="eastAsia"/>
          <w:lang w:eastAsia="zh-TW"/>
        </w:rPr>
        <w:t>的排放量減少</w:t>
      </w:r>
      <w:r w:rsidRPr="005A3A39">
        <w:rPr>
          <w:rFonts w:eastAsia="PMingLiU"/>
          <w:lang w:eastAsia="zh-TW"/>
        </w:rPr>
        <w:t>30%</w:t>
      </w:r>
      <w:r w:rsidRPr="005A3A39">
        <w:rPr>
          <w:rFonts w:eastAsia="PMingLiU" w:hint="eastAsia"/>
          <w:lang w:eastAsia="zh-TW"/>
        </w:rPr>
        <w:t>，致力於在</w:t>
      </w:r>
      <w:r w:rsidRPr="005A3A39">
        <w:rPr>
          <w:rFonts w:eastAsia="PMingLiU"/>
          <w:lang w:eastAsia="zh-TW"/>
        </w:rPr>
        <w:t>2045</w:t>
      </w:r>
      <w:r w:rsidRPr="005A3A39">
        <w:rPr>
          <w:rFonts w:eastAsia="PMingLiU" w:hint="eastAsia"/>
          <w:lang w:eastAsia="zh-TW"/>
        </w:rPr>
        <w:t>年實現淨零排放</w:t>
      </w:r>
    </w:p>
    <w:p w14:paraId="172E6DDB" w14:textId="67DB4A84" w:rsidR="000B2B33" w:rsidRPr="00CB6116" w:rsidRDefault="005A3A39" w:rsidP="00002C0B">
      <w:pPr>
        <w:pStyle w:val="Heading1"/>
        <w:widowControl/>
        <w:numPr>
          <w:ilvl w:val="0"/>
          <w:numId w:val="1"/>
        </w:numPr>
        <w:tabs>
          <w:tab w:val="left" w:pos="578"/>
          <w:tab w:val="left" w:pos="579"/>
        </w:tabs>
        <w:spacing w:line="276" w:lineRule="auto"/>
        <w:ind w:left="425" w:hanging="425"/>
        <w:contextualSpacing/>
        <w:mirrorIndents/>
        <w:rPr>
          <w:rFonts w:eastAsia="宋体"/>
          <w:b w:val="0"/>
          <w:lang w:eastAsia="zh-CN"/>
        </w:rPr>
      </w:pPr>
      <w:r w:rsidRPr="005A3A39">
        <w:rPr>
          <w:rFonts w:eastAsia="PMingLiU" w:hint="eastAsia"/>
          <w:lang w:eastAsia="zh-TW"/>
        </w:rPr>
        <w:t>迴圈經濟：將消費品包裝中再生塑膠的比例提升至</w:t>
      </w:r>
      <w:r w:rsidRPr="005A3A39">
        <w:rPr>
          <w:rFonts w:eastAsia="PMingLiU"/>
          <w:lang w:eastAsia="zh-TW"/>
        </w:rPr>
        <w:t>35%</w:t>
      </w:r>
      <w:r w:rsidRPr="005A3A39">
        <w:rPr>
          <w:rFonts w:eastAsia="PMingLiU" w:hint="eastAsia"/>
          <w:lang w:eastAsia="zh-TW"/>
        </w:rPr>
        <w:t>以上，同時確保所有包裝均採用可回收設計</w:t>
      </w:r>
    </w:p>
    <w:p w14:paraId="54B25F52" w14:textId="6A34D5B6" w:rsidR="000B2B33" w:rsidRPr="00CB6116" w:rsidRDefault="005A3A39" w:rsidP="00002C0B">
      <w:pPr>
        <w:pStyle w:val="Heading1"/>
        <w:widowControl/>
        <w:numPr>
          <w:ilvl w:val="0"/>
          <w:numId w:val="1"/>
        </w:numPr>
        <w:tabs>
          <w:tab w:val="left" w:pos="578"/>
          <w:tab w:val="left" w:pos="579"/>
        </w:tabs>
        <w:spacing w:line="276" w:lineRule="auto"/>
        <w:ind w:left="425" w:hanging="425"/>
        <w:contextualSpacing/>
        <w:mirrorIndents/>
        <w:rPr>
          <w:rFonts w:eastAsia="宋体"/>
          <w:b w:val="0"/>
          <w:lang w:eastAsia="zh-CN"/>
        </w:rPr>
      </w:pPr>
      <w:r w:rsidRPr="005A3A39">
        <w:rPr>
          <w:rFonts w:eastAsia="PMingLiU" w:hint="eastAsia"/>
          <w:lang w:eastAsia="zh-TW"/>
        </w:rPr>
        <w:t>全球性別平等：致力於實現各級管理層男女性占比均超過</w:t>
      </w:r>
      <w:r w:rsidRPr="005A3A39">
        <w:rPr>
          <w:rFonts w:eastAsia="PMingLiU"/>
          <w:lang w:eastAsia="zh-TW"/>
        </w:rPr>
        <w:t>45%</w:t>
      </w:r>
      <w:r w:rsidRPr="005A3A39">
        <w:rPr>
          <w:rFonts w:eastAsia="PMingLiU" w:hint="eastAsia"/>
          <w:lang w:eastAsia="zh-TW"/>
        </w:rPr>
        <w:t>，並確保全球範圍內的薪酬平等</w:t>
      </w:r>
      <w:r w:rsidRPr="005A3A39">
        <w:rPr>
          <w:rFonts w:eastAsia="PMingLiU"/>
          <w:lang w:eastAsia="zh-TW"/>
        </w:rPr>
        <w:t>*</w:t>
      </w:r>
    </w:p>
    <w:p w14:paraId="493219C9" w14:textId="24D33B37" w:rsidR="000B2B33" w:rsidRPr="00CB6116" w:rsidRDefault="005A3A39" w:rsidP="00002C0B">
      <w:pPr>
        <w:pStyle w:val="Heading1"/>
        <w:widowControl/>
        <w:numPr>
          <w:ilvl w:val="0"/>
          <w:numId w:val="1"/>
        </w:numPr>
        <w:tabs>
          <w:tab w:val="left" w:pos="578"/>
          <w:tab w:val="left" w:pos="579"/>
        </w:tabs>
        <w:spacing w:line="276" w:lineRule="auto"/>
        <w:ind w:left="425" w:hanging="425"/>
        <w:contextualSpacing/>
        <w:mirrorIndents/>
        <w:rPr>
          <w:rFonts w:eastAsia="宋体"/>
          <w:b w:val="0"/>
          <w:lang w:eastAsia="zh-CN"/>
        </w:rPr>
      </w:pP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供應鏈：確保</w:t>
      </w:r>
      <w:r w:rsidRPr="005A3A39">
        <w:rPr>
          <w:rFonts w:eastAsia="PMingLiU"/>
          <w:lang w:eastAsia="zh-TW"/>
        </w:rPr>
        <w:t>85%</w:t>
      </w:r>
      <w:r w:rsidRPr="005A3A39">
        <w:rPr>
          <w:rFonts w:eastAsia="PMingLiU" w:hint="eastAsia"/>
          <w:lang w:eastAsia="zh-TW"/>
        </w:rPr>
        <w:t>的供應商符合特定的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發展標準</w:t>
      </w:r>
    </w:p>
    <w:p w14:paraId="76901AFC" w14:textId="77777777" w:rsidR="00C45B51" w:rsidRPr="00CB6116" w:rsidRDefault="00C45B51" w:rsidP="00002C0B">
      <w:pPr>
        <w:widowControl/>
        <w:contextualSpacing/>
        <w:mirrorIndents/>
        <w:rPr>
          <w:rFonts w:eastAsia="宋体"/>
          <w:lang w:eastAsia="zh-CN"/>
        </w:rPr>
      </w:pPr>
    </w:p>
    <w:p w14:paraId="104707B7" w14:textId="2C6C0A6A" w:rsidR="000B2B33" w:rsidRPr="00CB6116" w:rsidRDefault="005A3A39" w:rsidP="005D639D">
      <w:pPr>
        <w:pStyle w:val="BodyText"/>
        <w:widowControl/>
        <w:spacing w:line="276" w:lineRule="auto"/>
        <w:ind w:hanging="1"/>
        <w:jc w:val="both"/>
        <w:rPr>
          <w:rFonts w:eastAsia="宋体"/>
          <w:lang w:eastAsia="zh-TW"/>
        </w:rPr>
      </w:pPr>
      <w:r w:rsidRPr="005A3A39">
        <w:rPr>
          <w:rFonts w:eastAsia="PMingLiU" w:hint="eastAsia"/>
          <w:lang w:eastAsia="zh-TW"/>
        </w:rPr>
        <w:t>杜塞爾多夫</w:t>
      </w:r>
      <w:r w:rsidRPr="005A3A39">
        <w:rPr>
          <w:rFonts w:eastAsia="PMingLiU"/>
          <w:lang w:eastAsia="zh-TW"/>
        </w:rPr>
        <w:t>——</w:t>
      </w:r>
      <w:r w:rsidRPr="005A3A39">
        <w:rPr>
          <w:rFonts w:eastAsia="PMingLiU" w:hint="eastAsia"/>
          <w:lang w:eastAsia="zh-TW"/>
        </w:rPr>
        <w:t>依託</w:t>
      </w:r>
      <w:r w:rsidRPr="005A3A39">
        <w:rPr>
          <w:rFonts w:eastAsia="PMingLiU"/>
          <w:lang w:eastAsia="zh-TW"/>
        </w:rPr>
        <w:t>150</w:t>
      </w:r>
      <w:r w:rsidRPr="005A3A39">
        <w:rPr>
          <w:rFonts w:eastAsia="PMingLiU" w:hint="eastAsia"/>
          <w:lang w:eastAsia="zh-TW"/>
        </w:rPr>
        <w:t>年的深厚歷史底蘊及在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發展領域的卓越成就，漢高制定了全新的</w:t>
      </w:r>
      <w:r w:rsidRPr="005A3A39">
        <w:rPr>
          <w:rFonts w:eastAsia="PMingLiU"/>
          <w:lang w:eastAsia="zh-TW"/>
        </w:rPr>
        <w:t>2030</w:t>
      </w:r>
      <w:r w:rsidRPr="005A3A39">
        <w:rPr>
          <w:rFonts w:eastAsia="PMingLiU" w:hint="eastAsia"/>
          <w:lang w:eastAsia="zh-TW"/>
        </w:rPr>
        <w:t>年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發展中期目標。新目標體現了公司的戰略決策，旨在進一步加快其在整個價值鏈中產生的影響。通過採用將</w:t>
      </w:r>
      <w:r w:rsidRPr="005A3A39">
        <w:rPr>
          <w:rFonts w:eastAsia="PMingLiU" w:hint="eastAsia"/>
          <w:b/>
          <w:bCs/>
          <w:lang w:eastAsia="zh-TW"/>
        </w:rPr>
        <w:t>氣候行動、公平與</w:t>
      </w:r>
      <w:r>
        <w:rPr>
          <w:rFonts w:eastAsia="PMingLiU" w:hint="eastAsia"/>
          <w:b/>
          <w:bCs/>
          <w:lang w:eastAsia="zh-TW"/>
        </w:rPr>
        <w:t>永續</w:t>
      </w:r>
      <w:r w:rsidRPr="005A3A39">
        <w:rPr>
          <w:rFonts w:eastAsia="PMingLiU" w:hint="eastAsia"/>
          <w:b/>
          <w:bCs/>
          <w:lang w:eastAsia="zh-TW"/>
        </w:rPr>
        <w:t>供應鏈</w:t>
      </w:r>
      <w:r w:rsidRPr="005A3A39">
        <w:rPr>
          <w:rFonts w:eastAsia="PMingLiU" w:hint="eastAsia"/>
          <w:lang w:eastAsia="zh-TW"/>
        </w:rPr>
        <w:t>相結合的整體性方法，漢高正開啟發展的新篇章。</w:t>
      </w:r>
    </w:p>
    <w:p w14:paraId="631CD85D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TW"/>
        </w:rPr>
      </w:pPr>
    </w:p>
    <w:p w14:paraId="23F754CE" w14:textId="3594A152" w:rsidR="000B2B33" w:rsidRDefault="005A3A39" w:rsidP="005D639D">
      <w:pPr>
        <w:pStyle w:val="BodyText"/>
        <w:widowControl/>
        <w:spacing w:line="276" w:lineRule="auto"/>
        <w:jc w:val="both"/>
        <w:rPr>
          <w:rFonts w:ascii="宋体" w:eastAsia="宋体" w:hAnsi="宋体"/>
          <w:lang w:eastAsia="zh-TW"/>
        </w:rPr>
      </w:pPr>
      <w:r w:rsidRPr="005A3A39">
        <w:rPr>
          <w:rFonts w:ascii="宋体" w:eastAsia="PMingLiU" w:hAnsi="宋体" w:hint="eastAsia"/>
          <w:lang w:eastAsia="zh-TW"/>
        </w:rPr>
        <w:t>漢高首席執行官卡斯滕·諾貝爾（</w:t>
      </w:r>
      <w:r w:rsidRPr="005A3A39">
        <w:rPr>
          <w:rFonts w:eastAsia="PMingLiU"/>
          <w:lang w:eastAsia="zh-TW"/>
        </w:rPr>
        <w:t>Carsten Knobel</w:t>
      </w:r>
      <w:r w:rsidRPr="005A3A39">
        <w:rPr>
          <w:rFonts w:eastAsia="PMingLiU" w:hint="eastAsia"/>
          <w:lang w:eastAsia="zh-TW"/>
        </w:rPr>
        <w:t>）</w:t>
      </w:r>
      <w:r w:rsidRPr="005A3A39">
        <w:rPr>
          <w:rFonts w:ascii="宋体" w:eastAsia="PMingLiU" w:hAnsi="宋体" w:hint="eastAsia"/>
          <w:lang w:eastAsia="zh-TW"/>
        </w:rPr>
        <w:t>表示：</w:t>
      </w:r>
      <w:r w:rsidRPr="005A3A39">
        <w:rPr>
          <w:rFonts w:ascii="宋体" w:eastAsia="PMingLiU" w:hAnsi="宋体"/>
          <w:lang w:eastAsia="zh-TW"/>
        </w:rPr>
        <w:t>“</w:t>
      </w:r>
      <w:r w:rsidRPr="005A3A39">
        <w:rPr>
          <w:rFonts w:eastAsia="PMingLiU"/>
          <w:lang w:eastAsia="zh-TW"/>
        </w:rPr>
        <w:t>150</w:t>
      </w:r>
      <w:r w:rsidRPr="005A3A39">
        <w:rPr>
          <w:rFonts w:eastAsia="PMingLiU" w:hint="eastAsia"/>
          <w:lang w:eastAsia="zh-TW"/>
        </w:rPr>
        <w:t>年來，漢高證明了負責任的經營方式與出色的業績表現是相輔相成的。在當今這個充滿挑戰和動盪的環境中，採取明確而一致的立場來塑造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的未來，比以往任何時候都更為重要。基於漢高的目標性增長議程，我們正以兼具雄心與可行性的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發展新目標向前推進。我們聚焦於三大關鍵領域，並有信心在這些領域取得顯著成效，進一步創造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價值。</w:t>
      </w:r>
      <w:r w:rsidRPr="005A3A39">
        <w:rPr>
          <w:rFonts w:ascii="宋体" w:eastAsia="PMingLiU" w:hAnsi="宋体"/>
          <w:lang w:eastAsia="zh-TW"/>
        </w:rPr>
        <w:t>”</w:t>
      </w:r>
    </w:p>
    <w:p w14:paraId="0C233348" w14:textId="61B92CB3" w:rsidR="00EA59BE" w:rsidRDefault="00EA59BE" w:rsidP="00EA59BE">
      <w:pPr>
        <w:pStyle w:val="BodyText"/>
        <w:widowControl/>
        <w:spacing w:line="276" w:lineRule="auto"/>
        <w:jc w:val="center"/>
        <w:rPr>
          <w:rFonts w:eastAsia="宋体"/>
          <w:lang w:eastAsia="zh-CN"/>
        </w:rPr>
      </w:pPr>
      <w:r>
        <w:rPr>
          <w:rFonts w:eastAsia="宋体"/>
          <w:noProof/>
          <w:lang w:eastAsia="zh-CN"/>
        </w:rPr>
        <w:lastRenderedPageBreak/>
        <w:drawing>
          <wp:inline distT="0" distB="0" distL="0" distR="0" wp14:anchorId="17F4C1BF" wp14:editId="61CB03B0">
            <wp:extent cx="2400705" cy="3600000"/>
            <wp:effectExtent l="0" t="0" r="0" b="635"/>
            <wp:docPr id="75216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6008" name="Picture 7521600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70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BE34E" w14:textId="604F070A" w:rsidR="00D55B74" w:rsidRPr="00663AE6" w:rsidRDefault="005A3A39" w:rsidP="00EA59BE">
      <w:pPr>
        <w:pStyle w:val="BodyText"/>
        <w:widowControl/>
        <w:spacing w:line="276" w:lineRule="auto"/>
        <w:jc w:val="center"/>
        <w:rPr>
          <w:rFonts w:eastAsia="宋体"/>
          <w:sz w:val="20"/>
          <w:szCs w:val="20"/>
          <w:lang w:eastAsia="zh-CN"/>
        </w:rPr>
      </w:pPr>
      <w:r w:rsidRPr="005A3A39">
        <w:rPr>
          <w:rFonts w:ascii="宋体" w:eastAsia="PMingLiU" w:hAnsi="宋体" w:hint="eastAsia"/>
          <w:sz w:val="20"/>
          <w:szCs w:val="20"/>
          <w:lang w:eastAsia="zh-TW"/>
        </w:rPr>
        <w:t>漢高首席執行官卡斯滕·諾貝爾（</w:t>
      </w:r>
      <w:r w:rsidRPr="005A3A39">
        <w:rPr>
          <w:rFonts w:eastAsia="PMingLiU"/>
          <w:sz w:val="20"/>
          <w:szCs w:val="20"/>
          <w:lang w:eastAsia="zh-TW"/>
        </w:rPr>
        <w:t>Carsten Knobel</w:t>
      </w:r>
      <w:r w:rsidRPr="005A3A39">
        <w:rPr>
          <w:rFonts w:eastAsia="PMingLiU" w:hint="eastAsia"/>
          <w:sz w:val="20"/>
          <w:szCs w:val="20"/>
          <w:lang w:eastAsia="zh-TW"/>
        </w:rPr>
        <w:t>）</w:t>
      </w:r>
    </w:p>
    <w:p w14:paraId="3666E1EC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625F751D" w14:textId="0CF45D24" w:rsidR="00D745CE" w:rsidRDefault="005A3A39" w:rsidP="00D745CE">
      <w:pPr>
        <w:pStyle w:val="BodyText"/>
        <w:widowControl/>
        <w:spacing w:line="276" w:lineRule="auto"/>
        <w:ind w:hanging="1"/>
        <w:jc w:val="both"/>
        <w:rPr>
          <w:rFonts w:ascii="宋体" w:eastAsia="宋体" w:hAnsi="宋体"/>
          <w:lang w:eastAsia="zh-CN"/>
        </w:rPr>
      </w:pPr>
      <w:r w:rsidRPr="005A3A39">
        <w:rPr>
          <w:rFonts w:ascii="宋体" w:eastAsia="PMingLiU" w:hAnsi="宋体" w:hint="eastAsia"/>
          <w:lang w:eastAsia="zh-TW"/>
        </w:rPr>
        <w:t>漢高人力資源、基礎設施和永續發展執行副總裁西爾維·尼科爾</w:t>
      </w:r>
      <w:r w:rsidRPr="005A3A39">
        <w:rPr>
          <w:rFonts w:eastAsia="PMingLiU" w:hint="eastAsia"/>
          <w:lang w:eastAsia="zh-TW"/>
        </w:rPr>
        <w:t>（</w:t>
      </w:r>
      <w:r w:rsidRPr="005A3A39">
        <w:rPr>
          <w:rFonts w:eastAsia="PMingLiU"/>
          <w:lang w:eastAsia="zh-TW"/>
        </w:rPr>
        <w:t>Sylvie Nicol</w:t>
      </w:r>
      <w:r w:rsidRPr="005A3A39">
        <w:rPr>
          <w:rFonts w:eastAsia="PMingLiU" w:hint="eastAsia"/>
          <w:lang w:eastAsia="zh-TW"/>
        </w:rPr>
        <w:t>）</w:t>
      </w:r>
      <w:r w:rsidRPr="005A3A39">
        <w:rPr>
          <w:rFonts w:ascii="宋体" w:eastAsia="PMingLiU" w:hAnsi="宋体" w:hint="eastAsia"/>
          <w:lang w:eastAsia="zh-TW"/>
        </w:rPr>
        <w:t>表示：</w:t>
      </w:r>
      <w:r w:rsidRPr="005A3A39">
        <w:rPr>
          <w:rFonts w:ascii="宋体" w:eastAsia="PMingLiU" w:hAnsi="宋体"/>
          <w:lang w:eastAsia="zh-TW"/>
        </w:rPr>
        <w:t>“</w:t>
      </w:r>
      <w:r w:rsidRPr="005A3A39">
        <w:rPr>
          <w:rFonts w:eastAsia="PMingLiU" w:hint="eastAsia"/>
          <w:lang w:eastAsia="zh-TW"/>
        </w:rPr>
        <w:t>我們引以為傲的企業傳承，始終以責任感和開拓精神為底色，尤其在構建更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的未來方面。新目標的制定，體現了我們的戰略決策，旨在加速公司在整個價值鏈中的影響，並提供了一個清晰且可操作的框架，將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理念融入企業日常決策的方方面面。要實現持久而全面的變革，需要勇氣，也需要全球所有團隊、市場和地區的共同努力。</w:t>
      </w:r>
      <w:r w:rsidRPr="005A3A39">
        <w:rPr>
          <w:rFonts w:ascii="宋体" w:eastAsia="PMingLiU" w:hAnsi="宋体"/>
          <w:lang w:eastAsia="zh-TW"/>
        </w:rPr>
        <w:t>”</w:t>
      </w:r>
    </w:p>
    <w:p w14:paraId="44A5D4AE" w14:textId="44683029" w:rsidR="006E4EDD" w:rsidRPr="00CB6116" w:rsidRDefault="006E4EDD" w:rsidP="006E4EDD">
      <w:pPr>
        <w:pStyle w:val="BodyText"/>
        <w:widowControl/>
        <w:spacing w:line="276" w:lineRule="auto"/>
        <w:ind w:hanging="1"/>
        <w:jc w:val="center"/>
        <w:rPr>
          <w:rFonts w:eastAsia="宋体"/>
          <w:lang w:eastAsia="zh-CN"/>
        </w:rPr>
      </w:pPr>
      <w:r>
        <w:rPr>
          <w:noProof/>
        </w:rPr>
        <w:drawing>
          <wp:inline distT="0" distB="0" distL="0" distR="0" wp14:anchorId="6C0C751A" wp14:editId="34F548FA">
            <wp:extent cx="3810000" cy="2143125"/>
            <wp:effectExtent l="0" t="0" r="0" b="9525"/>
            <wp:docPr id="912458123" name="Picture 1" descr="汉高公布2030年可持续发展新目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汉高公布2030年可持续发展新目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23E0" w14:textId="19A800CB" w:rsidR="00C45B51" w:rsidRPr="00663AE6" w:rsidRDefault="005A3A39" w:rsidP="00663AE6">
      <w:pPr>
        <w:pStyle w:val="BodyText"/>
        <w:widowControl/>
        <w:jc w:val="center"/>
        <w:rPr>
          <w:rFonts w:eastAsia="宋体"/>
          <w:sz w:val="20"/>
          <w:szCs w:val="20"/>
          <w:lang w:eastAsia="zh-CN"/>
        </w:rPr>
      </w:pPr>
      <w:r w:rsidRPr="005A3A39">
        <w:rPr>
          <w:rFonts w:eastAsia="PMingLiU" w:hint="eastAsia"/>
          <w:sz w:val="20"/>
          <w:szCs w:val="20"/>
          <w:lang w:eastAsia="zh-TW"/>
        </w:rPr>
        <w:t>漢高</w:t>
      </w:r>
      <w:r w:rsidRPr="005A3A39">
        <w:rPr>
          <w:rFonts w:eastAsia="PMingLiU"/>
          <w:sz w:val="20"/>
          <w:szCs w:val="20"/>
          <w:lang w:eastAsia="zh-TW"/>
        </w:rPr>
        <w:t>2025</w:t>
      </w:r>
      <w:r>
        <w:rPr>
          <w:rFonts w:eastAsia="PMingLiU" w:hint="eastAsia"/>
          <w:sz w:val="20"/>
          <w:szCs w:val="20"/>
          <w:lang w:eastAsia="zh-TW"/>
        </w:rPr>
        <w:t>永續</w:t>
      </w:r>
      <w:r w:rsidRPr="005A3A39">
        <w:rPr>
          <w:rFonts w:eastAsia="PMingLiU" w:hint="eastAsia"/>
          <w:sz w:val="20"/>
          <w:szCs w:val="20"/>
          <w:lang w:eastAsia="zh-TW"/>
        </w:rPr>
        <w:t>影響力報告</w:t>
      </w:r>
    </w:p>
    <w:p w14:paraId="053A6959" w14:textId="77777777" w:rsidR="00D55B74" w:rsidRPr="00CB6116" w:rsidRDefault="00D55B74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492C6CB3" w14:textId="048ABAA5" w:rsidR="000B2B33" w:rsidRPr="00CB6116" w:rsidRDefault="005A3A39" w:rsidP="005D639D">
      <w:pPr>
        <w:pStyle w:val="Heading1"/>
        <w:widowControl/>
        <w:ind w:left="0" w:firstLine="0"/>
        <w:jc w:val="both"/>
        <w:rPr>
          <w:rFonts w:eastAsia="宋体"/>
          <w:lang w:eastAsia="zh-CN"/>
        </w:rPr>
      </w:pPr>
      <w:r w:rsidRPr="005A3A39">
        <w:rPr>
          <w:rFonts w:eastAsia="PMingLiU" w:hint="eastAsia"/>
          <w:lang w:eastAsia="zh-TW"/>
        </w:rPr>
        <w:t>加快實現淨零排放與迴圈經濟的進程</w:t>
      </w:r>
    </w:p>
    <w:p w14:paraId="1BEA4425" w14:textId="3B09A05F" w:rsidR="000B2B33" w:rsidRPr="00CB6116" w:rsidRDefault="005A3A39" w:rsidP="005D639D">
      <w:pPr>
        <w:widowControl/>
        <w:spacing w:line="276" w:lineRule="auto"/>
        <w:jc w:val="both"/>
        <w:rPr>
          <w:rFonts w:eastAsia="宋体"/>
          <w:lang w:eastAsia="zh-CN"/>
        </w:rPr>
      </w:pPr>
      <w:r w:rsidRPr="005A3A39">
        <w:rPr>
          <w:rFonts w:eastAsia="PMingLiU" w:hint="eastAsia"/>
          <w:lang w:eastAsia="zh-TW"/>
        </w:rPr>
        <w:t>漢高致力於</w:t>
      </w:r>
      <w:r w:rsidRPr="005A3A39">
        <w:rPr>
          <w:rFonts w:eastAsia="PMingLiU" w:hint="eastAsia"/>
          <w:b/>
          <w:bCs/>
          <w:lang w:eastAsia="zh-TW"/>
        </w:rPr>
        <w:t>在</w:t>
      </w:r>
      <w:r w:rsidRPr="005A3A39">
        <w:rPr>
          <w:rFonts w:eastAsia="PMingLiU"/>
          <w:b/>
          <w:bCs/>
          <w:lang w:eastAsia="zh-TW"/>
        </w:rPr>
        <w:t>2045</w:t>
      </w:r>
      <w:r w:rsidRPr="005A3A39">
        <w:rPr>
          <w:rFonts w:eastAsia="PMingLiU" w:hint="eastAsia"/>
          <w:b/>
          <w:bCs/>
          <w:lang w:eastAsia="zh-TW"/>
        </w:rPr>
        <w:t>年前實現淨零排放目標</w:t>
      </w:r>
      <w:r w:rsidRPr="005A3A39">
        <w:rPr>
          <w:rFonts w:eastAsia="PMingLiU" w:hint="eastAsia"/>
          <w:lang w:eastAsia="zh-TW"/>
        </w:rPr>
        <w:t>，且在</w:t>
      </w:r>
      <w:r w:rsidRPr="005A3A39">
        <w:rPr>
          <w:rFonts w:eastAsia="PMingLiU"/>
          <w:lang w:eastAsia="zh-TW"/>
        </w:rPr>
        <w:t>2024</w:t>
      </w:r>
      <w:r w:rsidRPr="005A3A39">
        <w:rPr>
          <w:rFonts w:eastAsia="PMingLiU" w:hint="eastAsia"/>
          <w:lang w:eastAsia="zh-TW"/>
        </w:rPr>
        <w:t>年制定了實現這一目標的全面路線圖，並得到</w:t>
      </w:r>
      <w:r w:rsidRPr="005A3A39">
        <w:rPr>
          <w:rFonts w:ascii="宋体" w:eastAsia="PMingLiU" w:hAnsi="宋体" w:hint="eastAsia"/>
          <w:lang w:eastAsia="zh-TW"/>
        </w:rPr>
        <w:t>了</w:t>
      </w:r>
      <w:r w:rsidRPr="005A3A39">
        <w:rPr>
          <w:rFonts w:ascii="宋体" w:eastAsia="PMingLiU" w:hAnsi="宋体"/>
          <w:lang w:eastAsia="zh-TW"/>
        </w:rPr>
        <w:t>“</w:t>
      </w:r>
      <w:r w:rsidRPr="005A3A39">
        <w:rPr>
          <w:rFonts w:ascii="宋体" w:eastAsia="PMingLiU" w:hAnsi="宋体" w:hint="eastAsia"/>
          <w:lang w:eastAsia="zh-TW"/>
        </w:rPr>
        <w:t>科</w:t>
      </w:r>
      <w:r w:rsidRPr="005A3A39">
        <w:rPr>
          <w:rFonts w:eastAsia="PMingLiU" w:hint="eastAsia"/>
          <w:lang w:eastAsia="zh-TW"/>
        </w:rPr>
        <w:t>學碳目標倡議</w:t>
      </w:r>
      <w:r w:rsidRPr="005A3A39">
        <w:rPr>
          <w:rFonts w:ascii="宋体" w:eastAsia="PMingLiU" w:hAnsi="宋体"/>
          <w:lang w:eastAsia="zh-TW"/>
        </w:rPr>
        <w:t>”</w:t>
      </w:r>
      <w:r w:rsidRPr="005A3A39">
        <w:rPr>
          <w:rFonts w:eastAsia="PMingLiU" w:hint="eastAsia"/>
          <w:lang w:eastAsia="zh-TW"/>
        </w:rPr>
        <w:t>（</w:t>
      </w:r>
      <w:r w:rsidRPr="005A3A39">
        <w:rPr>
          <w:rFonts w:eastAsia="PMingLiU"/>
          <w:lang w:eastAsia="zh-TW"/>
        </w:rPr>
        <w:t>SBTi</w:t>
      </w:r>
      <w:r w:rsidRPr="005A3A39">
        <w:rPr>
          <w:rFonts w:eastAsia="PMingLiU" w:hint="eastAsia"/>
          <w:lang w:eastAsia="zh-TW"/>
        </w:rPr>
        <w:t>）的認可。公司旨在通過提高能源利用效率、增加可再生能源及更環保燃料的使用比例，從而大幅降低其整個價值鏈中的排放量。作為實現淨零排放過</w:t>
      </w:r>
      <w:r w:rsidRPr="005A3A39">
        <w:rPr>
          <w:rFonts w:eastAsia="PMingLiU" w:hint="eastAsia"/>
          <w:lang w:eastAsia="zh-TW"/>
        </w:rPr>
        <w:lastRenderedPageBreak/>
        <w:t>程中的重要里程碑，</w:t>
      </w:r>
      <w:r w:rsidRPr="005A3A39">
        <w:rPr>
          <w:rFonts w:eastAsia="PMingLiU" w:hint="eastAsia"/>
          <w:b/>
          <w:bCs/>
          <w:lang w:eastAsia="zh-TW"/>
        </w:rPr>
        <w:t>漢高的目標是到</w:t>
      </w:r>
      <w:r w:rsidRPr="005A3A39">
        <w:rPr>
          <w:rFonts w:eastAsia="PMingLiU"/>
          <w:b/>
          <w:bCs/>
          <w:lang w:eastAsia="zh-TW"/>
        </w:rPr>
        <w:t>2030</w:t>
      </w:r>
      <w:r w:rsidRPr="005A3A39">
        <w:rPr>
          <w:rFonts w:eastAsia="PMingLiU" w:hint="eastAsia"/>
          <w:b/>
          <w:bCs/>
          <w:lang w:eastAsia="zh-TW"/>
        </w:rPr>
        <w:t>年將範圍</w:t>
      </w:r>
      <w:r w:rsidRPr="005A3A39">
        <w:rPr>
          <w:rFonts w:eastAsia="PMingLiU"/>
          <w:b/>
          <w:bCs/>
          <w:lang w:eastAsia="zh-TW"/>
        </w:rPr>
        <w:t>1</w:t>
      </w:r>
      <w:r w:rsidRPr="005A3A39">
        <w:rPr>
          <w:rFonts w:eastAsia="PMingLiU" w:hint="eastAsia"/>
          <w:b/>
          <w:bCs/>
          <w:lang w:eastAsia="zh-TW"/>
        </w:rPr>
        <w:t>和範圍</w:t>
      </w:r>
      <w:r w:rsidRPr="005A3A39">
        <w:rPr>
          <w:rFonts w:eastAsia="PMingLiU"/>
          <w:b/>
          <w:bCs/>
          <w:lang w:eastAsia="zh-TW"/>
        </w:rPr>
        <w:t>2</w:t>
      </w:r>
      <w:r w:rsidRPr="005A3A39">
        <w:rPr>
          <w:rFonts w:eastAsia="PMingLiU" w:hint="eastAsia"/>
          <w:b/>
          <w:bCs/>
          <w:lang w:eastAsia="zh-TW"/>
        </w:rPr>
        <w:t>溫室氣體的絕對排放量減少</w:t>
      </w:r>
      <w:r w:rsidRPr="005A3A39">
        <w:rPr>
          <w:rFonts w:eastAsia="PMingLiU"/>
          <w:b/>
          <w:bCs/>
          <w:lang w:eastAsia="zh-TW"/>
        </w:rPr>
        <w:t>42%</w:t>
      </w:r>
      <w:r w:rsidRPr="005A3A39">
        <w:rPr>
          <w:rFonts w:eastAsia="PMingLiU" w:hint="eastAsia"/>
          <w:b/>
          <w:bCs/>
          <w:lang w:eastAsia="zh-TW"/>
        </w:rPr>
        <w:t>（與</w:t>
      </w:r>
      <w:r w:rsidRPr="005A3A39">
        <w:rPr>
          <w:rFonts w:eastAsia="PMingLiU"/>
          <w:b/>
          <w:bCs/>
          <w:lang w:eastAsia="zh-TW"/>
        </w:rPr>
        <w:t>2021</w:t>
      </w:r>
      <w:r w:rsidRPr="005A3A39">
        <w:rPr>
          <w:rFonts w:eastAsia="PMingLiU" w:hint="eastAsia"/>
          <w:b/>
          <w:bCs/>
          <w:lang w:eastAsia="zh-TW"/>
        </w:rPr>
        <w:t>年相比），並將範圍</w:t>
      </w:r>
      <w:r w:rsidRPr="005A3A39">
        <w:rPr>
          <w:rFonts w:eastAsia="PMingLiU"/>
          <w:b/>
          <w:bCs/>
          <w:lang w:eastAsia="zh-TW"/>
        </w:rPr>
        <w:t>3</w:t>
      </w:r>
      <w:r w:rsidRPr="005A3A39">
        <w:rPr>
          <w:rFonts w:eastAsia="PMingLiU" w:hint="eastAsia"/>
          <w:b/>
          <w:bCs/>
          <w:lang w:eastAsia="zh-TW"/>
        </w:rPr>
        <w:t>的絕對排放量減少</w:t>
      </w:r>
      <w:r w:rsidRPr="005A3A39">
        <w:rPr>
          <w:rFonts w:eastAsia="PMingLiU"/>
          <w:b/>
          <w:bCs/>
          <w:lang w:eastAsia="zh-TW"/>
        </w:rPr>
        <w:t>30%</w:t>
      </w:r>
      <w:r w:rsidRPr="005A3A39">
        <w:rPr>
          <w:rFonts w:eastAsia="PMingLiU" w:hint="eastAsia"/>
          <w:lang w:eastAsia="zh-TW"/>
        </w:rPr>
        <w:t>。範圍</w:t>
      </w:r>
      <w:r w:rsidRPr="005A3A39">
        <w:rPr>
          <w:rFonts w:eastAsia="PMingLiU"/>
          <w:lang w:eastAsia="zh-TW"/>
        </w:rPr>
        <w:t>1</w:t>
      </w:r>
      <w:r w:rsidRPr="005A3A39">
        <w:rPr>
          <w:rFonts w:eastAsia="PMingLiU" w:hint="eastAsia"/>
          <w:lang w:eastAsia="zh-TW"/>
        </w:rPr>
        <w:t>和範圍</w:t>
      </w:r>
      <w:r w:rsidRPr="005A3A39">
        <w:rPr>
          <w:rFonts w:eastAsia="PMingLiU"/>
          <w:lang w:eastAsia="zh-TW"/>
        </w:rPr>
        <w:t>2</w:t>
      </w:r>
      <w:r w:rsidRPr="005A3A39">
        <w:rPr>
          <w:rFonts w:eastAsia="PMingLiU" w:hint="eastAsia"/>
          <w:lang w:eastAsia="zh-TW"/>
        </w:rPr>
        <w:t>排放涵蓋我們運營過程中的直接和間接排放，而範圍</w:t>
      </w:r>
      <w:r w:rsidRPr="005A3A39">
        <w:rPr>
          <w:rFonts w:eastAsia="PMingLiU"/>
          <w:lang w:eastAsia="zh-TW"/>
        </w:rPr>
        <w:t>3</w:t>
      </w:r>
      <w:r w:rsidRPr="005A3A39">
        <w:rPr>
          <w:rFonts w:eastAsia="PMingLiU" w:hint="eastAsia"/>
          <w:lang w:eastAsia="zh-TW"/>
        </w:rPr>
        <w:t>涵蓋上下游價值鏈中的排放。迄今為止取得的進展表明，漢高正沿著正確的方向前進：到</w:t>
      </w:r>
      <w:r w:rsidRPr="005A3A39">
        <w:rPr>
          <w:rFonts w:eastAsia="PMingLiU"/>
          <w:lang w:eastAsia="zh-TW"/>
        </w:rPr>
        <w:t>2025</w:t>
      </w:r>
      <w:r w:rsidRPr="005A3A39">
        <w:rPr>
          <w:rFonts w:eastAsia="PMingLiU" w:hint="eastAsia"/>
          <w:lang w:eastAsia="zh-TW"/>
        </w:rPr>
        <w:t>年，</w:t>
      </w:r>
      <w:r w:rsidRPr="005A3A39">
        <w:rPr>
          <w:rFonts w:eastAsia="PMingLiU" w:hint="eastAsia"/>
          <w:b/>
          <w:bCs/>
          <w:lang w:eastAsia="zh-TW"/>
        </w:rPr>
        <w:t>與</w:t>
      </w:r>
      <w:r w:rsidRPr="005A3A39">
        <w:rPr>
          <w:rFonts w:eastAsia="PMingLiU"/>
          <w:b/>
          <w:bCs/>
          <w:lang w:eastAsia="zh-TW"/>
        </w:rPr>
        <w:t>2021</w:t>
      </w:r>
      <w:r w:rsidRPr="005A3A39">
        <w:rPr>
          <w:rFonts w:eastAsia="PMingLiU" w:hint="eastAsia"/>
          <w:b/>
          <w:bCs/>
          <w:lang w:eastAsia="zh-TW"/>
        </w:rPr>
        <w:t>年相比</w:t>
      </w:r>
      <w:r w:rsidRPr="005A3A39">
        <w:rPr>
          <w:rFonts w:eastAsia="PMingLiU" w:hint="eastAsia"/>
          <w:lang w:eastAsia="zh-TW"/>
        </w:rPr>
        <w:t>，漢高的</w:t>
      </w:r>
      <w:r w:rsidRPr="005A3A39">
        <w:rPr>
          <w:rFonts w:eastAsia="PMingLiU" w:hint="eastAsia"/>
          <w:b/>
          <w:bCs/>
          <w:lang w:eastAsia="zh-TW"/>
        </w:rPr>
        <w:t>範圍</w:t>
      </w:r>
      <w:r w:rsidRPr="005A3A39">
        <w:rPr>
          <w:rFonts w:eastAsia="PMingLiU"/>
          <w:b/>
          <w:bCs/>
          <w:lang w:eastAsia="zh-TW"/>
        </w:rPr>
        <w:t>1</w:t>
      </w:r>
      <w:r w:rsidRPr="005A3A39">
        <w:rPr>
          <w:rFonts w:eastAsia="PMingLiU" w:hint="eastAsia"/>
          <w:b/>
          <w:bCs/>
          <w:lang w:eastAsia="zh-TW"/>
        </w:rPr>
        <w:t>、範圍</w:t>
      </w:r>
      <w:r w:rsidRPr="005A3A39">
        <w:rPr>
          <w:rFonts w:eastAsia="PMingLiU"/>
          <w:b/>
          <w:bCs/>
          <w:lang w:eastAsia="zh-TW"/>
        </w:rPr>
        <w:t>2</w:t>
      </w:r>
      <w:r w:rsidRPr="005A3A39">
        <w:rPr>
          <w:rFonts w:eastAsia="PMingLiU" w:hint="eastAsia"/>
          <w:b/>
          <w:bCs/>
          <w:lang w:eastAsia="zh-TW"/>
        </w:rPr>
        <w:t>和範圍</w:t>
      </w:r>
      <w:r w:rsidRPr="005A3A39">
        <w:rPr>
          <w:rFonts w:eastAsia="PMingLiU"/>
          <w:b/>
          <w:bCs/>
          <w:lang w:eastAsia="zh-TW"/>
        </w:rPr>
        <w:t>3</w:t>
      </w:r>
      <w:r w:rsidRPr="005A3A39">
        <w:rPr>
          <w:rFonts w:eastAsia="PMingLiU" w:hint="eastAsia"/>
          <w:b/>
          <w:bCs/>
          <w:lang w:eastAsia="zh-TW"/>
        </w:rPr>
        <w:t>排放量減少了</w:t>
      </w:r>
      <w:r w:rsidRPr="005A3A39">
        <w:rPr>
          <w:rFonts w:eastAsia="PMingLiU"/>
          <w:b/>
          <w:bCs/>
          <w:lang w:eastAsia="zh-TW"/>
        </w:rPr>
        <w:t>29%</w:t>
      </w:r>
      <w:r w:rsidRPr="005A3A39">
        <w:rPr>
          <w:rFonts w:eastAsia="PMingLiU" w:hint="eastAsia"/>
          <w:lang w:eastAsia="zh-TW"/>
        </w:rPr>
        <w:t>；同時，其在</w:t>
      </w:r>
      <w:r w:rsidRPr="005A3A39">
        <w:rPr>
          <w:rFonts w:eastAsia="PMingLiU" w:hint="eastAsia"/>
          <w:b/>
          <w:bCs/>
          <w:lang w:eastAsia="zh-TW"/>
        </w:rPr>
        <w:t>全球</w:t>
      </w:r>
      <w:r w:rsidRPr="005A3A39">
        <w:rPr>
          <w:rFonts w:eastAsia="PMingLiU"/>
          <w:b/>
          <w:bCs/>
          <w:lang w:eastAsia="zh-TW"/>
        </w:rPr>
        <w:t>37</w:t>
      </w:r>
      <w:r w:rsidRPr="005A3A39">
        <w:rPr>
          <w:rFonts w:eastAsia="PMingLiU" w:hint="eastAsia"/>
          <w:b/>
          <w:bCs/>
          <w:lang w:eastAsia="zh-TW"/>
        </w:rPr>
        <w:t>個生產基地實現了碳中和</w:t>
      </w:r>
      <w:r w:rsidRPr="005A3A39">
        <w:rPr>
          <w:rFonts w:eastAsia="PMingLiU" w:hint="eastAsia"/>
          <w:lang w:eastAsia="zh-TW"/>
        </w:rPr>
        <w:t>。在這種情況下，漢高將其</w:t>
      </w:r>
      <w:r w:rsidRPr="005A3A39">
        <w:rPr>
          <w:rFonts w:eastAsia="PMingLiU" w:hint="eastAsia"/>
          <w:b/>
          <w:bCs/>
          <w:lang w:eastAsia="zh-TW"/>
        </w:rPr>
        <w:t>全球範圍內使用可再生能源電力的比例大幅提高至</w:t>
      </w:r>
      <w:r w:rsidRPr="005A3A39">
        <w:rPr>
          <w:rFonts w:eastAsia="PMingLiU"/>
          <w:b/>
          <w:bCs/>
          <w:lang w:eastAsia="zh-TW"/>
        </w:rPr>
        <w:t>97%</w:t>
      </w:r>
      <w:r w:rsidRPr="005A3A39">
        <w:rPr>
          <w:rFonts w:eastAsia="PMingLiU" w:hint="eastAsia"/>
          <w:lang w:eastAsia="zh-TW"/>
        </w:rPr>
        <w:t>。這些減排成果既得益於運營的優化，也體現了與供應商及合作夥伴的深化協作。</w:t>
      </w:r>
    </w:p>
    <w:p w14:paraId="50EBBD03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23C5A333" w14:textId="66D9A764" w:rsidR="000B2B33" w:rsidRPr="00CB6116" w:rsidRDefault="005A3A39" w:rsidP="005D639D">
      <w:pPr>
        <w:widowControl/>
        <w:spacing w:line="276" w:lineRule="auto"/>
        <w:ind w:hanging="1"/>
        <w:jc w:val="both"/>
        <w:rPr>
          <w:rFonts w:eastAsia="宋体"/>
          <w:b/>
          <w:lang w:eastAsia="zh-TW"/>
        </w:rPr>
      </w:pPr>
      <w:r w:rsidRPr="005A3A39">
        <w:rPr>
          <w:rFonts w:eastAsia="PMingLiU" w:hint="eastAsia"/>
          <w:lang w:eastAsia="zh-TW"/>
        </w:rPr>
        <w:t>漢高在環保方面的另一個重要舉措，就是致力於推動迴圈經濟的發展。公司已就消費品包裝中再生材料的使用比例，以及可回收設計的包裝比例，制定了明確目標。</w:t>
      </w:r>
      <w:r w:rsidRPr="005A3A39">
        <w:rPr>
          <w:rFonts w:eastAsia="PMingLiU" w:hint="eastAsia"/>
          <w:b/>
          <w:lang w:eastAsia="zh-TW"/>
        </w:rPr>
        <w:t>到</w:t>
      </w:r>
      <w:r w:rsidRPr="005A3A39">
        <w:rPr>
          <w:rFonts w:eastAsia="PMingLiU"/>
          <w:b/>
          <w:lang w:eastAsia="zh-TW"/>
        </w:rPr>
        <w:t>2030</w:t>
      </w:r>
      <w:r w:rsidRPr="005A3A39">
        <w:rPr>
          <w:rFonts w:eastAsia="PMingLiU" w:hint="eastAsia"/>
          <w:b/>
          <w:lang w:eastAsia="zh-TW"/>
        </w:rPr>
        <w:t>年，再生材料的使用比例預計將從目前的</w:t>
      </w:r>
      <w:r w:rsidRPr="005A3A39">
        <w:rPr>
          <w:rFonts w:eastAsia="PMingLiU"/>
          <w:b/>
          <w:lang w:eastAsia="zh-TW"/>
        </w:rPr>
        <w:t>28%</w:t>
      </w:r>
      <w:r w:rsidRPr="005A3A39">
        <w:rPr>
          <w:rFonts w:eastAsia="PMingLiU" w:hint="eastAsia"/>
          <w:b/>
          <w:lang w:eastAsia="zh-TW"/>
        </w:rPr>
        <w:t>提升至</w:t>
      </w:r>
      <w:r w:rsidRPr="005A3A39">
        <w:rPr>
          <w:rFonts w:eastAsia="PMingLiU"/>
          <w:b/>
          <w:lang w:eastAsia="zh-TW"/>
        </w:rPr>
        <w:t>35%</w:t>
      </w:r>
      <w:r w:rsidRPr="005A3A39">
        <w:rPr>
          <w:rFonts w:eastAsia="PMingLiU" w:hint="eastAsia"/>
          <w:b/>
          <w:lang w:eastAsia="zh-TW"/>
        </w:rPr>
        <w:t>以上。此外，漢高計畫到</w:t>
      </w:r>
      <w:r w:rsidRPr="005A3A39">
        <w:rPr>
          <w:rFonts w:eastAsia="PMingLiU"/>
          <w:b/>
          <w:lang w:eastAsia="zh-TW"/>
        </w:rPr>
        <w:t>2030</w:t>
      </w:r>
      <w:r w:rsidRPr="005A3A39">
        <w:rPr>
          <w:rFonts w:eastAsia="PMingLiU" w:hint="eastAsia"/>
          <w:b/>
          <w:lang w:eastAsia="zh-TW"/>
        </w:rPr>
        <w:t>年實現包裝</w:t>
      </w:r>
      <w:r w:rsidRPr="005A3A39">
        <w:rPr>
          <w:rFonts w:eastAsia="PMingLiU"/>
          <w:b/>
          <w:lang w:eastAsia="zh-TW"/>
        </w:rPr>
        <w:t>100%</w:t>
      </w:r>
      <w:r w:rsidRPr="005A3A39">
        <w:rPr>
          <w:rFonts w:eastAsia="PMingLiU" w:hint="eastAsia"/>
          <w:b/>
          <w:lang w:eastAsia="zh-TW"/>
        </w:rPr>
        <w:t>可回收設計，而目前這一比例已達到了</w:t>
      </w:r>
      <w:r w:rsidRPr="005A3A39">
        <w:rPr>
          <w:rFonts w:eastAsia="PMingLiU"/>
          <w:b/>
          <w:lang w:eastAsia="zh-TW"/>
        </w:rPr>
        <w:t>88%</w:t>
      </w:r>
      <w:r w:rsidRPr="005A3A39">
        <w:rPr>
          <w:rFonts w:eastAsia="PMingLiU" w:hint="eastAsia"/>
          <w:b/>
          <w:lang w:eastAsia="zh-TW"/>
        </w:rPr>
        <w:t>。</w:t>
      </w:r>
    </w:p>
    <w:p w14:paraId="7D9D2C43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b/>
          <w:lang w:eastAsia="zh-TW"/>
        </w:rPr>
      </w:pPr>
    </w:p>
    <w:p w14:paraId="33B4EDB6" w14:textId="35A813B6" w:rsidR="000B2B33" w:rsidRPr="00CB6116" w:rsidRDefault="005A3A39" w:rsidP="005D639D">
      <w:pPr>
        <w:pStyle w:val="BodyText"/>
        <w:widowControl/>
        <w:spacing w:line="276" w:lineRule="auto"/>
        <w:jc w:val="both"/>
        <w:rPr>
          <w:rFonts w:eastAsia="宋体"/>
          <w:lang w:eastAsia="zh-CN"/>
        </w:rPr>
      </w:pPr>
      <w:r w:rsidRPr="005A3A39">
        <w:rPr>
          <w:rFonts w:eastAsia="PMingLiU" w:hint="eastAsia"/>
          <w:lang w:eastAsia="zh-TW"/>
        </w:rPr>
        <w:t>憑藉</w:t>
      </w:r>
      <w:r w:rsidR="00F73778" w:rsidRPr="00F73778">
        <w:rPr>
          <w:rFonts w:asciiTheme="minorEastAsia" w:eastAsia="PMingLiU" w:hAnsiTheme="minorEastAsia" w:hint="eastAsia"/>
          <w:lang w:eastAsia="zh-TW"/>
        </w:rPr>
        <w:t>接著劑</w:t>
      </w:r>
      <w:r w:rsidRPr="005A3A39">
        <w:rPr>
          <w:rFonts w:eastAsia="PMingLiU" w:hint="eastAsia"/>
          <w:lang w:eastAsia="zh-TW"/>
        </w:rPr>
        <w:t>技術業務部門開發的專用</w:t>
      </w:r>
      <w:r w:rsidR="00F73778">
        <w:rPr>
          <w:rFonts w:eastAsia="PMingLiU" w:hint="eastAsia"/>
          <w:lang w:eastAsia="zh-TW"/>
        </w:rPr>
        <w:t>接著劑</w:t>
      </w:r>
      <w:r w:rsidRPr="005A3A39">
        <w:rPr>
          <w:rFonts w:eastAsia="PMingLiU" w:hint="eastAsia"/>
          <w:lang w:eastAsia="zh-TW"/>
        </w:rPr>
        <w:t>解決方案，漢高也為可回收包裝的發展貢獻了力量。漢高在其杜塞爾多夫和上海的客戶中心內設有專門的“包裝回收實驗室”，這些解決方案均在此接受測試。</w:t>
      </w:r>
    </w:p>
    <w:p w14:paraId="59563178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782C789F" w14:textId="381F7683" w:rsidR="000B2B33" w:rsidRPr="00CB6116" w:rsidRDefault="005A3A39" w:rsidP="005D639D">
      <w:pPr>
        <w:pStyle w:val="Heading1"/>
        <w:widowControl/>
        <w:ind w:left="0" w:firstLine="0"/>
        <w:jc w:val="both"/>
        <w:rPr>
          <w:rFonts w:eastAsia="宋体"/>
          <w:lang w:eastAsia="zh-CN"/>
        </w:rPr>
      </w:pPr>
      <w:r w:rsidRPr="005A3A39">
        <w:rPr>
          <w:rFonts w:eastAsia="PMingLiU" w:hint="eastAsia"/>
          <w:lang w:eastAsia="zh-TW"/>
        </w:rPr>
        <w:t>在全球範圍內推動員工平等</w:t>
      </w:r>
    </w:p>
    <w:p w14:paraId="27DA0E0C" w14:textId="0B3C3BD6" w:rsidR="000B2B33" w:rsidRPr="00CB6116" w:rsidRDefault="005A3A39" w:rsidP="005D639D">
      <w:pPr>
        <w:widowControl/>
        <w:spacing w:line="276" w:lineRule="auto"/>
        <w:jc w:val="both"/>
        <w:rPr>
          <w:rFonts w:eastAsia="宋体"/>
          <w:lang w:eastAsia="zh-TW"/>
        </w:rPr>
      </w:pPr>
      <w:r w:rsidRPr="005A3A39">
        <w:rPr>
          <w:rFonts w:eastAsia="PMingLiU" w:hint="eastAsia"/>
          <w:lang w:eastAsia="zh-TW"/>
        </w:rPr>
        <w:t>漢高再次重申了其對機會平等、包容的工作環境以及實現公平薪酬的承諾。</w:t>
      </w:r>
      <w:r w:rsidRPr="005A3A39">
        <w:rPr>
          <w:rFonts w:eastAsia="PMingLiU" w:hint="eastAsia"/>
          <w:b/>
          <w:lang w:eastAsia="zh-TW"/>
        </w:rPr>
        <w:t>到</w:t>
      </w:r>
      <w:r w:rsidRPr="005A3A39">
        <w:rPr>
          <w:rFonts w:eastAsia="PMingLiU"/>
          <w:b/>
          <w:lang w:eastAsia="zh-TW"/>
        </w:rPr>
        <w:t>2030</w:t>
      </w:r>
      <w:r w:rsidRPr="005A3A39">
        <w:rPr>
          <w:rFonts w:eastAsia="PMingLiU" w:hint="eastAsia"/>
          <w:b/>
          <w:lang w:eastAsia="zh-TW"/>
        </w:rPr>
        <w:t>年，公司努力實現全球管理層的性別平衡，即各性別在各級管理層中的占比均超過</w:t>
      </w:r>
      <w:r w:rsidRPr="005A3A39">
        <w:rPr>
          <w:rFonts w:eastAsia="PMingLiU"/>
          <w:b/>
          <w:lang w:eastAsia="zh-TW"/>
        </w:rPr>
        <w:t>45%</w:t>
      </w:r>
      <w:r w:rsidRPr="005A3A39">
        <w:rPr>
          <w:rFonts w:eastAsia="PMingLiU" w:hint="eastAsia"/>
          <w:b/>
          <w:lang w:eastAsia="zh-TW"/>
        </w:rPr>
        <w:t>。</w:t>
      </w:r>
      <w:r w:rsidRPr="005A3A39">
        <w:rPr>
          <w:rFonts w:eastAsia="PMingLiU" w:hint="eastAsia"/>
          <w:bCs/>
          <w:lang w:eastAsia="zh-TW"/>
        </w:rPr>
        <w:t>截至</w:t>
      </w:r>
      <w:r w:rsidRPr="005A3A39">
        <w:rPr>
          <w:rFonts w:eastAsia="PMingLiU"/>
          <w:bCs/>
          <w:lang w:eastAsia="zh-TW"/>
        </w:rPr>
        <w:t>2025</w:t>
      </w:r>
      <w:r w:rsidRPr="005A3A39">
        <w:rPr>
          <w:rFonts w:eastAsia="PMingLiU" w:hint="eastAsia"/>
          <w:bCs/>
          <w:lang w:eastAsia="zh-TW"/>
        </w:rPr>
        <w:t>年底，女性在管理層中的占比已突破</w:t>
      </w:r>
      <w:r w:rsidRPr="005A3A39">
        <w:rPr>
          <w:rFonts w:eastAsia="PMingLiU"/>
          <w:bCs/>
          <w:lang w:eastAsia="zh-TW"/>
        </w:rPr>
        <w:t>43%</w:t>
      </w:r>
      <w:r w:rsidRPr="005A3A39">
        <w:rPr>
          <w:rFonts w:eastAsia="PMingLiU" w:hint="eastAsia"/>
          <w:lang w:eastAsia="zh-TW"/>
        </w:rPr>
        <w:t>。</w:t>
      </w:r>
      <w:r w:rsidRPr="005A3A39">
        <w:rPr>
          <w:rFonts w:eastAsia="PMingLiU" w:hint="eastAsia"/>
          <w:b/>
          <w:bCs/>
          <w:lang w:eastAsia="zh-TW"/>
        </w:rPr>
        <w:t>這既是一重要里程碑，也展現了切實的成果</w:t>
      </w:r>
      <w:r w:rsidRPr="005A3A39">
        <w:rPr>
          <w:rFonts w:eastAsia="PMingLiU" w:hint="eastAsia"/>
          <w:lang w:eastAsia="zh-TW"/>
        </w:rPr>
        <w:t>。此外，</w:t>
      </w:r>
      <w:r w:rsidRPr="005A3A39">
        <w:rPr>
          <w:rFonts w:eastAsia="PMingLiU" w:hint="eastAsia"/>
          <w:b/>
          <w:bCs/>
          <w:lang w:eastAsia="zh-TW"/>
        </w:rPr>
        <w:t>漢高力爭到</w:t>
      </w:r>
      <w:r w:rsidRPr="005A3A39">
        <w:rPr>
          <w:rFonts w:eastAsia="PMingLiU"/>
          <w:b/>
          <w:bCs/>
          <w:lang w:eastAsia="zh-TW"/>
        </w:rPr>
        <w:t>2030</w:t>
      </w:r>
      <w:r w:rsidRPr="005A3A39">
        <w:rPr>
          <w:rFonts w:eastAsia="PMingLiU" w:hint="eastAsia"/>
          <w:b/>
          <w:bCs/>
          <w:lang w:eastAsia="zh-TW"/>
        </w:rPr>
        <w:t>年在全球範圍內實現薪酬平等</w:t>
      </w:r>
      <w:r w:rsidRPr="005A3A39">
        <w:rPr>
          <w:rFonts w:eastAsia="PMingLiU" w:hint="eastAsia"/>
          <w:lang w:eastAsia="zh-TW"/>
        </w:rPr>
        <w:t>。這兩項目標的推進均遵循當地法律法規，並採取了因地制宜的策略。</w:t>
      </w:r>
    </w:p>
    <w:p w14:paraId="57CBB357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TW"/>
        </w:rPr>
      </w:pPr>
    </w:p>
    <w:p w14:paraId="3A93891B" w14:textId="0E279509" w:rsidR="000B2B33" w:rsidRPr="00CB6116" w:rsidRDefault="005A3A39" w:rsidP="005D639D">
      <w:pPr>
        <w:pStyle w:val="Heading1"/>
        <w:widowControl/>
        <w:ind w:left="0" w:firstLine="0"/>
        <w:jc w:val="both"/>
        <w:rPr>
          <w:rFonts w:eastAsia="宋体"/>
          <w:lang w:eastAsia="zh-TW"/>
        </w:rPr>
      </w:pPr>
      <w:r w:rsidRPr="005A3A39">
        <w:rPr>
          <w:rFonts w:eastAsia="PMingLiU" w:hint="eastAsia"/>
          <w:lang w:eastAsia="zh-TW"/>
        </w:rPr>
        <w:t>攜手共建更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的供應鏈</w:t>
      </w:r>
    </w:p>
    <w:p w14:paraId="562150FC" w14:textId="782A5DEE" w:rsidR="000B2B33" w:rsidRPr="00CB6116" w:rsidRDefault="005A3A39" w:rsidP="005D639D">
      <w:pPr>
        <w:pStyle w:val="BodyText"/>
        <w:widowControl/>
        <w:spacing w:line="276" w:lineRule="auto"/>
        <w:jc w:val="both"/>
        <w:rPr>
          <w:rFonts w:eastAsia="宋体"/>
          <w:lang w:eastAsia="zh-TW"/>
        </w:rPr>
      </w:pPr>
      <w:r w:rsidRPr="005A3A39">
        <w:rPr>
          <w:rFonts w:eastAsia="PMingLiU" w:hint="eastAsia"/>
          <w:lang w:eastAsia="zh-TW"/>
        </w:rPr>
        <w:t>漢高正加大力度，與供應商緊密合作，提升整個供應鏈的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發展標準。公司系統性地評估業務夥伴在安全、健康、環保、社會標準及公平商業實踐方面的表現。到</w:t>
      </w:r>
      <w:r w:rsidRPr="005A3A39">
        <w:rPr>
          <w:rFonts w:eastAsia="PMingLiU"/>
          <w:lang w:eastAsia="zh-TW"/>
        </w:rPr>
        <w:t>2030</w:t>
      </w:r>
      <w:r w:rsidRPr="005A3A39">
        <w:rPr>
          <w:rFonts w:eastAsia="PMingLiU" w:hint="eastAsia"/>
          <w:lang w:eastAsia="zh-TW"/>
        </w:rPr>
        <w:t>年，</w:t>
      </w:r>
      <w:r w:rsidRPr="005A3A39">
        <w:rPr>
          <w:rFonts w:eastAsia="PMingLiU" w:hint="eastAsia"/>
          <w:b/>
          <w:bCs/>
          <w:lang w:eastAsia="zh-TW"/>
        </w:rPr>
        <w:t>預計漢高</w:t>
      </w:r>
      <w:r w:rsidRPr="005A3A39">
        <w:rPr>
          <w:rFonts w:eastAsia="PMingLiU"/>
          <w:b/>
          <w:bCs/>
          <w:lang w:eastAsia="zh-TW"/>
        </w:rPr>
        <w:t>85%</w:t>
      </w:r>
      <w:r w:rsidRPr="005A3A39">
        <w:rPr>
          <w:rFonts w:eastAsia="PMingLiU" w:hint="eastAsia"/>
          <w:b/>
          <w:bCs/>
          <w:lang w:eastAsia="zh-TW"/>
        </w:rPr>
        <w:t>的供應商將符合公司的</w:t>
      </w:r>
      <w:r>
        <w:rPr>
          <w:rFonts w:eastAsia="PMingLiU" w:hint="eastAsia"/>
          <w:b/>
          <w:bCs/>
          <w:lang w:eastAsia="zh-TW"/>
        </w:rPr>
        <w:t>永續</w:t>
      </w:r>
      <w:r w:rsidRPr="005A3A39">
        <w:rPr>
          <w:rFonts w:eastAsia="PMingLiU" w:hint="eastAsia"/>
          <w:b/>
          <w:bCs/>
          <w:lang w:eastAsia="zh-TW"/>
        </w:rPr>
        <w:t>發展標準。</w:t>
      </w:r>
      <w:proofErr w:type="gramStart"/>
      <w:r w:rsidRPr="005A3A39">
        <w:rPr>
          <w:rFonts w:eastAsia="PMingLiU" w:hint="eastAsia"/>
          <w:lang w:eastAsia="zh-TW"/>
        </w:rPr>
        <w:t>例如“</w:t>
      </w:r>
      <w:proofErr w:type="gramEnd"/>
      <w:r w:rsidRPr="005A3A39">
        <w:rPr>
          <w:rFonts w:eastAsia="PMingLiU" w:hint="eastAsia"/>
          <w:lang w:eastAsia="zh-TW"/>
        </w:rPr>
        <w:t>攜手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發展（</w:t>
      </w:r>
      <w:proofErr w:type="spellStart"/>
      <w:r w:rsidRPr="005A3A39">
        <w:rPr>
          <w:rFonts w:eastAsia="PMingLiU"/>
          <w:lang w:eastAsia="zh-TW"/>
        </w:rPr>
        <w:t>TfS</w:t>
      </w:r>
      <w:proofErr w:type="spellEnd"/>
      <w:proofErr w:type="gramStart"/>
      <w:r w:rsidRPr="005A3A39">
        <w:rPr>
          <w:rFonts w:eastAsia="PMingLiU" w:hint="eastAsia"/>
          <w:lang w:eastAsia="zh-TW"/>
        </w:rPr>
        <w:t>）”等跨行業倡議</w:t>
      </w:r>
      <w:proofErr w:type="gramEnd"/>
      <w:r w:rsidRPr="005A3A39">
        <w:rPr>
          <w:rFonts w:eastAsia="PMingLiU" w:hint="eastAsia"/>
          <w:lang w:eastAsia="zh-TW"/>
        </w:rPr>
        <w:t>，以及針對中小型供應商的專項扶持計畫，是實現這一目標的關鍵驅動力。</w:t>
      </w:r>
    </w:p>
    <w:p w14:paraId="176323F0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TW"/>
        </w:rPr>
      </w:pPr>
    </w:p>
    <w:p w14:paraId="0C6FF825" w14:textId="35F3C9FD" w:rsidR="000B2B33" w:rsidRPr="00CB6116" w:rsidRDefault="005A3A39" w:rsidP="005D639D">
      <w:pPr>
        <w:pStyle w:val="BodyText"/>
        <w:widowControl/>
        <w:spacing w:line="276" w:lineRule="auto"/>
        <w:jc w:val="both"/>
        <w:rPr>
          <w:rFonts w:eastAsia="宋体"/>
          <w:lang w:eastAsia="zh-CN"/>
        </w:rPr>
      </w:pPr>
      <w:bookmarkStart w:id="0" w:name="OLE_LINK2"/>
      <w:r w:rsidRPr="005A3A39">
        <w:rPr>
          <w:rFonts w:eastAsia="PMingLiU" w:hint="eastAsia"/>
          <w:lang w:eastAsia="zh-TW"/>
        </w:rPr>
        <w:t>漢高的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發展成就獲得了國際權威評估機構的高度認可。在</w:t>
      </w:r>
      <w:r w:rsidRPr="005A3A39">
        <w:rPr>
          <w:rFonts w:eastAsia="PMingLiU"/>
          <w:lang w:eastAsia="zh-TW"/>
        </w:rPr>
        <w:t>2025</w:t>
      </w:r>
      <w:r w:rsidRPr="005A3A39">
        <w:rPr>
          <w:rFonts w:eastAsia="PMingLiU" w:hint="eastAsia"/>
          <w:lang w:eastAsia="zh-TW"/>
        </w:rPr>
        <w:t>年</w:t>
      </w:r>
      <w:r w:rsidRPr="005A3A39">
        <w:rPr>
          <w:rFonts w:eastAsia="PMingLiU"/>
          <w:lang w:eastAsia="zh-TW"/>
        </w:rPr>
        <w:t>CDP</w:t>
      </w:r>
      <w:r w:rsidRPr="005A3A39">
        <w:rPr>
          <w:rFonts w:eastAsia="PMingLiU" w:hint="eastAsia"/>
          <w:lang w:eastAsia="zh-TW"/>
        </w:rPr>
        <w:t>評估中，漢高首次榮獲氣候保護</w:t>
      </w:r>
      <w:r w:rsidRPr="005A3A39">
        <w:rPr>
          <w:rFonts w:eastAsia="PMingLiU"/>
          <w:lang w:eastAsia="zh-TW"/>
        </w:rPr>
        <w:t>A</w:t>
      </w:r>
      <w:r w:rsidRPr="005A3A39">
        <w:rPr>
          <w:rFonts w:eastAsia="PMingLiU" w:hint="eastAsia"/>
          <w:lang w:eastAsia="zh-TW"/>
        </w:rPr>
        <w:t>級評級；而在最新的</w:t>
      </w:r>
      <w:proofErr w:type="spellStart"/>
      <w:r w:rsidRPr="005A3A39">
        <w:rPr>
          <w:rFonts w:eastAsia="PMingLiU"/>
          <w:lang w:eastAsia="zh-TW"/>
        </w:rPr>
        <w:t>EcoVadis</w:t>
      </w:r>
      <w:proofErr w:type="spellEnd"/>
      <w:r w:rsidRPr="005A3A39">
        <w:rPr>
          <w:rFonts w:eastAsia="PMingLiU" w:hint="eastAsia"/>
          <w:lang w:eastAsia="zh-TW"/>
        </w:rPr>
        <w:t>評級中，公司表現持續精進，</w:t>
      </w:r>
      <w:proofErr w:type="gramStart"/>
      <w:r w:rsidRPr="005A3A39">
        <w:rPr>
          <w:rFonts w:eastAsia="PMingLiU" w:hint="eastAsia"/>
          <w:lang w:eastAsia="zh-TW"/>
        </w:rPr>
        <w:t>再度斬獲“金牌”殊榮</w:t>
      </w:r>
      <w:proofErr w:type="gramEnd"/>
      <w:r w:rsidRPr="005A3A39">
        <w:rPr>
          <w:rFonts w:eastAsia="PMingLiU" w:hint="eastAsia"/>
          <w:lang w:eastAsia="zh-TW"/>
        </w:rPr>
        <w:t>。</w:t>
      </w:r>
    </w:p>
    <w:bookmarkEnd w:id="0"/>
    <w:p w14:paraId="62BFE5C5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lang w:eastAsia="zh-CN"/>
        </w:rPr>
      </w:pPr>
    </w:p>
    <w:p w14:paraId="0FDA5AC4" w14:textId="1700D81A" w:rsidR="000B2B33" w:rsidRPr="00CB6116" w:rsidRDefault="005A3A39" w:rsidP="005D639D">
      <w:pPr>
        <w:pStyle w:val="BodyText"/>
        <w:widowControl/>
        <w:jc w:val="both"/>
        <w:rPr>
          <w:rFonts w:eastAsia="宋体"/>
          <w:lang w:eastAsia="zh-CN"/>
        </w:rPr>
      </w:pPr>
      <w:r w:rsidRPr="005A3A39">
        <w:rPr>
          <w:rFonts w:eastAsia="PMingLiU" w:hint="eastAsia"/>
          <w:lang w:eastAsia="zh-TW"/>
        </w:rPr>
        <w:t>請點擊</w:t>
      </w:r>
      <w:hyperlink r:id="rId13" w:history="1">
        <w:r w:rsidRPr="005A3A39">
          <w:rPr>
            <w:rStyle w:val="Hyperlink"/>
            <w:rFonts w:eastAsia="PMingLiU" w:hint="eastAsia"/>
            <w:lang w:eastAsia="zh-TW"/>
          </w:rPr>
          <w:t>此處</w:t>
        </w:r>
      </w:hyperlink>
      <w:r w:rsidRPr="005A3A39">
        <w:rPr>
          <w:rFonts w:eastAsia="PMingLiU" w:hint="eastAsia"/>
          <w:lang w:eastAsia="zh-TW"/>
        </w:rPr>
        <w:t>，查看全新的</w:t>
      </w:r>
      <w:r>
        <w:rPr>
          <w:rFonts w:eastAsia="PMingLiU" w:hint="eastAsia"/>
          <w:lang w:eastAsia="zh-TW"/>
        </w:rPr>
        <w:t>永續</w:t>
      </w:r>
      <w:r w:rsidRPr="005A3A39">
        <w:rPr>
          <w:rFonts w:eastAsia="PMingLiU" w:hint="eastAsia"/>
          <w:lang w:eastAsia="zh-TW"/>
        </w:rPr>
        <w:t>發展目標完整內容。</w:t>
      </w:r>
    </w:p>
    <w:p w14:paraId="547BEA43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sz w:val="20"/>
          <w:lang w:eastAsia="zh-CN"/>
        </w:rPr>
      </w:pPr>
    </w:p>
    <w:p w14:paraId="30D6E761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sz w:val="21"/>
          <w:lang w:eastAsia="zh-CN"/>
        </w:rPr>
      </w:pPr>
    </w:p>
    <w:p w14:paraId="58A7534E" w14:textId="609EF799" w:rsidR="000B2B33" w:rsidRPr="00CB6116" w:rsidRDefault="005A3A39" w:rsidP="005D639D">
      <w:pPr>
        <w:widowControl/>
        <w:jc w:val="both"/>
        <w:rPr>
          <w:rFonts w:eastAsia="宋体"/>
          <w:i/>
          <w:sz w:val="18"/>
          <w:lang w:eastAsia="zh-CN"/>
        </w:rPr>
      </w:pPr>
      <w:r w:rsidRPr="005A3A39">
        <w:rPr>
          <w:rFonts w:eastAsia="PMingLiU"/>
          <w:i/>
          <w:sz w:val="18"/>
          <w:lang w:eastAsia="zh-TW"/>
        </w:rPr>
        <w:t>*</w:t>
      </w:r>
      <w:r w:rsidRPr="005A3A39">
        <w:rPr>
          <w:rFonts w:eastAsia="PMingLiU" w:hint="eastAsia"/>
          <w:i/>
          <w:sz w:val="18"/>
          <w:lang w:eastAsia="zh-TW"/>
        </w:rPr>
        <w:t>符合當地法律要求，並採取了因地制宜的策略。</w:t>
      </w:r>
    </w:p>
    <w:p w14:paraId="5D37DB3D" w14:textId="77777777" w:rsidR="00C45B51" w:rsidRPr="00CB6116" w:rsidRDefault="00C45B51" w:rsidP="005D639D">
      <w:pPr>
        <w:pStyle w:val="BodyText"/>
        <w:widowControl/>
        <w:jc w:val="both"/>
        <w:rPr>
          <w:rFonts w:eastAsia="宋体"/>
          <w:i/>
          <w:sz w:val="24"/>
          <w:lang w:eastAsia="zh-CN"/>
        </w:rPr>
      </w:pPr>
    </w:p>
    <w:p w14:paraId="42E2ADBE" w14:textId="77777777" w:rsidR="00C45B51" w:rsidRDefault="00C45B51" w:rsidP="005D639D">
      <w:pPr>
        <w:pStyle w:val="BodyText"/>
        <w:widowControl/>
        <w:jc w:val="both"/>
        <w:rPr>
          <w:rFonts w:eastAsia="宋体"/>
          <w:i/>
          <w:sz w:val="20"/>
          <w:lang w:eastAsia="zh-CN"/>
        </w:rPr>
      </w:pPr>
    </w:p>
    <w:p w14:paraId="101E6057" w14:textId="77777777" w:rsidR="00DF534F" w:rsidRDefault="00DF534F" w:rsidP="005D639D">
      <w:pPr>
        <w:pStyle w:val="BodyText"/>
        <w:widowControl/>
        <w:jc w:val="both"/>
        <w:rPr>
          <w:rFonts w:eastAsia="宋体"/>
          <w:i/>
          <w:sz w:val="20"/>
          <w:lang w:eastAsia="zh-CN"/>
        </w:rPr>
      </w:pPr>
    </w:p>
    <w:p w14:paraId="7D671B4F" w14:textId="77777777" w:rsidR="00DF534F" w:rsidRPr="00CB6116" w:rsidRDefault="00DF534F" w:rsidP="005D639D">
      <w:pPr>
        <w:pStyle w:val="BodyText"/>
        <w:widowControl/>
        <w:jc w:val="both"/>
        <w:rPr>
          <w:rFonts w:eastAsia="宋体"/>
          <w:i/>
          <w:sz w:val="20"/>
          <w:lang w:eastAsia="zh-CN"/>
        </w:rPr>
      </w:pPr>
    </w:p>
    <w:p w14:paraId="2732978A" w14:textId="4A3E4A7B" w:rsidR="000B2B33" w:rsidRPr="00CB6116" w:rsidRDefault="005A3A39" w:rsidP="005D639D">
      <w:pPr>
        <w:widowControl/>
        <w:jc w:val="both"/>
        <w:rPr>
          <w:rFonts w:eastAsia="宋体"/>
          <w:b/>
          <w:sz w:val="18"/>
          <w:lang w:eastAsia="zh-CN"/>
        </w:rPr>
      </w:pPr>
      <w:r w:rsidRPr="005A3A39">
        <w:rPr>
          <w:rFonts w:eastAsia="PMingLiU" w:hint="eastAsia"/>
          <w:b/>
          <w:sz w:val="18"/>
          <w:lang w:eastAsia="zh-TW"/>
        </w:rPr>
        <w:lastRenderedPageBreak/>
        <w:t>關於漢高</w:t>
      </w:r>
    </w:p>
    <w:p w14:paraId="7FF51D1A" w14:textId="692D00A2" w:rsidR="00632853" w:rsidRPr="00002C0B" w:rsidRDefault="005A3A39" w:rsidP="00002C0B">
      <w:pPr>
        <w:widowControl/>
        <w:spacing w:line="276" w:lineRule="auto"/>
        <w:jc w:val="both"/>
        <w:rPr>
          <w:rFonts w:eastAsia="宋体"/>
          <w:sz w:val="18"/>
          <w:lang w:eastAsia="zh-CN"/>
        </w:rPr>
      </w:pPr>
      <w:r w:rsidRPr="005A3A39">
        <w:rPr>
          <w:rFonts w:eastAsia="PMingLiU" w:hint="eastAsia"/>
          <w:sz w:val="18"/>
          <w:lang w:eastAsia="zh-TW"/>
        </w:rPr>
        <w:t>漢高憑藉其品牌、創新和技術，在全球工業和消費品領域中擁有領先的市場地位。漢高</w:t>
      </w:r>
      <w:r w:rsidR="00F73778">
        <w:rPr>
          <w:rFonts w:eastAsia="PMingLiU" w:hint="eastAsia"/>
          <w:sz w:val="18"/>
          <w:lang w:eastAsia="zh-TW"/>
        </w:rPr>
        <w:t>接著劑</w:t>
      </w:r>
      <w:r w:rsidRPr="005A3A39">
        <w:rPr>
          <w:rFonts w:eastAsia="PMingLiU" w:hint="eastAsia"/>
          <w:sz w:val="18"/>
          <w:lang w:eastAsia="zh-TW"/>
        </w:rPr>
        <w:t>技術業務部是全球</w:t>
      </w:r>
      <w:r w:rsidR="00F73778">
        <w:rPr>
          <w:rFonts w:eastAsia="PMingLiU" w:hint="eastAsia"/>
          <w:sz w:val="18"/>
          <w:lang w:eastAsia="zh-TW"/>
        </w:rPr>
        <w:t>接著劑</w:t>
      </w:r>
      <w:r w:rsidRPr="005A3A39">
        <w:rPr>
          <w:rFonts w:eastAsia="PMingLiU" w:hint="eastAsia"/>
          <w:sz w:val="18"/>
          <w:lang w:eastAsia="zh-TW"/>
        </w:rPr>
        <w:t>、密封劑和功能性塗層市場的領導者。漢高消費品牌在各國市場和品類佔據領先地位，在洗滌劑及家用護理和美髮領域尤為突出。樂泰（</w:t>
      </w:r>
      <w:r w:rsidRPr="005A3A39">
        <w:rPr>
          <w:rFonts w:eastAsia="PMingLiU"/>
          <w:sz w:val="18"/>
          <w:lang w:eastAsia="zh-TW"/>
        </w:rPr>
        <w:t>Loctite</w:t>
      </w:r>
      <w:r w:rsidRPr="005A3A39">
        <w:rPr>
          <w:rFonts w:eastAsia="PMingLiU" w:hint="eastAsia"/>
          <w:sz w:val="18"/>
          <w:lang w:eastAsia="zh-TW"/>
        </w:rPr>
        <w:t>）、寶瑩（</w:t>
      </w:r>
      <w:r w:rsidRPr="005A3A39">
        <w:rPr>
          <w:rFonts w:eastAsia="PMingLiU"/>
          <w:sz w:val="18"/>
          <w:lang w:eastAsia="zh-TW"/>
        </w:rPr>
        <w:t xml:space="preserve"> Persil</w:t>
      </w:r>
      <w:r w:rsidRPr="005A3A39">
        <w:rPr>
          <w:rFonts w:eastAsia="PMingLiU" w:hint="eastAsia"/>
          <w:sz w:val="18"/>
          <w:lang w:eastAsia="zh-TW"/>
        </w:rPr>
        <w:t>）和施華蔻（</w:t>
      </w:r>
      <w:r w:rsidRPr="005A3A39">
        <w:rPr>
          <w:rFonts w:eastAsia="PMingLiU"/>
          <w:sz w:val="18"/>
          <w:lang w:eastAsia="zh-TW"/>
        </w:rPr>
        <w:t>Schwarzkopf</w:t>
      </w:r>
      <w:r w:rsidRPr="005A3A39">
        <w:rPr>
          <w:rFonts w:eastAsia="PMingLiU" w:hint="eastAsia"/>
          <w:sz w:val="18"/>
          <w:lang w:eastAsia="zh-TW"/>
        </w:rPr>
        <w:t>）是公司的三大核心品牌。</w:t>
      </w:r>
      <w:r w:rsidRPr="005A3A39">
        <w:rPr>
          <w:rFonts w:eastAsia="PMingLiU"/>
          <w:sz w:val="18"/>
          <w:lang w:eastAsia="zh-TW"/>
        </w:rPr>
        <w:t>2025</w:t>
      </w:r>
      <w:r w:rsidRPr="005A3A39">
        <w:rPr>
          <w:rFonts w:eastAsia="PMingLiU" w:hint="eastAsia"/>
          <w:sz w:val="18"/>
          <w:lang w:eastAsia="zh-TW"/>
        </w:rPr>
        <w:t>財年，漢高實現銷售額約</w:t>
      </w:r>
      <w:r w:rsidRPr="005A3A39">
        <w:rPr>
          <w:rFonts w:eastAsia="PMingLiU"/>
          <w:sz w:val="18"/>
          <w:lang w:eastAsia="zh-TW"/>
        </w:rPr>
        <w:t>205</w:t>
      </w:r>
      <w:r w:rsidRPr="005A3A39">
        <w:rPr>
          <w:rFonts w:eastAsia="PMingLiU" w:hint="eastAsia"/>
          <w:sz w:val="18"/>
          <w:lang w:eastAsia="zh-TW"/>
        </w:rPr>
        <w:t>億歐元，調整後營業利潤約為</w:t>
      </w:r>
      <w:r w:rsidRPr="005A3A39">
        <w:rPr>
          <w:rFonts w:eastAsia="PMingLiU"/>
          <w:sz w:val="18"/>
          <w:lang w:eastAsia="zh-TW"/>
        </w:rPr>
        <w:t>30</w:t>
      </w:r>
      <w:r w:rsidRPr="005A3A39">
        <w:rPr>
          <w:rFonts w:eastAsia="PMingLiU" w:hint="eastAsia"/>
          <w:sz w:val="18"/>
          <w:lang w:eastAsia="zh-TW"/>
        </w:rPr>
        <w:t>億歐元。漢高的優先股已列入德國</w:t>
      </w:r>
      <w:r w:rsidRPr="005A3A39">
        <w:rPr>
          <w:rFonts w:eastAsia="PMingLiU"/>
          <w:sz w:val="18"/>
          <w:lang w:eastAsia="zh-TW"/>
        </w:rPr>
        <w:t>DAX</w:t>
      </w:r>
      <w:r w:rsidRPr="005A3A39">
        <w:rPr>
          <w:rFonts w:eastAsia="PMingLiU" w:hint="eastAsia"/>
          <w:sz w:val="18"/>
          <w:lang w:eastAsia="zh-TW"/>
        </w:rPr>
        <w:t>指數。</w:t>
      </w:r>
      <w:r>
        <w:rPr>
          <w:rFonts w:eastAsia="PMingLiU" w:hint="eastAsia"/>
          <w:sz w:val="18"/>
          <w:lang w:eastAsia="zh-TW"/>
        </w:rPr>
        <w:t>永續</w:t>
      </w:r>
      <w:r w:rsidRPr="005A3A39">
        <w:rPr>
          <w:rFonts w:eastAsia="PMingLiU" w:hint="eastAsia"/>
          <w:sz w:val="18"/>
          <w:lang w:eastAsia="zh-TW"/>
        </w:rPr>
        <w:t>發展在漢高有著悠久的傳統，公司確立有明晰的</w:t>
      </w:r>
      <w:r>
        <w:rPr>
          <w:rFonts w:eastAsia="PMingLiU" w:hint="eastAsia"/>
          <w:sz w:val="18"/>
          <w:lang w:eastAsia="zh-TW"/>
        </w:rPr>
        <w:t>永續</w:t>
      </w:r>
      <w:r w:rsidRPr="005A3A39">
        <w:rPr>
          <w:rFonts w:eastAsia="PMingLiU" w:hint="eastAsia"/>
          <w:sz w:val="18"/>
          <w:lang w:eastAsia="zh-TW"/>
        </w:rPr>
        <w:t>發展戰略和具體目標。成立于</w:t>
      </w:r>
      <w:r w:rsidRPr="005A3A39">
        <w:rPr>
          <w:rFonts w:eastAsia="PMingLiU"/>
          <w:sz w:val="18"/>
          <w:lang w:eastAsia="zh-TW"/>
        </w:rPr>
        <w:t>1876</w:t>
      </w:r>
      <w:r w:rsidRPr="005A3A39">
        <w:rPr>
          <w:rFonts w:eastAsia="PMingLiU" w:hint="eastAsia"/>
          <w:sz w:val="18"/>
          <w:lang w:eastAsia="zh-TW"/>
        </w:rPr>
        <w:t>年，漢高如今在全球範圍內約有</w:t>
      </w:r>
      <w:r w:rsidRPr="005A3A39">
        <w:rPr>
          <w:rFonts w:eastAsia="PMingLiU"/>
          <w:sz w:val="18"/>
          <w:lang w:eastAsia="zh-TW"/>
        </w:rPr>
        <w:t>4.7</w:t>
      </w:r>
      <w:r w:rsidRPr="005A3A39">
        <w:rPr>
          <w:rFonts w:eastAsia="PMingLiU" w:hint="eastAsia"/>
          <w:sz w:val="18"/>
          <w:lang w:eastAsia="zh-TW"/>
        </w:rPr>
        <w:t>萬名員工，在強大的企業文化、共同的價值觀與企業目標“</w:t>
      </w:r>
      <w:r w:rsidRPr="005A3A39">
        <w:rPr>
          <w:rFonts w:eastAsia="PMingLiU"/>
          <w:sz w:val="18"/>
          <w:lang w:eastAsia="zh-TW"/>
        </w:rPr>
        <w:t>Pioneers at heart for the good of generations”</w:t>
      </w:r>
      <w:r w:rsidRPr="005A3A39">
        <w:rPr>
          <w:rFonts w:eastAsia="PMingLiU" w:hint="eastAsia"/>
          <w:sz w:val="18"/>
          <w:lang w:eastAsia="zh-TW"/>
        </w:rPr>
        <w:t>的引領下，融合為一支多元化的團隊。更多資訊，敬請訪問</w:t>
      </w:r>
      <w:r w:rsidRPr="005A3A39">
        <w:rPr>
          <w:rFonts w:eastAsia="PMingLiU"/>
          <w:sz w:val="18"/>
          <w:lang w:eastAsia="zh-TW"/>
        </w:rPr>
        <w:t xml:space="preserve"> </w:t>
      </w:r>
      <w:hyperlink r:id="rId14" w:history="1">
        <w:r w:rsidRPr="005A3A39">
          <w:rPr>
            <w:rStyle w:val="Hyperlink"/>
            <w:rFonts w:eastAsia="PMingLiU"/>
            <w:sz w:val="18"/>
            <w:lang w:eastAsia="zh-TW"/>
          </w:rPr>
          <w:t>www.henkel.cn</w:t>
        </w:r>
      </w:hyperlink>
      <w:r w:rsidR="00043E65">
        <w:rPr>
          <w:rFonts w:eastAsia="宋体" w:hint="eastAsia"/>
          <w:sz w:val="18"/>
          <w:lang w:eastAsia="zh-CN"/>
        </w:rPr>
        <w:t xml:space="preserve"> </w:t>
      </w:r>
      <w:r w:rsidR="00590DDD" w:rsidRPr="00C5628E">
        <w:rPr>
          <w:rFonts w:eastAsia="宋体"/>
          <w:sz w:val="18"/>
          <w:lang w:eastAsia="zh-CN"/>
        </w:rPr>
        <w:t xml:space="preserve">  </w:t>
      </w:r>
    </w:p>
    <w:sectPr w:rsidR="00632853" w:rsidRPr="00002C0B" w:rsidSect="005D639D">
      <w:footerReference w:type="default" r:id="rId15"/>
      <w:footerReference w:type="first" r:id="rId16"/>
      <w:pgSz w:w="11910" w:h="16850"/>
      <w:pgMar w:top="1378" w:right="1412" w:bottom="1843" w:left="1412" w:header="0" w:footer="9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48B1" w14:textId="77777777" w:rsidR="002D3567" w:rsidRDefault="002D3567">
      <w:r>
        <w:separator/>
      </w:r>
    </w:p>
  </w:endnote>
  <w:endnote w:type="continuationSeparator" w:id="0">
    <w:p w14:paraId="636D6AF6" w14:textId="77777777" w:rsidR="002D3567" w:rsidRDefault="002D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D444" w14:textId="5A9D788E" w:rsidR="007936A7" w:rsidRDefault="00590DDD" w:rsidP="005D639D">
    <w:pPr>
      <w:tabs>
        <w:tab w:val="right" w:pos="9072"/>
      </w:tabs>
      <w:spacing w:before="20"/>
      <w:ind w:left="20"/>
      <w:rPr>
        <w:sz w:val="12"/>
      </w:rPr>
    </w:pPr>
    <w:r>
      <w:rPr>
        <w:sz w:val="12"/>
      </w:rPr>
      <w:t>Henkel AG &amp; Co. KGaA</w:t>
    </w:r>
    <w:r w:rsidRPr="007936A7">
      <w:rPr>
        <w:sz w:val="12"/>
      </w:rPr>
      <w:tab/>
    </w:r>
    <w:r>
      <w:rPr>
        <w:sz w:val="12"/>
      </w:rPr>
      <w:t xml:space="preserve">Page </w:t>
    </w:r>
    <w:r w:rsidRPr="007936A7">
      <w:rPr>
        <w:sz w:val="12"/>
      </w:rPr>
      <w:fldChar w:fldCharType="begin"/>
    </w:r>
    <w:r>
      <w:rPr>
        <w:sz w:val="12"/>
      </w:rPr>
      <w:instrText xml:space="preserve"> PAGE </w:instrText>
    </w:r>
    <w:r w:rsidRPr="007936A7">
      <w:rPr>
        <w:sz w:val="12"/>
      </w:rPr>
      <w:fldChar w:fldCharType="separate"/>
    </w:r>
    <w:r w:rsidR="000B2B33">
      <w:rPr>
        <w:noProof/>
        <w:sz w:val="12"/>
      </w:rPr>
      <w:t>6</w:t>
    </w:r>
    <w:r w:rsidRPr="007936A7">
      <w:rPr>
        <w:sz w:val="12"/>
      </w:rPr>
      <w:fldChar w:fldCharType="end"/>
    </w:r>
    <w:r>
      <w:rPr>
        <w:sz w:val="12"/>
      </w:rPr>
      <w:t>/</w:t>
    </w:r>
    <w:r w:rsidR="00D24439">
      <w:rPr>
        <w:sz w:val="12"/>
      </w:rPr>
      <w:fldChar w:fldCharType="begin"/>
    </w:r>
    <w:r w:rsidR="00D24439">
      <w:rPr>
        <w:sz w:val="12"/>
      </w:rPr>
      <w:instrText xml:space="preserve"> </w:instrText>
    </w:r>
    <w:r w:rsidR="00D24439">
      <w:rPr>
        <w:rFonts w:eastAsiaTheme="minorEastAsia" w:hint="eastAsia"/>
        <w:sz w:val="12"/>
        <w:lang w:eastAsia="zh-CN"/>
      </w:rPr>
      <w:instrText>numpages</w:instrText>
    </w:r>
    <w:r w:rsidR="00D24439">
      <w:rPr>
        <w:sz w:val="12"/>
      </w:rPr>
      <w:instrText xml:space="preserve"> </w:instrText>
    </w:r>
    <w:r w:rsidR="00D24439">
      <w:rPr>
        <w:sz w:val="12"/>
      </w:rPr>
      <w:fldChar w:fldCharType="separate"/>
    </w:r>
    <w:r w:rsidR="00D24439">
      <w:rPr>
        <w:sz w:val="12"/>
      </w:rPr>
      <w:t>5</w:t>
    </w:r>
    <w:r w:rsidR="00D24439">
      <w:rPr>
        <w:sz w:val="12"/>
      </w:rPr>
      <w:fldChar w:fldCharType="end"/>
    </w:r>
  </w:p>
  <w:p w14:paraId="4E38F3F7" w14:textId="79F4314E" w:rsidR="00190C1D" w:rsidRPr="007936A7" w:rsidRDefault="00590DDD" w:rsidP="00190C1D">
    <w:pPr>
      <w:tabs>
        <w:tab w:val="right" w:pos="9072"/>
      </w:tabs>
      <w:spacing w:before="20"/>
      <w:ind w:left="20"/>
      <w:jc w:val="right"/>
      <w:rPr>
        <w:sz w:val="12"/>
      </w:rPr>
    </w:pPr>
    <w:r>
      <w:rPr>
        <w:rFonts w:ascii="微软雅黑" w:eastAsia="微软雅黑" w:hAnsi="微软雅黑" w:cs="微软雅黑" w:hint="eastAsia"/>
        <w:sz w:val="12"/>
        <w:lang w:eastAsia="zh-CN"/>
      </w:rPr>
      <w:t>第</w:t>
    </w:r>
    <w:r>
      <w:fldChar w:fldCharType="begin"/>
    </w:r>
    <w:r>
      <w:rPr>
        <w:sz w:val="12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sz w:val="12"/>
      </w:rPr>
      <w:t>/</w:t>
    </w: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eastAsiaTheme="minorEastAsia" w:hint="eastAsia"/>
        <w:sz w:val="12"/>
        <w:lang w:eastAsia="zh-CN"/>
      </w:rPr>
      <w:instrText>numpages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sz w:val="12"/>
      </w:rPr>
      <w:t>5</w:t>
    </w:r>
    <w:r>
      <w:rPr>
        <w:sz w:val="12"/>
      </w:rPr>
      <w:fldChar w:fldCharType="end"/>
    </w:r>
    <w:r>
      <w:rPr>
        <w:rFonts w:ascii="微软雅黑" w:eastAsia="微软雅黑" w:hAnsi="微软雅黑" w:cs="微软雅黑" w:hint="eastAsia"/>
        <w:sz w:val="12"/>
        <w:lang w:eastAsia="zh-CN"/>
      </w:rPr>
      <w:t>页</w:t>
    </w:r>
  </w:p>
  <w:p w14:paraId="2DB4A387" w14:textId="1DE93F15" w:rsidR="00C45B51" w:rsidRDefault="00C45B5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E06" w14:textId="77777777" w:rsidR="005D639D" w:rsidRDefault="00590DDD" w:rsidP="005D639D">
    <w:pPr>
      <w:spacing w:before="20"/>
      <w:ind w:left="20"/>
      <w:jc w:val="center"/>
      <w:rPr>
        <w:rFonts w:eastAsiaTheme="minorEastAsia"/>
        <w:sz w:val="12"/>
        <w:lang w:eastAsia="zh-CN"/>
      </w:rPr>
    </w:pPr>
    <w:r>
      <w:rPr>
        <w:noProof/>
        <w:lang w:eastAsia="zh-CN" w:bidi="ar-SA"/>
      </w:rPr>
      <w:drawing>
        <wp:inline distT="0" distB="0" distL="0" distR="0" wp14:anchorId="715F4266" wp14:editId="6E832FC6">
          <wp:extent cx="4955979" cy="391682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979" cy="39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978F2" w14:textId="3DFF6FD2" w:rsidR="005D639D" w:rsidRPr="005D639D" w:rsidRDefault="00590DDD" w:rsidP="005D639D">
    <w:pPr>
      <w:spacing w:before="20"/>
      <w:ind w:left="20"/>
      <w:jc w:val="right"/>
      <w:rPr>
        <w:rFonts w:eastAsiaTheme="minorEastAsia"/>
        <w:sz w:val="12"/>
        <w:lang w:eastAsia="zh-CN"/>
      </w:rPr>
    </w:pPr>
    <w:r>
      <w:rPr>
        <w:sz w:val="12"/>
      </w:rPr>
      <w:t xml:space="preserve">Page </w:t>
    </w:r>
    <w:r>
      <w:fldChar w:fldCharType="begin"/>
    </w:r>
    <w:r>
      <w:rPr>
        <w:sz w:val="12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sz w:val="12"/>
      </w:rPr>
      <w:t>/</w:t>
    </w: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eastAsiaTheme="minorEastAsia" w:hint="eastAsia"/>
        <w:sz w:val="12"/>
        <w:lang w:eastAsia="zh-CN"/>
      </w:rPr>
      <w:instrText>numpages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rFonts w:eastAsiaTheme="minorEastAsia"/>
        <w:noProof/>
        <w:sz w:val="12"/>
        <w:lang w:eastAsia="zh-CN"/>
      </w:rPr>
      <w:t>5</w:t>
    </w:r>
    <w:r>
      <w:rPr>
        <w:sz w:val="12"/>
      </w:rPr>
      <w:fldChar w:fldCharType="end"/>
    </w:r>
  </w:p>
  <w:p w14:paraId="11D3AF89" w14:textId="52F16EAC" w:rsidR="005D639D" w:rsidRPr="005D639D" w:rsidRDefault="00590DDD" w:rsidP="005D639D">
    <w:pPr>
      <w:spacing w:before="20"/>
      <w:ind w:left="20"/>
      <w:jc w:val="right"/>
      <w:rPr>
        <w:rFonts w:eastAsiaTheme="minorEastAsia"/>
        <w:sz w:val="12"/>
        <w:lang w:eastAsia="zh-CN"/>
      </w:rPr>
    </w:pPr>
    <w:r>
      <w:rPr>
        <w:rFonts w:ascii="微软雅黑" w:eastAsia="微软雅黑" w:hAnsi="微软雅黑" w:cs="微软雅黑" w:hint="eastAsia"/>
        <w:sz w:val="12"/>
        <w:lang w:eastAsia="zh-CN"/>
      </w:rPr>
      <w:t>第</w:t>
    </w:r>
    <w:r>
      <w:fldChar w:fldCharType="begin"/>
    </w:r>
    <w:r>
      <w:rPr>
        <w:sz w:val="12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sz w:val="12"/>
      </w:rPr>
      <w:t>/</w:t>
    </w: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eastAsiaTheme="minorEastAsia" w:hint="eastAsia"/>
        <w:sz w:val="12"/>
        <w:lang w:eastAsia="zh-CN"/>
      </w:rPr>
      <w:instrText>numpages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sz w:val="12"/>
      </w:rPr>
      <w:t>5</w:t>
    </w:r>
    <w:r>
      <w:rPr>
        <w:sz w:val="12"/>
      </w:rPr>
      <w:fldChar w:fldCharType="end"/>
    </w:r>
    <w:r>
      <w:rPr>
        <w:rFonts w:ascii="微软雅黑" w:eastAsia="微软雅黑" w:hAnsi="微软雅黑" w:cs="微软雅黑" w:hint="eastAsia"/>
        <w:sz w:val="12"/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E6E4" w14:textId="77777777" w:rsidR="002D3567" w:rsidRDefault="002D3567">
      <w:r>
        <w:separator/>
      </w:r>
    </w:p>
  </w:footnote>
  <w:footnote w:type="continuationSeparator" w:id="0">
    <w:p w14:paraId="6DFFC484" w14:textId="77777777" w:rsidR="002D3567" w:rsidRDefault="002D3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11A4"/>
    <w:multiLevelType w:val="hybridMultilevel"/>
    <w:tmpl w:val="DB807C08"/>
    <w:lvl w:ilvl="0" w:tplc="4ABA2F0A">
      <w:numFmt w:val="bullet"/>
      <w:lvlText w:val=""/>
      <w:lvlJc w:val="left"/>
      <w:pPr>
        <w:ind w:left="578" w:hanging="428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en-US" w:eastAsia="en-US" w:bidi="en-US"/>
      </w:rPr>
    </w:lvl>
    <w:lvl w:ilvl="1" w:tplc="0488461C">
      <w:numFmt w:val="bullet"/>
      <w:lvlText w:val="•"/>
      <w:lvlJc w:val="left"/>
      <w:pPr>
        <w:ind w:left="1506" w:hanging="428"/>
      </w:pPr>
      <w:rPr>
        <w:rFonts w:hint="default"/>
        <w:lang w:val="en-US" w:eastAsia="en-US" w:bidi="en-US"/>
      </w:rPr>
    </w:lvl>
    <w:lvl w:ilvl="2" w:tplc="EB781C54">
      <w:numFmt w:val="bullet"/>
      <w:lvlText w:val="•"/>
      <w:lvlJc w:val="left"/>
      <w:pPr>
        <w:ind w:left="2433" w:hanging="428"/>
      </w:pPr>
      <w:rPr>
        <w:rFonts w:hint="default"/>
        <w:lang w:val="en-US" w:eastAsia="en-US" w:bidi="en-US"/>
      </w:rPr>
    </w:lvl>
    <w:lvl w:ilvl="3" w:tplc="1A1638D2">
      <w:numFmt w:val="bullet"/>
      <w:lvlText w:val="•"/>
      <w:lvlJc w:val="left"/>
      <w:pPr>
        <w:ind w:left="3359" w:hanging="428"/>
      </w:pPr>
      <w:rPr>
        <w:rFonts w:hint="default"/>
        <w:lang w:val="en-US" w:eastAsia="en-US" w:bidi="en-US"/>
      </w:rPr>
    </w:lvl>
    <w:lvl w:ilvl="4" w:tplc="5ED46782">
      <w:numFmt w:val="bullet"/>
      <w:lvlText w:val="•"/>
      <w:lvlJc w:val="left"/>
      <w:pPr>
        <w:ind w:left="4286" w:hanging="428"/>
      </w:pPr>
      <w:rPr>
        <w:rFonts w:hint="default"/>
        <w:lang w:val="en-US" w:eastAsia="en-US" w:bidi="en-US"/>
      </w:rPr>
    </w:lvl>
    <w:lvl w:ilvl="5" w:tplc="56D0D5B2">
      <w:numFmt w:val="bullet"/>
      <w:lvlText w:val="•"/>
      <w:lvlJc w:val="left"/>
      <w:pPr>
        <w:ind w:left="5213" w:hanging="428"/>
      </w:pPr>
      <w:rPr>
        <w:rFonts w:hint="default"/>
        <w:lang w:val="en-US" w:eastAsia="en-US" w:bidi="en-US"/>
      </w:rPr>
    </w:lvl>
    <w:lvl w:ilvl="6" w:tplc="AB0EA266">
      <w:numFmt w:val="bullet"/>
      <w:lvlText w:val="•"/>
      <w:lvlJc w:val="left"/>
      <w:pPr>
        <w:ind w:left="6139" w:hanging="428"/>
      </w:pPr>
      <w:rPr>
        <w:rFonts w:hint="default"/>
        <w:lang w:val="en-US" w:eastAsia="en-US" w:bidi="en-US"/>
      </w:rPr>
    </w:lvl>
    <w:lvl w:ilvl="7" w:tplc="D068B08A">
      <w:numFmt w:val="bullet"/>
      <w:lvlText w:val="•"/>
      <w:lvlJc w:val="left"/>
      <w:pPr>
        <w:ind w:left="7066" w:hanging="428"/>
      </w:pPr>
      <w:rPr>
        <w:rFonts w:hint="default"/>
        <w:lang w:val="en-US" w:eastAsia="en-US" w:bidi="en-US"/>
      </w:rPr>
    </w:lvl>
    <w:lvl w:ilvl="8" w:tplc="0D14FD9E">
      <w:numFmt w:val="bullet"/>
      <w:lvlText w:val="•"/>
      <w:lvlJc w:val="left"/>
      <w:pPr>
        <w:ind w:left="7993" w:hanging="428"/>
      </w:pPr>
      <w:rPr>
        <w:rFonts w:hint="default"/>
        <w:lang w:val="en-US" w:eastAsia="en-US" w:bidi="en-US"/>
      </w:rPr>
    </w:lvl>
  </w:abstractNum>
  <w:num w:numId="1" w16cid:durableId="181236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51"/>
    <w:rsid w:val="000008A7"/>
    <w:rsid w:val="00002C0B"/>
    <w:rsid w:val="00012934"/>
    <w:rsid w:val="00040988"/>
    <w:rsid w:val="00041EE4"/>
    <w:rsid w:val="00043E65"/>
    <w:rsid w:val="00051D00"/>
    <w:rsid w:val="000B0588"/>
    <w:rsid w:val="000B10D7"/>
    <w:rsid w:val="000B2B33"/>
    <w:rsid w:val="000D111C"/>
    <w:rsid w:val="000E0B10"/>
    <w:rsid w:val="00116BC7"/>
    <w:rsid w:val="001426A2"/>
    <w:rsid w:val="0015540C"/>
    <w:rsid w:val="00175956"/>
    <w:rsid w:val="00190C1D"/>
    <w:rsid w:val="00246A0D"/>
    <w:rsid w:val="00281961"/>
    <w:rsid w:val="002928A9"/>
    <w:rsid w:val="00295B68"/>
    <w:rsid w:val="002D3567"/>
    <w:rsid w:val="002E091A"/>
    <w:rsid w:val="002E5D74"/>
    <w:rsid w:val="00305820"/>
    <w:rsid w:val="00401954"/>
    <w:rsid w:val="004B4C5C"/>
    <w:rsid w:val="005170EA"/>
    <w:rsid w:val="00535B4D"/>
    <w:rsid w:val="00547C0A"/>
    <w:rsid w:val="00590DDD"/>
    <w:rsid w:val="005A3A39"/>
    <w:rsid w:val="005A65B2"/>
    <w:rsid w:val="005B537F"/>
    <w:rsid w:val="005D639D"/>
    <w:rsid w:val="00632853"/>
    <w:rsid w:val="00663AE6"/>
    <w:rsid w:val="006E223B"/>
    <w:rsid w:val="006E4EDD"/>
    <w:rsid w:val="006E7D27"/>
    <w:rsid w:val="0072668D"/>
    <w:rsid w:val="007936A7"/>
    <w:rsid w:val="007942AF"/>
    <w:rsid w:val="008040B2"/>
    <w:rsid w:val="00883548"/>
    <w:rsid w:val="008951DE"/>
    <w:rsid w:val="008B4645"/>
    <w:rsid w:val="0094113D"/>
    <w:rsid w:val="009E3CD5"/>
    <w:rsid w:val="00A14C0B"/>
    <w:rsid w:val="00AC59DE"/>
    <w:rsid w:val="00B00E67"/>
    <w:rsid w:val="00BE7444"/>
    <w:rsid w:val="00C11EB7"/>
    <w:rsid w:val="00C31DCF"/>
    <w:rsid w:val="00C45B51"/>
    <w:rsid w:val="00C4709A"/>
    <w:rsid w:val="00C52D1F"/>
    <w:rsid w:val="00C5628E"/>
    <w:rsid w:val="00C72EEA"/>
    <w:rsid w:val="00CB6116"/>
    <w:rsid w:val="00D24439"/>
    <w:rsid w:val="00D55B74"/>
    <w:rsid w:val="00D745CE"/>
    <w:rsid w:val="00D91F7D"/>
    <w:rsid w:val="00DE3731"/>
    <w:rsid w:val="00DF534F"/>
    <w:rsid w:val="00E1398E"/>
    <w:rsid w:val="00E242FE"/>
    <w:rsid w:val="00E5793F"/>
    <w:rsid w:val="00E81558"/>
    <w:rsid w:val="00EA59BE"/>
    <w:rsid w:val="00EA70E6"/>
    <w:rsid w:val="00EB5859"/>
    <w:rsid w:val="00ED158F"/>
    <w:rsid w:val="00F73778"/>
    <w:rsid w:val="00F7396F"/>
    <w:rsid w:val="00FC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0854C"/>
  <w15:docId w15:val="{25E82237-1E9E-48EC-B052-953C460B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ind w:left="578" w:hanging="4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78" w:right="604" w:hanging="428"/>
    </w:pPr>
  </w:style>
  <w:style w:type="paragraph" w:customStyle="1" w:styleId="TableParagraph">
    <w:name w:val="Table Paragraph"/>
    <w:basedOn w:val="Normal"/>
    <w:uiPriority w:val="1"/>
    <w:qFormat/>
    <w:pPr>
      <w:spacing w:before="18" w:line="238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936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36A7"/>
    <w:rPr>
      <w:rFonts w:ascii="Segoe UI" w:eastAsia="Segoe UI" w:hAnsi="Segoe UI" w:cs="Segoe UI"/>
      <w:sz w:val="18"/>
      <w:szCs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936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36A7"/>
    <w:rPr>
      <w:rFonts w:ascii="Segoe UI" w:eastAsia="Segoe UI" w:hAnsi="Segoe UI" w:cs="Segoe UI"/>
      <w:sz w:val="18"/>
      <w:szCs w:val="18"/>
      <w:lang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B3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0B2B33"/>
    <w:rPr>
      <w:rFonts w:ascii="Segoe UI" w:eastAsia="Segoe UI" w:hAnsi="Segoe UI" w:cs="Segoe UI"/>
      <w:lang w:bidi="en-US"/>
    </w:rPr>
  </w:style>
  <w:style w:type="character" w:customStyle="1" w:styleId="Headline">
    <w:name w:val="Headline"/>
    <w:basedOn w:val="DefaultParagraphFont"/>
    <w:qFormat/>
    <w:rsid w:val="005D639D"/>
    <w:rPr>
      <w:b/>
      <w:bCs/>
      <w:sz w:val="32"/>
    </w:rPr>
  </w:style>
  <w:style w:type="paragraph" w:styleId="Revision">
    <w:name w:val="Revision"/>
    <w:hidden/>
    <w:uiPriority w:val="99"/>
    <w:semiHidden/>
    <w:rsid w:val="00C52D1F"/>
    <w:pPr>
      <w:widowControl/>
      <w:autoSpaceDE/>
      <w:autoSpaceDN/>
    </w:pPr>
    <w:rPr>
      <w:rFonts w:ascii="Segoe UI" w:eastAsia="Segoe UI" w:hAnsi="Segoe UI" w:cs="Segoe UI"/>
      <w:lang w:bidi="en-US"/>
    </w:rPr>
  </w:style>
  <w:style w:type="character" w:styleId="Hyperlink">
    <w:name w:val="Hyperlink"/>
    <w:basedOn w:val="DefaultParagraphFont"/>
    <w:uiPriority w:val="99"/>
    <w:unhideWhenUsed/>
    <w:rsid w:val="00043E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E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7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D27"/>
    <w:rPr>
      <w:rFonts w:ascii="Segoe UI" w:eastAsia="Segoe UI" w:hAnsi="Segoe UI" w:cs="Segoe U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27"/>
    <w:rPr>
      <w:rFonts w:ascii="Segoe UI" w:eastAsia="Segoe UI" w:hAnsi="Segoe UI" w:cs="Segoe U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7444"/>
    <w:rPr>
      <w:rFonts w:ascii="Segoe UI" w:eastAsia="Segoe UI" w:hAnsi="Segoe UI" w:cs="Segoe U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63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tect.checkpoint.com/v2/r01/___https://www.henkel.com/resource/blob/2147522/8941c6fb4e08be9facee9fd4ee20ae64/data/sustainable-impact-report-2025-en.pdf___.YzJ1OndlY29tbXVuaWNhdGlvbnM6YzpvOjZmYzVkYTQ3ODU1N2MwMThiOWFmYjJjYmFlZmNmYmI2Ojc6ZTRmMzoyNGU5NjU0NzU1OGI3ZDBkM2JlN2Q3NTRlMWY2OWVjODBmZjcwODA4YjgwZWIzZTQyYmJiYjZiZTliYjdlMzEwOnA6VDp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.checkpoint.com/v2/r01/___http://www.henkel.cn___.YzJ1OndlY29tbXVuaWNhdGlvbnM6YzpvOjZmYzVkYTQ3ODU1N2MwMThiOWFmYjJjYmFlZmNmYmI2Ojc6Zjk2OToyYmY0MDk3MDcyN2Y0ODFmYTQ5NzE4OGM5YTJjNmExNDJjZWI3NDVkMTA1MzFkMjQwMDliODAzNTg2YTJjMjVlOnA6VDp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24052-0831-475b-991d-7752f84512f7" xsi:nil="true"/>
    <lcf76f155ced4ddcb4097134ff3c332f xmlns="2584eede-b462-40c5-bb06-86c34af4f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20B25D68F1B42A3249264AB51523B" ma:contentTypeVersion="19" ma:contentTypeDescription="Create a new document." ma:contentTypeScope="" ma:versionID="fa5ccfb4e7a91950e6463c37699ea460">
  <xsd:schema xmlns:xsd="http://www.w3.org/2001/XMLSchema" xmlns:xs="http://www.w3.org/2001/XMLSchema" xmlns:p="http://schemas.microsoft.com/office/2006/metadata/properties" xmlns:ns2="2584eede-b462-40c5-bb06-86c34af4fdcb" xmlns:ns3="00424052-0831-475b-991d-7752f84512f7" targetNamespace="http://schemas.microsoft.com/office/2006/metadata/properties" ma:root="true" ma:fieldsID="eac95f0021481b501c76b6d302e918ba" ns2:_="" ns3:_="">
    <xsd:import namespace="2584eede-b462-40c5-bb06-86c34af4fdcb"/>
    <xsd:import namespace="00424052-0831-475b-991d-7752f8451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4eede-b462-40c5-bb06-86c34af4f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fb1273-df49-4b00-9f0c-7edff2967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24052-0831-475b-991d-7752f84512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190a57b-2d88-42f3-be57-56e8ab827132}" ma:internalName="TaxCatchAll" ma:showField="CatchAllData" ma:web="00424052-0831-475b-991d-7752f8451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B78E4-AEFA-44D9-A035-E2462852CC98}">
  <ds:schemaRefs>
    <ds:schemaRef ds:uri="http://schemas.microsoft.com/office/2006/metadata/properties"/>
    <ds:schemaRef ds:uri="http://schemas.microsoft.com/office/infopath/2007/PartnerControls"/>
    <ds:schemaRef ds:uri="00424052-0831-475b-991d-7752f84512f7"/>
    <ds:schemaRef ds:uri="2584eede-b462-40c5-bb06-86c34af4fdcb"/>
  </ds:schemaRefs>
</ds:datastoreItem>
</file>

<file path=customXml/itemProps2.xml><?xml version="1.0" encoding="utf-8"?>
<ds:datastoreItem xmlns:ds="http://schemas.openxmlformats.org/officeDocument/2006/customXml" ds:itemID="{0FA0C70C-9163-4551-9277-CD7A2931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4eede-b462-40c5-bb06-86c34af4fdcb"/>
    <ds:schemaRef ds:uri="00424052-0831-475b-991d-7752f8451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9CE9-F8BF-4E12-8FB6-84DB5423A3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d60ab4-5567-4971-a534-1a5f0f7cc7f5}" enabled="0" method="" siteId="{3ed60ab4-5567-4971-a534-1a5f0f7cc7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1569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Philipps</dc:creator>
  <cp:lastModifiedBy>Liki Qin</cp:lastModifiedBy>
  <cp:revision>5</cp:revision>
  <dcterms:created xsi:type="dcterms:W3CDTF">2026-04-17T03:41:00Z</dcterms:created>
  <dcterms:modified xsi:type="dcterms:W3CDTF">2026-04-17T03:44:00Z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Acrobat PDFMaker 26 für Word</vt:lpwstr>
  </property>
  <property fmtid="{D5CDD505-2E9C-101B-9397-08002B2CF9AE}" pid="4" name="LastSaved">
    <vt:filetime>2026-04-14T00:00:00Z</vt:filetime>
  </property>
  <property fmtid="{D5CDD505-2E9C-101B-9397-08002B2CF9AE}" pid="5" name="ContentTypeId">
    <vt:lpwstr>0x01010066B20B25D68F1B42A3249264AB51523B</vt:lpwstr>
  </property>
</Properties>
</file>