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8B855C" w14:textId="77777777" w:rsidR="00C45B51" w:rsidRPr="00CB6116" w:rsidRDefault="00590DDD" w:rsidP="005D639D">
      <w:pPr>
        <w:pStyle w:val="BodyText"/>
        <w:widowControl/>
        <w:jc w:val="right"/>
        <w:rPr>
          <w:rFonts w:eastAsia="宋体"/>
          <w:sz w:val="20"/>
        </w:rPr>
      </w:pPr>
      <w:r w:rsidRPr="00CB6116">
        <w:rPr>
          <w:rFonts w:eastAsia="宋体"/>
          <w:noProof/>
          <w:sz w:val="20"/>
          <w:lang w:eastAsia="zh-CN" w:bidi="ar-SA"/>
        </w:rPr>
        <w:drawing>
          <wp:inline distT="0" distB="0" distL="0" distR="0" wp14:anchorId="2B65ADDA" wp14:editId="76CB53EA">
            <wp:extent cx="1052023" cy="591311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2023" cy="5913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245F5A" w14:textId="54048E2B" w:rsidR="000B2B33" w:rsidRPr="00CB6116" w:rsidRDefault="00590DDD" w:rsidP="005D639D">
      <w:pPr>
        <w:widowControl/>
        <w:spacing w:before="101"/>
        <w:jc w:val="right"/>
        <w:rPr>
          <w:rFonts w:eastAsia="宋体"/>
          <w:b/>
          <w:sz w:val="40"/>
          <w:lang w:eastAsia="zh-CN"/>
        </w:rPr>
      </w:pPr>
      <w:r w:rsidRPr="00CB6116">
        <w:rPr>
          <w:rFonts w:eastAsia="宋体"/>
          <w:b/>
          <w:color w:val="3D3B3B"/>
          <w:sz w:val="40"/>
          <w:lang w:eastAsia="zh-CN"/>
        </w:rPr>
        <w:t>新闻稿</w:t>
      </w:r>
    </w:p>
    <w:p w14:paraId="19FDC38C" w14:textId="44027EDC" w:rsidR="000B2B33" w:rsidRPr="00CB6116" w:rsidRDefault="00590DDD" w:rsidP="005D639D">
      <w:pPr>
        <w:pStyle w:val="BodyText"/>
        <w:widowControl/>
        <w:spacing w:before="121"/>
        <w:jc w:val="right"/>
        <w:rPr>
          <w:rFonts w:eastAsia="宋体"/>
          <w:lang w:eastAsia="zh-CN"/>
        </w:rPr>
      </w:pPr>
      <w:r w:rsidRPr="00CB6116">
        <w:rPr>
          <w:rFonts w:eastAsia="宋体"/>
          <w:lang w:eastAsia="zh-CN"/>
        </w:rPr>
        <w:t>2026</w:t>
      </w:r>
      <w:r w:rsidRPr="00CB6116">
        <w:rPr>
          <w:rFonts w:eastAsia="宋体"/>
          <w:lang w:eastAsia="zh-CN"/>
        </w:rPr>
        <w:t>年</w:t>
      </w:r>
      <w:r w:rsidRPr="00CB6116">
        <w:rPr>
          <w:rFonts w:eastAsia="宋体"/>
          <w:lang w:eastAsia="zh-CN"/>
        </w:rPr>
        <w:t>4</w:t>
      </w:r>
      <w:r w:rsidRPr="00CB6116">
        <w:rPr>
          <w:rFonts w:eastAsia="宋体"/>
          <w:lang w:eastAsia="zh-CN"/>
        </w:rPr>
        <w:t>月</w:t>
      </w:r>
      <w:r w:rsidRPr="00CB6116">
        <w:rPr>
          <w:rFonts w:eastAsia="宋体"/>
          <w:lang w:eastAsia="zh-CN"/>
        </w:rPr>
        <w:t>14</w:t>
      </w:r>
      <w:r w:rsidRPr="00CB6116">
        <w:rPr>
          <w:rFonts w:eastAsia="宋体"/>
          <w:lang w:eastAsia="zh-CN"/>
        </w:rPr>
        <w:t>日</w:t>
      </w:r>
    </w:p>
    <w:p w14:paraId="23625C6A" w14:textId="77777777" w:rsidR="00295B68" w:rsidRDefault="00295B68" w:rsidP="005D639D">
      <w:pPr>
        <w:pStyle w:val="BodyText"/>
        <w:widowControl/>
        <w:spacing w:after="240"/>
        <w:jc w:val="both"/>
        <w:rPr>
          <w:rFonts w:eastAsia="宋体"/>
          <w:lang w:eastAsia="zh-CN"/>
        </w:rPr>
      </w:pPr>
    </w:p>
    <w:p w14:paraId="330EAE6A" w14:textId="173FB0AD" w:rsidR="000B2B33" w:rsidRDefault="00590DDD" w:rsidP="005D639D">
      <w:pPr>
        <w:widowControl/>
        <w:autoSpaceDE/>
        <w:autoSpaceDN/>
        <w:spacing w:line="276" w:lineRule="auto"/>
        <w:rPr>
          <w:rFonts w:eastAsia="宋体"/>
          <w:b/>
          <w:sz w:val="32"/>
          <w:lang w:eastAsia="zh-CN"/>
        </w:rPr>
      </w:pPr>
      <w:r w:rsidRPr="00C52D1F">
        <w:rPr>
          <w:rFonts w:eastAsia="宋体" w:hint="eastAsia"/>
          <w:b/>
          <w:sz w:val="32"/>
          <w:lang w:eastAsia="zh-CN"/>
        </w:rPr>
        <w:t>汉高公布</w:t>
      </w:r>
      <w:r w:rsidRPr="00C52D1F">
        <w:rPr>
          <w:rFonts w:eastAsia="宋体"/>
          <w:b/>
          <w:sz w:val="32"/>
          <w:lang w:eastAsia="zh-CN"/>
        </w:rPr>
        <w:t>2030</w:t>
      </w:r>
      <w:r w:rsidRPr="00C52D1F">
        <w:rPr>
          <w:rFonts w:eastAsia="宋体" w:hint="eastAsia"/>
          <w:b/>
          <w:sz w:val="32"/>
          <w:lang w:eastAsia="zh-CN"/>
        </w:rPr>
        <w:t>年可持续发展新目标</w:t>
      </w:r>
    </w:p>
    <w:p w14:paraId="12EA8048" w14:textId="77777777" w:rsidR="00BE7444" w:rsidRDefault="00BE7444" w:rsidP="005D639D">
      <w:pPr>
        <w:widowControl/>
        <w:autoSpaceDE/>
        <w:autoSpaceDN/>
        <w:spacing w:line="276" w:lineRule="auto"/>
        <w:rPr>
          <w:rFonts w:eastAsia="宋体"/>
          <w:b/>
          <w:sz w:val="32"/>
          <w:lang w:eastAsia="zh-CN"/>
        </w:rPr>
      </w:pPr>
    </w:p>
    <w:p w14:paraId="6BBFCBAA" w14:textId="50F7FBA2" w:rsidR="00BE7444" w:rsidRPr="00BE7444" w:rsidRDefault="00BE7444" w:rsidP="00BE7444">
      <w:pPr>
        <w:pStyle w:val="BodyText"/>
        <w:widowControl/>
        <w:spacing w:after="240"/>
        <w:jc w:val="both"/>
        <w:rPr>
          <w:rFonts w:eastAsia="宋体"/>
          <w:lang w:eastAsia="zh-CN"/>
        </w:rPr>
      </w:pPr>
      <w:r w:rsidRPr="00C52D1F">
        <w:rPr>
          <w:rFonts w:eastAsia="宋体" w:hint="eastAsia"/>
          <w:lang w:eastAsia="zh-CN"/>
        </w:rPr>
        <w:t>汉高重申其对可持续发展的坚定承诺</w:t>
      </w:r>
    </w:p>
    <w:p w14:paraId="28475D54" w14:textId="77777777" w:rsidR="00C45B51" w:rsidRPr="00CB6116" w:rsidRDefault="00C45B51" w:rsidP="00E1398E">
      <w:pPr>
        <w:widowControl/>
        <w:rPr>
          <w:rFonts w:eastAsia="宋体"/>
          <w:lang w:eastAsia="zh-CN"/>
        </w:rPr>
      </w:pPr>
    </w:p>
    <w:p w14:paraId="0B10EC1F" w14:textId="6196206A" w:rsidR="000B2B33" w:rsidRPr="00CB6116" w:rsidRDefault="00590DDD" w:rsidP="00002C0B">
      <w:pPr>
        <w:pStyle w:val="Heading1"/>
        <w:widowControl/>
        <w:numPr>
          <w:ilvl w:val="0"/>
          <w:numId w:val="1"/>
        </w:numPr>
        <w:tabs>
          <w:tab w:val="left" w:pos="578"/>
          <w:tab w:val="left" w:pos="579"/>
        </w:tabs>
        <w:spacing w:line="276" w:lineRule="auto"/>
        <w:ind w:left="425" w:hanging="425"/>
        <w:contextualSpacing/>
        <w:mirrorIndents/>
        <w:rPr>
          <w:rFonts w:eastAsia="宋体"/>
          <w:lang w:eastAsia="zh-CN"/>
        </w:rPr>
      </w:pPr>
      <w:r w:rsidRPr="00CB6116">
        <w:rPr>
          <w:rFonts w:eastAsia="宋体"/>
          <w:lang w:eastAsia="zh-CN"/>
        </w:rPr>
        <w:t>净零排放：将范围</w:t>
      </w:r>
      <w:r w:rsidRPr="00CB6116">
        <w:rPr>
          <w:rFonts w:eastAsia="宋体"/>
          <w:lang w:eastAsia="zh-CN"/>
        </w:rPr>
        <w:t>1</w:t>
      </w:r>
      <w:r w:rsidRPr="00CB6116">
        <w:rPr>
          <w:rFonts w:eastAsia="宋体"/>
          <w:lang w:eastAsia="zh-CN"/>
        </w:rPr>
        <w:t>和范围</w:t>
      </w:r>
      <w:r w:rsidRPr="00CB6116">
        <w:rPr>
          <w:rFonts w:eastAsia="宋体"/>
          <w:lang w:eastAsia="zh-CN"/>
        </w:rPr>
        <w:t>2</w:t>
      </w:r>
      <w:r w:rsidRPr="00CB6116">
        <w:rPr>
          <w:rFonts w:eastAsia="宋体"/>
          <w:lang w:eastAsia="zh-CN"/>
        </w:rPr>
        <w:t>温室气体的绝对排放量减少</w:t>
      </w:r>
      <w:r w:rsidRPr="00CB6116">
        <w:rPr>
          <w:rFonts w:eastAsia="宋体"/>
          <w:lang w:eastAsia="zh-CN"/>
        </w:rPr>
        <w:t>42%</w:t>
      </w:r>
      <w:r w:rsidRPr="00CB6116">
        <w:rPr>
          <w:rFonts w:eastAsia="宋体"/>
          <w:lang w:eastAsia="zh-CN"/>
        </w:rPr>
        <w:t>，将范围</w:t>
      </w:r>
      <w:r w:rsidRPr="00CB6116">
        <w:rPr>
          <w:rFonts w:eastAsia="宋体"/>
          <w:lang w:eastAsia="zh-CN"/>
        </w:rPr>
        <w:t>3</w:t>
      </w:r>
      <w:r w:rsidRPr="00CB6116">
        <w:rPr>
          <w:rFonts w:eastAsia="宋体"/>
          <w:lang w:eastAsia="zh-CN"/>
        </w:rPr>
        <w:t>的排放量减少</w:t>
      </w:r>
      <w:r w:rsidRPr="00CB6116">
        <w:rPr>
          <w:rFonts w:eastAsia="宋体"/>
          <w:lang w:eastAsia="zh-CN"/>
        </w:rPr>
        <w:t>30%</w:t>
      </w:r>
      <w:r w:rsidRPr="00CB6116">
        <w:rPr>
          <w:rFonts w:eastAsia="宋体"/>
          <w:lang w:eastAsia="zh-CN"/>
        </w:rPr>
        <w:t>，</w:t>
      </w:r>
      <w:r w:rsidR="00E5793F" w:rsidRPr="00E5793F">
        <w:rPr>
          <w:rFonts w:eastAsia="宋体" w:hint="eastAsia"/>
          <w:lang w:eastAsia="zh-CN"/>
        </w:rPr>
        <w:t>致力于在</w:t>
      </w:r>
      <w:r w:rsidR="00E5793F" w:rsidRPr="00E5793F">
        <w:rPr>
          <w:rFonts w:eastAsia="宋体"/>
          <w:lang w:eastAsia="zh-CN"/>
        </w:rPr>
        <w:t>2045</w:t>
      </w:r>
      <w:r w:rsidR="00E5793F" w:rsidRPr="00E5793F">
        <w:rPr>
          <w:rFonts w:eastAsia="宋体" w:hint="eastAsia"/>
          <w:lang w:eastAsia="zh-CN"/>
        </w:rPr>
        <w:t>年实现净零排放</w:t>
      </w:r>
    </w:p>
    <w:p w14:paraId="172E6DDB" w14:textId="4590B0E0" w:rsidR="000B2B33" w:rsidRPr="00CB6116" w:rsidRDefault="00590DDD" w:rsidP="00002C0B">
      <w:pPr>
        <w:pStyle w:val="Heading1"/>
        <w:widowControl/>
        <w:numPr>
          <w:ilvl w:val="0"/>
          <w:numId w:val="1"/>
        </w:numPr>
        <w:tabs>
          <w:tab w:val="left" w:pos="578"/>
          <w:tab w:val="left" w:pos="579"/>
        </w:tabs>
        <w:spacing w:line="276" w:lineRule="auto"/>
        <w:ind w:left="425" w:hanging="425"/>
        <w:contextualSpacing/>
        <w:mirrorIndents/>
        <w:rPr>
          <w:rFonts w:eastAsia="宋体"/>
          <w:b w:val="0"/>
          <w:lang w:eastAsia="zh-CN"/>
        </w:rPr>
      </w:pPr>
      <w:r w:rsidRPr="00CB6116">
        <w:rPr>
          <w:rFonts w:eastAsia="宋体"/>
          <w:lang w:eastAsia="zh-CN"/>
        </w:rPr>
        <w:t>循环经济：将消费品包装中再生塑料的比例提升</w:t>
      </w:r>
      <w:r w:rsidR="002E091A">
        <w:rPr>
          <w:rFonts w:eastAsia="宋体" w:hint="eastAsia"/>
          <w:lang w:eastAsia="zh-CN"/>
        </w:rPr>
        <w:t>至</w:t>
      </w:r>
      <w:r w:rsidRPr="00CB6116">
        <w:rPr>
          <w:rFonts w:eastAsia="宋体"/>
          <w:lang w:eastAsia="zh-CN"/>
        </w:rPr>
        <w:t>35%</w:t>
      </w:r>
      <w:r w:rsidR="002E091A">
        <w:rPr>
          <w:rFonts w:eastAsia="宋体" w:hint="eastAsia"/>
          <w:lang w:eastAsia="zh-CN"/>
        </w:rPr>
        <w:t>以上</w:t>
      </w:r>
      <w:r w:rsidRPr="00CB6116">
        <w:rPr>
          <w:rFonts w:eastAsia="宋体"/>
          <w:lang w:eastAsia="zh-CN"/>
        </w:rPr>
        <w:t>，同时确保所有包装</w:t>
      </w:r>
      <w:r w:rsidR="00E5793F">
        <w:rPr>
          <w:rFonts w:eastAsia="宋体" w:hint="eastAsia"/>
          <w:lang w:eastAsia="zh-CN"/>
        </w:rPr>
        <w:t>均</w:t>
      </w:r>
      <w:r w:rsidRPr="00CB6116">
        <w:rPr>
          <w:rFonts w:eastAsia="宋体"/>
          <w:lang w:eastAsia="zh-CN"/>
        </w:rPr>
        <w:t>采用可回收设计</w:t>
      </w:r>
    </w:p>
    <w:p w14:paraId="54B25F52" w14:textId="5ADE4855" w:rsidR="000B2B33" w:rsidRPr="00CB6116" w:rsidRDefault="00590DDD" w:rsidP="00002C0B">
      <w:pPr>
        <w:pStyle w:val="Heading1"/>
        <w:widowControl/>
        <w:numPr>
          <w:ilvl w:val="0"/>
          <w:numId w:val="1"/>
        </w:numPr>
        <w:tabs>
          <w:tab w:val="left" w:pos="578"/>
          <w:tab w:val="left" w:pos="579"/>
        </w:tabs>
        <w:spacing w:line="276" w:lineRule="auto"/>
        <w:ind w:left="425" w:hanging="425"/>
        <w:contextualSpacing/>
        <w:mirrorIndents/>
        <w:rPr>
          <w:rFonts w:eastAsia="宋体"/>
          <w:b w:val="0"/>
          <w:lang w:eastAsia="zh-CN"/>
        </w:rPr>
      </w:pPr>
      <w:r w:rsidRPr="00CB6116">
        <w:rPr>
          <w:rFonts w:eastAsia="宋体"/>
          <w:lang w:eastAsia="zh-CN"/>
        </w:rPr>
        <w:t>全球性别平等：</w:t>
      </w:r>
      <w:r w:rsidR="000D111C" w:rsidRPr="000D111C">
        <w:rPr>
          <w:rFonts w:eastAsia="宋体" w:hint="eastAsia"/>
          <w:lang w:eastAsia="zh-CN"/>
        </w:rPr>
        <w:t>致力于实现各级管理层</w:t>
      </w:r>
      <w:r w:rsidR="000D111C">
        <w:rPr>
          <w:rFonts w:eastAsia="宋体" w:hint="eastAsia"/>
          <w:lang w:eastAsia="zh-CN"/>
        </w:rPr>
        <w:t>男</w:t>
      </w:r>
      <w:r w:rsidR="000D111C" w:rsidRPr="000D111C">
        <w:rPr>
          <w:rFonts w:eastAsia="宋体" w:hint="eastAsia"/>
          <w:lang w:eastAsia="zh-CN"/>
        </w:rPr>
        <w:t>女性占比</w:t>
      </w:r>
      <w:r w:rsidR="000D111C">
        <w:rPr>
          <w:rFonts w:eastAsia="宋体" w:hint="eastAsia"/>
          <w:lang w:eastAsia="zh-CN"/>
        </w:rPr>
        <w:t>均</w:t>
      </w:r>
      <w:r w:rsidR="000D111C" w:rsidRPr="000D111C">
        <w:rPr>
          <w:rFonts w:eastAsia="宋体" w:hint="eastAsia"/>
          <w:lang w:eastAsia="zh-CN"/>
        </w:rPr>
        <w:t>超过</w:t>
      </w:r>
      <w:r w:rsidR="000D111C" w:rsidRPr="000D111C">
        <w:rPr>
          <w:rFonts w:eastAsia="宋体"/>
          <w:lang w:eastAsia="zh-CN"/>
        </w:rPr>
        <w:t>45%</w:t>
      </w:r>
      <w:r w:rsidRPr="00CB6116">
        <w:rPr>
          <w:rFonts w:eastAsia="宋体"/>
          <w:lang w:eastAsia="zh-CN"/>
        </w:rPr>
        <w:t>，并确保全球范围内的薪酬</w:t>
      </w:r>
      <w:r w:rsidR="005A65B2">
        <w:rPr>
          <w:rFonts w:eastAsia="宋体" w:hint="eastAsia"/>
          <w:lang w:eastAsia="zh-CN"/>
        </w:rPr>
        <w:t>平等</w:t>
      </w:r>
      <w:r w:rsidRPr="00CB6116">
        <w:rPr>
          <w:rFonts w:eastAsia="宋体"/>
          <w:lang w:eastAsia="zh-CN"/>
        </w:rPr>
        <w:t>*</w:t>
      </w:r>
    </w:p>
    <w:p w14:paraId="493219C9" w14:textId="19B3260B" w:rsidR="000B2B33" w:rsidRPr="00CB6116" w:rsidRDefault="00590DDD" w:rsidP="00002C0B">
      <w:pPr>
        <w:pStyle w:val="Heading1"/>
        <w:widowControl/>
        <w:numPr>
          <w:ilvl w:val="0"/>
          <w:numId w:val="1"/>
        </w:numPr>
        <w:tabs>
          <w:tab w:val="left" w:pos="578"/>
          <w:tab w:val="left" w:pos="579"/>
        </w:tabs>
        <w:spacing w:line="276" w:lineRule="auto"/>
        <w:ind w:left="425" w:hanging="425"/>
        <w:contextualSpacing/>
        <w:mirrorIndents/>
        <w:rPr>
          <w:rFonts w:eastAsia="宋体"/>
          <w:b w:val="0"/>
          <w:lang w:eastAsia="zh-CN"/>
        </w:rPr>
      </w:pPr>
      <w:r w:rsidRPr="00CB6116">
        <w:rPr>
          <w:rFonts w:eastAsia="宋体"/>
          <w:lang w:eastAsia="zh-CN"/>
        </w:rPr>
        <w:t>可持续供应链：确保</w:t>
      </w:r>
      <w:r w:rsidRPr="00CB6116">
        <w:rPr>
          <w:rFonts w:eastAsia="宋体"/>
          <w:lang w:eastAsia="zh-CN"/>
        </w:rPr>
        <w:t>85%</w:t>
      </w:r>
      <w:r w:rsidRPr="00CB6116">
        <w:rPr>
          <w:rFonts w:eastAsia="宋体"/>
          <w:lang w:eastAsia="zh-CN"/>
        </w:rPr>
        <w:t>的供应商符合特定的可持续发展标准</w:t>
      </w:r>
    </w:p>
    <w:p w14:paraId="76901AFC" w14:textId="77777777" w:rsidR="00C45B51" w:rsidRPr="00CB6116" w:rsidRDefault="00C45B51" w:rsidP="00002C0B">
      <w:pPr>
        <w:widowControl/>
        <w:contextualSpacing/>
        <w:mirrorIndents/>
        <w:rPr>
          <w:rFonts w:eastAsia="宋体"/>
          <w:lang w:eastAsia="zh-CN"/>
        </w:rPr>
      </w:pPr>
    </w:p>
    <w:p w14:paraId="104707B7" w14:textId="148834D6" w:rsidR="000B2B33" w:rsidRPr="00CB6116" w:rsidRDefault="00590DDD" w:rsidP="005D639D">
      <w:pPr>
        <w:pStyle w:val="BodyText"/>
        <w:widowControl/>
        <w:spacing w:line="276" w:lineRule="auto"/>
        <w:ind w:hanging="1"/>
        <w:jc w:val="both"/>
        <w:rPr>
          <w:rFonts w:eastAsia="宋体"/>
          <w:lang w:eastAsia="zh-CN"/>
        </w:rPr>
      </w:pPr>
      <w:r w:rsidRPr="00CB6116">
        <w:rPr>
          <w:rFonts w:eastAsia="宋体"/>
          <w:lang w:eastAsia="zh-CN"/>
        </w:rPr>
        <w:t>杜塞尔多夫</w:t>
      </w:r>
      <w:r w:rsidRPr="00CB6116">
        <w:rPr>
          <w:rFonts w:eastAsia="宋体"/>
          <w:lang w:eastAsia="zh-CN"/>
        </w:rPr>
        <w:t>——</w:t>
      </w:r>
      <w:r w:rsidR="000D111C" w:rsidRPr="000D111C">
        <w:rPr>
          <w:rFonts w:eastAsia="宋体" w:hint="eastAsia"/>
          <w:lang w:eastAsia="zh-CN"/>
        </w:rPr>
        <w:t>依托</w:t>
      </w:r>
      <w:r w:rsidR="000D111C" w:rsidRPr="000D111C">
        <w:rPr>
          <w:rFonts w:eastAsia="宋体"/>
          <w:lang w:eastAsia="zh-CN"/>
        </w:rPr>
        <w:t>150</w:t>
      </w:r>
      <w:r w:rsidR="000D111C" w:rsidRPr="000D111C">
        <w:rPr>
          <w:rFonts w:eastAsia="宋体" w:hint="eastAsia"/>
          <w:lang w:eastAsia="zh-CN"/>
        </w:rPr>
        <w:t>年的深厚历史底蕴及在可持续发展领域的卓越成就，</w:t>
      </w:r>
      <w:r w:rsidRPr="00CB6116">
        <w:rPr>
          <w:rFonts w:eastAsia="宋体"/>
          <w:lang w:eastAsia="zh-CN"/>
        </w:rPr>
        <w:t>汉高制定了</w:t>
      </w:r>
      <w:r w:rsidR="002E091A">
        <w:rPr>
          <w:rFonts w:eastAsia="宋体" w:hint="eastAsia"/>
          <w:lang w:eastAsia="zh-CN"/>
        </w:rPr>
        <w:t>全新的</w:t>
      </w:r>
      <w:r w:rsidRPr="00CB6116">
        <w:rPr>
          <w:rFonts w:eastAsia="宋体"/>
          <w:lang w:eastAsia="zh-CN"/>
        </w:rPr>
        <w:t>2030</w:t>
      </w:r>
      <w:r w:rsidRPr="00CB6116">
        <w:rPr>
          <w:rFonts w:eastAsia="宋体"/>
          <w:lang w:eastAsia="zh-CN"/>
        </w:rPr>
        <w:t>年</w:t>
      </w:r>
      <w:r w:rsidR="002E091A">
        <w:rPr>
          <w:rFonts w:eastAsia="宋体" w:hint="eastAsia"/>
          <w:lang w:eastAsia="zh-CN"/>
        </w:rPr>
        <w:t>可持续发展</w:t>
      </w:r>
      <w:r w:rsidRPr="00CB6116">
        <w:rPr>
          <w:rFonts w:eastAsia="宋体"/>
          <w:lang w:eastAsia="zh-CN"/>
        </w:rPr>
        <w:t>中期目标。</w:t>
      </w:r>
      <w:r w:rsidR="0094113D" w:rsidRPr="0094113D">
        <w:rPr>
          <w:rFonts w:eastAsia="宋体" w:hint="eastAsia"/>
          <w:lang w:eastAsia="zh-CN"/>
        </w:rPr>
        <w:t>新目标体现了公司的战略决策，旨在进一步加快其在整个价值链中产生</w:t>
      </w:r>
      <w:r w:rsidR="002E091A">
        <w:rPr>
          <w:rFonts w:eastAsia="宋体" w:hint="eastAsia"/>
          <w:lang w:eastAsia="zh-CN"/>
        </w:rPr>
        <w:t>的</w:t>
      </w:r>
      <w:r w:rsidR="0094113D" w:rsidRPr="0094113D">
        <w:rPr>
          <w:rFonts w:eastAsia="宋体" w:hint="eastAsia"/>
          <w:lang w:eastAsia="zh-CN"/>
        </w:rPr>
        <w:t>影响。</w:t>
      </w:r>
      <w:r w:rsidRPr="00CB6116">
        <w:rPr>
          <w:rFonts w:eastAsia="宋体"/>
          <w:lang w:eastAsia="zh-CN"/>
        </w:rPr>
        <w:t>通过</w:t>
      </w:r>
      <w:r w:rsidR="005A65B2" w:rsidRPr="005A65B2">
        <w:rPr>
          <w:rFonts w:eastAsia="宋体" w:hint="eastAsia"/>
          <w:lang w:eastAsia="zh-CN"/>
        </w:rPr>
        <w:t>采用将</w:t>
      </w:r>
      <w:r w:rsidR="005A65B2" w:rsidRPr="00C5628E">
        <w:rPr>
          <w:rFonts w:eastAsia="宋体" w:hint="eastAsia"/>
          <w:b/>
          <w:bCs/>
          <w:lang w:eastAsia="zh-CN"/>
        </w:rPr>
        <w:t>气候行动、公平与可持续供应链</w:t>
      </w:r>
      <w:r w:rsidR="005A65B2" w:rsidRPr="005A65B2">
        <w:rPr>
          <w:rFonts w:eastAsia="宋体" w:hint="eastAsia"/>
          <w:lang w:eastAsia="zh-CN"/>
        </w:rPr>
        <w:t>相结合的整体性方法，</w:t>
      </w:r>
      <w:r w:rsidRPr="00CB6116">
        <w:rPr>
          <w:rFonts w:eastAsia="宋体"/>
          <w:lang w:eastAsia="zh-CN"/>
        </w:rPr>
        <w:t>汉高</w:t>
      </w:r>
      <w:r w:rsidR="005A65B2">
        <w:rPr>
          <w:rFonts w:eastAsia="宋体" w:hint="eastAsia"/>
          <w:lang w:eastAsia="zh-CN"/>
        </w:rPr>
        <w:t>正</w:t>
      </w:r>
      <w:r w:rsidRPr="00CB6116">
        <w:rPr>
          <w:rFonts w:eastAsia="宋体"/>
          <w:lang w:eastAsia="zh-CN"/>
        </w:rPr>
        <w:t>开启</w:t>
      </w:r>
      <w:r w:rsidR="000D111C" w:rsidRPr="000D111C">
        <w:rPr>
          <w:rFonts w:eastAsia="宋体" w:hint="eastAsia"/>
          <w:lang w:eastAsia="zh-CN"/>
        </w:rPr>
        <w:t>发展的新篇章</w:t>
      </w:r>
      <w:r w:rsidRPr="00CB6116">
        <w:rPr>
          <w:rFonts w:eastAsia="宋体"/>
          <w:lang w:eastAsia="zh-CN"/>
        </w:rPr>
        <w:t>。</w:t>
      </w:r>
    </w:p>
    <w:p w14:paraId="631CD85D" w14:textId="77777777" w:rsidR="00C45B51" w:rsidRPr="00CB6116" w:rsidRDefault="00C45B51" w:rsidP="005D639D">
      <w:pPr>
        <w:pStyle w:val="BodyText"/>
        <w:widowControl/>
        <w:jc w:val="both"/>
        <w:rPr>
          <w:rFonts w:eastAsia="宋体"/>
          <w:lang w:eastAsia="zh-CN"/>
        </w:rPr>
      </w:pPr>
    </w:p>
    <w:p w14:paraId="23F754CE" w14:textId="170EA6AD" w:rsidR="000B2B33" w:rsidRDefault="00590DDD" w:rsidP="005D639D">
      <w:pPr>
        <w:pStyle w:val="BodyText"/>
        <w:widowControl/>
        <w:spacing w:line="276" w:lineRule="auto"/>
        <w:jc w:val="both"/>
        <w:rPr>
          <w:rFonts w:ascii="宋体" w:eastAsia="宋体" w:hAnsi="宋体"/>
          <w:lang w:eastAsia="zh-CN"/>
        </w:rPr>
      </w:pPr>
      <w:r w:rsidRPr="00B00E67">
        <w:rPr>
          <w:rFonts w:ascii="宋体" w:eastAsia="宋体" w:hAnsi="宋体" w:hint="eastAsia"/>
          <w:lang w:eastAsia="zh-CN"/>
        </w:rPr>
        <w:t>汉高首席执行官卡斯滕·诺贝尔（</w:t>
      </w:r>
      <w:r w:rsidRPr="00190C1D">
        <w:rPr>
          <w:rFonts w:eastAsia="宋体"/>
          <w:lang w:eastAsia="zh-CN"/>
        </w:rPr>
        <w:t>Carsten Knobel</w:t>
      </w:r>
      <w:r w:rsidRPr="00190C1D">
        <w:rPr>
          <w:rFonts w:eastAsia="宋体" w:hint="eastAsia"/>
          <w:lang w:eastAsia="zh-CN"/>
        </w:rPr>
        <w:t>）</w:t>
      </w:r>
      <w:r w:rsidRPr="00B00E67">
        <w:rPr>
          <w:rFonts w:ascii="宋体" w:eastAsia="宋体" w:hAnsi="宋体" w:hint="eastAsia"/>
          <w:lang w:eastAsia="zh-CN"/>
        </w:rPr>
        <w:t>表示：</w:t>
      </w:r>
      <w:r w:rsidRPr="00CB6116">
        <w:rPr>
          <w:rFonts w:ascii="宋体" w:eastAsia="宋体" w:hAnsi="宋体"/>
          <w:lang w:eastAsia="zh-CN"/>
        </w:rPr>
        <w:t>“</w:t>
      </w:r>
      <w:r w:rsidRPr="00CB6116">
        <w:rPr>
          <w:rFonts w:eastAsia="宋体"/>
          <w:lang w:eastAsia="zh-CN"/>
        </w:rPr>
        <w:t>150</w:t>
      </w:r>
      <w:r w:rsidRPr="00CB6116">
        <w:rPr>
          <w:rFonts w:eastAsia="宋体"/>
          <w:lang w:eastAsia="zh-CN"/>
        </w:rPr>
        <w:t>年来，汉高证明了负责任的经营方式与出色的业绩</w:t>
      </w:r>
      <w:r w:rsidR="002E5D74">
        <w:rPr>
          <w:rFonts w:eastAsia="宋体" w:hint="eastAsia"/>
          <w:lang w:eastAsia="zh-CN"/>
        </w:rPr>
        <w:t>表现</w:t>
      </w:r>
      <w:r w:rsidRPr="00CB6116">
        <w:rPr>
          <w:rFonts w:eastAsia="宋体"/>
          <w:lang w:eastAsia="zh-CN"/>
        </w:rPr>
        <w:t>是相辅相成的。在当今这个充满挑战</w:t>
      </w:r>
      <w:r w:rsidR="002E5D74">
        <w:rPr>
          <w:rFonts w:eastAsia="宋体" w:hint="eastAsia"/>
          <w:lang w:eastAsia="zh-CN"/>
        </w:rPr>
        <w:t>和动荡</w:t>
      </w:r>
      <w:r w:rsidRPr="00CB6116">
        <w:rPr>
          <w:rFonts w:eastAsia="宋体"/>
          <w:lang w:eastAsia="zh-CN"/>
        </w:rPr>
        <w:t>的环境中，采取明确而一致的立场来塑造可持续的未来，比以往任何时候都更为重要</w:t>
      </w:r>
      <w:r>
        <w:rPr>
          <w:rFonts w:eastAsia="宋体" w:hint="eastAsia"/>
          <w:lang w:eastAsia="zh-CN"/>
        </w:rPr>
        <w:t>。</w:t>
      </w:r>
      <w:r w:rsidR="002E5D74">
        <w:rPr>
          <w:rFonts w:eastAsia="宋体" w:hint="eastAsia"/>
          <w:lang w:eastAsia="zh-CN"/>
        </w:rPr>
        <w:t>基于汉高的目标性增长议程</w:t>
      </w:r>
      <w:r w:rsidRPr="00B00E67">
        <w:rPr>
          <w:rFonts w:eastAsia="宋体" w:hint="eastAsia"/>
          <w:lang w:eastAsia="zh-CN"/>
        </w:rPr>
        <w:t>，我们正</w:t>
      </w:r>
      <w:r w:rsidR="00A14C0B">
        <w:rPr>
          <w:rFonts w:eastAsia="宋体" w:hint="eastAsia"/>
          <w:lang w:eastAsia="zh-CN"/>
        </w:rPr>
        <w:t>以</w:t>
      </w:r>
      <w:r w:rsidRPr="00B00E67">
        <w:rPr>
          <w:rFonts w:eastAsia="宋体" w:hint="eastAsia"/>
          <w:lang w:eastAsia="zh-CN"/>
        </w:rPr>
        <w:t>兼具雄心与可行性的</w:t>
      </w:r>
      <w:r w:rsidR="00A14C0B">
        <w:rPr>
          <w:rFonts w:eastAsia="宋体" w:hint="eastAsia"/>
          <w:lang w:eastAsia="zh-CN"/>
        </w:rPr>
        <w:t>可持续发展</w:t>
      </w:r>
      <w:r w:rsidRPr="00B00E67">
        <w:rPr>
          <w:rFonts w:eastAsia="宋体" w:hint="eastAsia"/>
          <w:lang w:eastAsia="zh-CN"/>
        </w:rPr>
        <w:t>新目标</w:t>
      </w:r>
      <w:r w:rsidR="00A14C0B">
        <w:rPr>
          <w:rFonts w:eastAsia="宋体" w:hint="eastAsia"/>
          <w:lang w:eastAsia="zh-CN"/>
        </w:rPr>
        <w:t>向前推进</w:t>
      </w:r>
      <w:r w:rsidRPr="00B00E67">
        <w:rPr>
          <w:rFonts w:eastAsia="宋体" w:hint="eastAsia"/>
          <w:lang w:eastAsia="zh-CN"/>
        </w:rPr>
        <w:t>。我们聚焦于三大关键领域，</w:t>
      </w:r>
      <w:r w:rsidR="00A14C0B">
        <w:rPr>
          <w:rFonts w:eastAsia="宋体" w:hint="eastAsia"/>
          <w:lang w:eastAsia="zh-CN"/>
        </w:rPr>
        <w:t>并</w:t>
      </w:r>
      <w:r w:rsidRPr="00B00E67">
        <w:rPr>
          <w:rFonts w:eastAsia="宋体" w:hint="eastAsia"/>
          <w:lang w:eastAsia="zh-CN"/>
        </w:rPr>
        <w:t>有信心在这些领域取得显著成效，进一步创造可持续价值。</w:t>
      </w:r>
      <w:r w:rsidRPr="00CB6116">
        <w:rPr>
          <w:rFonts w:ascii="宋体" w:eastAsia="宋体" w:hAnsi="宋体"/>
          <w:lang w:eastAsia="zh-CN"/>
        </w:rPr>
        <w:t>”</w:t>
      </w:r>
    </w:p>
    <w:p w14:paraId="0C233348" w14:textId="61B92CB3" w:rsidR="00EA59BE" w:rsidRDefault="00EA59BE" w:rsidP="00EA59BE">
      <w:pPr>
        <w:pStyle w:val="BodyText"/>
        <w:widowControl/>
        <w:spacing w:line="276" w:lineRule="auto"/>
        <w:jc w:val="center"/>
        <w:rPr>
          <w:rFonts w:eastAsia="宋体"/>
          <w:lang w:eastAsia="zh-CN"/>
        </w:rPr>
      </w:pPr>
      <w:r>
        <w:rPr>
          <w:rFonts w:eastAsia="宋体"/>
          <w:noProof/>
          <w:lang w:eastAsia="zh-CN"/>
        </w:rPr>
        <w:lastRenderedPageBreak/>
        <w:drawing>
          <wp:inline distT="0" distB="0" distL="0" distR="0" wp14:anchorId="17F4C1BF" wp14:editId="61CB03B0">
            <wp:extent cx="2400705" cy="3600000"/>
            <wp:effectExtent l="0" t="0" r="0" b="635"/>
            <wp:docPr id="7521600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216008" name="Picture 75216008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0705" cy="36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2BE34E" w14:textId="365155DD" w:rsidR="00D55B74" w:rsidRPr="00663AE6" w:rsidRDefault="00D55B74" w:rsidP="00EA59BE">
      <w:pPr>
        <w:pStyle w:val="BodyText"/>
        <w:widowControl/>
        <w:spacing w:line="276" w:lineRule="auto"/>
        <w:jc w:val="center"/>
        <w:rPr>
          <w:rFonts w:eastAsia="宋体"/>
          <w:sz w:val="20"/>
          <w:szCs w:val="20"/>
          <w:lang w:eastAsia="zh-CN"/>
        </w:rPr>
      </w:pPr>
      <w:r w:rsidRPr="00663AE6">
        <w:rPr>
          <w:rFonts w:ascii="宋体" w:eastAsia="宋体" w:hAnsi="宋体" w:hint="eastAsia"/>
          <w:sz w:val="20"/>
          <w:szCs w:val="20"/>
          <w:lang w:eastAsia="zh-CN"/>
        </w:rPr>
        <w:t>汉高首席执行官卡斯滕·诺贝尔（</w:t>
      </w:r>
      <w:r w:rsidRPr="00663AE6">
        <w:rPr>
          <w:rFonts w:eastAsia="宋体"/>
          <w:sz w:val="20"/>
          <w:szCs w:val="20"/>
          <w:lang w:eastAsia="zh-CN"/>
        </w:rPr>
        <w:t>Carsten Knobel</w:t>
      </w:r>
      <w:r w:rsidRPr="00663AE6">
        <w:rPr>
          <w:rFonts w:eastAsia="宋体" w:hint="eastAsia"/>
          <w:sz w:val="20"/>
          <w:szCs w:val="20"/>
          <w:lang w:eastAsia="zh-CN"/>
        </w:rPr>
        <w:t>）</w:t>
      </w:r>
    </w:p>
    <w:p w14:paraId="3666E1EC" w14:textId="77777777" w:rsidR="00C45B51" w:rsidRPr="00CB6116" w:rsidRDefault="00C45B51" w:rsidP="005D639D">
      <w:pPr>
        <w:pStyle w:val="BodyText"/>
        <w:widowControl/>
        <w:jc w:val="both"/>
        <w:rPr>
          <w:rFonts w:eastAsia="宋体"/>
          <w:lang w:eastAsia="zh-CN"/>
        </w:rPr>
      </w:pPr>
    </w:p>
    <w:p w14:paraId="625F751D" w14:textId="0AA0C0E3" w:rsidR="00D745CE" w:rsidRDefault="00590DDD" w:rsidP="00D745CE">
      <w:pPr>
        <w:pStyle w:val="BodyText"/>
        <w:widowControl/>
        <w:spacing w:line="276" w:lineRule="auto"/>
        <w:ind w:hanging="1"/>
        <w:jc w:val="both"/>
        <w:rPr>
          <w:rFonts w:ascii="宋体" w:eastAsia="宋体" w:hAnsi="宋体"/>
          <w:lang w:eastAsia="zh-CN"/>
        </w:rPr>
      </w:pPr>
      <w:r w:rsidRPr="00C11EB7">
        <w:rPr>
          <w:rFonts w:ascii="宋体" w:eastAsia="宋体" w:hAnsi="宋体" w:hint="eastAsia"/>
          <w:lang w:eastAsia="zh-CN"/>
        </w:rPr>
        <w:t>汉高人力资源、基础设施和可持续发展执行副总裁西尔维·尼科尔</w:t>
      </w:r>
      <w:r w:rsidRPr="00190C1D">
        <w:rPr>
          <w:rFonts w:eastAsia="宋体" w:hint="eastAsia"/>
          <w:lang w:eastAsia="zh-CN"/>
        </w:rPr>
        <w:t>（</w:t>
      </w:r>
      <w:r w:rsidRPr="00190C1D">
        <w:rPr>
          <w:rFonts w:eastAsia="宋体"/>
          <w:lang w:eastAsia="zh-CN"/>
        </w:rPr>
        <w:t>Sylvie Nicol</w:t>
      </w:r>
      <w:r w:rsidRPr="00190C1D">
        <w:rPr>
          <w:rFonts w:eastAsia="宋体" w:hint="eastAsia"/>
          <w:lang w:eastAsia="zh-CN"/>
        </w:rPr>
        <w:t>）</w:t>
      </w:r>
      <w:r w:rsidRPr="00C11EB7">
        <w:rPr>
          <w:rFonts w:ascii="宋体" w:eastAsia="宋体" w:hAnsi="宋体" w:hint="eastAsia"/>
          <w:lang w:eastAsia="zh-CN"/>
        </w:rPr>
        <w:t>表示：</w:t>
      </w:r>
      <w:r w:rsidRPr="00CB6116">
        <w:rPr>
          <w:rFonts w:ascii="宋体" w:eastAsia="宋体" w:hAnsi="宋体"/>
          <w:lang w:eastAsia="zh-CN"/>
        </w:rPr>
        <w:t>“</w:t>
      </w:r>
      <w:r w:rsidR="000B0588" w:rsidRPr="000B0588">
        <w:rPr>
          <w:rFonts w:eastAsia="宋体" w:hint="eastAsia"/>
          <w:lang w:eastAsia="zh-CN"/>
        </w:rPr>
        <w:t>我们引以为傲的企业传承，</w:t>
      </w:r>
      <w:r w:rsidR="00281961" w:rsidRPr="00281961">
        <w:rPr>
          <w:rFonts w:eastAsia="宋体" w:hint="eastAsia"/>
          <w:lang w:eastAsia="zh-CN"/>
        </w:rPr>
        <w:t>始终以责任感和开拓精神为底色，</w:t>
      </w:r>
      <w:r w:rsidR="000B0588" w:rsidRPr="000B0588">
        <w:rPr>
          <w:rFonts w:eastAsia="宋体" w:hint="eastAsia"/>
          <w:lang w:eastAsia="zh-CN"/>
        </w:rPr>
        <w:t>尤其在构建更可持续的未来方面。</w:t>
      </w:r>
      <w:r w:rsidR="00281961" w:rsidRPr="00281961">
        <w:rPr>
          <w:rFonts w:eastAsia="宋体"/>
          <w:lang w:eastAsia="zh-CN"/>
        </w:rPr>
        <w:t>新目标的制定，体现了</w:t>
      </w:r>
      <w:r w:rsidR="00281961">
        <w:rPr>
          <w:rFonts w:eastAsia="宋体" w:hint="eastAsia"/>
          <w:lang w:eastAsia="zh-CN"/>
        </w:rPr>
        <w:t>我们的</w:t>
      </w:r>
      <w:r w:rsidR="00281961" w:rsidRPr="00281961">
        <w:rPr>
          <w:rFonts w:eastAsia="宋体"/>
          <w:lang w:eastAsia="zh-CN"/>
        </w:rPr>
        <w:t>战略决策</w:t>
      </w:r>
      <w:r w:rsidR="00281961">
        <w:rPr>
          <w:rFonts w:eastAsia="宋体" w:hint="eastAsia"/>
          <w:lang w:eastAsia="zh-CN"/>
        </w:rPr>
        <w:t>，</w:t>
      </w:r>
      <w:r w:rsidR="000B0588" w:rsidRPr="000B0588">
        <w:rPr>
          <w:rFonts w:eastAsia="宋体" w:hint="eastAsia"/>
          <w:lang w:eastAsia="zh-CN"/>
        </w:rPr>
        <w:t>旨在加速</w:t>
      </w:r>
      <w:r w:rsidR="00281961">
        <w:rPr>
          <w:rFonts w:eastAsia="宋体" w:hint="eastAsia"/>
          <w:lang w:eastAsia="zh-CN"/>
        </w:rPr>
        <w:t>公司</w:t>
      </w:r>
      <w:r w:rsidR="000B0588" w:rsidRPr="000B0588">
        <w:rPr>
          <w:rFonts w:eastAsia="宋体" w:hint="eastAsia"/>
          <w:lang w:eastAsia="zh-CN"/>
        </w:rPr>
        <w:t>在整个价值链中</w:t>
      </w:r>
      <w:r w:rsidR="00281961">
        <w:rPr>
          <w:rFonts w:eastAsia="宋体" w:hint="eastAsia"/>
          <w:lang w:eastAsia="zh-CN"/>
        </w:rPr>
        <w:t>的影响</w:t>
      </w:r>
      <w:r w:rsidR="000B0588" w:rsidRPr="000B0588">
        <w:rPr>
          <w:rFonts w:eastAsia="宋体" w:hint="eastAsia"/>
          <w:lang w:eastAsia="zh-CN"/>
        </w:rPr>
        <w:t>，并</w:t>
      </w:r>
      <w:r w:rsidR="00281961" w:rsidRPr="00281961">
        <w:rPr>
          <w:rFonts w:eastAsia="宋体" w:hint="eastAsia"/>
          <w:lang w:eastAsia="zh-CN"/>
        </w:rPr>
        <w:t>提供了一个清晰且可操作的框架，将可持续理念融入企业日常决策的方方面面</w:t>
      </w:r>
      <w:r w:rsidR="000B0588" w:rsidRPr="000B0588">
        <w:rPr>
          <w:rFonts w:eastAsia="宋体" w:hint="eastAsia"/>
          <w:lang w:eastAsia="zh-CN"/>
        </w:rPr>
        <w:t>。</w:t>
      </w:r>
      <w:r w:rsidRPr="00CB6116">
        <w:rPr>
          <w:rFonts w:eastAsia="宋体"/>
          <w:lang w:eastAsia="zh-CN"/>
        </w:rPr>
        <w:t>要实现持久而全面的变革，需要勇气，也需要全球所有团队、市场和地区的共同努力</w:t>
      </w:r>
      <w:r>
        <w:rPr>
          <w:rFonts w:eastAsia="宋体" w:hint="eastAsia"/>
          <w:lang w:eastAsia="zh-CN"/>
        </w:rPr>
        <w:t>。</w:t>
      </w:r>
      <w:r w:rsidRPr="00CB6116">
        <w:rPr>
          <w:rFonts w:ascii="宋体" w:eastAsia="宋体" w:hAnsi="宋体"/>
          <w:lang w:eastAsia="zh-CN"/>
        </w:rPr>
        <w:t>”</w:t>
      </w:r>
    </w:p>
    <w:p w14:paraId="44A5D4AE" w14:textId="44683029" w:rsidR="006E4EDD" w:rsidRPr="00CB6116" w:rsidRDefault="006E4EDD" w:rsidP="006E4EDD">
      <w:pPr>
        <w:pStyle w:val="BodyText"/>
        <w:widowControl/>
        <w:spacing w:line="276" w:lineRule="auto"/>
        <w:ind w:hanging="1"/>
        <w:jc w:val="center"/>
        <w:rPr>
          <w:rFonts w:eastAsia="宋体"/>
          <w:lang w:eastAsia="zh-CN"/>
        </w:rPr>
      </w:pPr>
      <w:r>
        <w:rPr>
          <w:noProof/>
        </w:rPr>
        <w:drawing>
          <wp:inline distT="0" distB="0" distL="0" distR="0" wp14:anchorId="6C0C751A" wp14:editId="34F548FA">
            <wp:extent cx="3810000" cy="2143125"/>
            <wp:effectExtent l="0" t="0" r="0" b="9525"/>
            <wp:docPr id="912458123" name="Picture 1" descr="汉高公布2030年可持续发展新目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汉高公布2030年可持续发展新目标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2143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5623E0" w14:textId="221CF0A6" w:rsidR="00C45B51" w:rsidRPr="00663AE6" w:rsidRDefault="00663AE6" w:rsidP="00663AE6">
      <w:pPr>
        <w:pStyle w:val="BodyText"/>
        <w:widowControl/>
        <w:jc w:val="center"/>
        <w:rPr>
          <w:rFonts w:eastAsia="宋体"/>
          <w:sz w:val="20"/>
          <w:szCs w:val="20"/>
          <w:lang w:eastAsia="zh-CN"/>
        </w:rPr>
      </w:pPr>
      <w:r w:rsidRPr="00663AE6">
        <w:rPr>
          <w:rFonts w:eastAsia="宋体" w:hint="eastAsia"/>
          <w:sz w:val="20"/>
          <w:szCs w:val="20"/>
          <w:lang w:eastAsia="zh-CN"/>
        </w:rPr>
        <w:t>汉高</w:t>
      </w:r>
      <w:r w:rsidRPr="00663AE6">
        <w:rPr>
          <w:rFonts w:eastAsia="宋体"/>
          <w:sz w:val="20"/>
          <w:szCs w:val="20"/>
          <w:lang w:eastAsia="zh-CN"/>
        </w:rPr>
        <w:t>2025</w:t>
      </w:r>
      <w:r w:rsidRPr="00663AE6">
        <w:rPr>
          <w:rFonts w:eastAsia="宋体" w:hint="eastAsia"/>
          <w:sz w:val="20"/>
          <w:szCs w:val="20"/>
          <w:lang w:eastAsia="zh-CN"/>
        </w:rPr>
        <w:t>可持续影响力报告</w:t>
      </w:r>
    </w:p>
    <w:p w14:paraId="053A6959" w14:textId="77777777" w:rsidR="00D55B74" w:rsidRPr="00CB6116" w:rsidRDefault="00D55B74" w:rsidP="005D639D">
      <w:pPr>
        <w:pStyle w:val="BodyText"/>
        <w:widowControl/>
        <w:jc w:val="both"/>
        <w:rPr>
          <w:rFonts w:eastAsia="宋体"/>
          <w:lang w:eastAsia="zh-CN"/>
        </w:rPr>
      </w:pPr>
    </w:p>
    <w:p w14:paraId="492C6CB3" w14:textId="23CEDCBA" w:rsidR="000B2B33" w:rsidRPr="00CB6116" w:rsidRDefault="00590DDD" w:rsidP="005D639D">
      <w:pPr>
        <w:pStyle w:val="Heading1"/>
        <w:widowControl/>
        <w:ind w:left="0" w:firstLine="0"/>
        <w:jc w:val="both"/>
        <w:rPr>
          <w:rFonts w:eastAsia="宋体"/>
          <w:lang w:eastAsia="zh-CN"/>
        </w:rPr>
      </w:pPr>
      <w:r w:rsidRPr="00281961">
        <w:rPr>
          <w:rFonts w:eastAsia="宋体" w:hint="eastAsia"/>
          <w:lang w:eastAsia="zh-CN"/>
        </w:rPr>
        <w:t>加快实现净零排放与循环经济的进程</w:t>
      </w:r>
    </w:p>
    <w:p w14:paraId="1BEA4425" w14:textId="08DBEB5C" w:rsidR="000B2B33" w:rsidRPr="00CB6116" w:rsidRDefault="00590DDD" w:rsidP="005D639D">
      <w:pPr>
        <w:widowControl/>
        <w:spacing w:line="276" w:lineRule="auto"/>
        <w:jc w:val="both"/>
        <w:rPr>
          <w:rFonts w:eastAsia="宋体"/>
          <w:lang w:eastAsia="zh-CN"/>
        </w:rPr>
      </w:pPr>
      <w:r w:rsidRPr="00CB6116">
        <w:rPr>
          <w:rFonts w:eastAsia="宋体"/>
          <w:lang w:eastAsia="zh-CN"/>
        </w:rPr>
        <w:t>汉高致力于</w:t>
      </w:r>
      <w:r w:rsidRPr="00CB6116">
        <w:rPr>
          <w:rFonts w:eastAsia="宋体"/>
          <w:b/>
          <w:bCs/>
          <w:lang w:eastAsia="zh-CN"/>
        </w:rPr>
        <w:t>在</w:t>
      </w:r>
      <w:r w:rsidRPr="00CB6116">
        <w:rPr>
          <w:rFonts w:eastAsia="宋体"/>
          <w:b/>
          <w:bCs/>
          <w:lang w:eastAsia="zh-CN"/>
        </w:rPr>
        <w:t>2045</w:t>
      </w:r>
      <w:r w:rsidRPr="00CB6116">
        <w:rPr>
          <w:rFonts w:eastAsia="宋体"/>
          <w:b/>
          <w:bCs/>
          <w:lang w:eastAsia="zh-CN"/>
        </w:rPr>
        <w:t>年前实现净零排放目标</w:t>
      </w:r>
      <w:r w:rsidRPr="00CB6116">
        <w:rPr>
          <w:rFonts w:eastAsia="宋体"/>
          <w:lang w:eastAsia="zh-CN"/>
        </w:rPr>
        <w:t>，</w:t>
      </w:r>
      <w:r w:rsidR="00281961">
        <w:rPr>
          <w:rFonts w:eastAsia="宋体" w:hint="eastAsia"/>
          <w:lang w:eastAsia="zh-CN"/>
        </w:rPr>
        <w:t>且</w:t>
      </w:r>
      <w:r w:rsidRPr="00CB6116">
        <w:rPr>
          <w:rFonts w:eastAsia="宋体"/>
          <w:lang w:eastAsia="zh-CN"/>
        </w:rPr>
        <w:t>在</w:t>
      </w:r>
      <w:r w:rsidRPr="00CB6116">
        <w:rPr>
          <w:rFonts w:eastAsia="宋体"/>
          <w:lang w:eastAsia="zh-CN"/>
        </w:rPr>
        <w:t>2024</w:t>
      </w:r>
      <w:r w:rsidRPr="00CB6116">
        <w:rPr>
          <w:rFonts w:eastAsia="宋体"/>
          <w:lang w:eastAsia="zh-CN"/>
        </w:rPr>
        <w:t>年制定了实现这一目标的全面路线图</w:t>
      </w:r>
      <w:r w:rsidR="00281961">
        <w:rPr>
          <w:rFonts w:eastAsia="宋体" w:hint="eastAsia"/>
          <w:lang w:eastAsia="zh-CN"/>
        </w:rPr>
        <w:t>，并</w:t>
      </w:r>
      <w:r w:rsidRPr="00CB6116">
        <w:rPr>
          <w:rFonts w:eastAsia="宋体"/>
          <w:lang w:eastAsia="zh-CN"/>
        </w:rPr>
        <w:t>得到</w:t>
      </w:r>
      <w:r w:rsidRPr="00CB6116">
        <w:rPr>
          <w:rFonts w:ascii="宋体" w:eastAsia="宋体" w:hAnsi="宋体"/>
          <w:lang w:eastAsia="zh-CN"/>
        </w:rPr>
        <w:t>了“科</w:t>
      </w:r>
      <w:r w:rsidRPr="00CB6116">
        <w:rPr>
          <w:rFonts w:eastAsia="宋体"/>
          <w:lang w:eastAsia="zh-CN"/>
        </w:rPr>
        <w:t>学碳目标倡议</w:t>
      </w:r>
      <w:r w:rsidRPr="00CB6116">
        <w:rPr>
          <w:rFonts w:ascii="宋体" w:eastAsia="宋体" w:hAnsi="宋体"/>
          <w:lang w:eastAsia="zh-CN"/>
        </w:rPr>
        <w:t>”</w:t>
      </w:r>
      <w:r w:rsidRPr="00CB6116">
        <w:rPr>
          <w:rFonts w:eastAsia="宋体"/>
          <w:lang w:eastAsia="zh-CN"/>
        </w:rPr>
        <w:t>（</w:t>
      </w:r>
      <w:r w:rsidRPr="00CB6116">
        <w:rPr>
          <w:rFonts w:eastAsia="宋体"/>
          <w:lang w:eastAsia="zh-CN"/>
        </w:rPr>
        <w:t>SBTi</w:t>
      </w:r>
      <w:r w:rsidRPr="00CB6116">
        <w:rPr>
          <w:rFonts w:eastAsia="宋体"/>
          <w:lang w:eastAsia="zh-CN"/>
        </w:rPr>
        <w:t>）的认可。公司旨在通过提高能源利用效率、增加可再生能源及更环保燃料的使用比例，从而大幅降低其整个价值链中的排放量。作为</w:t>
      </w:r>
      <w:r w:rsidR="006E223B">
        <w:rPr>
          <w:rFonts w:eastAsia="宋体" w:hint="eastAsia"/>
          <w:lang w:eastAsia="zh-CN"/>
        </w:rPr>
        <w:t>实现净零排放过程中</w:t>
      </w:r>
      <w:r w:rsidRPr="00CB6116">
        <w:rPr>
          <w:rFonts w:eastAsia="宋体"/>
          <w:lang w:eastAsia="zh-CN"/>
        </w:rPr>
        <w:t>的重要里程碑，</w:t>
      </w:r>
      <w:r w:rsidRPr="00CB6116">
        <w:rPr>
          <w:rFonts w:eastAsia="宋体"/>
          <w:b/>
          <w:bCs/>
          <w:lang w:eastAsia="zh-CN"/>
        </w:rPr>
        <w:t>汉高的目标是到</w:t>
      </w:r>
      <w:r w:rsidRPr="00CB6116">
        <w:rPr>
          <w:rFonts w:eastAsia="宋体"/>
          <w:b/>
          <w:bCs/>
          <w:lang w:eastAsia="zh-CN"/>
        </w:rPr>
        <w:t>2030</w:t>
      </w:r>
      <w:r w:rsidRPr="00CB6116">
        <w:rPr>
          <w:rFonts w:eastAsia="宋体"/>
          <w:b/>
          <w:bCs/>
          <w:lang w:eastAsia="zh-CN"/>
        </w:rPr>
        <w:t>年将范围</w:t>
      </w:r>
      <w:r w:rsidRPr="00CB6116">
        <w:rPr>
          <w:rFonts w:eastAsia="宋体"/>
          <w:b/>
          <w:bCs/>
          <w:lang w:eastAsia="zh-CN"/>
        </w:rPr>
        <w:t>1</w:t>
      </w:r>
      <w:r w:rsidRPr="00CB6116">
        <w:rPr>
          <w:rFonts w:eastAsia="宋体"/>
          <w:b/>
          <w:bCs/>
          <w:lang w:eastAsia="zh-CN"/>
        </w:rPr>
        <w:t>和范围</w:t>
      </w:r>
      <w:r w:rsidRPr="00CB6116">
        <w:rPr>
          <w:rFonts w:eastAsia="宋体"/>
          <w:b/>
          <w:bCs/>
          <w:lang w:eastAsia="zh-CN"/>
        </w:rPr>
        <w:t>2</w:t>
      </w:r>
      <w:r w:rsidRPr="00CB6116">
        <w:rPr>
          <w:rFonts w:eastAsia="宋体"/>
          <w:b/>
          <w:bCs/>
          <w:lang w:eastAsia="zh-CN"/>
        </w:rPr>
        <w:t>温室气体的绝对排放量减少</w:t>
      </w:r>
      <w:r w:rsidRPr="00CB6116">
        <w:rPr>
          <w:rFonts w:eastAsia="宋体"/>
          <w:b/>
          <w:bCs/>
          <w:lang w:eastAsia="zh-CN"/>
        </w:rPr>
        <w:t>42%</w:t>
      </w:r>
      <w:r w:rsidRPr="00CB6116">
        <w:rPr>
          <w:rFonts w:eastAsia="宋体"/>
          <w:b/>
          <w:bCs/>
          <w:lang w:eastAsia="zh-CN"/>
        </w:rPr>
        <w:lastRenderedPageBreak/>
        <w:t>（与</w:t>
      </w:r>
      <w:r w:rsidRPr="00CB6116">
        <w:rPr>
          <w:rFonts w:eastAsia="宋体"/>
          <w:b/>
          <w:bCs/>
          <w:lang w:eastAsia="zh-CN"/>
        </w:rPr>
        <w:t>2021</w:t>
      </w:r>
      <w:r w:rsidRPr="00CB6116">
        <w:rPr>
          <w:rFonts w:eastAsia="宋体"/>
          <w:b/>
          <w:bCs/>
          <w:lang w:eastAsia="zh-CN"/>
        </w:rPr>
        <w:t>年相比），并将范围</w:t>
      </w:r>
      <w:r w:rsidRPr="00CB6116">
        <w:rPr>
          <w:rFonts w:eastAsia="宋体"/>
          <w:b/>
          <w:bCs/>
          <w:lang w:eastAsia="zh-CN"/>
        </w:rPr>
        <w:t>3</w:t>
      </w:r>
      <w:r w:rsidRPr="00CB6116">
        <w:rPr>
          <w:rFonts w:eastAsia="宋体"/>
          <w:b/>
          <w:bCs/>
          <w:lang w:eastAsia="zh-CN"/>
        </w:rPr>
        <w:t>的绝对排放量减少</w:t>
      </w:r>
      <w:r w:rsidRPr="00CB6116">
        <w:rPr>
          <w:rFonts w:eastAsia="宋体"/>
          <w:b/>
          <w:bCs/>
          <w:lang w:eastAsia="zh-CN"/>
        </w:rPr>
        <w:t>30%</w:t>
      </w:r>
      <w:r w:rsidRPr="00CB6116">
        <w:rPr>
          <w:rFonts w:eastAsia="宋体"/>
          <w:lang w:eastAsia="zh-CN"/>
        </w:rPr>
        <w:t>。范围</w:t>
      </w:r>
      <w:r w:rsidRPr="00CB6116">
        <w:rPr>
          <w:rFonts w:eastAsia="宋体"/>
          <w:lang w:eastAsia="zh-CN"/>
        </w:rPr>
        <w:t>1</w:t>
      </w:r>
      <w:r w:rsidRPr="00CB6116">
        <w:rPr>
          <w:rFonts w:eastAsia="宋体"/>
          <w:lang w:eastAsia="zh-CN"/>
        </w:rPr>
        <w:t>和范围</w:t>
      </w:r>
      <w:r w:rsidRPr="00CB6116">
        <w:rPr>
          <w:rFonts w:eastAsia="宋体"/>
          <w:lang w:eastAsia="zh-CN"/>
        </w:rPr>
        <w:t>2</w:t>
      </w:r>
      <w:r w:rsidRPr="00CB6116">
        <w:rPr>
          <w:rFonts w:eastAsia="宋体"/>
          <w:lang w:eastAsia="zh-CN"/>
        </w:rPr>
        <w:t>排放涵盖我们运营过程中的直接和间接排放，而范围</w:t>
      </w:r>
      <w:r w:rsidRPr="00CB6116">
        <w:rPr>
          <w:rFonts w:eastAsia="宋体"/>
          <w:lang w:eastAsia="zh-CN"/>
        </w:rPr>
        <w:t>3</w:t>
      </w:r>
      <w:r w:rsidRPr="00CB6116">
        <w:rPr>
          <w:rFonts w:eastAsia="宋体"/>
          <w:lang w:eastAsia="zh-CN"/>
        </w:rPr>
        <w:t>涵盖上下游价值链中的排放。迄今为止取得的进展表明，汉高正</w:t>
      </w:r>
      <w:r w:rsidR="002928A9">
        <w:rPr>
          <w:rFonts w:eastAsia="宋体" w:hint="eastAsia"/>
          <w:lang w:eastAsia="zh-CN"/>
        </w:rPr>
        <w:t>沿着正确的方向前进</w:t>
      </w:r>
      <w:r w:rsidRPr="00CB6116">
        <w:rPr>
          <w:rFonts w:eastAsia="宋体"/>
          <w:lang w:eastAsia="zh-CN"/>
        </w:rPr>
        <w:t>：到</w:t>
      </w:r>
      <w:r w:rsidRPr="00CB6116">
        <w:rPr>
          <w:rFonts w:eastAsia="宋体"/>
          <w:lang w:eastAsia="zh-CN"/>
        </w:rPr>
        <w:t>2025</w:t>
      </w:r>
      <w:r w:rsidRPr="00CB6116">
        <w:rPr>
          <w:rFonts w:eastAsia="宋体"/>
          <w:lang w:eastAsia="zh-CN"/>
        </w:rPr>
        <w:t>年，</w:t>
      </w:r>
      <w:r w:rsidRPr="00CB6116">
        <w:rPr>
          <w:rFonts w:eastAsia="宋体"/>
          <w:b/>
          <w:bCs/>
          <w:lang w:eastAsia="zh-CN"/>
        </w:rPr>
        <w:t>与</w:t>
      </w:r>
      <w:r w:rsidRPr="00CB6116">
        <w:rPr>
          <w:rFonts w:eastAsia="宋体"/>
          <w:b/>
          <w:bCs/>
          <w:lang w:eastAsia="zh-CN"/>
        </w:rPr>
        <w:t>2021</w:t>
      </w:r>
      <w:r w:rsidRPr="00CB6116">
        <w:rPr>
          <w:rFonts w:eastAsia="宋体"/>
          <w:b/>
          <w:bCs/>
          <w:lang w:eastAsia="zh-CN"/>
        </w:rPr>
        <w:t>年相比</w:t>
      </w:r>
      <w:r w:rsidRPr="00CB6116">
        <w:rPr>
          <w:rFonts w:eastAsia="宋体"/>
          <w:lang w:eastAsia="zh-CN"/>
        </w:rPr>
        <w:t>，</w:t>
      </w:r>
      <w:r w:rsidR="002928A9">
        <w:rPr>
          <w:rFonts w:eastAsia="宋体" w:hint="eastAsia"/>
          <w:lang w:eastAsia="zh-CN"/>
        </w:rPr>
        <w:t>汉高</w:t>
      </w:r>
      <w:r w:rsidRPr="00CB6116">
        <w:rPr>
          <w:rFonts w:eastAsia="宋体"/>
          <w:lang w:eastAsia="zh-CN"/>
        </w:rPr>
        <w:t>的</w:t>
      </w:r>
      <w:r w:rsidRPr="00CB6116">
        <w:rPr>
          <w:rFonts w:eastAsia="宋体"/>
          <w:b/>
          <w:bCs/>
          <w:lang w:eastAsia="zh-CN"/>
        </w:rPr>
        <w:t>范围</w:t>
      </w:r>
      <w:r w:rsidRPr="00CB6116">
        <w:rPr>
          <w:rFonts w:eastAsia="宋体"/>
          <w:b/>
          <w:bCs/>
          <w:lang w:eastAsia="zh-CN"/>
        </w:rPr>
        <w:t>1</w:t>
      </w:r>
      <w:r w:rsidRPr="00CB6116">
        <w:rPr>
          <w:rFonts w:eastAsia="宋体"/>
          <w:b/>
          <w:bCs/>
          <w:lang w:eastAsia="zh-CN"/>
        </w:rPr>
        <w:t>、范围</w:t>
      </w:r>
      <w:r w:rsidRPr="00CB6116">
        <w:rPr>
          <w:rFonts w:eastAsia="宋体"/>
          <w:b/>
          <w:bCs/>
          <w:lang w:eastAsia="zh-CN"/>
        </w:rPr>
        <w:t>2</w:t>
      </w:r>
      <w:r w:rsidRPr="00CB6116">
        <w:rPr>
          <w:rFonts w:eastAsia="宋体"/>
          <w:b/>
          <w:bCs/>
          <w:lang w:eastAsia="zh-CN"/>
        </w:rPr>
        <w:t>和范围</w:t>
      </w:r>
      <w:r w:rsidRPr="00CB6116">
        <w:rPr>
          <w:rFonts w:eastAsia="宋体"/>
          <w:b/>
          <w:bCs/>
          <w:lang w:eastAsia="zh-CN"/>
        </w:rPr>
        <w:t>3</w:t>
      </w:r>
      <w:r w:rsidRPr="00CB6116">
        <w:rPr>
          <w:rFonts w:eastAsia="宋体"/>
          <w:b/>
          <w:bCs/>
          <w:lang w:eastAsia="zh-CN"/>
        </w:rPr>
        <w:t>排放量减少了</w:t>
      </w:r>
      <w:r w:rsidRPr="00CB6116">
        <w:rPr>
          <w:rFonts w:eastAsia="宋体"/>
          <w:b/>
          <w:bCs/>
          <w:lang w:eastAsia="zh-CN"/>
        </w:rPr>
        <w:t>29%</w:t>
      </w:r>
      <w:r w:rsidRPr="00CB6116">
        <w:rPr>
          <w:rFonts w:eastAsia="宋体"/>
          <w:lang w:eastAsia="zh-CN"/>
        </w:rPr>
        <w:t>；同时，其在</w:t>
      </w:r>
      <w:r w:rsidRPr="00CB6116">
        <w:rPr>
          <w:rFonts w:eastAsia="宋体"/>
          <w:b/>
          <w:bCs/>
          <w:lang w:eastAsia="zh-CN"/>
        </w:rPr>
        <w:t>全球</w:t>
      </w:r>
      <w:r w:rsidRPr="00CB6116">
        <w:rPr>
          <w:rFonts w:eastAsia="宋体"/>
          <w:b/>
          <w:bCs/>
          <w:lang w:eastAsia="zh-CN"/>
        </w:rPr>
        <w:t>37</w:t>
      </w:r>
      <w:r w:rsidRPr="00CB6116">
        <w:rPr>
          <w:rFonts w:eastAsia="宋体"/>
          <w:b/>
          <w:bCs/>
          <w:lang w:eastAsia="zh-CN"/>
        </w:rPr>
        <w:t>个生产基地</w:t>
      </w:r>
      <w:r w:rsidRPr="00C5628E">
        <w:rPr>
          <w:rFonts w:eastAsia="宋体"/>
          <w:b/>
          <w:bCs/>
          <w:lang w:eastAsia="zh-CN"/>
        </w:rPr>
        <w:t>实现了</w:t>
      </w:r>
      <w:r w:rsidRPr="00CB6116">
        <w:rPr>
          <w:rFonts w:eastAsia="宋体"/>
          <w:b/>
          <w:bCs/>
          <w:lang w:eastAsia="zh-CN"/>
        </w:rPr>
        <w:t>碳中和</w:t>
      </w:r>
      <w:r w:rsidRPr="00CB6116">
        <w:rPr>
          <w:rFonts w:eastAsia="宋体"/>
          <w:lang w:eastAsia="zh-CN"/>
        </w:rPr>
        <w:t>。在这种情况下，汉高将其</w:t>
      </w:r>
      <w:r w:rsidRPr="00CB6116">
        <w:rPr>
          <w:rFonts w:eastAsia="宋体"/>
          <w:b/>
          <w:bCs/>
          <w:lang w:eastAsia="zh-CN"/>
        </w:rPr>
        <w:t>全球范围内使用</w:t>
      </w:r>
      <w:r w:rsidR="009E3CD5" w:rsidRPr="00295B68">
        <w:rPr>
          <w:rFonts w:eastAsia="宋体" w:hint="eastAsia"/>
          <w:b/>
          <w:bCs/>
          <w:lang w:eastAsia="zh-CN"/>
        </w:rPr>
        <w:t>可再生能源电力</w:t>
      </w:r>
      <w:r w:rsidRPr="00CB6116">
        <w:rPr>
          <w:rFonts w:eastAsia="宋体"/>
          <w:b/>
          <w:bCs/>
          <w:lang w:eastAsia="zh-CN"/>
        </w:rPr>
        <w:t>的比例大幅提高至</w:t>
      </w:r>
      <w:r w:rsidRPr="00CB6116">
        <w:rPr>
          <w:rFonts w:eastAsia="宋体"/>
          <w:b/>
          <w:bCs/>
          <w:lang w:eastAsia="zh-CN"/>
        </w:rPr>
        <w:t>97%</w:t>
      </w:r>
      <w:r w:rsidRPr="00CB6116">
        <w:rPr>
          <w:rFonts w:eastAsia="宋体"/>
          <w:lang w:eastAsia="zh-CN"/>
        </w:rPr>
        <w:t>。</w:t>
      </w:r>
      <w:r w:rsidR="008040B2" w:rsidRPr="008040B2">
        <w:rPr>
          <w:rFonts w:eastAsia="宋体" w:hint="eastAsia"/>
          <w:lang w:eastAsia="zh-CN"/>
        </w:rPr>
        <w:t>这些减排成果既</w:t>
      </w:r>
      <w:r w:rsidR="002928A9">
        <w:rPr>
          <w:rFonts w:eastAsia="宋体" w:hint="eastAsia"/>
          <w:lang w:eastAsia="zh-CN"/>
        </w:rPr>
        <w:t>得益于</w:t>
      </w:r>
      <w:r w:rsidR="008040B2" w:rsidRPr="008040B2">
        <w:rPr>
          <w:rFonts w:eastAsia="宋体" w:hint="eastAsia"/>
          <w:lang w:eastAsia="zh-CN"/>
        </w:rPr>
        <w:t>运营的优化，也体现了与供应商及合作伙伴</w:t>
      </w:r>
      <w:r w:rsidR="002928A9">
        <w:rPr>
          <w:rFonts w:eastAsia="宋体" w:hint="eastAsia"/>
          <w:lang w:eastAsia="zh-CN"/>
        </w:rPr>
        <w:t>的深化协作</w:t>
      </w:r>
      <w:r w:rsidR="008040B2" w:rsidRPr="008040B2">
        <w:rPr>
          <w:rFonts w:eastAsia="宋体" w:hint="eastAsia"/>
          <w:lang w:eastAsia="zh-CN"/>
        </w:rPr>
        <w:t>。</w:t>
      </w:r>
    </w:p>
    <w:p w14:paraId="50EBBD03" w14:textId="77777777" w:rsidR="00C45B51" w:rsidRPr="00CB6116" w:rsidRDefault="00C45B51" w:rsidP="005D639D">
      <w:pPr>
        <w:pStyle w:val="BodyText"/>
        <w:widowControl/>
        <w:jc w:val="both"/>
        <w:rPr>
          <w:rFonts w:eastAsia="宋体"/>
          <w:lang w:eastAsia="zh-CN"/>
        </w:rPr>
      </w:pPr>
    </w:p>
    <w:p w14:paraId="23C5A333" w14:textId="5AC0373D" w:rsidR="000B2B33" w:rsidRPr="00CB6116" w:rsidRDefault="00590DDD" w:rsidP="005D639D">
      <w:pPr>
        <w:widowControl/>
        <w:spacing w:line="276" w:lineRule="auto"/>
        <w:ind w:hanging="1"/>
        <w:jc w:val="both"/>
        <w:rPr>
          <w:rFonts w:eastAsia="宋体"/>
          <w:b/>
          <w:lang w:eastAsia="zh-CN"/>
        </w:rPr>
      </w:pPr>
      <w:r w:rsidRPr="00CB6116">
        <w:rPr>
          <w:rFonts w:eastAsia="宋体"/>
          <w:lang w:eastAsia="zh-CN"/>
        </w:rPr>
        <w:t>汉高在环保方面的另一个重要举措，就是致力于推动循环经济的发展。</w:t>
      </w:r>
      <w:r w:rsidR="000008A7" w:rsidRPr="000008A7">
        <w:rPr>
          <w:rFonts w:eastAsia="宋体" w:hint="eastAsia"/>
          <w:lang w:eastAsia="zh-CN"/>
        </w:rPr>
        <w:t>公司已就消费品包装中再生材料的使用比例，以及</w:t>
      </w:r>
      <w:r w:rsidR="002928A9">
        <w:rPr>
          <w:rFonts w:eastAsia="宋体" w:hint="eastAsia"/>
          <w:lang w:eastAsia="zh-CN"/>
        </w:rPr>
        <w:t>可</w:t>
      </w:r>
      <w:r w:rsidR="000008A7" w:rsidRPr="000008A7">
        <w:rPr>
          <w:rFonts w:eastAsia="宋体" w:hint="eastAsia"/>
          <w:lang w:eastAsia="zh-CN"/>
        </w:rPr>
        <w:t>回收设计的包装比例，制定了明确目标。</w:t>
      </w:r>
      <w:r w:rsidRPr="00CB6116">
        <w:rPr>
          <w:rFonts w:eastAsia="宋体"/>
          <w:b/>
          <w:lang w:eastAsia="zh-CN"/>
        </w:rPr>
        <w:t>到</w:t>
      </w:r>
      <w:r w:rsidRPr="00CB6116">
        <w:rPr>
          <w:rFonts w:eastAsia="宋体"/>
          <w:b/>
          <w:lang w:eastAsia="zh-CN"/>
        </w:rPr>
        <w:t>2030</w:t>
      </w:r>
      <w:r w:rsidRPr="00CB6116">
        <w:rPr>
          <w:rFonts w:eastAsia="宋体"/>
          <w:b/>
          <w:lang w:eastAsia="zh-CN"/>
        </w:rPr>
        <w:t>年，再生材料的</w:t>
      </w:r>
      <w:r w:rsidR="002928A9">
        <w:rPr>
          <w:rFonts w:eastAsia="宋体" w:hint="eastAsia"/>
          <w:b/>
          <w:lang w:eastAsia="zh-CN"/>
        </w:rPr>
        <w:t>使用</w:t>
      </w:r>
      <w:r w:rsidRPr="00CB6116">
        <w:rPr>
          <w:rFonts w:eastAsia="宋体"/>
          <w:b/>
          <w:lang w:eastAsia="zh-CN"/>
        </w:rPr>
        <w:t>比例预计</w:t>
      </w:r>
      <w:r w:rsidR="002928A9">
        <w:rPr>
          <w:rFonts w:eastAsia="宋体" w:hint="eastAsia"/>
          <w:b/>
          <w:lang w:eastAsia="zh-CN"/>
        </w:rPr>
        <w:t>将从目前的</w:t>
      </w:r>
      <w:r w:rsidRPr="00CB6116">
        <w:rPr>
          <w:rFonts w:eastAsia="宋体"/>
          <w:b/>
          <w:lang w:eastAsia="zh-CN"/>
        </w:rPr>
        <w:t>28%</w:t>
      </w:r>
      <w:r w:rsidR="002928A9">
        <w:rPr>
          <w:rFonts w:eastAsia="宋体" w:hint="eastAsia"/>
          <w:b/>
          <w:lang w:eastAsia="zh-CN"/>
        </w:rPr>
        <w:t>提升至</w:t>
      </w:r>
      <w:r w:rsidR="002928A9">
        <w:rPr>
          <w:rFonts w:eastAsia="宋体" w:hint="eastAsia"/>
          <w:b/>
          <w:lang w:eastAsia="zh-CN"/>
        </w:rPr>
        <w:t>35%</w:t>
      </w:r>
      <w:r w:rsidR="002928A9">
        <w:rPr>
          <w:rFonts w:eastAsia="宋体" w:hint="eastAsia"/>
          <w:b/>
          <w:lang w:eastAsia="zh-CN"/>
        </w:rPr>
        <w:t>以上</w:t>
      </w:r>
      <w:r w:rsidRPr="00CB6116">
        <w:rPr>
          <w:rFonts w:eastAsia="宋体"/>
          <w:b/>
          <w:lang w:eastAsia="zh-CN"/>
        </w:rPr>
        <w:t>。此外，汉高计划到</w:t>
      </w:r>
      <w:r w:rsidRPr="00CB6116">
        <w:rPr>
          <w:rFonts w:eastAsia="宋体"/>
          <w:b/>
          <w:lang w:eastAsia="zh-CN"/>
        </w:rPr>
        <w:t>2030</w:t>
      </w:r>
      <w:r w:rsidRPr="00CB6116">
        <w:rPr>
          <w:rFonts w:eastAsia="宋体"/>
          <w:b/>
          <w:lang w:eastAsia="zh-CN"/>
        </w:rPr>
        <w:t>年</w:t>
      </w:r>
      <w:r w:rsidR="002928A9" w:rsidRPr="002928A9">
        <w:rPr>
          <w:rFonts w:eastAsia="宋体"/>
          <w:b/>
          <w:lang w:eastAsia="zh-CN"/>
        </w:rPr>
        <w:t>实现包装</w:t>
      </w:r>
      <w:r w:rsidR="002928A9" w:rsidRPr="002928A9">
        <w:rPr>
          <w:rFonts w:eastAsia="宋体"/>
          <w:b/>
          <w:lang w:eastAsia="zh-CN"/>
        </w:rPr>
        <w:t>100%</w:t>
      </w:r>
      <w:r w:rsidR="002928A9" w:rsidRPr="002928A9">
        <w:rPr>
          <w:rFonts w:eastAsia="宋体"/>
          <w:b/>
          <w:lang w:eastAsia="zh-CN"/>
        </w:rPr>
        <w:t>可回收设计</w:t>
      </w:r>
      <w:r w:rsidRPr="00CB6116">
        <w:rPr>
          <w:rFonts w:eastAsia="宋体"/>
          <w:b/>
          <w:lang w:eastAsia="zh-CN"/>
        </w:rPr>
        <w:t>，而目前这一比例已达到了</w:t>
      </w:r>
      <w:r w:rsidRPr="00CB6116">
        <w:rPr>
          <w:rFonts w:eastAsia="宋体"/>
          <w:b/>
          <w:lang w:eastAsia="zh-CN"/>
        </w:rPr>
        <w:t>88%</w:t>
      </w:r>
      <w:r w:rsidRPr="00CB6116">
        <w:rPr>
          <w:rFonts w:eastAsia="宋体"/>
          <w:b/>
          <w:lang w:eastAsia="zh-CN"/>
        </w:rPr>
        <w:t>。</w:t>
      </w:r>
    </w:p>
    <w:p w14:paraId="7D9D2C43" w14:textId="77777777" w:rsidR="00C45B51" w:rsidRPr="00CB6116" w:rsidRDefault="00C45B51" w:rsidP="005D639D">
      <w:pPr>
        <w:pStyle w:val="BodyText"/>
        <w:widowControl/>
        <w:jc w:val="both"/>
        <w:rPr>
          <w:rFonts w:eastAsia="宋体"/>
          <w:b/>
          <w:lang w:eastAsia="zh-CN"/>
        </w:rPr>
      </w:pPr>
    </w:p>
    <w:p w14:paraId="33B4EDB6" w14:textId="065D002A" w:rsidR="000B2B33" w:rsidRPr="00CB6116" w:rsidRDefault="00590DDD" w:rsidP="005D639D">
      <w:pPr>
        <w:pStyle w:val="BodyText"/>
        <w:widowControl/>
        <w:spacing w:line="276" w:lineRule="auto"/>
        <w:jc w:val="both"/>
        <w:rPr>
          <w:rFonts w:eastAsia="宋体"/>
          <w:lang w:eastAsia="zh-CN"/>
        </w:rPr>
      </w:pPr>
      <w:r w:rsidRPr="00547C0A">
        <w:rPr>
          <w:rFonts w:eastAsia="宋体"/>
          <w:lang w:eastAsia="zh-CN"/>
        </w:rPr>
        <w:t>凭借粘合剂技术业务部门开发的专用粘合剂解决方案，</w:t>
      </w:r>
      <w:r>
        <w:rPr>
          <w:rFonts w:eastAsia="宋体" w:hint="eastAsia"/>
          <w:lang w:eastAsia="zh-CN"/>
        </w:rPr>
        <w:t>汉高</w:t>
      </w:r>
      <w:r w:rsidRPr="00547C0A">
        <w:rPr>
          <w:rFonts w:eastAsia="宋体"/>
          <w:lang w:eastAsia="zh-CN"/>
        </w:rPr>
        <w:t>也为可回收包装的发展贡献了力量。汉高在其杜塞尔多夫和上海的客户中心内设有专门的</w:t>
      </w:r>
      <w:r>
        <w:rPr>
          <w:rFonts w:eastAsia="宋体" w:hint="eastAsia"/>
          <w:lang w:eastAsia="zh-CN"/>
        </w:rPr>
        <w:t>“</w:t>
      </w:r>
      <w:r w:rsidRPr="00547C0A">
        <w:rPr>
          <w:rFonts w:eastAsia="宋体"/>
          <w:lang w:eastAsia="zh-CN"/>
        </w:rPr>
        <w:t>包装回收实验室</w:t>
      </w:r>
      <w:r>
        <w:rPr>
          <w:rFonts w:eastAsia="宋体" w:hint="eastAsia"/>
          <w:lang w:eastAsia="zh-CN"/>
        </w:rPr>
        <w:t>”</w:t>
      </w:r>
      <w:r w:rsidRPr="00547C0A">
        <w:rPr>
          <w:rFonts w:eastAsia="宋体"/>
          <w:lang w:eastAsia="zh-CN"/>
        </w:rPr>
        <w:t>，这些解决方案</w:t>
      </w:r>
      <w:r>
        <w:rPr>
          <w:rFonts w:eastAsia="宋体" w:hint="eastAsia"/>
          <w:lang w:eastAsia="zh-CN"/>
        </w:rPr>
        <w:t>均在此</w:t>
      </w:r>
      <w:r w:rsidRPr="00547C0A">
        <w:rPr>
          <w:rFonts w:eastAsia="宋体"/>
          <w:lang w:eastAsia="zh-CN"/>
        </w:rPr>
        <w:t>接受测试。</w:t>
      </w:r>
    </w:p>
    <w:p w14:paraId="59563178" w14:textId="77777777" w:rsidR="00C45B51" w:rsidRPr="00CB6116" w:rsidRDefault="00C45B51" w:rsidP="005D639D">
      <w:pPr>
        <w:pStyle w:val="BodyText"/>
        <w:widowControl/>
        <w:jc w:val="both"/>
        <w:rPr>
          <w:rFonts w:eastAsia="宋体"/>
          <w:lang w:eastAsia="zh-CN"/>
        </w:rPr>
      </w:pPr>
    </w:p>
    <w:p w14:paraId="782C789F" w14:textId="38DBFDC3" w:rsidR="000B2B33" w:rsidRPr="00CB6116" w:rsidRDefault="00590DDD" w:rsidP="005D639D">
      <w:pPr>
        <w:pStyle w:val="Heading1"/>
        <w:widowControl/>
        <w:ind w:left="0" w:firstLine="0"/>
        <w:jc w:val="both"/>
        <w:rPr>
          <w:rFonts w:eastAsia="宋体"/>
          <w:lang w:eastAsia="zh-CN"/>
        </w:rPr>
      </w:pPr>
      <w:r w:rsidRPr="00040988">
        <w:rPr>
          <w:rFonts w:eastAsia="宋体" w:hint="eastAsia"/>
          <w:lang w:eastAsia="zh-CN"/>
        </w:rPr>
        <w:t>在全球范围内推动员工平等</w:t>
      </w:r>
    </w:p>
    <w:p w14:paraId="27DA0E0C" w14:textId="5FEBA656" w:rsidR="000B2B33" w:rsidRPr="00CB6116" w:rsidRDefault="00590DDD" w:rsidP="005D639D">
      <w:pPr>
        <w:widowControl/>
        <w:spacing w:line="276" w:lineRule="auto"/>
        <w:jc w:val="both"/>
        <w:rPr>
          <w:rFonts w:eastAsia="宋体"/>
          <w:lang w:eastAsia="zh-CN"/>
        </w:rPr>
      </w:pPr>
      <w:r w:rsidRPr="00CB6116">
        <w:rPr>
          <w:rFonts w:eastAsia="宋体"/>
          <w:lang w:eastAsia="zh-CN"/>
        </w:rPr>
        <w:t>汉高再次重申了其对机会平等、包容</w:t>
      </w:r>
      <w:r w:rsidR="00547C0A">
        <w:rPr>
          <w:rFonts w:eastAsia="宋体" w:hint="eastAsia"/>
          <w:lang w:eastAsia="zh-CN"/>
        </w:rPr>
        <w:t>的</w:t>
      </w:r>
      <w:r w:rsidRPr="00CB6116">
        <w:rPr>
          <w:rFonts w:eastAsia="宋体"/>
          <w:lang w:eastAsia="zh-CN"/>
        </w:rPr>
        <w:t>工作环境以及实现</w:t>
      </w:r>
      <w:r w:rsidR="0015540C" w:rsidRPr="00CB6116">
        <w:rPr>
          <w:rFonts w:eastAsia="宋体"/>
          <w:lang w:eastAsia="zh-CN"/>
        </w:rPr>
        <w:t>公平</w:t>
      </w:r>
      <w:r w:rsidRPr="00CB6116">
        <w:rPr>
          <w:rFonts w:eastAsia="宋体"/>
          <w:lang w:eastAsia="zh-CN"/>
        </w:rPr>
        <w:t>薪酬的承诺。</w:t>
      </w:r>
      <w:r w:rsidRPr="00CB6116">
        <w:rPr>
          <w:rFonts w:eastAsia="宋体"/>
          <w:b/>
          <w:lang w:eastAsia="zh-CN"/>
        </w:rPr>
        <w:t>到</w:t>
      </w:r>
      <w:r w:rsidRPr="00CB6116">
        <w:rPr>
          <w:rFonts w:eastAsia="宋体"/>
          <w:b/>
          <w:lang w:eastAsia="zh-CN"/>
        </w:rPr>
        <w:t>2030</w:t>
      </w:r>
      <w:r w:rsidRPr="00CB6116">
        <w:rPr>
          <w:rFonts w:eastAsia="宋体"/>
          <w:b/>
          <w:lang w:eastAsia="zh-CN"/>
        </w:rPr>
        <w:t>年，公司努力实现</w:t>
      </w:r>
      <w:r w:rsidR="00547C0A" w:rsidRPr="00CB6116">
        <w:rPr>
          <w:rFonts w:eastAsia="宋体"/>
          <w:b/>
          <w:lang w:eastAsia="zh-CN"/>
        </w:rPr>
        <w:t>全球</w:t>
      </w:r>
      <w:r w:rsidRPr="00CB6116">
        <w:rPr>
          <w:rFonts w:eastAsia="宋体"/>
          <w:b/>
          <w:lang w:eastAsia="zh-CN"/>
        </w:rPr>
        <w:t>管理层的性别平衡，</w:t>
      </w:r>
      <w:r w:rsidR="00246A0D">
        <w:rPr>
          <w:rFonts w:eastAsia="宋体" w:hint="eastAsia"/>
          <w:b/>
          <w:lang w:eastAsia="zh-CN"/>
        </w:rPr>
        <w:t>即</w:t>
      </w:r>
      <w:r w:rsidR="00246A0D" w:rsidRPr="00246A0D">
        <w:rPr>
          <w:rFonts w:eastAsia="宋体" w:hint="eastAsia"/>
          <w:b/>
          <w:lang w:eastAsia="zh-CN"/>
        </w:rPr>
        <w:t>各性别在各级管理层中的占比均超过</w:t>
      </w:r>
      <w:r w:rsidR="00246A0D" w:rsidRPr="00246A0D">
        <w:rPr>
          <w:rFonts w:eastAsia="宋体"/>
          <w:b/>
          <w:lang w:eastAsia="zh-CN"/>
        </w:rPr>
        <w:t>45%</w:t>
      </w:r>
      <w:r w:rsidRPr="00CB6116">
        <w:rPr>
          <w:rFonts w:eastAsia="宋体"/>
          <w:b/>
          <w:lang w:eastAsia="zh-CN"/>
        </w:rPr>
        <w:t>。</w:t>
      </w:r>
      <w:r w:rsidR="00246A0D" w:rsidRPr="00190C1D">
        <w:rPr>
          <w:rFonts w:eastAsia="宋体" w:hint="eastAsia"/>
          <w:bCs/>
          <w:lang w:eastAsia="zh-CN"/>
        </w:rPr>
        <w:t>截至</w:t>
      </w:r>
      <w:r w:rsidR="00246A0D" w:rsidRPr="00190C1D">
        <w:rPr>
          <w:rFonts w:eastAsia="宋体"/>
          <w:bCs/>
          <w:lang w:eastAsia="zh-CN"/>
        </w:rPr>
        <w:t>2025</w:t>
      </w:r>
      <w:r w:rsidR="00246A0D" w:rsidRPr="00190C1D">
        <w:rPr>
          <w:rFonts w:eastAsia="宋体" w:hint="eastAsia"/>
          <w:bCs/>
          <w:lang w:eastAsia="zh-CN"/>
        </w:rPr>
        <w:t>年底，女性在管理层中的占比已突破</w:t>
      </w:r>
      <w:r w:rsidR="00246A0D" w:rsidRPr="00190C1D">
        <w:rPr>
          <w:rFonts w:eastAsia="宋体"/>
          <w:bCs/>
          <w:lang w:eastAsia="zh-CN"/>
        </w:rPr>
        <w:t>43%</w:t>
      </w:r>
      <w:r w:rsidR="00246A0D">
        <w:rPr>
          <w:rFonts w:eastAsia="宋体" w:hint="eastAsia"/>
          <w:lang w:eastAsia="zh-CN"/>
        </w:rPr>
        <w:t>。</w:t>
      </w:r>
      <w:r w:rsidR="00246A0D" w:rsidRPr="00246A0D">
        <w:rPr>
          <w:rFonts w:eastAsia="宋体" w:hint="eastAsia"/>
          <w:b/>
          <w:bCs/>
          <w:lang w:eastAsia="zh-CN"/>
        </w:rPr>
        <w:t>这</w:t>
      </w:r>
      <w:r w:rsidR="0015540C">
        <w:rPr>
          <w:rFonts w:eastAsia="宋体" w:hint="eastAsia"/>
          <w:b/>
          <w:bCs/>
          <w:lang w:eastAsia="zh-CN"/>
        </w:rPr>
        <w:t>既是</w:t>
      </w:r>
      <w:r w:rsidR="00246A0D" w:rsidRPr="00246A0D">
        <w:rPr>
          <w:rFonts w:eastAsia="宋体" w:hint="eastAsia"/>
          <w:b/>
          <w:bCs/>
          <w:lang w:eastAsia="zh-CN"/>
        </w:rPr>
        <w:t>一重要里程碑</w:t>
      </w:r>
      <w:r w:rsidR="0015540C">
        <w:rPr>
          <w:rFonts w:eastAsia="宋体" w:hint="eastAsia"/>
          <w:b/>
          <w:bCs/>
          <w:lang w:eastAsia="zh-CN"/>
        </w:rPr>
        <w:t>，也展现了切实的成果</w:t>
      </w:r>
      <w:r w:rsidRPr="00CB6116">
        <w:rPr>
          <w:rFonts w:eastAsia="宋体"/>
          <w:lang w:eastAsia="zh-CN"/>
        </w:rPr>
        <w:t>。此外，</w:t>
      </w:r>
      <w:r w:rsidRPr="00CB6116">
        <w:rPr>
          <w:rFonts w:eastAsia="宋体"/>
          <w:b/>
          <w:bCs/>
          <w:lang w:eastAsia="zh-CN"/>
        </w:rPr>
        <w:t>汉高力争到</w:t>
      </w:r>
      <w:r w:rsidRPr="00CB6116">
        <w:rPr>
          <w:rFonts w:eastAsia="宋体"/>
          <w:b/>
          <w:bCs/>
          <w:lang w:eastAsia="zh-CN"/>
        </w:rPr>
        <w:t>2030</w:t>
      </w:r>
      <w:r w:rsidRPr="00CB6116">
        <w:rPr>
          <w:rFonts w:eastAsia="宋体"/>
          <w:b/>
          <w:bCs/>
          <w:lang w:eastAsia="zh-CN"/>
        </w:rPr>
        <w:t>年</w:t>
      </w:r>
      <w:r w:rsidR="00246A0D" w:rsidRPr="00246A0D">
        <w:rPr>
          <w:rFonts w:eastAsia="宋体" w:hint="eastAsia"/>
          <w:b/>
          <w:bCs/>
          <w:lang w:eastAsia="zh-CN"/>
        </w:rPr>
        <w:t>在全球范围内实现薪酬</w:t>
      </w:r>
      <w:r w:rsidR="0015540C">
        <w:rPr>
          <w:rFonts w:eastAsia="宋体" w:hint="eastAsia"/>
          <w:b/>
          <w:bCs/>
          <w:lang w:eastAsia="zh-CN"/>
        </w:rPr>
        <w:t>平等</w:t>
      </w:r>
      <w:r w:rsidRPr="00CB6116">
        <w:rPr>
          <w:rFonts w:eastAsia="宋体"/>
          <w:lang w:eastAsia="zh-CN"/>
        </w:rPr>
        <w:t>。</w:t>
      </w:r>
      <w:r w:rsidR="00246A0D" w:rsidRPr="00246A0D">
        <w:rPr>
          <w:rFonts w:eastAsia="宋体" w:hint="eastAsia"/>
          <w:lang w:eastAsia="zh-CN"/>
        </w:rPr>
        <w:t>这两项目标的推进均遵循当地法律法规，并采取了因地制宜的策略。</w:t>
      </w:r>
    </w:p>
    <w:p w14:paraId="57CBB357" w14:textId="77777777" w:rsidR="00C45B51" w:rsidRPr="00CB6116" w:rsidRDefault="00C45B51" w:rsidP="005D639D">
      <w:pPr>
        <w:pStyle w:val="BodyText"/>
        <w:widowControl/>
        <w:jc w:val="both"/>
        <w:rPr>
          <w:rFonts w:eastAsia="宋体"/>
          <w:lang w:eastAsia="zh-CN"/>
        </w:rPr>
      </w:pPr>
    </w:p>
    <w:p w14:paraId="3A93891B" w14:textId="7375A966" w:rsidR="000B2B33" w:rsidRPr="00CB6116" w:rsidRDefault="00590DDD" w:rsidP="005D639D">
      <w:pPr>
        <w:pStyle w:val="Heading1"/>
        <w:widowControl/>
        <w:ind w:left="0" w:firstLine="0"/>
        <w:jc w:val="both"/>
        <w:rPr>
          <w:rFonts w:eastAsia="宋体"/>
          <w:lang w:eastAsia="zh-CN"/>
        </w:rPr>
      </w:pPr>
      <w:r w:rsidRPr="00CB6116">
        <w:rPr>
          <w:rFonts w:eastAsia="宋体"/>
          <w:lang w:eastAsia="zh-CN"/>
        </w:rPr>
        <w:t>携手共建更可持续的供应链</w:t>
      </w:r>
    </w:p>
    <w:p w14:paraId="562150FC" w14:textId="442F2E00" w:rsidR="000B2B33" w:rsidRPr="00CB6116" w:rsidRDefault="00590DDD" w:rsidP="005D639D">
      <w:pPr>
        <w:pStyle w:val="BodyText"/>
        <w:widowControl/>
        <w:spacing w:line="276" w:lineRule="auto"/>
        <w:jc w:val="both"/>
        <w:rPr>
          <w:rFonts w:eastAsia="宋体"/>
          <w:lang w:eastAsia="zh-CN"/>
        </w:rPr>
      </w:pPr>
      <w:r w:rsidRPr="00CB6116">
        <w:rPr>
          <w:rFonts w:eastAsia="宋体"/>
          <w:lang w:eastAsia="zh-CN"/>
        </w:rPr>
        <w:t>汉高正加大力度</w:t>
      </w:r>
      <w:r w:rsidR="0015540C">
        <w:rPr>
          <w:rFonts w:eastAsia="宋体" w:hint="eastAsia"/>
          <w:lang w:eastAsia="zh-CN"/>
        </w:rPr>
        <w:t>，</w:t>
      </w:r>
      <w:r w:rsidRPr="00CB6116">
        <w:rPr>
          <w:rFonts w:eastAsia="宋体"/>
          <w:lang w:eastAsia="zh-CN"/>
        </w:rPr>
        <w:t>与供应商紧密合作，提升整个供应链的可持续发展</w:t>
      </w:r>
      <w:r w:rsidR="0015540C">
        <w:rPr>
          <w:rFonts w:eastAsia="宋体" w:hint="eastAsia"/>
          <w:lang w:eastAsia="zh-CN"/>
        </w:rPr>
        <w:t>标准</w:t>
      </w:r>
      <w:r w:rsidRPr="00CB6116">
        <w:rPr>
          <w:rFonts w:eastAsia="宋体"/>
          <w:lang w:eastAsia="zh-CN"/>
        </w:rPr>
        <w:t>。</w:t>
      </w:r>
      <w:r w:rsidR="0015540C" w:rsidRPr="0015540C">
        <w:rPr>
          <w:rFonts w:eastAsia="宋体" w:hint="eastAsia"/>
          <w:lang w:eastAsia="zh-CN"/>
        </w:rPr>
        <w:t>公司系统性地评估业务伙伴在安全、健康、环保、社会标准及公平商业实践方面的表现。</w:t>
      </w:r>
      <w:r w:rsidR="00C31DCF" w:rsidRPr="00C31DCF">
        <w:rPr>
          <w:rFonts w:eastAsia="宋体" w:hint="eastAsia"/>
          <w:lang w:eastAsia="zh-CN"/>
        </w:rPr>
        <w:t>到</w:t>
      </w:r>
      <w:r w:rsidR="00C31DCF" w:rsidRPr="00C31DCF">
        <w:rPr>
          <w:rFonts w:eastAsia="宋体"/>
          <w:lang w:eastAsia="zh-CN"/>
        </w:rPr>
        <w:t>2030</w:t>
      </w:r>
      <w:r w:rsidR="00C31DCF" w:rsidRPr="00C31DCF">
        <w:rPr>
          <w:rFonts w:eastAsia="宋体" w:hint="eastAsia"/>
          <w:lang w:eastAsia="zh-CN"/>
        </w:rPr>
        <w:t>年，</w:t>
      </w:r>
      <w:r w:rsidR="0015540C" w:rsidRPr="00C5628E">
        <w:rPr>
          <w:rFonts w:eastAsia="宋体" w:hint="eastAsia"/>
          <w:b/>
          <w:bCs/>
          <w:lang w:eastAsia="zh-CN"/>
        </w:rPr>
        <w:t>预计</w:t>
      </w:r>
      <w:r w:rsidR="00C31DCF" w:rsidRPr="00190C1D">
        <w:rPr>
          <w:rFonts w:eastAsia="宋体" w:hint="eastAsia"/>
          <w:b/>
          <w:bCs/>
          <w:lang w:eastAsia="zh-CN"/>
        </w:rPr>
        <w:t>汉高</w:t>
      </w:r>
      <w:r w:rsidR="00C31DCF" w:rsidRPr="00190C1D">
        <w:rPr>
          <w:rFonts w:eastAsia="宋体"/>
          <w:b/>
          <w:bCs/>
          <w:lang w:eastAsia="zh-CN"/>
        </w:rPr>
        <w:t>85%</w:t>
      </w:r>
      <w:r w:rsidR="00C31DCF" w:rsidRPr="00190C1D">
        <w:rPr>
          <w:rFonts w:eastAsia="宋体" w:hint="eastAsia"/>
          <w:b/>
          <w:bCs/>
          <w:lang w:eastAsia="zh-CN"/>
        </w:rPr>
        <w:t>的供应商将符合公司的可持续发展标准。</w:t>
      </w:r>
      <w:r w:rsidR="0015540C">
        <w:rPr>
          <w:rFonts w:eastAsia="宋体" w:hint="eastAsia"/>
          <w:lang w:eastAsia="zh-CN"/>
        </w:rPr>
        <w:t>例如</w:t>
      </w:r>
      <w:r w:rsidR="00C31DCF" w:rsidRPr="00C31DCF">
        <w:rPr>
          <w:rFonts w:eastAsia="宋体" w:hint="eastAsia"/>
          <w:lang w:eastAsia="zh-CN"/>
        </w:rPr>
        <w:t>“携手可持续发展（</w:t>
      </w:r>
      <w:proofErr w:type="spellStart"/>
      <w:r w:rsidR="00C31DCF" w:rsidRPr="00C31DCF">
        <w:rPr>
          <w:rFonts w:eastAsia="宋体"/>
          <w:lang w:eastAsia="zh-CN"/>
        </w:rPr>
        <w:t>TfS</w:t>
      </w:r>
      <w:proofErr w:type="spellEnd"/>
      <w:r w:rsidR="00C31DCF" w:rsidRPr="00C31DCF">
        <w:rPr>
          <w:rFonts w:eastAsia="宋体" w:hint="eastAsia"/>
          <w:lang w:eastAsia="zh-CN"/>
        </w:rPr>
        <w:t>）”等跨行业倡议，</w:t>
      </w:r>
      <w:r w:rsidR="0015540C">
        <w:rPr>
          <w:rFonts w:eastAsia="宋体" w:hint="eastAsia"/>
          <w:lang w:eastAsia="zh-CN"/>
        </w:rPr>
        <w:t>以及</w:t>
      </w:r>
      <w:r w:rsidR="00C31DCF" w:rsidRPr="00C31DCF">
        <w:rPr>
          <w:rFonts w:eastAsia="宋体" w:hint="eastAsia"/>
          <w:lang w:eastAsia="zh-CN"/>
        </w:rPr>
        <w:t>针对中小型供应商的专项扶持计划，</w:t>
      </w:r>
      <w:r w:rsidR="0015540C">
        <w:rPr>
          <w:rFonts w:eastAsia="宋体" w:hint="eastAsia"/>
          <w:lang w:eastAsia="zh-CN"/>
        </w:rPr>
        <w:t>是实现这一目标的关键驱动力</w:t>
      </w:r>
      <w:r w:rsidR="00C31DCF" w:rsidRPr="00C31DCF">
        <w:rPr>
          <w:rFonts w:eastAsia="宋体" w:hint="eastAsia"/>
          <w:lang w:eastAsia="zh-CN"/>
        </w:rPr>
        <w:t>。</w:t>
      </w:r>
    </w:p>
    <w:p w14:paraId="176323F0" w14:textId="77777777" w:rsidR="00C45B51" w:rsidRPr="00CB6116" w:rsidRDefault="00C45B51" w:rsidP="005D639D">
      <w:pPr>
        <w:pStyle w:val="BodyText"/>
        <w:widowControl/>
        <w:jc w:val="both"/>
        <w:rPr>
          <w:rFonts w:eastAsia="宋体"/>
          <w:lang w:eastAsia="zh-CN"/>
        </w:rPr>
      </w:pPr>
    </w:p>
    <w:p w14:paraId="0C6FF825" w14:textId="0509AB10" w:rsidR="000B2B33" w:rsidRPr="00CB6116" w:rsidRDefault="00590DDD" w:rsidP="005D639D">
      <w:pPr>
        <w:pStyle w:val="BodyText"/>
        <w:widowControl/>
        <w:spacing w:line="276" w:lineRule="auto"/>
        <w:jc w:val="both"/>
        <w:rPr>
          <w:rFonts w:eastAsia="宋体"/>
          <w:lang w:eastAsia="zh-CN"/>
        </w:rPr>
      </w:pPr>
      <w:bookmarkStart w:id="0" w:name="OLE_LINK2"/>
      <w:r w:rsidRPr="00246A0D">
        <w:rPr>
          <w:rFonts w:eastAsia="宋体" w:hint="eastAsia"/>
          <w:lang w:eastAsia="zh-CN"/>
        </w:rPr>
        <w:t>汉高的可持续发展成就获得了国际权威评估机构的高度认可。在</w:t>
      </w:r>
      <w:r w:rsidRPr="00246A0D">
        <w:rPr>
          <w:rFonts w:eastAsia="宋体"/>
          <w:lang w:eastAsia="zh-CN"/>
        </w:rPr>
        <w:t>2025</w:t>
      </w:r>
      <w:r w:rsidRPr="00246A0D">
        <w:rPr>
          <w:rFonts w:eastAsia="宋体" w:hint="eastAsia"/>
          <w:lang w:eastAsia="zh-CN"/>
        </w:rPr>
        <w:t>年</w:t>
      </w:r>
      <w:r w:rsidRPr="00246A0D">
        <w:rPr>
          <w:rFonts w:eastAsia="宋体"/>
          <w:lang w:eastAsia="zh-CN"/>
        </w:rPr>
        <w:t>CDP</w:t>
      </w:r>
      <w:r w:rsidRPr="00246A0D">
        <w:rPr>
          <w:rFonts w:eastAsia="宋体" w:hint="eastAsia"/>
          <w:lang w:eastAsia="zh-CN"/>
        </w:rPr>
        <w:t>评估中，汉高首次荣获气候保护</w:t>
      </w:r>
      <w:r>
        <w:rPr>
          <w:rFonts w:eastAsia="宋体" w:hint="eastAsia"/>
          <w:lang w:eastAsia="zh-CN"/>
        </w:rPr>
        <w:t>A</w:t>
      </w:r>
      <w:r w:rsidR="0015540C">
        <w:rPr>
          <w:rFonts w:eastAsia="宋体" w:hint="eastAsia"/>
          <w:lang w:eastAsia="zh-CN"/>
        </w:rPr>
        <w:t>级</w:t>
      </w:r>
      <w:r w:rsidRPr="00246A0D">
        <w:rPr>
          <w:rFonts w:eastAsia="宋体" w:hint="eastAsia"/>
          <w:lang w:eastAsia="zh-CN"/>
        </w:rPr>
        <w:t>评级；而在最新的</w:t>
      </w:r>
      <w:proofErr w:type="spellStart"/>
      <w:r w:rsidRPr="00246A0D">
        <w:rPr>
          <w:rFonts w:eastAsia="宋体"/>
          <w:lang w:eastAsia="zh-CN"/>
        </w:rPr>
        <w:t>EcoVadis</w:t>
      </w:r>
      <w:proofErr w:type="spellEnd"/>
      <w:r w:rsidRPr="00246A0D">
        <w:rPr>
          <w:rFonts w:eastAsia="宋体" w:hint="eastAsia"/>
          <w:lang w:eastAsia="zh-CN"/>
        </w:rPr>
        <w:t>评级中，公司表现持续精进，再度斩获“金牌”殊荣。</w:t>
      </w:r>
    </w:p>
    <w:bookmarkEnd w:id="0"/>
    <w:p w14:paraId="62BFE5C5" w14:textId="77777777" w:rsidR="00C45B51" w:rsidRPr="00CB6116" w:rsidRDefault="00C45B51" w:rsidP="005D639D">
      <w:pPr>
        <w:pStyle w:val="BodyText"/>
        <w:widowControl/>
        <w:jc w:val="both"/>
        <w:rPr>
          <w:rFonts w:eastAsia="宋体"/>
          <w:lang w:eastAsia="zh-CN"/>
        </w:rPr>
      </w:pPr>
    </w:p>
    <w:p w14:paraId="0FDA5AC4" w14:textId="011DDD01" w:rsidR="000B2B33" w:rsidRPr="00CB6116" w:rsidRDefault="00590DDD" w:rsidP="005D639D">
      <w:pPr>
        <w:pStyle w:val="BodyText"/>
        <w:widowControl/>
        <w:jc w:val="both"/>
        <w:rPr>
          <w:rFonts w:eastAsia="宋体"/>
          <w:lang w:eastAsia="zh-CN"/>
        </w:rPr>
      </w:pPr>
      <w:r w:rsidRPr="00CB6116">
        <w:rPr>
          <w:rFonts w:eastAsia="宋体"/>
          <w:lang w:eastAsia="zh-CN"/>
        </w:rPr>
        <w:t>请点击</w:t>
      </w:r>
      <w:hyperlink r:id="rId13" w:history="1">
        <w:r w:rsidR="000B2B33" w:rsidRPr="008951DE">
          <w:rPr>
            <w:rStyle w:val="Hyperlink"/>
            <w:rFonts w:eastAsia="宋体"/>
            <w:lang w:eastAsia="zh-CN"/>
          </w:rPr>
          <w:t>此处</w:t>
        </w:r>
      </w:hyperlink>
      <w:r w:rsidR="00012934" w:rsidRPr="00190C1D">
        <w:rPr>
          <w:rFonts w:eastAsia="宋体" w:hint="eastAsia"/>
          <w:lang w:eastAsia="zh-CN"/>
        </w:rPr>
        <w:t>，</w:t>
      </w:r>
      <w:r w:rsidRPr="00CB6116">
        <w:rPr>
          <w:rFonts w:eastAsia="宋体"/>
          <w:lang w:eastAsia="zh-CN"/>
        </w:rPr>
        <w:t>查看</w:t>
      </w:r>
      <w:r w:rsidR="00012934" w:rsidRPr="00012934">
        <w:rPr>
          <w:rFonts w:eastAsia="宋体" w:hint="eastAsia"/>
          <w:lang w:eastAsia="zh-CN"/>
        </w:rPr>
        <w:t>全新的可持续发展目标完整内容</w:t>
      </w:r>
      <w:r w:rsidRPr="00CB6116">
        <w:rPr>
          <w:rFonts w:eastAsia="宋体"/>
          <w:lang w:eastAsia="zh-CN"/>
        </w:rPr>
        <w:t>。</w:t>
      </w:r>
    </w:p>
    <w:p w14:paraId="547BEA43" w14:textId="77777777" w:rsidR="00C45B51" w:rsidRPr="00CB6116" w:rsidRDefault="00C45B51" w:rsidP="005D639D">
      <w:pPr>
        <w:pStyle w:val="BodyText"/>
        <w:widowControl/>
        <w:jc w:val="both"/>
        <w:rPr>
          <w:rFonts w:eastAsia="宋体"/>
          <w:sz w:val="20"/>
          <w:lang w:eastAsia="zh-CN"/>
        </w:rPr>
      </w:pPr>
    </w:p>
    <w:p w14:paraId="30D6E761" w14:textId="77777777" w:rsidR="00C45B51" w:rsidRPr="00CB6116" w:rsidRDefault="00C45B51" w:rsidP="005D639D">
      <w:pPr>
        <w:pStyle w:val="BodyText"/>
        <w:widowControl/>
        <w:jc w:val="both"/>
        <w:rPr>
          <w:rFonts w:eastAsia="宋体"/>
          <w:sz w:val="21"/>
          <w:lang w:eastAsia="zh-CN"/>
        </w:rPr>
      </w:pPr>
    </w:p>
    <w:p w14:paraId="58A7534E" w14:textId="5C055096" w:rsidR="000B2B33" w:rsidRPr="00CB6116" w:rsidRDefault="00590DDD" w:rsidP="005D639D">
      <w:pPr>
        <w:widowControl/>
        <w:jc w:val="both"/>
        <w:rPr>
          <w:rFonts w:eastAsia="宋体"/>
          <w:i/>
          <w:sz w:val="18"/>
          <w:lang w:eastAsia="zh-CN"/>
        </w:rPr>
      </w:pPr>
      <w:r w:rsidRPr="00CB6116">
        <w:rPr>
          <w:rFonts w:eastAsia="宋体"/>
          <w:i/>
          <w:sz w:val="18"/>
          <w:lang w:eastAsia="zh-CN"/>
        </w:rPr>
        <w:t>*</w:t>
      </w:r>
      <w:r w:rsidRPr="00CB6116">
        <w:rPr>
          <w:rFonts w:eastAsia="宋体"/>
          <w:i/>
          <w:sz w:val="18"/>
          <w:lang w:eastAsia="zh-CN"/>
        </w:rPr>
        <w:t>符合当地法律要求，</w:t>
      </w:r>
      <w:r w:rsidR="00246A0D" w:rsidRPr="00246A0D">
        <w:rPr>
          <w:rFonts w:eastAsia="宋体" w:hint="eastAsia"/>
          <w:i/>
          <w:sz w:val="18"/>
          <w:lang w:eastAsia="zh-CN"/>
        </w:rPr>
        <w:t>并采取了因地制宜的策略。</w:t>
      </w:r>
    </w:p>
    <w:p w14:paraId="5D37DB3D" w14:textId="77777777" w:rsidR="00C45B51" w:rsidRPr="00CB6116" w:rsidRDefault="00C45B51" w:rsidP="005D639D">
      <w:pPr>
        <w:pStyle w:val="BodyText"/>
        <w:widowControl/>
        <w:jc w:val="both"/>
        <w:rPr>
          <w:rFonts w:eastAsia="宋体"/>
          <w:i/>
          <w:sz w:val="24"/>
          <w:lang w:eastAsia="zh-CN"/>
        </w:rPr>
      </w:pPr>
    </w:p>
    <w:p w14:paraId="42E2ADBE" w14:textId="77777777" w:rsidR="00C45B51" w:rsidRPr="00CB6116" w:rsidRDefault="00C45B51" w:rsidP="005D639D">
      <w:pPr>
        <w:pStyle w:val="BodyText"/>
        <w:widowControl/>
        <w:jc w:val="both"/>
        <w:rPr>
          <w:rFonts w:eastAsia="宋体"/>
          <w:i/>
          <w:sz w:val="20"/>
          <w:lang w:eastAsia="zh-CN"/>
        </w:rPr>
      </w:pPr>
    </w:p>
    <w:p w14:paraId="2732978A" w14:textId="028BB545" w:rsidR="000B2B33" w:rsidRPr="00CB6116" w:rsidRDefault="00590DDD" w:rsidP="005D639D">
      <w:pPr>
        <w:widowControl/>
        <w:jc w:val="both"/>
        <w:rPr>
          <w:rFonts w:eastAsia="宋体"/>
          <w:b/>
          <w:sz w:val="18"/>
          <w:lang w:eastAsia="zh-CN"/>
        </w:rPr>
      </w:pPr>
      <w:r w:rsidRPr="00CB6116">
        <w:rPr>
          <w:rFonts w:eastAsia="宋体"/>
          <w:b/>
          <w:sz w:val="18"/>
          <w:lang w:eastAsia="zh-CN"/>
        </w:rPr>
        <w:t>关于汉高</w:t>
      </w:r>
    </w:p>
    <w:p w14:paraId="7FF51D1A" w14:textId="511916E5" w:rsidR="00632853" w:rsidRPr="00002C0B" w:rsidRDefault="00590DDD" w:rsidP="00002C0B">
      <w:pPr>
        <w:widowControl/>
        <w:spacing w:line="276" w:lineRule="auto"/>
        <w:jc w:val="both"/>
        <w:rPr>
          <w:rFonts w:eastAsia="宋体"/>
          <w:sz w:val="18"/>
          <w:lang w:eastAsia="zh-CN"/>
        </w:rPr>
      </w:pPr>
      <w:r w:rsidRPr="00C5628E">
        <w:rPr>
          <w:rFonts w:eastAsia="宋体" w:hint="eastAsia"/>
          <w:sz w:val="18"/>
          <w:lang w:eastAsia="zh-CN"/>
        </w:rPr>
        <w:t>汉高凭借其品牌、创新和技术，在全球工业和消费品领域中拥有领先的市场地位。汉高粘合剂技术业务部是全球粘合剂、密封剂和功能性涂层市场的领导者。汉高消费品牌在各国市场和品类占据领先地位，在洗涤剂及家用护理和美发领域尤为突出。乐泰（</w:t>
      </w:r>
      <w:r w:rsidRPr="00C5628E">
        <w:rPr>
          <w:rFonts w:eastAsia="宋体"/>
          <w:sz w:val="18"/>
          <w:lang w:eastAsia="zh-CN"/>
        </w:rPr>
        <w:t>Loctite</w:t>
      </w:r>
      <w:r w:rsidRPr="00C5628E">
        <w:rPr>
          <w:rFonts w:eastAsia="宋体" w:hint="eastAsia"/>
          <w:sz w:val="18"/>
          <w:lang w:eastAsia="zh-CN"/>
        </w:rPr>
        <w:t>）、宝莹（</w:t>
      </w:r>
      <w:r w:rsidRPr="00C5628E">
        <w:rPr>
          <w:rFonts w:eastAsia="宋体"/>
          <w:sz w:val="18"/>
          <w:lang w:eastAsia="zh-CN"/>
        </w:rPr>
        <w:t xml:space="preserve"> Persil</w:t>
      </w:r>
      <w:r w:rsidRPr="00C5628E">
        <w:rPr>
          <w:rFonts w:eastAsia="宋体" w:hint="eastAsia"/>
          <w:sz w:val="18"/>
          <w:lang w:eastAsia="zh-CN"/>
        </w:rPr>
        <w:t>）和施华蔻（</w:t>
      </w:r>
      <w:r w:rsidRPr="00C5628E">
        <w:rPr>
          <w:rFonts w:eastAsia="宋体"/>
          <w:sz w:val="18"/>
          <w:lang w:eastAsia="zh-CN"/>
        </w:rPr>
        <w:t>Schwarzkopf</w:t>
      </w:r>
      <w:r w:rsidRPr="00C5628E">
        <w:rPr>
          <w:rFonts w:eastAsia="宋体" w:hint="eastAsia"/>
          <w:sz w:val="18"/>
          <w:lang w:eastAsia="zh-CN"/>
        </w:rPr>
        <w:t>）是公司的三大核心品牌。</w:t>
      </w:r>
      <w:r w:rsidRPr="00C5628E">
        <w:rPr>
          <w:rFonts w:eastAsia="宋体"/>
          <w:sz w:val="18"/>
          <w:lang w:eastAsia="zh-CN"/>
        </w:rPr>
        <w:t>2025</w:t>
      </w:r>
      <w:r w:rsidRPr="00C5628E">
        <w:rPr>
          <w:rFonts w:eastAsia="宋体" w:hint="eastAsia"/>
          <w:sz w:val="18"/>
          <w:lang w:eastAsia="zh-CN"/>
        </w:rPr>
        <w:t>财年，</w:t>
      </w:r>
      <w:r w:rsidRPr="00C5628E">
        <w:rPr>
          <w:rFonts w:eastAsia="宋体" w:hint="eastAsia"/>
          <w:sz w:val="18"/>
          <w:lang w:eastAsia="zh-CN"/>
        </w:rPr>
        <w:lastRenderedPageBreak/>
        <w:t>汉高实现销售额约</w:t>
      </w:r>
      <w:r w:rsidRPr="00C5628E">
        <w:rPr>
          <w:rFonts w:eastAsia="宋体"/>
          <w:sz w:val="18"/>
          <w:lang w:eastAsia="zh-CN"/>
        </w:rPr>
        <w:t>205</w:t>
      </w:r>
      <w:r w:rsidRPr="00C5628E">
        <w:rPr>
          <w:rFonts w:eastAsia="宋体" w:hint="eastAsia"/>
          <w:sz w:val="18"/>
          <w:lang w:eastAsia="zh-CN"/>
        </w:rPr>
        <w:t>亿欧元，调整后营业利润约为</w:t>
      </w:r>
      <w:r w:rsidRPr="00C5628E">
        <w:rPr>
          <w:rFonts w:eastAsia="宋体"/>
          <w:sz w:val="18"/>
          <w:lang w:eastAsia="zh-CN"/>
        </w:rPr>
        <w:t>30</w:t>
      </w:r>
      <w:r w:rsidRPr="00C5628E">
        <w:rPr>
          <w:rFonts w:eastAsia="宋体" w:hint="eastAsia"/>
          <w:sz w:val="18"/>
          <w:lang w:eastAsia="zh-CN"/>
        </w:rPr>
        <w:t>亿欧元。汉高的优先股已列入德国</w:t>
      </w:r>
      <w:r w:rsidRPr="00C5628E">
        <w:rPr>
          <w:rFonts w:eastAsia="宋体"/>
          <w:sz w:val="18"/>
          <w:lang w:eastAsia="zh-CN"/>
        </w:rPr>
        <w:t>DAX</w:t>
      </w:r>
      <w:r w:rsidRPr="00C5628E">
        <w:rPr>
          <w:rFonts w:eastAsia="宋体" w:hint="eastAsia"/>
          <w:sz w:val="18"/>
          <w:lang w:eastAsia="zh-CN"/>
        </w:rPr>
        <w:t>指数。可持续发展在汉高有着悠久的传统，公司确立有明晰的可持续发展战略和具体目标。成立于</w:t>
      </w:r>
      <w:r w:rsidRPr="00C5628E">
        <w:rPr>
          <w:rFonts w:eastAsia="宋体"/>
          <w:sz w:val="18"/>
          <w:lang w:eastAsia="zh-CN"/>
        </w:rPr>
        <w:t>1876</w:t>
      </w:r>
      <w:r w:rsidRPr="00C5628E">
        <w:rPr>
          <w:rFonts w:eastAsia="宋体" w:hint="eastAsia"/>
          <w:sz w:val="18"/>
          <w:lang w:eastAsia="zh-CN"/>
        </w:rPr>
        <w:t>年，汉高如今在全球范围内约有</w:t>
      </w:r>
      <w:r w:rsidRPr="00C5628E">
        <w:rPr>
          <w:rFonts w:eastAsia="宋体"/>
          <w:sz w:val="18"/>
          <w:lang w:eastAsia="zh-CN"/>
        </w:rPr>
        <w:t>4.7</w:t>
      </w:r>
      <w:r w:rsidRPr="00C5628E">
        <w:rPr>
          <w:rFonts w:eastAsia="宋体" w:hint="eastAsia"/>
          <w:sz w:val="18"/>
          <w:lang w:eastAsia="zh-CN"/>
        </w:rPr>
        <w:t>万名员工，在强大的企业文化、共同的价值观与企业目标“</w:t>
      </w:r>
      <w:r w:rsidRPr="00C5628E">
        <w:rPr>
          <w:rFonts w:eastAsia="宋体"/>
          <w:sz w:val="18"/>
          <w:lang w:eastAsia="zh-CN"/>
        </w:rPr>
        <w:t>Pioneers at heart for the good of generations”</w:t>
      </w:r>
      <w:r w:rsidRPr="00C5628E">
        <w:rPr>
          <w:rFonts w:eastAsia="宋体" w:hint="eastAsia"/>
          <w:sz w:val="18"/>
          <w:lang w:eastAsia="zh-CN"/>
        </w:rPr>
        <w:t>的引领下，融合为一支多元化的团队。更多资讯，敬请访问</w:t>
      </w:r>
      <w:r w:rsidRPr="00C5628E">
        <w:rPr>
          <w:rFonts w:eastAsia="宋体"/>
          <w:sz w:val="18"/>
          <w:lang w:eastAsia="zh-CN"/>
        </w:rPr>
        <w:t xml:space="preserve"> </w:t>
      </w:r>
      <w:hyperlink r:id="rId14" w:history="1">
        <w:r w:rsidR="00043E65" w:rsidRPr="00C5628E">
          <w:rPr>
            <w:rStyle w:val="Hyperlink"/>
            <w:rFonts w:eastAsia="宋体"/>
            <w:sz w:val="18"/>
            <w:lang w:eastAsia="zh-CN"/>
          </w:rPr>
          <w:t>www.henkel.cn</w:t>
        </w:r>
      </w:hyperlink>
      <w:r w:rsidR="00043E65">
        <w:rPr>
          <w:rFonts w:eastAsia="宋体" w:hint="eastAsia"/>
          <w:sz w:val="18"/>
          <w:lang w:eastAsia="zh-CN"/>
        </w:rPr>
        <w:t xml:space="preserve"> </w:t>
      </w:r>
      <w:r w:rsidRPr="00C5628E">
        <w:rPr>
          <w:rFonts w:eastAsia="宋体"/>
          <w:sz w:val="18"/>
          <w:lang w:eastAsia="zh-CN"/>
        </w:rPr>
        <w:t xml:space="preserve">  </w:t>
      </w:r>
    </w:p>
    <w:sectPr w:rsidR="00632853" w:rsidRPr="00002C0B" w:rsidSect="005D639D">
      <w:footerReference w:type="default" r:id="rId15"/>
      <w:footerReference w:type="first" r:id="rId16"/>
      <w:pgSz w:w="11910" w:h="16850"/>
      <w:pgMar w:top="1378" w:right="1412" w:bottom="1843" w:left="1412" w:header="0" w:footer="913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053E5A" w14:textId="77777777" w:rsidR="006C2A0A" w:rsidRDefault="006C2A0A">
      <w:r>
        <w:separator/>
      </w:r>
    </w:p>
  </w:endnote>
  <w:endnote w:type="continuationSeparator" w:id="0">
    <w:p w14:paraId="55C217CE" w14:textId="77777777" w:rsidR="006C2A0A" w:rsidRDefault="006C2A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CFD444" w14:textId="5A9D788E" w:rsidR="007936A7" w:rsidRDefault="00590DDD" w:rsidP="005D639D">
    <w:pPr>
      <w:tabs>
        <w:tab w:val="right" w:pos="9072"/>
      </w:tabs>
      <w:spacing w:before="20"/>
      <w:ind w:left="20"/>
      <w:rPr>
        <w:sz w:val="12"/>
      </w:rPr>
    </w:pPr>
    <w:r>
      <w:rPr>
        <w:sz w:val="12"/>
      </w:rPr>
      <w:t>Henkel AG &amp; Co. KGaA</w:t>
    </w:r>
    <w:r w:rsidRPr="007936A7">
      <w:rPr>
        <w:sz w:val="12"/>
      </w:rPr>
      <w:tab/>
    </w:r>
    <w:r>
      <w:rPr>
        <w:sz w:val="12"/>
      </w:rPr>
      <w:t xml:space="preserve">Page </w:t>
    </w:r>
    <w:r w:rsidRPr="007936A7">
      <w:rPr>
        <w:sz w:val="12"/>
      </w:rPr>
      <w:fldChar w:fldCharType="begin"/>
    </w:r>
    <w:r>
      <w:rPr>
        <w:sz w:val="12"/>
      </w:rPr>
      <w:instrText xml:space="preserve"> PAGE </w:instrText>
    </w:r>
    <w:r w:rsidRPr="007936A7">
      <w:rPr>
        <w:sz w:val="12"/>
      </w:rPr>
      <w:fldChar w:fldCharType="separate"/>
    </w:r>
    <w:r w:rsidR="000B2B33">
      <w:rPr>
        <w:noProof/>
        <w:sz w:val="12"/>
      </w:rPr>
      <w:t>6</w:t>
    </w:r>
    <w:r w:rsidRPr="007936A7">
      <w:rPr>
        <w:sz w:val="12"/>
      </w:rPr>
      <w:fldChar w:fldCharType="end"/>
    </w:r>
    <w:r>
      <w:rPr>
        <w:sz w:val="12"/>
      </w:rPr>
      <w:t>/</w:t>
    </w:r>
    <w:r w:rsidR="00D24439">
      <w:rPr>
        <w:sz w:val="12"/>
      </w:rPr>
      <w:fldChar w:fldCharType="begin"/>
    </w:r>
    <w:r w:rsidR="00D24439">
      <w:rPr>
        <w:sz w:val="12"/>
      </w:rPr>
      <w:instrText xml:space="preserve"> </w:instrText>
    </w:r>
    <w:r w:rsidR="00D24439">
      <w:rPr>
        <w:rFonts w:eastAsiaTheme="minorEastAsia" w:hint="eastAsia"/>
        <w:sz w:val="12"/>
        <w:lang w:eastAsia="zh-CN"/>
      </w:rPr>
      <w:instrText>numpages</w:instrText>
    </w:r>
    <w:r w:rsidR="00D24439">
      <w:rPr>
        <w:sz w:val="12"/>
      </w:rPr>
      <w:instrText xml:space="preserve"> </w:instrText>
    </w:r>
    <w:r w:rsidR="00D24439">
      <w:rPr>
        <w:sz w:val="12"/>
      </w:rPr>
      <w:fldChar w:fldCharType="separate"/>
    </w:r>
    <w:r w:rsidR="00D24439">
      <w:rPr>
        <w:sz w:val="12"/>
      </w:rPr>
      <w:t>5</w:t>
    </w:r>
    <w:r w:rsidR="00D24439">
      <w:rPr>
        <w:sz w:val="12"/>
      </w:rPr>
      <w:fldChar w:fldCharType="end"/>
    </w:r>
  </w:p>
  <w:p w14:paraId="4E38F3F7" w14:textId="79F4314E" w:rsidR="00190C1D" w:rsidRPr="007936A7" w:rsidRDefault="00590DDD" w:rsidP="00190C1D">
    <w:pPr>
      <w:tabs>
        <w:tab w:val="right" w:pos="9072"/>
      </w:tabs>
      <w:spacing w:before="20"/>
      <w:ind w:left="20"/>
      <w:jc w:val="right"/>
      <w:rPr>
        <w:sz w:val="12"/>
      </w:rPr>
    </w:pPr>
    <w:r>
      <w:rPr>
        <w:rFonts w:ascii="微软雅黑" w:eastAsia="微软雅黑" w:hAnsi="微软雅黑" w:cs="微软雅黑" w:hint="eastAsia"/>
        <w:sz w:val="12"/>
        <w:lang w:eastAsia="zh-CN"/>
      </w:rPr>
      <w:t>第</w:t>
    </w:r>
    <w:r>
      <w:fldChar w:fldCharType="begin"/>
    </w:r>
    <w:r>
      <w:rPr>
        <w:sz w:val="12"/>
      </w:rPr>
      <w:instrText xml:space="preserve"> PAGE </w:instrText>
    </w:r>
    <w:r>
      <w:fldChar w:fldCharType="separate"/>
    </w:r>
    <w:r>
      <w:t>1</w:t>
    </w:r>
    <w:r>
      <w:fldChar w:fldCharType="end"/>
    </w:r>
    <w:r>
      <w:rPr>
        <w:sz w:val="12"/>
      </w:rPr>
      <w:t>/</w:t>
    </w:r>
    <w:r>
      <w:rPr>
        <w:sz w:val="12"/>
      </w:rPr>
      <w:fldChar w:fldCharType="begin"/>
    </w:r>
    <w:r>
      <w:rPr>
        <w:sz w:val="12"/>
      </w:rPr>
      <w:instrText xml:space="preserve"> </w:instrText>
    </w:r>
    <w:r>
      <w:rPr>
        <w:rFonts w:eastAsiaTheme="minorEastAsia" w:hint="eastAsia"/>
        <w:sz w:val="12"/>
        <w:lang w:eastAsia="zh-CN"/>
      </w:rPr>
      <w:instrText>numpages</w:instrText>
    </w:r>
    <w:r>
      <w:rPr>
        <w:sz w:val="12"/>
      </w:rPr>
      <w:instrText xml:space="preserve"> </w:instrText>
    </w:r>
    <w:r>
      <w:rPr>
        <w:sz w:val="12"/>
      </w:rPr>
      <w:fldChar w:fldCharType="separate"/>
    </w:r>
    <w:r>
      <w:rPr>
        <w:sz w:val="12"/>
      </w:rPr>
      <w:t>5</w:t>
    </w:r>
    <w:r>
      <w:rPr>
        <w:sz w:val="12"/>
      </w:rPr>
      <w:fldChar w:fldCharType="end"/>
    </w:r>
    <w:r>
      <w:rPr>
        <w:rFonts w:ascii="微软雅黑" w:eastAsia="微软雅黑" w:hAnsi="微软雅黑" w:cs="微软雅黑" w:hint="eastAsia"/>
        <w:sz w:val="12"/>
        <w:lang w:eastAsia="zh-CN"/>
      </w:rPr>
      <w:t>页</w:t>
    </w:r>
  </w:p>
  <w:p w14:paraId="2DB4A387" w14:textId="1DE93F15" w:rsidR="00C45B51" w:rsidRDefault="00C45B51">
    <w:pPr>
      <w:pStyle w:val="BodyText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1CE06" w14:textId="77777777" w:rsidR="005D639D" w:rsidRDefault="00590DDD" w:rsidP="005D639D">
    <w:pPr>
      <w:spacing w:before="20"/>
      <w:ind w:left="20"/>
      <w:jc w:val="center"/>
      <w:rPr>
        <w:rFonts w:eastAsiaTheme="minorEastAsia"/>
        <w:sz w:val="12"/>
        <w:lang w:eastAsia="zh-CN"/>
      </w:rPr>
    </w:pPr>
    <w:r>
      <w:rPr>
        <w:noProof/>
        <w:lang w:eastAsia="zh-CN" w:bidi="ar-SA"/>
      </w:rPr>
      <w:drawing>
        <wp:inline distT="0" distB="0" distL="0" distR="0" wp14:anchorId="715F4266" wp14:editId="6E832FC6">
          <wp:extent cx="4955979" cy="391682"/>
          <wp:effectExtent l="0" t="0" r="0" b="0"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2.jpe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55979" cy="3916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D4978F2" w14:textId="3DFF6FD2" w:rsidR="005D639D" w:rsidRPr="005D639D" w:rsidRDefault="00590DDD" w:rsidP="005D639D">
    <w:pPr>
      <w:spacing w:before="20"/>
      <w:ind w:left="20"/>
      <w:jc w:val="right"/>
      <w:rPr>
        <w:rFonts w:eastAsiaTheme="minorEastAsia"/>
        <w:sz w:val="12"/>
        <w:lang w:eastAsia="zh-CN"/>
      </w:rPr>
    </w:pPr>
    <w:r>
      <w:rPr>
        <w:sz w:val="12"/>
      </w:rPr>
      <w:t xml:space="preserve">Page </w:t>
    </w:r>
    <w:r>
      <w:fldChar w:fldCharType="begin"/>
    </w:r>
    <w:r>
      <w:rPr>
        <w:sz w:val="12"/>
      </w:rPr>
      <w:instrText xml:space="preserve"> PAGE </w:instrText>
    </w:r>
    <w:r>
      <w:fldChar w:fldCharType="separate"/>
    </w:r>
    <w:r>
      <w:t>1</w:t>
    </w:r>
    <w:r>
      <w:fldChar w:fldCharType="end"/>
    </w:r>
    <w:r>
      <w:rPr>
        <w:sz w:val="12"/>
      </w:rPr>
      <w:t>/</w:t>
    </w:r>
    <w:r>
      <w:rPr>
        <w:sz w:val="12"/>
      </w:rPr>
      <w:fldChar w:fldCharType="begin"/>
    </w:r>
    <w:r>
      <w:rPr>
        <w:sz w:val="12"/>
      </w:rPr>
      <w:instrText xml:space="preserve"> </w:instrText>
    </w:r>
    <w:r>
      <w:rPr>
        <w:rFonts w:eastAsiaTheme="minorEastAsia" w:hint="eastAsia"/>
        <w:sz w:val="12"/>
        <w:lang w:eastAsia="zh-CN"/>
      </w:rPr>
      <w:instrText>numpages</w:instrText>
    </w:r>
    <w:r>
      <w:rPr>
        <w:sz w:val="12"/>
      </w:rPr>
      <w:instrText xml:space="preserve"> </w:instrText>
    </w:r>
    <w:r>
      <w:rPr>
        <w:sz w:val="12"/>
      </w:rPr>
      <w:fldChar w:fldCharType="separate"/>
    </w:r>
    <w:r>
      <w:rPr>
        <w:rFonts w:eastAsiaTheme="minorEastAsia"/>
        <w:noProof/>
        <w:sz w:val="12"/>
        <w:lang w:eastAsia="zh-CN"/>
      </w:rPr>
      <w:t>5</w:t>
    </w:r>
    <w:r>
      <w:rPr>
        <w:sz w:val="12"/>
      </w:rPr>
      <w:fldChar w:fldCharType="end"/>
    </w:r>
  </w:p>
  <w:p w14:paraId="11D3AF89" w14:textId="52F16EAC" w:rsidR="005D639D" w:rsidRPr="005D639D" w:rsidRDefault="00590DDD" w:rsidP="005D639D">
    <w:pPr>
      <w:spacing w:before="20"/>
      <w:ind w:left="20"/>
      <w:jc w:val="right"/>
      <w:rPr>
        <w:rFonts w:eastAsiaTheme="minorEastAsia"/>
        <w:sz w:val="12"/>
        <w:lang w:eastAsia="zh-CN"/>
      </w:rPr>
    </w:pPr>
    <w:r>
      <w:rPr>
        <w:rFonts w:ascii="微软雅黑" w:eastAsia="微软雅黑" w:hAnsi="微软雅黑" w:cs="微软雅黑" w:hint="eastAsia"/>
        <w:sz w:val="12"/>
        <w:lang w:eastAsia="zh-CN"/>
      </w:rPr>
      <w:t>第</w:t>
    </w:r>
    <w:r>
      <w:fldChar w:fldCharType="begin"/>
    </w:r>
    <w:r>
      <w:rPr>
        <w:sz w:val="12"/>
      </w:rPr>
      <w:instrText xml:space="preserve"> PAGE </w:instrText>
    </w:r>
    <w:r>
      <w:fldChar w:fldCharType="separate"/>
    </w:r>
    <w:r>
      <w:t>1</w:t>
    </w:r>
    <w:r>
      <w:fldChar w:fldCharType="end"/>
    </w:r>
    <w:r>
      <w:rPr>
        <w:sz w:val="12"/>
      </w:rPr>
      <w:t>/</w:t>
    </w:r>
    <w:r>
      <w:rPr>
        <w:sz w:val="12"/>
      </w:rPr>
      <w:fldChar w:fldCharType="begin"/>
    </w:r>
    <w:r>
      <w:rPr>
        <w:sz w:val="12"/>
      </w:rPr>
      <w:instrText xml:space="preserve"> </w:instrText>
    </w:r>
    <w:r>
      <w:rPr>
        <w:rFonts w:eastAsiaTheme="minorEastAsia" w:hint="eastAsia"/>
        <w:sz w:val="12"/>
        <w:lang w:eastAsia="zh-CN"/>
      </w:rPr>
      <w:instrText>numpages</w:instrText>
    </w:r>
    <w:r>
      <w:rPr>
        <w:sz w:val="12"/>
      </w:rPr>
      <w:instrText xml:space="preserve"> </w:instrText>
    </w:r>
    <w:r>
      <w:rPr>
        <w:sz w:val="12"/>
      </w:rPr>
      <w:fldChar w:fldCharType="separate"/>
    </w:r>
    <w:r>
      <w:rPr>
        <w:sz w:val="12"/>
      </w:rPr>
      <w:t>5</w:t>
    </w:r>
    <w:r>
      <w:rPr>
        <w:sz w:val="12"/>
      </w:rPr>
      <w:fldChar w:fldCharType="end"/>
    </w:r>
    <w:r>
      <w:rPr>
        <w:rFonts w:ascii="微软雅黑" w:eastAsia="微软雅黑" w:hAnsi="微软雅黑" w:cs="微软雅黑" w:hint="eastAsia"/>
        <w:sz w:val="12"/>
        <w:lang w:eastAsia="zh-CN"/>
      </w:rPr>
      <w:t>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D9D87F" w14:textId="77777777" w:rsidR="006C2A0A" w:rsidRDefault="006C2A0A">
      <w:r>
        <w:separator/>
      </w:r>
    </w:p>
  </w:footnote>
  <w:footnote w:type="continuationSeparator" w:id="0">
    <w:p w14:paraId="641289AA" w14:textId="77777777" w:rsidR="006C2A0A" w:rsidRDefault="006C2A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0811A4"/>
    <w:multiLevelType w:val="hybridMultilevel"/>
    <w:tmpl w:val="DB807C08"/>
    <w:lvl w:ilvl="0" w:tplc="4ABA2F0A">
      <w:numFmt w:val="bullet"/>
      <w:lvlText w:val=""/>
      <w:lvlJc w:val="left"/>
      <w:pPr>
        <w:ind w:left="578" w:hanging="428"/>
      </w:pPr>
      <w:rPr>
        <w:rFonts w:ascii="Wingdings" w:eastAsia="Wingdings" w:hAnsi="Wingdings" w:cs="Wingdings" w:hint="default"/>
        <w:color w:val="FF0000"/>
        <w:w w:val="100"/>
        <w:sz w:val="22"/>
        <w:szCs w:val="22"/>
        <w:lang w:val="en-US" w:eastAsia="en-US" w:bidi="en-US"/>
      </w:rPr>
    </w:lvl>
    <w:lvl w:ilvl="1" w:tplc="0488461C">
      <w:numFmt w:val="bullet"/>
      <w:lvlText w:val="•"/>
      <w:lvlJc w:val="left"/>
      <w:pPr>
        <w:ind w:left="1506" w:hanging="428"/>
      </w:pPr>
      <w:rPr>
        <w:rFonts w:hint="default"/>
        <w:lang w:val="en-US" w:eastAsia="en-US" w:bidi="en-US"/>
      </w:rPr>
    </w:lvl>
    <w:lvl w:ilvl="2" w:tplc="EB781C54">
      <w:numFmt w:val="bullet"/>
      <w:lvlText w:val="•"/>
      <w:lvlJc w:val="left"/>
      <w:pPr>
        <w:ind w:left="2433" w:hanging="428"/>
      </w:pPr>
      <w:rPr>
        <w:rFonts w:hint="default"/>
        <w:lang w:val="en-US" w:eastAsia="en-US" w:bidi="en-US"/>
      </w:rPr>
    </w:lvl>
    <w:lvl w:ilvl="3" w:tplc="1A1638D2">
      <w:numFmt w:val="bullet"/>
      <w:lvlText w:val="•"/>
      <w:lvlJc w:val="left"/>
      <w:pPr>
        <w:ind w:left="3359" w:hanging="428"/>
      </w:pPr>
      <w:rPr>
        <w:rFonts w:hint="default"/>
        <w:lang w:val="en-US" w:eastAsia="en-US" w:bidi="en-US"/>
      </w:rPr>
    </w:lvl>
    <w:lvl w:ilvl="4" w:tplc="5ED46782">
      <w:numFmt w:val="bullet"/>
      <w:lvlText w:val="•"/>
      <w:lvlJc w:val="left"/>
      <w:pPr>
        <w:ind w:left="4286" w:hanging="428"/>
      </w:pPr>
      <w:rPr>
        <w:rFonts w:hint="default"/>
        <w:lang w:val="en-US" w:eastAsia="en-US" w:bidi="en-US"/>
      </w:rPr>
    </w:lvl>
    <w:lvl w:ilvl="5" w:tplc="56D0D5B2">
      <w:numFmt w:val="bullet"/>
      <w:lvlText w:val="•"/>
      <w:lvlJc w:val="left"/>
      <w:pPr>
        <w:ind w:left="5213" w:hanging="428"/>
      </w:pPr>
      <w:rPr>
        <w:rFonts w:hint="default"/>
        <w:lang w:val="en-US" w:eastAsia="en-US" w:bidi="en-US"/>
      </w:rPr>
    </w:lvl>
    <w:lvl w:ilvl="6" w:tplc="AB0EA266">
      <w:numFmt w:val="bullet"/>
      <w:lvlText w:val="•"/>
      <w:lvlJc w:val="left"/>
      <w:pPr>
        <w:ind w:left="6139" w:hanging="428"/>
      </w:pPr>
      <w:rPr>
        <w:rFonts w:hint="default"/>
        <w:lang w:val="en-US" w:eastAsia="en-US" w:bidi="en-US"/>
      </w:rPr>
    </w:lvl>
    <w:lvl w:ilvl="7" w:tplc="D068B08A">
      <w:numFmt w:val="bullet"/>
      <w:lvlText w:val="•"/>
      <w:lvlJc w:val="left"/>
      <w:pPr>
        <w:ind w:left="7066" w:hanging="428"/>
      </w:pPr>
      <w:rPr>
        <w:rFonts w:hint="default"/>
        <w:lang w:val="en-US" w:eastAsia="en-US" w:bidi="en-US"/>
      </w:rPr>
    </w:lvl>
    <w:lvl w:ilvl="8" w:tplc="0D14FD9E">
      <w:numFmt w:val="bullet"/>
      <w:lvlText w:val="•"/>
      <w:lvlJc w:val="left"/>
      <w:pPr>
        <w:ind w:left="7993" w:hanging="428"/>
      </w:pPr>
      <w:rPr>
        <w:rFonts w:hint="default"/>
        <w:lang w:val="en-US" w:eastAsia="en-US" w:bidi="en-US"/>
      </w:rPr>
    </w:lvl>
  </w:abstractNum>
  <w:num w:numId="1" w16cid:durableId="18123612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B51"/>
    <w:rsid w:val="000008A7"/>
    <w:rsid w:val="00002C0B"/>
    <w:rsid w:val="00012934"/>
    <w:rsid w:val="00040988"/>
    <w:rsid w:val="00041EE4"/>
    <w:rsid w:val="00043E65"/>
    <w:rsid w:val="00051D00"/>
    <w:rsid w:val="000B0588"/>
    <w:rsid w:val="000B10D7"/>
    <w:rsid w:val="000B2B33"/>
    <w:rsid w:val="000D111C"/>
    <w:rsid w:val="000E0B10"/>
    <w:rsid w:val="00116BC7"/>
    <w:rsid w:val="001426A2"/>
    <w:rsid w:val="0015540C"/>
    <w:rsid w:val="00175956"/>
    <w:rsid w:val="00190C1D"/>
    <w:rsid w:val="00246A0D"/>
    <w:rsid w:val="00281961"/>
    <w:rsid w:val="002928A9"/>
    <w:rsid w:val="00295B68"/>
    <w:rsid w:val="002E091A"/>
    <w:rsid w:val="002E5D74"/>
    <w:rsid w:val="00305820"/>
    <w:rsid w:val="00401954"/>
    <w:rsid w:val="004B4C5C"/>
    <w:rsid w:val="005170EA"/>
    <w:rsid w:val="00535B4D"/>
    <w:rsid w:val="00547C0A"/>
    <w:rsid w:val="00590DDD"/>
    <w:rsid w:val="005A65B2"/>
    <w:rsid w:val="005B537F"/>
    <w:rsid w:val="005D639D"/>
    <w:rsid w:val="00632853"/>
    <w:rsid w:val="00663AE6"/>
    <w:rsid w:val="006C2A0A"/>
    <w:rsid w:val="006E223B"/>
    <w:rsid w:val="006E4EDD"/>
    <w:rsid w:val="006E7D27"/>
    <w:rsid w:val="0072668D"/>
    <w:rsid w:val="007936A7"/>
    <w:rsid w:val="007942AF"/>
    <w:rsid w:val="008040B2"/>
    <w:rsid w:val="00883548"/>
    <w:rsid w:val="008951DE"/>
    <w:rsid w:val="008B4645"/>
    <w:rsid w:val="0094113D"/>
    <w:rsid w:val="009E3CD5"/>
    <w:rsid w:val="00A14C0B"/>
    <w:rsid w:val="00AC59DE"/>
    <w:rsid w:val="00B00E67"/>
    <w:rsid w:val="00BE7444"/>
    <w:rsid w:val="00C11EB7"/>
    <w:rsid w:val="00C31DCF"/>
    <w:rsid w:val="00C45B51"/>
    <w:rsid w:val="00C4709A"/>
    <w:rsid w:val="00C52D1F"/>
    <w:rsid w:val="00C5628E"/>
    <w:rsid w:val="00C72EEA"/>
    <w:rsid w:val="00CB6116"/>
    <w:rsid w:val="00D24439"/>
    <w:rsid w:val="00D55B74"/>
    <w:rsid w:val="00D745CE"/>
    <w:rsid w:val="00D91F7D"/>
    <w:rsid w:val="00DE3731"/>
    <w:rsid w:val="00E1398E"/>
    <w:rsid w:val="00E242FE"/>
    <w:rsid w:val="00E5793F"/>
    <w:rsid w:val="00E81558"/>
    <w:rsid w:val="00EA59BE"/>
    <w:rsid w:val="00EA70E6"/>
    <w:rsid w:val="00EB5859"/>
    <w:rsid w:val="00ED158F"/>
    <w:rsid w:val="00F7396F"/>
    <w:rsid w:val="00FC2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820854C"/>
  <w15:docId w15:val="{25E82237-1E9E-48EC-B052-953C460B4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Segoe UI" w:eastAsia="Segoe UI" w:hAnsi="Segoe UI" w:cs="Segoe UI"/>
      <w:lang w:bidi="en-US"/>
    </w:rPr>
  </w:style>
  <w:style w:type="paragraph" w:styleId="Heading1">
    <w:name w:val="heading 1"/>
    <w:basedOn w:val="Normal"/>
    <w:uiPriority w:val="9"/>
    <w:qFormat/>
    <w:pPr>
      <w:ind w:left="578" w:hanging="428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qFormat/>
  </w:style>
  <w:style w:type="paragraph" w:styleId="ListParagraph">
    <w:name w:val="List Paragraph"/>
    <w:basedOn w:val="Normal"/>
    <w:uiPriority w:val="1"/>
    <w:qFormat/>
    <w:pPr>
      <w:ind w:left="578" w:right="604" w:hanging="428"/>
    </w:pPr>
  </w:style>
  <w:style w:type="paragraph" w:customStyle="1" w:styleId="TableParagraph">
    <w:name w:val="Table Paragraph"/>
    <w:basedOn w:val="Normal"/>
    <w:uiPriority w:val="1"/>
    <w:qFormat/>
    <w:pPr>
      <w:spacing w:before="18" w:line="238" w:lineRule="exact"/>
      <w:ind w:left="50"/>
    </w:pPr>
  </w:style>
  <w:style w:type="paragraph" w:styleId="Header">
    <w:name w:val="header"/>
    <w:basedOn w:val="Normal"/>
    <w:link w:val="HeaderChar"/>
    <w:uiPriority w:val="99"/>
    <w:unhideWhenUsed/>
    <w:rsid w:val="007936A7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7936A7"/>
    <w:rPr>
      <w:rFonts w:ascii="Segoe UI" w:eastAsia="Segoe UI" w:hAnsi="Segoe UI" w:cs="Segoe UI"/>
      <w:sz w:val="18"/>
      <w:szCs w:val="18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7936A7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7936A7"/>
    <w:rPr>
      <w:rFonts w:ascii="Segoe UI" w:eastAsia="Segoe UI" w:hAnsi="Segoe UI" w:cs="Segoe UI"/>
      <w:sz w:val="18"/>
      <w:szCs w:val="18"/>
      <w:lang w:bidi="en-US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0B2B33"/>
    <w:pPr>
      <w:ind w:leftChars="2500" w:left="100"/>
    </w:pPr>
  </w:style>
  <w:style w:type="character" w:customStyle="1" w:styleId="DateChar">
    <w:name w:val="Date Char"/>
    <w:basedOn w:val="DefaultParagraphFont"/>
    <w:link w:val="Date"/>
    <w:uiPriority w:val="99"/>
    <w:semiHidden/>
    <w:rsid w:val="000B2B33"/>
    <w:rPr>
      <w:rFonts w:ascii="Segoe UI" w:eastAsia="Segoe UI" w:hAnsi="Segoe UI" w:cs="Segoe UI"/>
      <w:lang w:bidi="en-US"/>
    </w:rPr>
  </w:style>
  <w:style w:type="character" w:customStyle="1" w:styleId="Headline">
    <w:name w:val="Headline"/>
    <w:basedOn w:val="DefaultParagraphFont"/>
    <w:qFormat/>
    <w:rsid w:val="005D639D"/>
    <w:rPr>
      <w:b/>
      <w:bCs/>
      <w:sz w:val="32"/>
    </w:rPr>
  </w:style>
  <w:style w:type="paragraph" w:styleId="Revision">
    <w:name w:val="Revision"/>
    <w:hidden/>
    <w:uiPriority w:val="99"/>
    <w:semiHidden/>
    <w:rsid w:val="00C52D1F"/>
    <w:pPr>
      <w:widowControl/>
      <w:autoSpaceDE/>
      <w:autoSpaceDN/>
    </w:pPr>
    <w:rPr>
      <w:rFonts w:ascii="Segoe UI" w:eastAsia="Segoe UI" w:hAnsi="Segoe UI" w:cs="Segoe UI"/>
      <w:lang w:bidi="en-US"/>
    </w:rPr>
  </w:style>
  <w:style w:type="character" w:styleId="Hyperlink">
    <w:name w:val="Hyperlink"/>
    <w:basedOn w:val="DefaultParagraphFont"/>
    <w:uiPriority w:val="99"/>
    <w:unhideWhenUsed/>
    <w:rsid w:val="00043E6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43E65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6E7D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E7D2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E7D27"/>
    <w:rPr>
      <w:rFonts w:ascii="Segoe UI" w:eastAsia="Segoe UI" w:hAnsi="Segoe UI" w:cs="Segoe UI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7D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7D27"/>
    <w:rPr>
      <w:rFonts w:ascii="Segoe UI" w:eastAsia="Segoe UI" w:hAnsi="Segoe UI" w:cs="Segoe UI"/>
      <w:b/>
      <w:bCs/>
      <w:sz w:val="20"/>
      <w:szCs w:val="20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BE7444"/>
    <w:rPr>
      <w:rFonts w:ascii="Segoe UI" w:eastAsia="Segoe UI" w:hAnsi="Segoe UI" w:cs="Segoe UI"/>
      <w:lang w:bidi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663AE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protect.checkpoint.com/v2/r01/___https://www.henkel.com/resource/blob/2147522/8941c6fb4e08be9facee9fd4ee20ae64/data/sustainable-impact-report-2025-en.pdf___.YzJ1OndlY29tbXVuaWNhdGlvbnM6YzpvOjZmYzVkYTQ3ODU1N2MwMThiOWFmYjJjYmFlZmNmYmI2Ojc6ZTRmMzoyNGU5NjU0NzU1OGI3ZDBkM2JlN2Q3NTRlMWY2OWVjODBmZjcwODA4YjgwZWIzZTQyYmJiYjZiZTliYjdlMzEwOnA6VDpG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protect.checkpoint.com/v2/r01/___http://www.henkel.cn___.YzJ1OndlY29tbXVuaWNhdGlvbnM6YzpvOjZmYzVkYTQ3ODU1N2MwMThiOWFmYjJjYmFlZmNmYmI2Ojc6Zjk2OToyYmY0MDk3MDcyN2Y0ODFmYTQ5NzE4OGM5YTJjNmExNDJjZWI3NDVkMTA1MzFkMjQwMDliODAzNTg2YTJjMjVlOnA6VDpG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0424052-0831-475b-991d-7752f84512f7" xsi:nil="true"/>
    <lcf76f155ced4ddcb4097134ff3c332f xmlns="2584eede-b462-40c5-bb06-86c34af4fdcb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B20B25D68F1B42A3249264AB51523B" ma:contentTypeVersion="19" ma:contentTypeDescription="Create a new document." ma:contentTypeScope="" ma:versionID="fa5ccfb4e7a91950e6463c37699ea460">
  <xsd:schema xmlns:xsd="http://www.w3.org/2001/XMLSchema" xmlns:xs="http://www.w3.org/2001/XMLSchema" xmlns:p="http://schemas.microsoft.com/office/2006/metadata/properties" xmlns:ns2="2584eede-b462-40c5-bb06-86c34af4fdcb" xmlns:ns3="00424052-0831-475b-991d-7752f84512f7" targetNamespace="http://schemas.microsoft.com/office/2006/metadata/properties" ma:root="true" ma:fieldsID="eac95f0021481b501c76b6d302e918ba" ns2:_="" ns3:_="">
    <xsd:import namespace="2584eede-b462-40c5-bb06-86c34af4fdcb"/>
    <xsd:import namespace="00424052-0831-475b-991d-7752f84512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84eede-b462-40c5-bb06-86c34af4fd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23fb1273-df49-4b00-9f0c-7edff29671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424052-0831-475b-991d-7752f84512f7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f190a57b-2d88-42f3-be57-56e8ab827132}" ma:internalName="TaxCatchAll" ma:showField="CatchAllData" ma:web="00424052-0831-475b-991d-7752f84512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23B78E4-AEFA-44D9-A035-E2462852CC98}">
  <ds:schemaRefs>
    <ds:schemaRef ds:uri="http://schemas.microsoft.com/office/2006/metadata/properties"/>
    <ds:schemaRef ds:uri="http://schemas.microsoft.com/office/infopath/2007/PartnerControls"/>
    <ds:schemaRef ds:uri="00424052-0831-475b-991d-7752f84512f7"/>
    <ds:schemaRef ds:uri="2584eede-b462-40c5-bb06-86c34af4fdcb"/>
  </ds:schemaRefs>
</ds:datastoreItem>
</file>

<file path=customXml/itemProps2.xml><?xml version="1.0" encoding="utf-8"?>
<ds:datastoreItem xmlns:ds="http://schemas.openxmlformats.org/officeDocument/2006/customXml" ds:itemID="{0FA0C70C-9163-4551-9277-CD7A293114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84eede-b462-40c5-bb06-86c34af4fdcb"/>
    <ds:schemaRef ds:uri="00424052-0831-475b-991d-7752f84512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1869CE9-F8BF-4E12-8FB6-84DB5423A350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ed60ab4-5567-4971-a534-1a5f0f7cc7f5}" enabled="0" method="" siteId="{3ed60ab4-5567-4971-a534-1a5f0f7cc7f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2114</Words>
  <Characters>2332</Characters>
  <Application>Microsoft Office Word</Application>
  <DocSecurity>0</DocSecurity>
  <Lines>89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Hanna Philipps</dc:creator>
  <cp:lastModifiedBy>Liki Qin</cp:lastModifiedBy>
  <cp:revision>3</cp:revision>
  <dcterms:created xsi:type="dcterms:W3CDTF">2026-04-17T03:41:00Z</dcterms:created>
  <dcterms:modified xsi:type="dcterms:W3CDTF">2026-04-17T03:41:00Z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2026-04-14T00:00:00Z</vt:filetime>
  </property>
  <property fmtid="{D5CDD505-2E9C-101B-9397-08002B2CF9AE}" pid="3" name="Creator">
    <vt:lpwstr>Acrobat PDFMaker 26 für Word</vt:lpwstr>
  </property>
  <property fmtid="{D5CDD505-2E9C-101B-9397-08002B2CF9AE}" pid="4" name="LastSaved">
    <vt:filetime>2026-04-14T00:00:00Z</vt:filetime>
  </property>
  <property fmtid="{D5CDD505-2E9C-101B-9397-08002B2CF9AE}" pid="5" name="ContentTypeId">
    <vt:lpwstr>0x01010066B20B25D68F1B42A3249264AB51523B</vt:lpwstr>
  </property>
</Properties>
</file>