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FF7B" w14:textId="77777777" w:rsidR="00E8565A" w:rsidRPr="00FE3563" w:rsidRDefault="00E8565A" w:rsidP="00E8565A">
      <w:pPr>
        <w:spacing w:before="40" w:after="40"/>
        <w:rPr>
          <w:rFonts w:hint="eastAsia"/>
          <w:b/>
          <w:bCs/>
          <w:sz w:val="23"/>
          <w:szCs w:val="23"/>
          <w:lang w:eastAsia="ko-KR"/>
        </w:rPr>
      </w:pPr>
      <w:proofErr w:type="spellStart"/>
      <w:r w:rsidRPr="00FE3563">
        <w:rPr>
          <w:b/>
          <w:bCs/>
          <w:sz w:val="23"/>
          <w:szCs w:val="23"/>
          <w:lang w:eastAsia="ko-KR"/>
        </w:rPr>
        <w:t>헨켈</w:t>
      </w:r>
      <w:proofErr w:type="spellEnd"/>
      <w:r w:rsidRPr="00FE3563">
        <w:rPr>
          <w:b/>
          <w:bCs/>
          <w:sz w:val="23"/>
          <w:szCs w:val="23"/>
          <w:lang w:eastAsia="ko-KR"/>
        </w:rPr>
        <w:t>, 지속가능성 전략 고도화</w:t>
      </w:r>
      <w:r>
        <w:rPr>
          <w:b/>
          <w:bCs/>
          <w:sz w:val="23"/>
          <w:szCs w:val="23"/>
          <w:lang w:eastAsia="ko-KR"/>
        </w:rPr>
        <w:br/>
      </w:r>
    </w:p>
    <w:p w14:paraId="5BBFF137" w14:textId="77777777" w:rsidR="00E8565A" w:rsidRPr="0010736F" w:rsidRDefault="00E8565A" w:rsidP="00E8565A">
      <w:pPr>
        <w:spacing w:before="40" w:after="40"/>
        <w:rPr>
          <w:b/>
          <w:bCs/>
          <w:sz w:val="24"/>
          <w:szCs w:val="24"/>
          <w:lang w:eastAsia="ko-KR"/>
        </w:rPr>
      </w:pPr>
      <w:proofErr w:type="spellStart"/>
      <w:r w:rsidRPr="00E97B75">
        <w:rPr>
          <w:rFonts w:hint="eastAsia"/>
          <w:b/>
          <w:bCs/>
          <w:sz w:val="24"/>
          <w:szCs w:val="24"/>
          <w:lang w:eastAsia="ko-KR"/>
        </w:rPr>
        <w:t>헨켈</w:t>
      </w:r>
      <w:proofErr w:type="spellEnd"/>
      <w:r w:rsidRPr="00E97B75">
        <w:rPr>
          <w:rFonts w:hint="eastAsia"/>
          <w:b/>
          <w:bCs/>
          <w:sz w:val="24"/>
          <w:szCs w:val="24"/>
          <w:lang w:eastAsia="ko-KR"/>
        </w:rPr>
        <w:t xml:space="preserve">, </w:t>
      </w:r>
      <w:r w:rsidRPr="0010736F">
        <w:rPr>
          <w:b/>
          <w:bCs/>
          <w:sz w:val="24"/>
          <w:szCs w:val="24"/>
          <w:lang w:eastAsia="ko-KR"/>
        </w:rPr>
        <w:t>2030년 지속가능성 목표 발표</w:t>
      </w:r>
    </w:p>
    <w:p w14:paraId="6D95BB85" w14:textId="77777777" w:rsidR="00E8565A" w:rsidRPr="0010736F" w:rsidRDefault="00E8565A" w:rsidP="00E8565A">
      <w:pPr>
        <w:numPr>
          <w:ilvl w:val="0"/>
          <w:numId w:val="1"/>
        </w:numPr>
        <w:spacing w:before="40" w:after="40"/>
        <w:rPr>
          <w:lang w:eastAsia="ko-KR"/>
        </w:rPr>
      </w:pPr>
      <w:proofErr w:type="spellStart"/>
      <w:r w:rsidRPr="0010736F">
        <w:rPr>
          <w:b/>
          <w:bCs/>
          <w:lang w:eastAsia="ko-KR"/>
        </w:rPr>
        <w:t>넷제로</w:t>
      </w:r>
      <w:proofErr w:type="spellEnd"/>
      <w:r w:rsidRPr="0010736F">
        <w:rPr>
          <w:b/>
          <w:bCs/>
          <w:lang w:eastAsia="ko-KR"/>
        </w:rPr>
        <w:t>(Net Zero)</w:t>
      </w:r>
      <w:r w:rsidRPr="0010736F">
        <w:rPr>
          <w:lang w:eastAsia="ko-KR"/>
        </w:rPr>
        <w:t xml:space="preserve">: 2045년 </w:t>
      </w:r>
      <w:proofErr w:type="spellStart"/>
      <w:r w:rsidRPr="0010736F">
        <w:rPr>
          <w:lang w:eastAsia="ko-KR"/>
        </w:rPr>
        <w:t>넷제로</w:t>
      </w:r>
      <w:proofErr w:type="spellEnd"/>
      <w:r w:rsidRPr="0010736F">
        <w:rPr>
          <w:lang w:eastAsia="ko-KR"/>
        </w:rPr>
        <w:t xml:space="preserve"> 달성을 목표로, 절대 기준 Scope 1 및 Scope 2 온실가스 배출량 42%, Scope 3 배출량 30% 감축</w:t>
      </w:r>
    </w:p>
    <w:p w14:paraId="2447D6C7" w14:textId="77777777" w:rsidR="00E8565A" w:rsidRPr="0010736F" w:rsidRDefault="00E8565A" w:rsidP="00E8565A">
      <w:pPr>
        <w:numPr>
          <w:ilvl w:val="0"/>
          <w:numId w:val="1"/>
        </w:numPr>
        <w:spacing w:before="40" w:after="40"/>
        <w:rPr>
          <w:lang w:eastAsia="ko-KR"/>
        </w:rPr>
      </w:pPr>
      <w:r w:rsidRPr="0010736F">
        <w:rPr>
          <w:b/>
          <w:bCs/>
          <w:lang w:eastAsia="ko-KR"/>
        </w:rPr>
        <w:t>순환경제(Circular Economy)</w:t>
      </w:r>
      <w:r w:rsidRPr="0010736F">
        <w:rPr>
          <w:lang w:eastAsia="ko-KR"/>
        </w:rPr>
        <w:t>: 소비자 제품 포장재 내 재활용 플라스틱 비중을 최소 35%까지 확대하고, 모든 포장재를 재활용 가능하도록 설계</w:t>
      </w:r>
    </w:p>
    <w:p w14:paraId="730754B3" w14:textId="77777777" w:rsidR="00E8565A" w:rsidRPr="0010736F" w:rsidRDefault="00E8565A" w:rsidP="00E8565A">
      <w:pPr>
        <w:numPr>
          <w:ilvl w:val="0"/>
          <w:numId w:val="1"/>
        </w:numPr>
        <w:spacing w:before="40" w:after="40"/>
        <w:rPr>
          <w:lang w:eastAsia="ko-KR"/>
        </w:rPr>
      </w:pPr>
      <w:r w:rsidRPr="0010736F">
        <w:rPr>
          <w:b/>
          <w:bCs/>
          <w:lang w:eastAsia="ko-KR"/>
        </w:rPr>
        <w:t>글로벌 성평등(Global Gender Equity)</w:t>
      </w:r>
      <w:r w:rsidRPr="0010736F">
        <w:rPr>
          <w:lang w:eastAsia="ko-KR"/>
        </w:rPr>
        <w:t>: 전 세계 모든 관리직급에서 남녀 각각 최소 45%의 대표성 확보 및 글로벌 동일임금 실현*</w:t>
      </w:r>
    </w:p>
    <w:p w14:paraId="7B495102" w14:textId="77777777" w:rsidR="00E8565A" w:rsidRPr="0010736F" w:rsidRDefault="00E8565A" w:rsidP="00E8565A">
      <w:pPr>
        <w:numPr>
          <w:ilvl w:val="0"/>
          <w:numId w:val="1"/>
        </w:numPr>
        <w:spacing w:before="40" w:after="40"/>
        <w:rPr>
          <w:lang w:eastAsia="ko-KR"/>
        </w:rPr>
      </w:pPr>
      <w:r w:rsidRPr="0010736F">
        <w:rPr>
          <w:b/>
          <w:bCs/>
          <w:lang w:eastAsia="ko-KR"/>
        </w:rPr>
        <w:t>지속가능한 공급망(Sustainable Supply Chains)</w:t>
      </w:r>
      <w:r w:rsidRPr="0010736F">
        <w:rPr>
          <w:lang w:eastAsia="ko-KR"/>
        </w:rPr>
        <w:t xml:space="preserve">: 전체 공급업체의 85%가 </w:t>
      </w:r>
      <w:proofErr w:type="spellStart"/>
      <w:r w:rsidRPr="0010736F">
        <w:rPr>
          <w:lang w:eastAsia="ko-KR"/>
        </w:rPr>
        <w:t>헨켈의</w:t>
      </w:r>
      <w:proofErr w:type="spellEnd"/>
      <w:r w:rsidRPr="0010736F">
        <w:rPr>
          <w:lang w:eastAsia="ko-KR"/>
        </w:rPr>
        <w:t xml:space="preserve"> 지속가능성 기준을 충족하도록 추진</w:t>
      </w:r>
    </w:p>
    <w:p w14:paraId="46B5AED7" w14:textId="77777777" w:rsidR="00E8565A" w:rsidRDefault="00E8565A" w:rsidP="00E8565A">
      <w:pPr>
        <w:spacing w:before="40" w:after="40"/>
        <w:rPr>
          <w:lang w:eastAsia="ko-KR"/>
        </w:rPr>
      </w:pPr>
      <w:r>
        <w:rPr>
          <w:lang w:eastAsia="ko-KR"/>
        </w:rPr>
        <w:br/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창립 이래 이어온 지속가능성의 전통과 150년의 유산을 바탕으로, 2030년까지의 새로운 중기 목표를 수립했다. 이번 지속가능성 목표는 회사의 가치사슬 전반에서 보다 빠르게 실질적인 변화를 이끌기 위한 전략적 결정이 반영된 것이다.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기후 대응, 형평성, 지속가능한 공급망을 통합적으로 아우르는 접근을 통해 새로운 도약의 출발점에 섰다.</w:t>
      </w:r>
    </w:p>
    <w:p w14:paraId="43014459" w14:textId="77777777" w:rsidR="00E8565A" w:rsidRDefault="00E8565A" w:rsidP="00E8565A">
      <w:pPr>
        <w:spacing w:before="40" w:after="40"/>
        <w:rPr>
          <w:lang w:eastAsia="ko-KR"/>
        </w:rPr>
      </w:pPr>
      <w:proofErr w:type="spellStart"/>
      <w:r>
        <w:rPr>
          <w:lang w:eastAsia="ko-KR"/>
        </w:rPr>
        <w:t>헨켈</w:t>
      </w:r>
      <w:proofErr w:type="spellEnd"/>
      <w:r>
        <w:rPr>
          <w:lang w:eastAsia="ko-KR"/>
        </w:rPr>
        <w:t xml:space="preserve"> 최고경영자(CEO) </w:t>
      </w:r>
      <w:proofErr w:type="spellStart"/>
      <w:r>
        <w:rPr>
          <w:lang w:eastAsia="ko-KR"/>
        </w:rPr>
        <w:t>카스텐</w:t>
      </w:r>
      <w:proofErr w:type="spellEnd"/>
      <w:r>
        <w:rPr>
          <w:lang w:eastAsia="ko-KR"/>
        </w:rPr>
        <w:t xml:space="preserve"> 노벨(Carsten Knobel)은 “지난 150년 동안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책임 있는 실천과 견조한 사업 성과가 함께 갈 수 있다는 점을 보여줬다. 오늘날처럼 도전적이고 변동성이 큰 환경에서는 지속가능한 미래를 만들어가는 데 있어 분명하고 일관된 입장을 취하는 것이 그 어느 때보다 중요하다”</w:t>
      </w:r>
      <w:proofErr w:type="spellStart"/>
      <w:r>
        <w:rPr>
          <w:lang w:eastAsia="ko-KR"/>
        </w:rPr>
        <w:t>며</w:t>
      </w:r>
      <w:proofErr w:type="spellEnd"/>
      <w:r>
        <w:rPr>
          <w:lang w:eastAsia="ko-KR"/>
        </w:rPr>
        <w:t xml:space="preserve"> “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목적 지향적 성장 전략(Purposeful Growth Agenda)에 맞춰, </w:t>
      </w:r>
      <w:proofErr w:type="spellStart"/>
      <w:r>
        <w:rPr>
          <w:lang w:eastAsia="ko-KR"/>
        </w:rPr>
        <w:t>야심차면서도</w:t>
      </w:r>
      <w:proofErr w:type="spellEnd"/>
      <w:r>
        <w:rPr>
          <w:lang w:eastAsia="ko-KR"/>
        </w:rPr>
        <w:t xml:space="preserve"> 실질적인 새로운 지속가능성 목표와 함께 다음 단계로 나아가고 있다. 의미 있는 변화를 만들고 지속가능한 가치를 더욱 확대할 수 있다고 판단하는 세 가지 핵심 우선순위에 집중하고 있다”고 말했다.</w:t>
      </w:r>
    </w:p>
    <w:p w14:paraId="22A7E6CC" w14:textId="77777777" w:rsidR="00E8565A" w:rsidRDefault="00E8565A" w:rsidP="00E8565A">
      <w:pPr>
        <w:spacing w:before="40" w:after="40"/>
        <w:rPr>
          <w:lang w:eastAsia="ko-KR"/>
        </w:rPr>
      </w:pPr>
      <w:proofErr w:type="spellStart"/>
      <w:r>
        <w:rPr>
          <w:lang w:eastAsia="ko-KR"/>
        </w:rPr>
        <w:t>헨켈</w:t>
      </w:r>
      <w:proofErr w:type="spellEnd"/>
      <w:r>
        <w:rPr>
          <w:lang w:eastAsia="ko-KR"/>
        </w:rPr>
        <w:t xml:space="preserve"> 인사, 인프라 및 지속가능성장 부문 부회장 실비 니콜(Sylvie Nicol)은 “</w:t>
      </w:r>
      <w:proofErr w:type="spellStart"/>
      <w:r>
        <w:rPr>
          <w:lang w:eastAsia="ko-KR"/>
        </w:rPr>
        <w:t>헨켈의</w:t>
      </w:r>
      <w:proofErr w:type="spellEnd"/>
      <w:r>
        <w:rPr>
          <w:lang w:eastAsia="ko-KR"/>
        </w:rPr>
        <w:t xml:space="preserve"> 자랑스러운 유산은 더 지속가능한 미래를 만들어가는 과정에서 특히 책임감과 개척 정신으로 특징지어진다. 이번 목표는 가치사슬 전반에서 더 빠르게 실질적인 변화를 이끌기 위한 전략적 결정이 반영된 것으로, 사업 전반의 일상적인 의사결정에 지속가능성을 뿌리내릴 수 있도록 명확하고 실행 가능한 틀을 제시한다”</w:t>
      </w:r>
      <w:proofErr w:type="spellStart"/>
      <w:r>
        <w:rPr>
          <w:lang w:eastAsia="ko-KR"/>
        </w:rPr>
        <w:t>며</w:t>
      </w:r>
      <w:proofErr w:type="spellEnd"/>
      <w:r>
        <w:rPr>
          <w:lang w:eastAsia="ko-KR"/>
        </w:rPr>
        <w:t xml:space="preserve"> “지속적이고 통합적인 변화를 만들어가려면 전 세계 모든 팀과 시장, 사업장에서의 용기와 공동의 의지가 필요하다”고 덧붙였다.</w:t>
      </w:r>
    </w:p>
    <w:p w14:paraId="1E4DD922" w14:textId="77777777" w:rsidR="00E8565A" w:rsidRDefault="00E8565A" w:rsidP="00E8565A">
      <w:pPr>
        <w:spacing w:before="40" w:after="40"/>
        <w:rPr>
          <w:lang w:eastAsia="ko-KR"/>
        </w:rPr>
      </w:pPr>
    </w:p>
    <w:p w14:paraId="416A078E" w14:textId="77777777" w:rsidR="00E8565A" w:rsidRDefault="00E8565A" w:rsidP="00E8565A">
      <w:pPr>
        <w:pStyle w:val="SectionHead"/>
        <w:spacing w:before="160" w:after="40"/>
        <w:rPr>
          <w:lang w:eastAsia="ko-KR"/>
        </w:rPr>
      </w:pPr>
      <w:proofErr w:type="spellStart"/>
      <w:r>
        <w:rPr>
          <w:lang w:eastAsia="ko-KR"/>
        </w:rPr>
        <w:lastRenderedPageBreak/>
        <w:t>넷제로</w:t>
      </w:r>
      <w:proofErr w:type="spellEnd"/>
      <w:r>
        <w:rPr>
          <w:rFonts w:hint="eastAsia"/>
          <w:lang w:eastAsia="ko-KR"/>
        </w:rPr>
        <w:t xml:space="preserve"> 달성 및</w:t>
      </w:r>
      <w:r>
        <w:rPr>
          <w:lang w:eastAsia="ko-KR"/>
        </w:rPr>
        <w:t xml:space="preserve"> 순환경제 실현 가속화</w:t>
      </w:r>
    </w:p>
    <w:p w14:paraId="1BB0BC89" w14:textId="77777777" w:rsidR="00E8565A" w:rsidRDefault="00E8565A" w:rsidP="00E8565A">
      <w:pPr>
        <w:spacing w:before="40" w:after="40"/>
        <w:rPr>
          <w:lang w:eastAsia="ko-KR"/>
        </w:rPr>
      </w:pP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2045년까지 넷제로를 달성하겠다는 목표 아래, 이를 위한 포괄적인 로드맵을 2024년에 수립했으며, 해당 계획은 과학 기반 감축 목표 이니셔티브(SBTi, Science Based Targets initiative)의 검증을 받았다.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에너지 효율을 높이고 재생에너지와 보다 지속가능한 연료 사용을 확대함으로써 가치사슬 전반의 배출량을 의미 있게 </w:t>
      </w:r>
      <w:proofErr w:type="spellStart"/>
      <w:r>
        <w:rPr>
          <w:lang w:eastAsia="ko-KR"/>
        </w:rPr>
        <w:t>줄여나갈</w:t>
      </w:r>
      <w:proofErr w:type="spellEnd"/>
      <w:r>
        <w:rPr>
          <w:lang w:eastAsia="ko-KR"/>
        </w:rPr>
        <w:t xml:space="preserve"> 계획이다. 이 과정의 핵심 이정표로서,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2030년까지 절대 기준 Scope 1 및 Scope 2 온실가스 배출량을 42%(2021년 대비), Scope 3 배출량은 30% 감축하는 것을 목표로 하고 있다.</w:t>
      </w:r>
    </w:p>
    <w:p w14:paraId="663DA776" w14:textId="77777777" w:rsidR="00E8565A" w:rsidRDefault="00E8565A" w:rsidP="00E8565A">
      <w:pPr>
        <w:spacing w:before="40" w:after="40"/>
        <w:rPr>
          <w:lang w:eastAsia="ko-KR"/>
        </w:rPr>
      </w:pPr>
      <w:r>
        <w:rPr>
          <w:lang w:eastAsia="ko-KR"/>
        </w:rPr>
        <w:t xml:space="preserve">Scope 1과 Scope 2는 </w:t>
      </w:r>
      <w:proofErr w:type="spellStart"/>
      <w:r>
        <w:rPr>
          <w:lang w:eastAsia="ko-KR"/>
        </w:rPr>
        <w:t>헨켈의</w:t>
      </w:r>
      <w:proofErr w:type="spellEnd"/>
      <w:r>
        <w:rPr>
          <w:lang w:eastAsia="ko-KR"/>
        </w:rPr>
        <w:t xml:space="preserve"> 사업 운영 과정에서 발생하는 직접 및 간접 배출량을 의미하며, Scope 3는 </w:t>
      </w:r>
      <w:proofErr w:type="spellStart"/>
      <w:r>
        <w:rPr>
          <w:lang w:eastAsia="ko-KR"/>
        </w:rPr>
        <w:t>업스트림</w:t>
      </w:r>
      <w:proofErr w:type="spellEnd"/>
      <w:r>
        <w:rPr>
          <w:lang w:eastAsia="ko-KR"/>
        </w:rPr>
        <w:t xml:space="preserve"> 및 </w:t>
      </w:r>
      <w:proofErr w:type="spellStart"/>
      <w:r>
        <w:rPr>
          <w:lang w:eastAsia="ko-KR"/>
        </w:rPr>
        <w:t>다운스트림</w:t>
      </w:r>
      <w:proofErr w:type="spellEnd"/>
      <w:r>
        <w:rPr>
          <w:lang w:eastAsia="ko-KR"/>
        </w:rPr>
        <w:t xml:space="preserve"> 가치사슬에서 발생하는 배출량을 포함한다. 현재까지의 성과는 </w:t>
      </w:r>
      <w:proofErr w:type="spellStart"/>
      <w:r>
        <w:rPr>
          <w:lang w:eastAsia="ko-KR"/>
        </w:rPr>
        <w:t>헨켈이</w:t>
      </w:r>
      <w:proofErr w:type="spellEnd"/>
      <w:r>
        <w:rPr>
          <w:lang w:eastAsia="ko-KR"/>
        </w:rPr>
        <w:t xml:space="preserve"> 올바른 방향으로 나아가고 있음을 보여준다.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2025년까지 2021년 기준 대비 Scope 1, 2, 3 배출량을 29% 감축했으며, 전 세계 37개 사업장에서 탄소중립 생산을 도입했다. 이와 함께 재생에너지 전력 사용 비중도 전 세계적으로 89%까지 확대했다. 이러한 감축 성과는 운영 효율 개선뿐 아니라 공급업체와 파트너와의 협력을 강화한 결과이기도 하다.</w:t>
      </w:r>
    </w:p>
    <w:p w14:paraId="664E55F2" w14:textId="77777777" w:rsidR="00E8565A" w:rsidRDefault="00E8565A" w:rsidP="00E8565A">
      <w:pPr>
        <w:spacing w:before="40" w:after="40"/>
        <w:rPr>
          <w:lang w:eastAsia="ko-KR"/>
        </w:rPr>
      </w:pPr>
      <w:r>
        <w:rPr>
          <w:lang w:eastAsia="ko-KR"/>
        </w:rPr>
        <w:t xml:space="preserve">순환경제를 지원하겠다는 </w:t>
      </w:r>
      <w:proofErr w:type="spellStart"/>
      <w:r>
        <w:rPr>
          <w:lang w:eastAsia="ko-KR"/>
        </w:rPr>
        <w:t>헨켈의</w:t>
      </w:r>
      <w:proofErr w:type="spellEnd"/>
      <w:r>
        <w:rPr>
          <w:lang w:eastAsia="ko-KR"/>
        </w:rPr>
        <w:t xml:space="preserve"> 약속은 환경 보호 노력의 또 다른 핵심 축이다.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컨슈머</w:t>
      </w:r>
      <w:proofErr w:type="spellEnd"/>
      <w:r>
        <w:rPr>
          <w:lang w:eastAsia="ko-KR"/>
        </w:rPr>
        <w:t xml:space="preserve"> 제품 포장재에 사용되는 재생 원료 비중과 재활용 가능하도록 설계된 포장재 비율 모두에 대해 명확한 목표를 세웠다. 2030년까지 재생 원료 비중은 현재 28%에서 최소 35%까지 확대할 계획이다. 이와 함께, 현재 88% 수준인 재활용 가능 설계 포장재 비율을 2030년까지 100%로 끌어올리는 것이 목표다.</w:t>
      </w:r>
    </w:p>
    <w:p w14:paraId="66441D52" w14:textId="77777777" w:rsidR="00E8565A" w:rsidRDefault="00E8565A" w:rsidP="00E8565A">
      <w:pPr>
        <w:spacing w:before="40" w:after="40"/>
        <w:rPr>
          <w:lang w:eastAsia="ko-KR"/>
        </w:rPr>
      </w:pP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접착 </w:t>
      </w:r>
      <w:proofErr w:type="spellStart"/>
      <w:r>
        <w:rPr>
          <w:lang w:eastAsia="ko-KR"/>
        </w:rPr>
        <w:t>테크놀러지스를</w:t>
      </w:r>
      <w:proofErr w:type="spellEnd"/>
      <w:r>
        <w:rPr>
          <w:lang w:eastAsia="ko-KR"/>
        </w:rPr>
        <w:t xml:space="preserve"> 통해 재활용 가능한 포장재 개발에도 기여하고 있다. 이 사업부에서 개발한 특수 접착 솔루션은 뒤셀도르프와 상하이에 위치한 고객 센터 내 전용 ‘패키징 </w:t>
      </w:r>
      <w:proofErr w:type="spellStart"/>
      <w:r>
        <w:rPr>
          <w:lang w:eastAsia="ko-KR"/>
        </w:rPr>
        <w:t>리사이클랩</w:t>
      </w:r>
      <w:proofErr w:type="spellEnd"/>
      <w:r>
        <w:rPr>
          <w:lang w:eastAsia="ko-KR"/>
        </w:rPr>
        <w:t xml:space="preserve">(Packaging </w:t>
      </w:r>
      <w:proofErr w:type="spellStart"/>
      <w:r>
        <w:rPr>
          <w:lang w:eastAsia="ko-KR"/>
        </w:rPr>
        <w:t>Recyclabs</w:t>
      </w:r>
      <w:proofErr w:type="spellEnd"/>
      <w:r>
        <w:rPr>
          <w:lang w:eastAsia="ko-KR"/>
        </w:rPr>
        <w:t>)’에서 테스트되고 있다.</w:t>
      </w:r>
    </w:p>
    <w:p w14:paraId="0B9267E1" w14:textId="77777777" w:rsidR="00AE5858" w:rsidRDefault="00AE5858" w:rsidP="00E8565A">
      <w:pPr>
        <w:spacing w:before="40" w:after="40"/>
        <w:rPr>
          <w:lang w:eastAsia="ko-KR"/>
        </w:rPr>
      </w:pPr>
    </w:p>
    <w:p w14:paraId="5E25CF05" w14:textId="77777777" w:rsidR="00E8565A" w:rsidRDefault="00E8565A" w:rsidP="00E8565A">
      <w:pPr>
        <w:pStyle w:val="SectionHead"/>
        <w:spacing w:before="160" w:after="40"/>
        <w:rPr>
          <w:lang w:eastAsia="ko-KR"/>
        </w:rPr>
      </w:pPr>
      <w:r>
        <w:rPr>
          <w:lang w:eastAsia="ko-KR"/>
        </w:rPr>
        <w:t>전 세계 임직원 형평성 제고</w:t>
      </w:r>
    </w:p>
    <w:p w14:paraId="6B83D2CC" w14:textId="77777777" w:rsidR="00E8565A" w:rsidRDefault="00E8565A" w:rsidP="00E8565A">
      <w:pPr>
        <w:spacing w:before="40" w:after="40"/>
        <w:rPr>
          <w:lang w:eastAsia="ko-KR"/>
        </w:rPr>
      </w:pP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균등한 기회, 포용적인 근무 환경, 공정한 보상에 대한 의지를 다시 한번 분명히 했다.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2030년까지 전 세계 관리직급 전반에서 남성과 여성이 각각 45% 이상을 차지하는 성별 균형을 달성하는 것을 목표로 하고 있다. 2025년 말 기준 관리직 내 여성 비율은 이미 43%를 넘어섰으며, 이는 의미 있는 진전이자 실질적인 성과를 보여주는 이정표다.</w:t>
      </w:r>
    </w:p>
    <w:p w14:paraId="3B3AD019" w14:textId="77777777" w:rsidR="00E8565A" w:rsidRDefault="00E8565A" w:rsidP="00E8565A">
      <w:pPr>
        <w:spacing w:before="40" w:after="40"/>
        <w:rPr>
          <w:lang w:eastAsia="ko-KR"/>
        </w:rPr>
      </w:pPr>
      <w:r>
        <w:rPr>
          <w:lang w:eastAsia="ko-KR"/>
        </w:rPr>
        <w:t xml:space="preserve">이와 함께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2030년까지 글로벌 수준의 동일임금 체계를 달성하기 위해 노력하고 있다. 두 목표 모두 각국의 법규와 지역별 특성을 반영한 접근 방식에 따라 추진된다.</w:t>
      </w:r>
    </w:p>
    <w:p w14:paraId="194AD26D" w14:textId="77777777" w:rsidR="00AE5858" w:rsidRDefault="00AE5858" w:rsidP="00E8565A">
      <w:pPr>
        <w:spacing w:before="40" w:after="40"/>
        <w:rPr>
          <w:lang w:eastAsia="ko-KR"/>
        </w:rPr>
      </w:pPr>
    </w:p>
    <w:p w14:paraId="5A4E2FD0" w14:textId="77777777" w:rsidR="00E8565A" w:rsidRDefault="00E8565A" w:rsidP="00E8565A">
      <w:pPr>
        <w:pStyle w:val="SectionHead"/>
        <w:spacing w:before="160" w:after="40"/>
        <w:rPr>
          <w:lang w:eastAsia="ko-KR"/>
        </w:rPr>
      </w:pPr>
      <w:r>
        <w:rPr>
          <w:lang w:eastAsia="ko-KR"/>
        </w:rPr>
        <w:lastRenderedPageBreak/>
        <w:t>지속가능한 공급망을 위한 협력</w:t>
      </w:r>
    </w:p>
    <w:p w14:paraId="048D2B83" w14:textId="77777777" w:rsidR="00E8565A" w:rsidRDefault="00E8565A" w:rsidP="00E8565A">
      <w:pPr>
        <w:spacing w:before="40" w:after="40"/>
        <w:rPr>
          <w:lang w:eastAsia="ko-KR"/>
        </w:rPr>
      </w:pP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공급업체와의 긴밀한 협력을 한층 강화하고, 공급망 전반의 지속가능성 기준을 높이기 위한 노력을 확대하고 있다.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자사 비즈니스 파트너의 안전, 보건, 환경 보호, 사회적 기준, 공정한 사업 관행 측면의 성과를 체계적으로 평가하고 있다. 2030년까지 </w:t>
      </w:r>
      <w:proofErr w:type="spellStart"/>
      <w:r>
        <w:rPr>
          <w:lang w:eastAsia="ko-KR"/>
        </w:rPr>
        <w:t>헨켈</w:t>
      </w:r>
      <w:proofErr w:type="spellEnd"/>
      <w:r>
        <w:rPr>
          <w:lang w:eastAsia="ko-KR"/>
        </w:rPr>
        <w:t xml:space="preserve"> 공급업체의 85%가 자사의 지속가능성 기준을 충족하도록 하는 것이 목표다. 업계 공동 이니셔티브인 지속가능성을 위한 협력(</w:t>
      </w:r>
      <w:proofErr w:type="spellStart"/>
      <w:r>
        <w:rPr>
          <w:lang w:eastAsia="ko-KR"/>
        </w:rPr>
        <w:t>TfS</w:t>
      </w:r>
      <w:proofErr w:type="spellEnd"/>
      <w:r>
        <w:rPr>
          <w:lang w:eastAsia="ko-KR"/>
        </w:rPr>
        <w:t>, Together for Sustainability)과 중소 공급업체를 위한 맞춤형 지원 프로그램은 이 목표를 실현하는 핵심 기반이다.</w:t>
      </w:r>
    </w:p>
    <w:p w14:paraId="36CAF81D" w14:textId="77777777" w:rsidR="00E8565A" w:rsidRDefault="00E8565A" w:rsidP="00E8565A">
      <w:pPr>
        <w:spacing w:before="40" w:after="40"/>
        <w:rPr>
          <w:lang w:eastAsia="ko-KR"/>
        </w:rPr>
      </w:pPr>
      <w:proofErr w:type="spellStart"/>
      <w:r>
        <w:rPr>
          <w:lang w:eastAsia="ko-KR"/>
        </w:rPr>
        <w:t>헨켈의</w:t>
      </w:r>
      <w:proofErr w:type="spellEnd"/>
      <w:r>
        <w:rPr>
          <w:lang w:eastAsia="ko-KR"/>
        </w:rPr>
        <w:t xml:space="preserve"> 이러한 진전은 국제적으로 인정받는 지속가능성 평가를 통해서도 확인되고 있다. </w:t>
      </w:r>
      <w:proofErr w:type="spellStart"/>
      <w:r>
        <w:rPr>
          <w:lang w:eastAsia="ko-KR"/>
        </w:rPr>
        <w:t>헨켈은</w:t>
      </w:r>
      <w:proofErr w:type="spellEnd"/>
      <w:r>
        <w:rPr>
          <w:lang w:eastAsia="ko-KR"/>
        </w:rPr>
        <w:t xml:space="preserve"> 2025년 CDP 평가에서 처음으로 기후 부문 ‘A’ 등급을 획득했다. 또한 최신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에코바디스</w:t>
      </w:r>
      <w:proofErr w:type="spellEnd"/>
      <w:r>
        <w:rPr>
          <w:rFonts w:hint="eastAsia"/>
          <w:lang w:eastAsia="ko-KR"/>
        </w:rPr>
        <w:t>(</w:t>
      </w:r>
      <w:proofErr w:type="spellStart"/>
      <w:r>
        <w:rPr>
          <w:lang w:eastAsia="ko-KR"/>
        </w:rPr>
        <w:t>EcoVadis</w:t>
      </w:r>
      <w:proofErr w:type="spellEnd"/>
      <w:proofErr w:type="gramStart"/>
      <w:r>
        <w:rPr>
          <w:rFonts w:hint="eastAsia"/>
          <w:lang w:eastAsia="ko-KR"/>
        </w:rPr>
        <w:t xml:space="preserve">) </w:t>
      </w:r>
      <w:r>
        <w:rPr>
          <w:lang w:eastAsia="ko-KR"/>
        </w:rPr>
        <w:t xml:space="preserve"> 평가에서도</w:t>
      </w:r>
      <w:proofErr w:type="gramEnd"/>
      <w:r>
        <w:rPr>
          <w:lang w:eastAsia="ko-KR"/>
        </w:rPr>
        <w:t xml:space="preserve"> 성과를 더욱 높이며 다시 한번 골드 등급을 받았다.</w:t>
      </w:r>
    </w:p>
    <w:p w14:paraId="239D3ADE" w14:textId="77777777" w:rsidR="00E8565A" w:rsidRDefault="00E8565A" w:rsidP="00E8565A">
      <w:pPr>
        <w:spacing w:before="40" w:after="40"/>
        <w:rPr>
          <w:lang w:eastAsia="ko-KR"/>
        </w:rPr>
      </w:pPr>
      <w:r>
        <w:rPr>
          <w:b/>
          <w:lang w:eastAsia="ko-KR"/>
        </w:rPr>
        <w:br/>
      </w:r>
      <w:r w:rsidRPr="00283E1F">
        <w:rPr>
          <w:lang w:eastAsia="ko-KR"/>
        </w:rPr>
        <w:t xml:space="preserve">2030년 지속가능성 목표 </w:t>
      </w:r>
      <w:r>
        <w:rPr>
          <w:rFonts w:hint="eastAsia"/>
          <w:lang w:eastAsia="ko-KR"/>
        </w:rPr>
        <w:t xml:space="preserve">전문은 </w:t>
      </w:r>
      <w:r>
        <w:rPr>
          <w:lang w:eastAsia="ko-KR"/>
        </w:rPr>
        <w:t>여기에서 확인</w:t>
      </w:r>
      <w:r>
        <w:rPr>
          <w:rFonts w:hint="eastAsia"/>
          <w:lang w:eastAsia="ko-KR"/>
        </w:rPr>
        <w:t>하세요.</w:t>
      </w:r>
    </w:p>
    <w:p w14:paraId="61E81151" w14:textId="77777777" w:rsidR="00E8565A" w:rsidRPr="00484740" w:rsidRDefault="00E8565A" w:rsidP="00E8565A">
      <w:pPr>
        <w:spacing w:after="100"/>
        <w:rPr>
          <w:lang w:eastAsia="ko-KR"/>
        </w:rPr>
      </w:pPr>
    </w:p>
    <w:p w14:paraId="1EED32E2" w14:textId="77777777" w:rsidR="00E8565A" w:rsidRPr="0037662D" w:rsidRDefault="00E8565A" w:rsidP="00E8565A">
      <w:pPr>
        <w:spacing w:after="100"/>
        <w:rPr>
          <w:rFonts w:hint="eastAsia"/>
          <w:lang w:eastAsia="ko-KR"/>
        </w:rPr>
      </w:pPr>
      <w:r w:rsidRPr="0037662D">
        <w:rPr>
          <w:lang w:eastAsia="ko-KR"/>
        </w:rPr>
        <w:t>* 각 지역의 법규 및 지역별 특성을 고려해 추진</w:t>
      </w:r>
    </w:p>
    <w:p w14:paraId="03D6FDD1" w14:textId="77777777" w:rsidR="001719EF" w:rsidRDefault="001719EF">
      <w:pPr>
        <w:rPr>
          <w:lang w:eastAsia="ko-KR"/>
        </w:rPr>
      </w:pPr>
    </w:p>
    <w:sectPr w:rsidR="001719EF" w:rsidSect="00E8565A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C2CD" w14:textId="77777777" w:rsidR="00630738" w:rsidRDefault="00630738" w:rsidP="00E8565A">
      <w:pPr>
        <w:spacing w:after="0" w:line="240" w:lineRule="auto"/>
      </w:pPr>
      <w:r>
        <w:separator/>
      </w:r>
    </w:p>
  </w:endnote>
  <w:endnote w:type="continuationSeparator" w:id="0">
    <w:p w14:paraId="4C990FD6" w14:textId="77777777" w:rsidR="00630738" w:rsidRDefault="00630738" w:rsidP="00E8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F156" w14:textId="77777777" w:rsidR="00630738" w:rsidRDefault="00630738" w:rsidP="00E8565A">
      <w:pPr>
        <w:spacing w:after="0" w:line="240" w:lineRule="auto"/>
      </w:pPr>
      <w:r>
        <w:separator/>
      </w:r>
    </w:p>
  </w:footnote>
  <w:footnote w:type="continuationSeparator" w:id="0">
    <w:p w14:paraId="662F8FAC" w14:textId="77777777" w:rsidR="00630738" w:rsidRDefault="00630738" w:rsidP="00E8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35A4F"/>
    <w:multiLevelType w:val="multilevel"/>
    <w:tmpl w:val="A558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9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76"/>
    <w:rsid w:val="001719EF"/>
    <w:rsid w:val="001831D6"/>
    <w:rsid w:val="00630738"/>
    <w:rsid w:val="0076752E"/>
    <w:rsid w:val="00885C26"/>
    <w:rsid w:val="00AE5858"/>
    <w:rsid w:val="00D30276"/>
    <w:rsid w:val="00E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92587"/>
  <w15:chartTrackingRefBased/>
  <w15:docId w15:val="{435B8AA9-48C9-499E-A03D-6A1EB5B9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5A"/>
    <w:pPr>
      <w:spacing w:after="200" w:line="276" w:lineRule="auto"/>
    </w:pPr>
    <w:rPr>
      <w:rFonts w:ascii="맑은 고딕" w:eastAsia="맑은 고딕" w:hAnsi="맑은 고딕"/>
      <w:kern w:val="0"/>
      <w:sz w:val="21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302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0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02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02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02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02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02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02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302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302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302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30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30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30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30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30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302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302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3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0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30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302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02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02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302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02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8565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8565A"/>
  </w:style>
  <w:style w:type="paragraph" w:styleId="ab">
    <w:name w:val="footer"/>
    <w:basedOn w:val="a"/>
    <w:link w:val="Char4"/>
    <w:uiPriority w:val="99"/>
    <w:unhideWhenUsed/>
    <w:rsid w:val="00E8565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8565A"/>
  </w:style>
  <w:style w:type="paragraph" w:customStyle="1" w:styleId="SectionHead">
    <w:name w:val="SectionHead"/>
    <w:rsid w:val="00E8565A"/>
    <w:pPr>
      <w:spacing w:after="200" w:line="276" w:lineRule="auto"/>
    </w:pPr>
    <w:rPr>
      <w:rFonts w:ascii="맑은 고딕" w:eastAsia="맑은 고딕" w:hAnsi="맑은 고딕"/>
      <w:b/>
      <w:color w:val="000000"/>
      <w:kern w:val="0"/>
      <w:sz w:val="23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2196</Characters>
  <Application>Microsoft Office Word</Application>
  <DocSecurity>0</DocSecurity>
  <Lines>45</Lines>
  <Paragraphs>27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Jeehye Lee (ext)</dc:creator>
  <cp:keywords/>
  <dc:description/>
  <cp:lastModifiedBy>Jeehye Lee (ext)</cp:lastModifiedBy>
  <cp:revision>3</cp:revision>
  <dcterms:created xsi:type="dcterms:W3CDTF">2026-04-16T09:24:00Z</dcterms:created>
  <dcterms:modified xsi:type="dcterms:W3CDTF">2026-04-16T09:25:00Z</dcterms:modified>
</cp:coreProperties>
</file>