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C4EC" w14:textId="77777777" w:rsidR="00B422EC" w:rsidRPr="00EF1330" w:rsidRDefault="00F5583E" w:rsidP="00643D8A">
      <w:pPr>
        <w:pStyle w:val="MonthDayYear"/>
      </w:pPr>
      <w:r>
        <w:rPr>
          <w:lang w:bidi="hr-HR"/>
        </w:rPr>
        <w:t>14. travnja 2026.</w:t>
      </w:r>
    </w:p>
    <w:p w14:paraId="4DD33E77" w14:textId="77777777" w:rsidR="00A1758C" w:rsidRDefault="00A1758C" w:rsidP="00F5583E">
      <w:pPr>
        <w:rPr>
          <w:rFonts w:cs="Segoe UI"/>
          <w:szCs w:val="22"/>
        </w:rPr>
      </w:pPr>
    </w:p>
    <w:p w14:paraId="3C1045EE" w14:textId="77777777" w:rsidR="00FD36A0" w:rsidRDefault="00FD36A0" w:rsidP="00F5583E">
      <w:pPr>
        <w:rPr>
          <w:rFonts w:cs="Segoe UI"/>
          <w:szCs w:val="22"/>
        </w:rPr>
      </w:pPr>
      <w:r w:rsidRPr="00FD36A0">
        <w:rPr>
          <w:rFonts w:cs="Segoe UI"/>
          <w:szCs w:val="22"/>
          <w:lang w:bidi="hr-HR"/>
        </w:rPr>
        <w:t>Henkel naglašava svoju predanost održivosti</w:t>
      </w:r>
    </w:p>
    <w:p w14:paraId="5757881D" w14:textId="77777777" w:rsidR="00FD36A0" w:rsidRDefault="00FD36A0" w:rsidP="00F5583E">
      <w:pPr>
        <w:rPr>
          <w:rFonts w:cs="Segoe UI"/>
          <w:szCs w:val="22"/>
        </w:rPr>
      </w:pPr>
    </w:p>
    <w:p w14:paraId="540D9368" w14:textId="77777777" w:rsidR="00F5583E" w:rsidRPr="00F5583E" w:rsidRDefault="00F5583E" w:rsidP="00F5583E">
      <w:pPr>
        <w:rPr>
          <w:b/>
          <w:bCs/>
          <w:sz w:val="32"/>
        </w:rPr>
      </w:pPr>
      <w:r w:rsidRPr="00F5583E">
        <w:rPr>
          <w:b/>
          <w:sz w:val="32"/>
          <w:lang w:bidi="hr-HR"/>
        </w:rPr>
        <w:t>Henkel najavljuje nove ciljeve održivosti za 2030. godinu</w:t>
      </w:r>
    </w:p>
    <w:p w14:paraId="27DCD293" w14:textId="77777777" w:rsidR="00F5583E" w:rsidRPr="00F5583E" w:rsidRDefault="00F5583E" w:rsidP="00F5583E">
      <w:pPr>
        <w:rPr>
          <w:rFonts w:cs="Segoe UI"/>
          <w:szCs w:val="22"/>
        </w:rPr>
      </w:pPr>
    </w:p>
    <w:p w14:paraId="5D872A6A" w14:textId="77777777" w:rsidR="00F5583E" w:rsidRPr="00F5583E" w:rsidRDefault="00F5583E" w:rsidP="006151E9">
      <w:pPr>
        <w:numPr>
          <w:ilvl w:val="0"/>
          <w:numId w:val="7"/>
        </w:numPr>
        <w:ind w:left="426" w:hanging="426"/>
        <w:rPr>
          <w:rFonts w:cs="Segoe UI"/>
          <w:szCs w:val="22"/>
        </w:rPr>
      </w:pPr>
      <w:r w:rsidRPr="00F5583E">
        <w:rPr>
          <w:rFonts w:cs="Segoe UI"/>
          <w:b/>
          <w:szCs w:val="22"/>
          <w:lang w:bidi="hr-HR"/>
        </w:rPr>
        <w:t>Nulta neto stopa emisija: smanjiti apsolutne emisije stakleničkih plinova iz opsega 1 i opsega 2 za 42 posto, te emisije iz opsega 3 za 30 posto, s ciljem postizanja nulte neto stope emisija do 2045.</w:t>
      </w:r>
    </w:p>
    <w:p w14:paraId="25731C9F" w14:textId="77777777" w:rsidR="00F5583E" w:rsidRPr="00F5583E" w:rsidRDefault="00F5583E" w:rsidP="006151E9">
      <w:pPr>
        <w:numPr>
          <w:ilvl w:val="0"/>
          <w:numId w:val="7"/>
        </w:numPr>
        <w:ind w:left="426" w:hanging="426"/>
        <w:rPr>
          <w:rFonts w:cs="Segoe UI"/>
          <w:szCs w:val="22"/>
        </w:rPr>
      </w:pPr>
      <w:r w:rsidRPr="00F5583E">
        <w:rPr>
          <w:rFonts w:cs="Segoe UI"/>
          <w:b/>
          <w:szCs w:val="22"/>
          <w:lang w:bidi="hr-HR"/>
        </w:rPr>
        <w:t>Kružno gospodarstvo: povećati udio reciklirane plastike u potrošačkoj ambalaži na najmanje 35 posto, pri čemu 100 posto ambalaže mora biti namijenjeno recikliranju</w:t>
      </w:r>
    </w:p>
    <w:p w14:paraId="4C1DB9C1" w14:textId="77777777" w:rsidR="00F5583E" w:rsidRPr="00F5583E" w:rsidRDefault="00F5583E" w:rsidP="006151E9">
      <w:pPr>
        <w:numPr>
          <w:ilvl w:val="0"/>
          <w:numId w:val="7"/>
        </w:numPr>
        <w:ind w:left="426" w:hanging="426"/>
        <w:rPr>
          <w:rFonts w:cs="Segoe UI"/>
          <w:szCs w:val="22"/>
        </w:rPr>
      </w:pPr>
      <w:r w:rsidRPr="00F5583E">
        <w:rPr>
          <w:rFonts w:cs="Segoe UI"/>
          <w:b/>
          <w:szCs w:val="22"/>
          <w:lang w:bidi="hr-HR"/>
        </w:rPr>
        <w:t>Globalna rodna ravnopravnost: težiti postizanju najmanje 45 posto zastupljenosti muškaraca i žena na svim razinama uprave i osigurati globalnu jednakost plaća*</w:t>
      </w:r>
    </w:p>
    <w:p w14:paraId="2B6C1195" w14:textId="77777777" w:rsidR="00F5583E" w:rsidRPr="00F5583E" w:rsidRDefault="00F5583E" w:rsidP="006151E9">
      <w:pPr>
        <w:numPr>
          <w:ilvl w:val="0"/>
          <w:numId w:val="7"/>
        </w:numPr>
        <w:ind w:left="426" w:hanging="426"/>
        <w:rPr>
          <w:rFonts w:cs="Segoe UI"/>
          <w:szCs w:val="22"/>
        </w:rPr>
      </w:pPr>
      <w:r w:rsidRPr="00F5583E">
        <w:rPr>
          <w:rFonts w:cs="Segoe UI"/>
          <w:b/>
          <w:szCs w:val="22"/>
          <w:lang w:bidi="hr-HR"/>
        </w:rPr>
        <w:t xml:space="preserve">Održivi lanci opskrbe: osigurati da 85 posto dobavljača ispunjava specifične standarde održivosti </w:t>
      </w:r>
    </w:p>
    <w:p w14:paraId="6BEB4D41" w14:textId="77777777" w:rsidR="00F5583E" w:rsidRPr="00F5583E" w:rsidRDefault="00F5583E" w:rsidP="00F5583E">
      <w:pPr>
        <w:rPr>
          <w:rFonts w:cs="Segoe UI"/>
          <w:szCs w:val="22"/>
        </w:rPr>
      </w:pPr>
    </w:p>
    <w:p w14:paraId="3CFFA56F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 xml:space="preserve">Düsseldorf – Nadovezujući se na svoju ponosnu tradiciju održivosti od osnutka i svoju 150-godišnju baštinu, Henkel postavlja nove srednjoročne ciljeve do 2030. godine. Novi ciljevi održivosti odražavaju stratešku odluku o daljnjem ubrzanju utjecaja na cijeli lanac vrijednosti poduzeća. Holističkim pristupom koji integrira </w:t>
      </w:r>
      <w:r w:rsidRPr="0021023E">
        <w:rPr>
          <w:rFonts w:cs="Segoe UI"/>
          <w:b/>
          <w:szCs w:val="22"/>
          <w:lang w:bidi="hr-HR"/>
        </w:rPr>
        <w:t xml:space="preserve">djelovanje protiv klimatskih utjecaja, jednakost i održive lance opskrbe </w:t>
      </w:r>
      <w:r w:rsidRPr="0021023E">
        <w:rPr>
          <w:rFonts w:cs="Segoe UI"/>
          <w:szCs w:val="22"/>
          <w:lang w:bidi="hr-HR"/>
        </w:rPr>
        <w:t>Henkel označava početak novog ciklusa. </w:t>
      </w:r>
    </w:p>
    <w:p w14:paraId="367A5FAD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 </w:t>
      </w:r>
    </w:p>
    <w:p w14:paraId="0FB54D36" w14:textId="77777777" w:rsid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„Već 150 godina Henkel pokazuje da odgovorno poslovanje i snažni poslovni rezultati idu ruku pod ruku. U današnjem izazovnom i nestabilnom okruženju nikada nije bilo bitnije zauzeti jasan i dosljedan stav u oblikovanju održive budućnosti“, kaže Carsten Knobel, izvršni direktor društva Henkel. „U skladu s našim programom svrhovitog rasta, sada poduzimamo sljedeći korak s novim i ambicioznim, ali dostižnim ciljevima održivosti. Usredotočeni smo na tri ključna prioriteta ​u kojima vjerujemo da možemo ostvariti značajan utjecaj i dodatno potaknuti održivu vrijednost.” </w:t>
      </w:r>
    </w:p>
    <w:p w14:paraId="395FD088" w14:textId="77777777" w:rsidR="005D3840" w:rsidRDefault="005D3840" w:rsidP="0021023E">
      <w:pPr>
        <w:rPr>
          <w:rFonts w:cs="Segoe UI"/>
          <w:szCs w:val="22"/>
        </w:rPr>
      </w:pPr>
    </w:p>
    <w:p w14:paraId="2BCFC8ED" w14:textId="77777777" w:rsidR="0021023E" w:rsidRPr="0021023E" w:rsidRDefault="0021023E" w:rsidP="0021023E">
      <w:pPr>
        <w:rPr>
          <w:rFonts w:cs="Segoe UI"/>
          <w:szCs w:val="22"/>
        </w:rPr>
      </w:pPr>
      <w:r w:rsidRPr="00654FEC">
        <w:rPr>
          <w:rFonts w:cs="Segoe UI"/>
          <w:szCs w:val="22"/>
          <w:lang w:bidi="hr-HR"/>
        </w:rPr>
        <w:t xml:space="preserve">„Našu ponosnu baštinu karakteriziraju i odgovornost i pionirski duh, posebno kada je riječ o izgradnji održivije budućnosti. Novi ciljevi odražavaju stratešku odluku o ubrzanju utjecaja na cijeli naš lanac vrijednosti, pružajući jasan i djelotvoran okvir za integriranje održivosti u </w:t>
      </w:r>
      <w:r w:rsidRPr="00654FEC">
        <w:rPr>
          <w:rFonts w:cs="Segoe UI"/>
          <w:szCs w:val="22"/>
          <w:lang w:bidi="hr-HR"/>
        </w:rPr>
        <w:lastRenderedPageBreak/>
        <w:t>svakodnevne odluke u cijelom poslovanju. Za stvaranje trajnog i holističkog utjecaja potrebni su hrabrost i zajednička predanost – u svim timovima, te na svim tržištima i lokacijama diljem svijeta“, naglasila je Sylvie Nicol, izvršna potpredsjednica za ljudske potencijale, infrastrukturu i održivost.  </w:t>
      </w:r>
    </w:p>
    <w:p w14:paraId="5D5BE591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 </w:t>
      </w:r>
    </w:p>
    <w:p w14:paraId="2982D1BB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b/>
          <w:szCs w:val="22"/>
          <w:lang w:bidi="hr-HR"/>
        </w:rPr>
        <w:t>Veća usredotočenost na nultu neto stopu emisija i kružno gospodarstvo </w:t>
      </w:r>
    </w:p>
    <w:p w14:paraId="1AB4B58C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 xml:space="preserve">Društvo Henkel se obvezalo postići </w:t>
      </w:r>
      <w:r w:rsidRPr="0021023E">
        <w:rPr>
          <w:rFonts w:cs="Segoe UI"/>
          <w:b/>
          <w:szCs w:val="22"/>
          <w:lang w:bidi="hr-HR"/>
        </w:rPr>
        <w:t>nultu neto stopu emisija do 2045. godine</w:t>
      </w:r>
      <w:r w:rsidRPr="0021023E">
        <w:rPr>
          <w:rFonts w:cs="Segoe UI"/>
          <w:szCs w:val="22"/>
          <w:lang w:bidi="hr-HR"/>
        </w:rPr>
        <w:t xml:space="preserve"> te je 2024. godine definiralo sveobuhvatan plan za postizanje tog cilja, koji je potvrđen </w:t>
      </w:r>
      <w:r w:rsidRPr="0021023E">
        <w:rPr>
          <w:rFonts w:cs="Segoe UI"/>
          <w:i/>
          <w:szCs w:val="22"/>
          <w:lang w:bidi="hr-HR"/>
        </w:rPr>
        <w:t>inicijativom Znanstveno utemeljenih ciljeva (engl. Science Based Targets initiative, SBTi)</w:t>
      </w:r>
      <w:r w:rsidRPr="0021023E">
        <w:rPr>
          <w:rFonts w:cs="Segoe UI"/>
          <w:szCs w:val="22"/>
          <w:lang w:bidi="hr-HR"/>
        </w:rPr>
        <w:t xml:space="preserve">. Poduzeće ima za cilj značajno smanjiti emisije u cijelom svom lancu vrijednosti poboljšanjem energetske učinkovitosti i proširenjem korištenja obnovljivih izvora energije i goriva s izraženim značajkama održivosti.  A ključna prekretnica na tom putu </w:t>
      </w:r>
      <w:r w:rsidRPr="0021023E">
        <w:rPr>
          <w:rFonts w:cs="Segoe UI"/>
          <w:b/>
          <w:szCs w:val="22"/>
          <w:lang w:bidi="hr-HR"/>
        </w:rPr>
        <w:t>cilj je društva Henkel da smanji svoje apsolutne emisije stakleničkih plinova iz opsega 1 i opsega 2 za 42 posto do 2030. (u odnosu na 2021.) i da smanji apsolutne emisije iz opsega 3 za 30 posto.</w:t>
      </w:r>
      <w:r w:rsidRPr="0021023E">
        <w:rPr>
          <w:rFonts w:cs="Segoe UI"/>
          <w:szCs w:val="22"/>
          <w:lang w:bidi="hr-HR"/>
        </w:rPr>
        <w:t>  Emisije iz opsega 1 i 2 obuhvaćaju izravne i neizravne emisije iz našeg poslovanja, dok opseg 3 obuhvaća emisije koje nastaju u uzvodnom i nizvodnom lancu vrijednosti. Dosadašnji napredak pokazuje da je Henkel na pravom putu: do 2025. godine poduzeće</w:t>
      </w:r>
      <w:r w:rsidRPr="0021023E">
        <w:rPr>
          <w:rFonts w:cs="Segoe UI"/>
          <w:b/>
          <w:szCs w:val="22"/>
          <w:lang w:bidi="hr-HR"/>
        </w:rPr>
        <w:t xml:space="preserve"> je postiglo smanjenje emisija iz opsega 1, 2 i 3 za 29 posto u odnosu na početnu 2021. godinu</w:t>
      </w:r>
      <w:r w:rsidRPr="0021023E">
        <w:rPr>
          <w:rFonts w:cs="Segoe UI"/>
          <w:szCs w:val="22"/>
          <w:lang w:bidi="hr-HR"/>
        </w:rPr>
        <w:t xml:space="preserve"> te je uvelo </w:t>
      </w:r>
      <w:r w:rsidRPr="0021023E">
        <w:rPr>
          <w:rFonts w:cs="Segoe UI"/>
          <w:b/>
          <w:szCs w:val="22"/>
          <w:lang w:bidi="hr-HR"/>
        </w:rPr>
        <w:t>ugljično neutralnu proizvodnju na 37 lokacija diljem svijeta</w:t>
      </w:r>
      <w:r w:rsidRPr="0021023E">
        <w:rPr>
          <w:rFonts w:cs="Segoe UI"/>
          <w:szCs w:val="22"/>
          <w:lang w:bidi="hr-HR"/>
        </w:rPr>
        <w:t xml:space="preserve">. U tom kontekstu Henkel je značajno povećao svoj </w:t>
      </w:r>
      <w:r w:rsidRPr="0021023E">
        <w:rPr>
          <w:rFonts w:cs="Segoe UI"/>
          <w:b/>
          <w:szCs w:val="22"/>
          <w:lang w:bidi="hr-HR"/>
        </w:rPr>
        <w:t>udio obnovljive električne energije na 97 posto globalno</w:t>
      </w:r>
      <w:r w:rsidRPr="0021023E">
        <w:rPr>
          <w:rFonts w:cs="Segoe UI"/>
          <w:szCs w:val="22"/>
          <w:lang w:bidi="hr-HR"/>
        </w:rPr>
        <w:t>. Ova smanjenja odražavaju i operativna poboljšanja i intenzivniju suradnju s dobavljačima i partnerima. </w:t>
      </w:r>
    </w:p>
    <w:p w14:paraId="21A581B2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 </w:t>
      </w:r>
    </w:p>
    <w:p w14:paraId="656D483A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Još jedan važan element Henkelovih napora u zaštiti okoliša njegova je predanost podržavanju kružnog gospodarstva. Poduzeće je postavilo jasne ciljeve i za udio recikliranih materijala korištenih u ambalaži za robu široke potrošnje i za udio ambalaže namijenjene recikliranju. </w:t>
      </w:r>
      <w:r w:rsidRPr="0021023E">
        <w:rPr>
          <w:rFonts w:cs="Segoe UI"/>
          <w:b/>
          <w:szCs w:val="22"/>
          <w:lang w:bidi="hr-HR"/>
        </w:rPr>
        <w:t>Plan je da do 2030. godine udio recikliranih materijala bude najmanje 35 posto u odnosu na sadašnjih 28 posto. Osim toga, cilj je društva Henkel da 100 posto njegove ambalaže bude namijenjeno recikliranju do 2030. godine, a već je danas taj postotak 88 posto. </w:t>
      </w:r>
    </w:p>
    <w:p w14:paraId="2C78CC9C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 </w:t>
      </w:r>
    </w:p>
    <w:p w14:paraId="314E59F5" w14:textId="77777777" w:rsidR="0021023E" w:rsidRPr="0021023E" w:rsidRDefault="004425C3" w:rsidP="0021023E">
      <w:pPr>
        <w:rPr>
          <w:rFonts w:cs="Segoe UI"/>
          <w:szCs w:val="22"/>
        </w:rPr>
      </w:pPr>
      <w:r w:rsidRPr="00FB0DE7">
        <w:rPr>
          <w:rFonts w:cs="Segoe UI"/>
          <w:szCs w:val="22"/>
          <w:lang w:bidi="hr-HR"/>
        </w:rPr>
        <w:t>Poduzeće također doprinosi razvoju ambalaže koja se može reciklirati putem specijaliziranih ljepljivih rješenja, koje je razvila njegova poslovna jedinica Ljepila i tehnologije. Ova rješenja ispituju se u namjenskim „reciklažnim laboratorijima za ambalažu“ poduzeća, koji su dio Henkelovih centara za korisnike u Düsseldorfu i Šangaju. </w:t>
      </w:r>
    </w:p>
    <w:p w14:paraId="25DDEB51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 </w:t>
      </w:r>
    </w:p>
    <w:p w14:paraId="4D9937B3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b/>
          <w:szCs w:val="22"/>
          <w:lang w:bidi="hr-HR"/>
        </w:rPr>
        <w:lastRenderedPageBreak/>
        <w:t>Unapređenje jednakosti zaposlenika na globalnoj razini </w:t>
      </w:r>
    </w:p>
    <w:p w14:paraId="09FAAD7D" w14:textId="77777777" w:rsidR="0021023E" w:rsidRPr="0021023E" w:rsidRDefault="0021023E" w:rsidP="0021023E">
      <w:pPr>
        <w:rPr>
          <w:rFonts w:cs="Segoe UI"/>
          <w:szCs w:val="22"/>
          <w:lang w:val="en-GB"/>
        </w:rPr>
      </w:pPr>
      <w:r w:rsidRPr="0021023E">
        <w:rPr>
          <w:rFonts w:cs="Segoe UI"/>
          <w:szCs w:val="22"/>
          <w:lang w:bidi="hr-HR"/>
        </w:rPr>
        <w:t>Henkel je ponovno potvrdio svoju predanost jednakim mogućnostima, uključivom radnom mjestu i pravednoj plaći. </w:t>
      </w:r>
      <w:r w:rsidRPr="0021023E">
        <w:rPr>
          <w:rFonts w:cs="Segoe UI"/>
          <w:b/>
          <w:szCs w:val="22"/>
          <w:lang w:bidi="hr-HR"/>
        </w:rPr>
        <w:t>Do 2030. godine poduzeće teži postizanju globalne rodne ravnoteže u upravi, s tim da svaki spol bude zastupljen s više od 45 posto na svim razinama uprave. </w:t>
      </w:r>
      <w:r w:rsidRPr="0021023E">
        <w:rPr>
          <w:rFonts w:cs="Segoe UI"/>
          <w:szCs w:val="22"/>
          <w:lang w:bidi="hr-HR"/>
        </w:rPr>
        <w:t xml:space="preserve">Do kraja 2025. godine udio žena u upravi već je dosegao više od 43 posto, što označava </w:t>
      </w:r>
      <w:r w:rsidRPr="0021023E">
        <w:rPr>
          <w:rFonts w:cs="Segoe UI"/>
          <w:b/>
          <w:szCs w:val="22"/>
          <w:lang w:bidi="hr-HR"/>
        </w:rPr>
        <w:t>bitnu prekretnicu i pokazuje jasan utjecaj</w:t>
      </w:r>
      <w:r w:rsidRPr="0021023E">
        <w:rPr>
          <w:rFonts w:cs="Segoe UI"/>
          <w:szCs w:val="22"/>
          <w:lang w:bidi="hr-HR"/>
        </w:rPr>
        <w:t xml:space="preserve">.  Osim toga, </w:t>
      </w:r>
      <w:r w:rsidRPr="0021023E">
        <w:rPr>
          <w:rFonts w:cs="Segoe UI"/>
          <w:b/>
          <w:szCs w:val="22"/>
          <w:lang w:bidi="hr-HR"/>
        </w:rPr>
        <w:t>Henkel nastoji ostvariti globalnu jednakost plaća do 2030. godine</w:t>
      </w:r>
      <w:r w:rsidRPr="0021023E">
        <w:rPr>
          <w:rFonts w:cs="Segoe UI"/>
          <w:szCs w:val="22"/>
          <w:lang w:bidi="hr-HR"/>
        </w:rPr>
        <w:t>. Oba cilja provode se u skladu s lokalnim zakonima i regionalno prilagođenim pristupima. </w:t>
      </w:r>
    </w:p>
    <w:p w14:paraId="70DE579E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 </w:t>
      </w:r>
    </w:p>
    <w:p w14:paraId="1CD445FB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b/>
          <w:szCs w:val="22"/>
          <w:lang w:bidi="hr-HR"/>
        </w:rPr>
        <w:t>Suradnja za održivije lance opskrbe </w:t>
      </w:r>
    </w:p>
    <w:p w14:paraId="168D7225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 xml:space="preserve">Društvo Henkel pojačava svoje napore kako bi blisko surađivalo s dobavljačima i podiglo standarde održivosti u cijelom svom lancu opskrbe. Poduzeće sustavno procjenjuje rezultate svojih poslovnih partnera u području sigurnosti, zdravlja, zaštite okoliša, društvenih standarda i praksi poštenog poslovanja. </w:t>
      </w:r>
      <w:r w:rsidRPr="0021023E">
        <w:rPr>
          <w:rFonts w:cs="Segoe UI"/>
          <w:b/>
          <w:szCs w:val="22"/>
          <w:lang w:bidi="hr-HR"/>
        </w:rPr>
        <w:t>Očekuje se da će do 2030. godine 85 posto Henkelovih dobavljača ispunjavati kriterije održivosti poduzeća</w:t>
      </w:r>
      <w:r w:rsidRPr="0021023E">
        <w:rPr>
          <w:rFonts w:cs="Segoe UI"/>
          <w:szCs w:val="22"/>
          <w:lang w:bidi="hr-HR"/>
        </w:rPr>
        <w:t>. Industrijske inicijative koje uključuju više industrija, poput „Zajedno za održivost (ZZO)“, uz ciljane programe podrške za dobavljače male i srednje veličine ključni su pokretači ove ambicije.  </w:t>
      </w:r>
    </w:p>
    <w:p w14:paraId="4B60C59D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 </w:t>
      </w:r>
    </w:p>
    <w:p w14:paraId="5A89FF83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Napredak društva Henkel potvrđuju međunarodno priznate ocjene održivosti. Prema procjeni organizacije CDP iz 2025. godine društvo Henkel prvi je put dobilo ocjenu „A” u kategoriji klime. Poduzeće je također unaprijedilo svoje rezultate u najnovijoj ocjeni platforme EcoVadis te je još jednom nagrađeno zlatnim priznanjem. </w:t>
      </w:r>
    </w:p>
    <w:p w14:paraId="7B1C1882" w14:textId="77777777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 </w:t>
      </w:r>
    </w:p>
    <w:p w14:paraId="7FE51DD9" w14:textId="726AB011" w:rsidR="0021023E" w:rsidRPr="0021023E" w:rsidRDefault="0021023E" w:rsidP="0021023E">
      <w:pPr>
        <w:rPr>
          <w:rFonts w:cs="Segoe UI"/>
          <w:szCs w:val="22"/>
        </w:rPr>
      </w:pPr>
      <w:r w:rsidRPr="0021023E">
        <w:rPr>
          <w:rFonts w:cs="Segoe UI"/>
          <w:szCs w:val="22"/>
          <w:lang w:bidi="hr-HR"/>
        </w:rPr>
        <w:t>Sve nove ciljeve održivosti možete pronaći </w:t>
      </w:r>
      <w:hyperlink r:id="rId12" w:history="1">
        <w:r w:rsidRPr="003E4CD8">
          <w:rPr>
            <w:rStyle w:val="Hyperlink"/>
            <w:rFonts w:cs="Segoe UI"/>
            <w:sz w:val="22"/>
            <w:szCs w:val="22"/>
            <w:lang w:bidi="hr-HR"/>
          </w:rPr>
          <w:t>ovdje</w:t>
        </w:r>
      </w:hyperlink>
      <w:r w:rsidRPr="0021023E">
        <w:rPr>
          <w:rFonts w:cs="Segoe UI"/>
          <w:szCs w:val="22"/>
          <w:lang w:bidi="hr-HR"/>
        </w:rPr>
        <w:t>. </w:t>
      </w:r>
    </w:p>
    <w:p w14:paraId="13B6F9F5" w14:textId="77777777" w:rsidR="00385185" w:rsidRDefault="00385185" w:rsidP="00643D8A">
      <w:pPr>
        <w:rPr>
          <w:rFonts w:cs="Segoe UI"/>
          <w:szCs w:val="22"/>
        </w:rPr>
      </w:pPr>
    </w:p>
    <w:p w14:paraId="6D9FE3AC" w14:textId="77777777" w:rsidR="004E4160" w:rsidRDefault="004E4160" w:rsidP="00643D8A">
      <w:pPr>
        <w:rPr>
          <w:rFonts w:cs="Segoe UI"/>
          <w:i/>
          <w:iCs/>
          <w:sz w:val="18"/>
          <w:szCs w:val="18"/>
        </w:rPr>
      </w:pPr>
    </w:p>
    <w:p w14:paraId="29EE3C1D" w14:textId="77777777" w:rsidR="00385185" w:rsidRDefault="005D3840" w:rsidP="00643D8A">
      <w:pPr>
        <w:rPr>
          <w:rFonts w:cs="Segoe UI"/>
          <w:i/>
          <w:iCs/>
          <w:sz w:val="18"/>
          <w:szCs w:val="18"/>
        </w:rPr>
      </w:pPr>
      <w:r w:rsidRPr="00C3235E">
        <w:rPr>
          <w:rFonts w:cs="Segoe UI"/>
          <w:sz w:val="18"/>
          <w:szCs w:val="18"/>
          <w:lang w:bidi="hr-HR"/>
        </w:rPr>
        <w:t>*</w:t>
      </w:r>
      <w:r w:rsidRPr="00C3235E">
        <w:rPr>
          <w:rFonts w:cs="Segoe UI"/>
          <w:i/>
          <w:sz w:val="18"/>
          <w:szCs w:val="18"/>
          <w:lang w:bidi="hr-HR"/>
        </w:rPr>
        <w:t>u skladu s lokalnim zakonima i regionalno prilagođenim pristupima</w:t>
      </w:r>
    </w:p>
    <w:p w14:paraId="3384FD7A" w14:textId="77777777" w:rsidR="00240295" w:rsidRDefault="00240295" w:rsidP="00643D8A">
      <w:pPr>
        <w:rPr>
          <w:rFonts w:cs="Segoe UI"/>
          <w:i/>
          <w:iCs/>
          <w:sz w:val="18"/>
          <w:szCs w:val="18"/>
        </w:rPr>
      </w:pPr>
    </w:p>
    <w:p w14:paraId="0FFCFC1A" w14:textId="77777777" w:rsidR="00240295" w:rsidRPr="00240295" w:rsidRDefault="00240295" w:rsidP="00643D8A">
      <w:pPr>
        <w:rPr>
          <w:rFonts w:cs="Segoe UI"/>
          <w:i/>
          <w:iCs/>
          <w:sz w:val="18"/>
          <w:szCs w:val="18"/>
        </w:rPr>
      </w:pPr>
    </w:p>
    <w:p w14:paraId="45F9B719" w14:textId="77777777" w:rsidR="00405CAA" w:rsidRPr="00292C23" w:rsidRDefault="00405CAA" w:rsidP="00405CAA">
      <w:pPr>
        <w:rPr>
          <w:rFonts w:cs="Segoe UI"/>
          <w:b/>
          <w:bCs/>
          <w:szCs w:val="22"/>
        </w:rPr>
      </w:pPr>
      <w:r w:rsidRPr="00292C23">
        <w:rPr>
          <w:b/>
          <w:sz w:val="18"/>
          <w:lang w:bidi="hr-HR"/>
        </w:rPr>
        <w:t>O Henkelu</w:t>
      </w:r>
    </w:p>
    <w:p w14:paraId="17F21B7E" w14:textId="2DE56359" w:rsidR="00405CAA" w:rsidRPr="00292C23" w:rsidRDefault="00405CAA" w:rsidP="00405CAA">
      <w:pPr>
        <w:rPr>
          <w:sz w:val="18"/>
        </w:rPr>
      </w:pPr>
      <w:r w:rsidRPr="00292C23">
        <w:rPr>
          <w:sz w:val="18"/>
          <w:lang w:bidi="hr-HR"/>
        </w:rPr>
        <w:t xml:space="preserve">Zahvaljujući svojim brendovima, inovacijama i tehnologijama, društvo Henkel drži vodeća mjesta na tržištu diljem svijeta u poslovanju s industrijskim proizvodima i robom široke potrošnje. Poslovna jedinica Ljepila i tehnologije svjetski je predvodnik na tržištu ljepila, brtvila i premaza. Zahvaljujući poslovnoj jedinici Consumer Brands, društvo drži vodeća mjesta posebice u poslovanju s proizvodima za pranje rublja i održavanje kućanstva te proizvodima za njegu kose u brojnim kategorijama i na brojnim tržištima diljem svijeta. Tri su najjača brenda društva Loctite, Persil i Schwarzkopf. U poslovnoj godini 2025. Henkel je zabilježio prodaju u iznosu od otprilike 20,5 milijardi eura i </w:t>
      </w:r>
      <w:r w:rsidRPr="00292C23">
        <w:rPr>
          <w:sz w:val="18"/>
          <w:lang w:bidi="hr-HR"/>
        </w:rPr>
        <w:lastRenderedPageBreak/>
        <w:t>prilagođenu operativnu dobit od oko 3,0 milijardu eura. Povlaštene dionice društva Henkel upisane su u njemački burzovni indeks DAX. U Henkelu postoji duga tradicija održivosti i društvo ima jasnu strategiju održivosti s konkretnim ciljevima. Henkel je osnovan 1876. i danas zapošljava raznolik tim od oko 47 000 ljudi širom svijeta koji su ujedinjeni snažnom organizacijskom kulturom, zajedničkim vrijednostima i zajedničkom svrhom: „Pioneers at heart for the good of generations”. Više informacija n</w:t>
      </w:r>
      <w:r>
        <w:rPr>
          <w:sz w:val="18"/>
          <w:lang w:bidi="hr-HR"/>
        </w:rPr>
        <w:t xml:space="preserve">a </w:t>
      </w:r>
      <w:hyperlink r:id="rId13" w:history="1">
        <w:r w:rsidR="00D96C5F" w:rsidRPr="00D96C5F">
          <w:rPr>
            <w:rStyle w:val="Hyperlink"/>
            <w:lang w:bidi="hr-HR"/>
          </w:rPr>
          <w:t>https://www.henkel.hr/</w:t>
        </w:r>
      </w:hyperlink>
    </w:p>
    <w:p w14:paraId="5EB682A5" w14:textId="77777777" w:rsidR="00051EE4" w:rsidRDefault="00051EE4" w:rsidP="00051EE4">
      <w:pPr>
        <w:rPr>
          <w:rStyle w:val="AboutandContactBody"/>
        </w:rPr>
      </w:pPr>
    </w:p>
    <w:p w14:paraId="1ABED101" w14:textId="77777777" w:rsidR="00BB5D0B" w:rsidRDefault="00BB5D0B" w:rsidP="00BF6E82">
      <w:pPr>
        <w:rPr>
          <w:rStyle w:val="AboutandContactHeadline"/>
        </w:rPr>
      </w:pPr>
    </w:p>
    <w:p w14:paraId="2564DDC5" w14:textId="77777777" w:rsidR="00BF6E82" w:rsidRPr="00493327" w:rsidRDefault="00BF6E82" w:rsidP="00BF6E82">
      <w:pPr>
        <w:rPr>
          <w:rStyle w:val="AboutandContactHeadline"/>
        </w:rPr>
      </w:pPr>
      <w:r w:rsidRPr="00493327">
        <w:rPr>
          <w:rStyle w:val="AboutandContactHeadline"/>
          <w:lang w:bidi="hr-HR"/>
        </w:rPr>
        <w:t xml:space="preserve">Fotografski materijal dostupan je na stranici </w:t>
      </w:r>
      <w:hyperlink r:id="rId14" w:history="1">
        <w:r w:rsidR="009B29B7" w:rsidRPr="00472640">
          <w:rPr>
            <w:rStyle w:val="Hyperlink"/>
            <w:b/>
            <w:lang w:bidi="hr-HR"/>
          </w:rPr>
          <w:t>www.henkel.com/press</w:t>
        </w:r>
      </w:hyperlink>
      <w:r w:rsidRPr="00493327">
        <w:rPr>
          <w:rStyle w:val="AboutandContactHeadline"/>
          <w:lang w:bidi="hr-HR"/>
        </w:rPr>
        <w:t>.</w:t>
      </w:r>
    </w:p>
    <w:p w14:paraId="299C9035" w14:textId="77777777" w:rsidR="00BF6E82" w:rsidRPr="00493327" w:rsidRDefault="00BF6E82" w:rsidP="00BF6E82">
      <w:pPr>
        <w:rPr>
          <w:rStyle w:val="AboutandContactBody"/>
        </w:rPr>
      </w:pPr>
    </w:p>
    <w:p w14:paraId="7654F939" w14:textId="77777777" w:rsidR="00BF6E82" w:rsidRPr="00493327" w:rsidRDefault="00BF6E82" w:rsidP="00BF6E82">
      <w:pPr>
        <w:rPr>
          <w:rStyle w:val="AboutandContactBody"/>
        </w:rPr>
      </w:pPr>
    </w:p>
    <w:p w14:paraId="5A0F3328" w14:textId="77777777" w:rsidR="0035347F" w:rsidRPr="00292C23" w:rsidRDefault="0035347F" w:rsidP="0035347F">
      <w:pPr>
        <w:spacing w:line="240" w:lineRule="auto"/>
        <w:jc w:val="left"/>
        <w:rPr>
          <w:rFonts w:asciiTheme="majorHAnsi" w:hAnsiTheme="majorHAnsi" w:cs="Calibri Light"/>
          <w:b/>
          <w:sz w:val="18"/>
          <w:szCs w:val="18"/>
        </w:rPr>
      </w:pPr>
    </w:p>
    <w:p w14:paraId="142A7434" w14:textId="77777777" w:rsidR="0035347F" w:rsidRPr="007A525B" w:rsidRDefault="0035347F" w:rsidP="0035347F">
      <w:pPr>
        <w:spacing w:line="240" w:lineRule="auto"/>
        <w:jc w:val="left"/>
        <w:rPr>
          <w:rFonts w:asciiTheme="majorHAnsi" w:hAnsiTheme="majorHAnsi" w:cs="Calibri Light"/>
          <w:b/>
          <w:sz w:val="18"/>
          <w:szCs w:val="18"/>
        </w:rPr>
      </w:pPr>
      <w:r w:rsidRPr="00695672">
        <w:rPr>
          <w:sz w:val="18"/>
          <w:lang w:bidi="hr-HR"/>
        </w:rPr>
        <w:t>Kontakt</w:t>
      </w:r>
      <w:r w:rsidRPr="00695672">
        <w:rPr>
          <w:sz w:val="18"/>
          <w:lang w:bidi="hr-HR"/>
        </w:rPr>
        <w:tab/>
      </w:r>
      <w:r>
        <w:rPr>
          <w:sz w:val="18"/>
          <w:lang w:bidi="hr-HR"/>
        </w:rPr>
        <w:t xml:space="preserve">       </w:t>
      </w:r>
      <w:r w:rsidRPr="00695672">
        <w:rPr>
          <w:sz w:val="18"/>
          <w:lang w:bidi="hr-HR"/>
        </w:rPr>
        <w:t>Jelena Gavrilović Šarenac</w:t>
      </w:r>
      <w:r w:rsidRPr="00695672">
        <w:rPr>
          <w:sz w:val="18"/>
          <w:lang w:bidi="hr-HR"/>
        </w:rPr>
        <w:tab/>
      </w:r>
      <w:r w:rsidRPr="00695672">
        <w:rPr>
          <w:sz w:val="18"/>
          <w:lang w:bidi="hr-HR"/>
        </w:rPr>
        <w:tab/>
      </w:r>
    </w:p>
    <w:p w14:paraId="3BB8AD3B" w14:textId="77777777" w:rsidR="0035347F" w:rsidRPr="00695672" w:rsidRDefault="0035347F" w:rsidP="0035347F">
      <w:pPr>
        <w:tabs>
          <w:tab w:val="left" w:pos="1080"/>
          <w:tab w:val="left" w:pos="4500"/>
        </w:tabs>
        <w:spacing w:line="264" w:lineRule="auto"/>
        <w:rPr>
          <w:sz w:val="18"/>
          <w:lang w:bidi="hr-HR"/>
        </w:rPr>
      </w:pPr>
      <w:r w:rsidRPr="00695672">
        <w:rPr>
          <w:sz w:val="18"/>
          <w:lang w:bidi="hr-HR"/>
        </w:rPr>
        <w:t>E-pošta</w:t>
      </w:r>
      <w:r w:rsidRPr="00695672">
        <w:rPr>
          <w:sz w:val="18"/>
          <w:lang w:bidi="hr-HR"/>
        </w:rPr>
        <w:tab/>
      </w:r>
      <w:hyperlink r:id="rId15" w:history="1">
        <w:r w:rsidRPr="00695672">
          <w:rPr>
            <w:rStyle w:val="Hyperlink"/>
            <w:lang w:bidi="hr-HR"/>
          </w:rPr>
          <w:t>jelena.sarenac@henkel.com</w:t>
        </w:r>
      </w:hyperlink>
    </w:p>
    <w:p w14:paraId="36DA8F12" w14:textId="77777777" w:rsidR="0035347F" w:rsidRPr="00695672" w:rsidRDefault="0035347F" w:rsidP="0035347F">
      <w:pPr>
        <w:tabs>
          <w:tab w:val="left" w:pos="1080"/>
          <w:tab w:val="left" w:pos="4500"/>
        </w:tabs>
        <w:spacing w:line="264" w:lineRule="auto"/>
        <w:rPr>
          <w:sz w:val="18"/>
          <w:lang w:val="it-IT" w:bidi="hr-HR"/>
        </w:rPr>
      </w:pPr>
      <w:r w:rsidRPr="00695672">
        <w:rPr>
          <w:sz w:val="18"/>
          <w:lang w:bidi="hr-HR"/>
        </w:rPr>
        <w:tab/>
      </w:r>
    </w:p>
    <w:p w14:paraId="4511A729" w14:textId="3FF2A0CA" w:rsidR="00E806CE" w:rsidRPr="00493327" w:rsidRDefault="00E806CE" w:rsidP="0035347F">
      <w:pPr>
        <w:tabs>
          <w:tab w:val="left" w:pos="1080"/>
          <w:tab w:val="left" w:pos="4500"/>
        </w:tabs>
        <w:rPr>
          <w:rStyle w:val="AboutandContactBody"/>
        </w:rPr>
      </w:pPr>
    </w:p>
    <w:sectPr w:rsidR="00E806CE" w:rsidRPr="00493327" w:rsidSect="00DC246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B956" w14:textId="77777777" w:rsidR="005460C0" w:rsidRDefault="005460C0">
      <w:r>
        <w:separator/>
      </w:r>
    </w:p>
  </w:endnote>
  <w:endnote w:type="continuationSeparator" w:id="0">
    <w:p w14:paraId="03FC7BB0" w14:textId="77777777" w:rsidR="005460C0" w:rsidRDefault="005460C0">
      <w:r>
        <w:continuationSeparator/>
      </w:r>
    </w:p>
  </w:endnote>
  <w:endnote w:type="continuationNotice" w:id="1">
    <w:p w14:paraId="119C74A6" w14:textId="77777777" w:rsidR="005460C0" w:rsidRDefault="005460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B584" w14:textId="77777777" w:rsidR="005658CE" w:rsidRDefault="00565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43C5" w14:textId="77777777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rPr>
        <w:lang w:bidi="hr-HR"/>
      </w:rPr>
      <w:t>Henkel AG &amp; Co. KGaA</w:t>
    </w:r>
    <w:r w:rsidRPr="00BF6E82">
      <w:rPr>
        <w:lang w:bidi="hr-HR"/>
      </w:rPr>
      <w:tab/>
      <w:t xml:space="preserve">Stranica </w:t>
    </w:r>
    <w:r w:rsidRPr="00BF6E82">
      <w:rPr>
        <w:lang w:bidi="hr-HR"/>
      </w:rPr>
      <w:fldChar w:fldCharType="begin"/>
    </w:r>
    <w:r w:rsidRPr="00BF6E82">
      <w:rPr>
        <w:lang w:bidi="hr-HR"/>
      </w:rPr>
      <w:instrText xml:space="preserve"> PAGE  \* Arabic  \* MERGEFORMAT </w:instrText>
    </w:r>
    <w:r w:rsidRPr="00BF6E82">
      <w:rPr>
        <w:lang w:bidi="hr-HR"/>
      </w:rPr>
      <w:fldChar w:fldCharType="separate"/>
    </w:r>
    <w:r>
      <w:rPr>
        <w:lang w:bidi="hr-HR"/>
      </w:rPr>
      <w:t>2</w:t>
    </w:r>
    <w:r w:rsidRPr="00BF6E82">
      <w:rPr>
        <w:lang w:bidi="hr-HR"/>
      </w:rPr>
      <w:fldChar w:fldCharType="end"/>
    </w:r>
    <w:r w:rsidRPr="00BF6E82">
      <w:rPr>
        <w:lang w:bidi="hr-HR"/>
      </w:rPr>
      <w:t>/</w:t>
    </w:r>
    <w:fldSimple w:instr=" NUMPAGES  \* Arabic  \* MERGEFORMAT ">
      <w:r>
        <w:rPr>
          <w:lang w:bidi="hr-HR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71A4" w14:textId="77777777" w:rsidR="00CF6F33" w:rsidRPr="00992A11" w:rsidRDefault="00B422EC" w:rsidP="00992A11">
    <w:pPr>
      <w:pStyle w:val="Footer"/>
    </w:pPr>
    <w:r w:rsidRPr="00992A11">
      <w:rPr>
        <w:lang w:bidi="hr-HR"/>
      </w:rPr>
      <w:t xml:space="preserve">Stranica </w:t>
    </w:r>
    <w:r w:rsidR="00CF6F33" w:rsidRPr="00992A11">
      <w:rPr>
        <w:lang w:bidi="hr-HR"/>
      </w:rPr>
      <w:fldChar w:fldCharType="begin"/>
    </w:r>
    <w:r w:rsidR="00CF6F33" w:rsidRPr="00992A11">
      <w:rPr>
        <w:lang w:bidi="hr-HR"/>
      </w:rPr>
      <w:instrText xml:space="preserve"> </w:instrText>
    </w:r>
    <w:r w:rsidR="00262C05" w:rsidRPr="00992A11">
      <w:rPr>
        <w:lang w:bidi="hr-HR"/>
      </w:rPr>
      <w:instrText>PAGE</w:instrText>
    </w:r>
    <w:r w:rsidR="00CF6F33" w:rsidRPr="00992A11">
      <w:rPr>
        <w:lang w:bidi="hr-HR"/>
      </w:rPr>
      <w:instrText xml:space="preserve">  \* Arabic  \* MERGEFORMAT </w:instrText>
    </w:r>
    <w:r w:rsidR="00CF6F33" w:rsidRPr="00992A11">
      <w:rPr>
        <w:lang w:bidi="hr-HR"/>
      </w:rPr>
      <w:fldChar w:fldCharType="separate"/>
    </w:r>
    <w:r w:rsidR="006A0A3C" w:rsidRPr="00992A11">
      <w:rPr>
        <w:lang w:bidi="hr-HR"/>
      </w:rPr>
      <w:t>1</w:t>
    </w:r>
    <w:r w:rsidR="00CF6F33" w:rsidRPr="00992A11">
      <w:rPr>
        <w:lang w:bidi="hr-HR"/>
      </w:rPr>
      <w:fldChar w:fldCharType="end"/>
    </w:r>
    <w:r w:rsidRPr="00992A11">
      <w:rPr>
        <w:lang w:bidi="hr-HR"/>
      </w:rPr>
      <w:t>/</w:t>
    </w:r>
    <w:r w:rsidR="00CF6F33" w:rsidRPr="00992A11">
      <w:rPr>
        <w:lang w:bidi="hr-HR"/>
      </w:rPr>
      <w:fldChar w:fldCharType="begin"/>
    </w:r>
    <w:r w:rsidR="00CF6F33" w:rsidRPr="00992A11">
      <w:rPr>
        <w:lang w:bidi="hr-HR"/>
      </w:rPr>
      <w:instrText xml:space="preserve"> </w:instrText>
    </w:r>
    <w:r w:rsidR="00262C05" w:rsidRPr="00992A11">
      <w:rPr>
        <w:lang w:bidi="hr-HR"/>
      </w:rPr>
      <w:instrText>NUMPAGES</w:instrText>
    </w:r>
    <w:r w:rsidR="00CF6F33" w:rsidRPr="00992A11">
      <w:rPr>
        <w:lang w:bidi="hr-HR"/>
      </w:rPr>
      <w:instrText xml:space="preserve">  \* Arabic  \* MERGEFORMAT </w:instrText>
    </w:r>
    <w:r w:rsidR="00CF6F33" w:rsidRPr="00992A11">
      <w:rPr>
        <w:lang w:bidi="hr-HR"/>
      </w:rPr>
      <w:fldChar w:fldCharType="separate"/>
    </w:r>
    <w:r w:rsidR="006A0A3C" w:rsidRPr="00992A11">
      <w:rPr>
        <w:lang w:bidi="hr-HR"/>
      </w:rPr>
      <w:t>1</w:t>
    </w:r>
    <w:r w:rsidR="00CF6F33" w:rsidRPr="00992A11">
      <w:rPr>
        <w:lang w:bidi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C4CF" w14:textId="77777777" w:rsidR="005460C0" w:rsidRDefault="005460C0">
      <w:r>
        <w:separator/>
      </w:r>
    </w:p>
  </w:footnote>
  <w:footnote w:type="continuationSeparator" w:id="0">
    <w:p w14:paraId="6A2E5CAF" w14:textId="77777777" w:rsidR="005460C0" w:rsidRDefault="005460C0">
      <w:r>
        <w:continuationSeparator/>
      </w:r>
    </w:p>
  </w:footnote>
  <w:footnote w:type="continuationNotice" w:id="1">
    <w:p w14:paraId="0424B825" w14:textId="77777777" w:rsidR="005460C0" w:rsidRDefault="005460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2ABC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072A" w14:textId="77777777" w:rsidR="005658CE" w:rsidRDefault="00565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A72" w14:textId="3DC24575" w:rsidR="00CF6F33" w:rsidRPr="00EB46D9" w:rsidRDefault="007E2F9F" w:rsidP="00EB46D9">
    <w:pPr>
      <w:pStyle w:val="Header"/>
    </w:pPr>
    <w:r>
      <w:rPr>
        <w:noProof/>
        <w:lang w:bidi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A8C779" wp14:editId="2E77B67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0" b="0"/>
              <wp:wrapNone/>
              <wp:docPr id="36530229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ED4EBC" id="Group 5" o:spid="_x0000_s1026" style="position:absolute;margin-left:14.2pt;margin-top:297.7pt;width:14.15pt;height:297.65pt;z-index:25165926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uA0wAAAANoAAAAPAAAAZHJzL2Rvd25yZXYueG1sRI/BasMw&#10;EETvhf6D2EJvjdwU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hNbgNMAAAADaAAAADwAAAAAA&#10;AAAAAAAAAAAHAgAAZHJzL2Rvd25yZXYueG1sUEsFBgAAAAADAAMAtwAAAPQCAAAAAA==&#10;" stroked="f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3hAwAAAANoAAAAPAAAAZHJzL2Rvd25yZXYueG1sRI/BasMw&#10;EETvhf6D2EJvjdxQ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Cz94QMAAAADaAAAADwAAAAAA&#10;AAAAAAAAAAAHAgAAZHJzL2Rvd25yZXYueG1sUEsFBgAAAAADAAMAtwAAAPQCAAAAAA==&#10;" stroked="f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3bwAAAANoAAAAPAAAAZHJzL2Rvd25yZXYueG1sRI/BasMw&#10;EETvhf6D2EJvjdxAQ+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ZHPd28AAAADaAAAADwAAAAAA&#10;AAAAAAAAAAAHAgAAZHJzL2Rvd25yZXYueG1sUEsFBgAAAAADAAMAtwAAAPQCAAAAAA==&#10;" stroked="f"/>
              <w10:wrap anchorx="page" anchory="page"/>
            </v:group>
          </w:pict>
        </mc:Fallback>
      </mc:AlternateContent>
    </w:r>
    <w:r w:rsidR="00BF6E82" w:rsidRPr="00EB46D9">
      <w:rPr>
        <w:lang w:bidi="hr-HR"/>
      </w:rPr>
      <w:t xml:space="preserve">Priopćenje za </w:t>
    </w:r>
    <w:r w:rsidR="005658CE" w:rsidRPr="00EB46D9">
      <w:rPr>
        <w:noProof/>
        <w:lang w:bidi="hr-HR"/>
      </w:rPr>
      <w:drawing>
        <wp:anchor distT="0" distB="0" distL="114300" distR="114300" simplePos="0" relativeHeight="251661312" behindDoc="0" locked="1" layoutInCell="1" allowOverlap="1" wp14:anchorId="60EF6268" wp14:editId="0000C1D7">
          <wp:simplePos x="0" y="0"/>
          <wp:positionH relativeFrom="margin">
            <wp:posOffset>5001260</wp:posOffset>
          </wp:positionH>
          <wp:positionV relativeFrom="margin">
            <wp:posOffset>-1523365</wp:posOffset>
          </wp:positionV>
          <wp:extent cx="1051560" cy="603250"/>
          <wp:effectExtent l="0" t="0" r="0" b="6350"/>
          <wp:wrapNone/>
          <wp:docPr id="1653066876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E82" w:rsidRPr="00EB46D9">
      <w:rPr>
        <w:lang w:bidi="hr-HR"/>
      </w:rPr>
      <w:t>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F4270"/>
    <w:multiLevelType w:val="hybridMultilevel"/>
    <w:tmpl w:val="FFFFFFFF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FFFFFFFF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FFFFFFFF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FFFFFFFF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C439B"/>
    <w:multiLevelType w:val="hybridMultilevel"/>
    <w:tmpl w:val="FFFFFFFF"/>
    <w:lvl w:ilvl="0" w:tplc="3A1C8D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FFFFFFFF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835650">
    <w:abstractNumId w:val="1"/>
  </w:num>
  <w:num w:numId="2" w16cid:durableId="1551573255">
    <w:abstractNumId w:val="0"/>
  </w:num>
  <w:num w:numId="3" w16cid:durableId="1199968557">
    <w:abstractNumId w:val="6"/>
  </w:num>
  <w:num w:numId="4" w16cid:durableId="833180251">
    <w:abstractNumId w:val="3"/>
  </w:num>
  <w:num w:numId="5" w16cid:durableId="978413844">
    <w:abstractNumId w:val="2"/>
  </w:num>
  <w:num w:numId="6" w16cid:durableId="1810781665">
    <w:abstractNumId w:val="4"/>
  </w:num>
  <w:num w:numId="7" w16cid:durableId="1785349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2DD9"/>
    <w:rsid w:val="00021C67"/>
    <w:rsid w:val="00030557"/>
    <w:rsid w:val="00030F51"/>
    <w:rsid w:val="00035A84"/>
    <w:rsid w:val="00040CC9"/>
    <w:rsid w:val="00051E86"/>
    <w:rsid w:val="00051EE4"/>
    <w:rsid w:val="00052CBE"/>
    <w:rsid w:val="000575F9"/>
    <w:rsid w:val="000618FC"/>
    <w:rsid w:val="0006344D"/>
    <w:rsid w:val="00065C73"/>
    <w:rsid w:val="00067071"/>
    <w:rsid w:val="000722E8"/>
    <w:rsid w:val="00080D10"/>
    <w:rsid w:val="0008357F"/>
    <w:rsid w:val="000A05E0"/>
    <w:rsid w:val="000A4F39"/>
    <w:rsid w:val="000B695A"/>
    <w:rsid w:val="000C05D2"/>
    <w:rsid w:val="000C210A"/>
    <w:rsid w:val="000C56DD"/>
    <w:rsid w:val="000D1672"/>
    <w:rsid w:val="000E2F62"/>
    <w:rsid w:val="000E38ED"/>
    <w:rsid w:val="000E6A94"/>
    <w:rsid w:val="000E7F24"/>
    <w:rsid w:val="000F03BE"/>
    <w:rsid w:val="000F1757"/>
    <w:rsid w:val="000F225B"/>
    <w:rsid w:val="000F7FAF"/>
    <w:rsid w:val="0010071B"/>
    <w:rsid w:val="00101B7B"/>
    <w:rsid w:val="00105975"/>
    <w:rsid w:val="0011046D"/>
    <w:rsid w:val="001111EF"/>
    <w:rsid w:val="00111F4D"/>
    <w:rsid w:val="00112A28"/>
    <w:rsid w:val="00112FD4"/>
    <w:rsid w:val="00115230"/>
    <w:rsid w:val="00115B5F"/>
    <w:rsid w:val="001162B4"/>
    <w:rsid w:val="00117179"/>
    <w:rsid w:val="0012068B"/>
    <w:rsid w:val="00122CBC"/>
    <w:rsid w:val="00126D4A"/>
    <w:rsid w:val="00132DA9"/>
    <w:rsid w:val="0013305B"/>
    <w:rsid w:val="00133B99"/>
    <w:rsid w:val="00135120"/>
    <w:rsid w:val="001443BD"/>
    <w:rsid w:val="00154967"/>
    <w:rsid w:val="0015518E"/>
    <w:rsid w:val="001577E9"/>
    <w:rsid w:val="0016138C"/>
    <w:rsid w:val="001655A8"/>
    <w:rsid w:val="0017124D"/>
    <w:rsid w:val="001731CE"/>
    <w:rsid w:val="001933E7"/>
    <w:rsid w:val="001944D5"/>
    <w:rsid w:val="001946A9"/>
    <w:rsid w:val="001B3E23"/>
    <w:rsid w:val="001B4B0F"/>
    <w:rsid w:val="001B7300"/>
    <w:rsid w:val="001B7C20"/>
    <w:rsid w:val="001C0B32"/>
    <w:rsid w:val="001C4BE1"/>
    <w:rsid w:val="001C7373"/>
    <w:rsid w:val="001D7ADF"/>
    <w:rsid w:val="001E0F71"/>
    <w:rsid w:val="001E55F2"/>
    <w:rsid w:val="001E6D05"/>
    <w:rsid w:val="001E7C28"/>
    <w:rsid w:val="001F1BDF"/>
    <w:rsid w:val="001F7110"/>
    <w:rsid w:val="001F7E96"/>
    <w:rsid w:val="002008BC"/>
    <w:rsid w:val="00202284"/>
    <w:rsid w:val="0021023E"/>
    <w:rsid w:val="00212488"/>
    <w:rsid w:val="00220628"/>
    <w:rsid w:val="002227A3"/>
    <w:rsid w:val="002304D2"/>
    <w:rsid w:val="002331FC"/>
    <w:rsid w:val="00234ABD"/>
    <w:rsid w:val="00236E2A"/>
    <w:rsid w:val="00237F62"/>
    <w:rsid w:val="00240040"/>
    <w:rsid w:val="00240295"/>
    <w:rsid w:val="0024586A"/>
    <w:rsid w:val="00256F0C"/>
    <w:rsid w:val="00262C05"/>
    <w:rsid w:val="00281D14"/>
    <w:rsid w:val="00282C13"/>
    <w:rsid w:val="00292C23"/>
    <w:rsid w:val="002A0DF7"/>
    <w:rsid w:val="002A2975"/>
    <w:rsid w:val="002A5FB6"/>
    <w:rsid w:val="002A60E0"/>
    <w:rsid w:val="002B6F30"/>
    <w:rsid w:val="002C1344"/>
    <w:rsid w:val="002C252E"/>
    <w:rsid w:val="002C6773"/>
    <w:rsid w:val="002D2A3D"/>
    <w:rsid w:val="002D4E9F"/>
    <w:rsid w:val="002D51E2"/>
    <w:rsid w:val="002D5F89"/>
    <w:rsid w:val="002E0B17"/>
    <w:rsid w:val="002E3049"/>
    <w:rsid w:val="002E4FFB"/>
    <w:rsid w:val="002E7DED"/>
    <w:rsid w:val="002F00B7"/>
    <w:rsid w:val="002F7E11"/>
    <w:rsid w:val="00304087"/>
    <w:rsid w:val="00310ACD"/>
    <w:rsid w:val="0031379F"/>
    <w:rsid w:val="00320A26"/>
    <w:rsid w:val="00321344"/>
    <w:rsid w:val="0032493C"/>
    <w:rsid w:val="0033451C"/>
    <w:rsid w:val="00336854"/>
    <w:rsid w:val="0034015C"/>
    <w:rsid w:val="003442F4"/>
    <w:rsid w:val="00347EC3"/>
    <w:rsid w:val="0035347F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77D44"/>
    <w:rsid w:val="00385185"/>
    <w:rsid w:val="003877B6"/>
    <w:rsid w:val="00393887"/>
    <w:rsid w:val="00394C6B"/>
    <w:rsid w:val="00397BE0"/>
    <w:rsid w:val="003A4172"/>
    <w:rsid w:val="003A4E62"/>
    <w:rsid w:val="003A7C01"/>
    <w:rsid w:val="003B1069"/>
    <w:rsid w:val="003B390A"/>
    <w:rsid w:val="003B52DD"/>
    <w:rsid w:val="003C15DE"/>
    <w:rsid w:val="003C4EB2"/>
    <w:rsid w:val="003D31E7"/>
    <w:rsid w:val="003E4CD8"/>
    <w:rsid w:val="003F08FA"/>
    <w:rsid w:val="003F1AF3"/>
    <w:rsid w:val="003F4D8D"/>
    <w:rsid w:val="003F66FD"/>
    <w:rsid w:val="00405CAA"/>
    <w:rsid w:val="004313E7"/>
    <w:rsid w:val="004314D2"/>
    <w:rsid w:val="004425C3"/>
    <w:rsid w:val="0044763B"/>
    <w:rsid w:val="00451F34"/>
    <w:rsid w:val="00455B50"/>
    <w:rsid w:val="0046086E"/>
    <w:rsid w:val="004629B3"/>
    <w:rsid w:val="0046376E"/>
    <w:rsid w:val="0046690F"/>
    <w:rsid w:val="00470376"/>
    <w:rsid w:val="0047186C"/>
    <w:rsid w:val="004720A5"/>
    <w:rsid w:val="00472640"/>
    <w:rsid w:val="00472FEC"/>
    <w:rsid w:val="0047532F"/>
    <w:rsid w:val="00490A03"/>
    <w:rsid w:val="00493327"/>
    <w:rsid w:val="00494DBE"/>
    <w:rsid w:val="00495CE6"/>
    <w:rsid w:val="004A323C"/>
    <w:rsid w:val="004A7849"/>
    <w:rsid w:val="004B54E8"/>
    <w:rsid w:val="004C1030"/>
    <w:rsid w:val="004C4FEB"/>
    <w:rsid w:val="004C6B79"/>
    <w:rsid w:val="004D059B"/>
    <w:rsid w:val="004D4CB6"/>
    <w:rsid w:val="004E0870"/>
    <w:rsid w:val="004E3341"/>
    <w:rsid w:val="004E4160"/>
    <w:rsid w:val="004F10C1"/>
    <w:rsid w:val="00502E62"/>
    <w:rsid w:val="00504452"/>
    <w:rsid w:val="00505AB3"/>
    <w:rsid w:val="00506B8A"/>
    <w:rsid w:val="0052212B"/>
    <w:rsid w:val="0052774B"/>
    <w:rsid w:val="00531B98"/>
    <w:rsid w:val="00534B46"/>
    <w:rsid w:val="00535E4E"/>
    <w:rsid w:val="00540358"/>
    <w:rsid w:val="00540D47"/>
    <w:rsid w:val="005460C0"/>
    <w:rsid w:val="00550864"/>
    <w:rsid w:val="0055571E"/>
    <w:rsid w:val="00556F67"/>
    <w:rsid w:val="005658CE"/>
    <w:rsid w:val="005833F0"/>
    <w:rsid w:val="00586CAF"/>
    <w:rsid w:val="005873E9"/>
    <w:rsid w:val="00591180"/>
    <w:rsid w:val="0059722C"/>
    <w:rsid w:val="00597D07"/>
    <w:rsid w:val="005A07A4"/>
    <w:rsid w:val="005A3846"/>
    <w:rsid w:val="005A5831"/>
    <w:rsid w:val="005B1F0C"/>
    <w:rsid w:val="005B5598"/>
    <w:rsid w:val="005B6A58"/>
    <w:rsid w:val="005B7078"/>
    <w:rsid w:val="005C7112"/>
    <w:rsid w:val="005D0561"/>
    <w:rsid w:val="005D0AD9"/>
    <w:rsid w:val="005D22F6"/>
    <w:rsid w:val="005D3840"/>
    <w:rsid w:val="005D4590"/>
    <w:rsid w:val="005E0C30"/>
    <w:rsid w:val="005E6223"/>
    <w:rsid w:val="005E69D9"/>
    <w:rsid w:val="005F27F4"/>
    <w:rsid w:val="005F3239"/>
    <w:rsid w:val="005F6567"/>
    <w:rsid w:val="006008A9"/>
    <w:rsid w:val="00607256"/>
    <w:rsid w:val="006144B1"/>
    <w:rsid w:val="006151E9"/>
    <w:rsid w:val="00615DD0"/>
    <w:rsid w:val="006335F1"/>
    <w:rsid w:val="006345B6"/>
    <w:rsid w:val="00635712"/>
    <w:rsid w:val="00643D8A"/>
    <w:rsid w:val="006513EB"/>
    <w:rsid w:val="00652229"/>
    <w:rsid w:val="00652793"/>
    <w:rsid w:val="00652D7A"/>
    <w:rsid w:val="00654FEC"/>
    <w:rsid w:val="00657313"/>
    <w:rsid w:val="006626CA"/>
    <w:rsid w:val="00663487"/>
    <w:rsid w:val="0067060F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B560F"/>
    <w:rsid w:val="006C4287"/>
    <w:rsid w:val="006D4996"/>
    <w:rsid w:val="006D54AB"/>
    <w:rsid w:val="006E3006"/>
    <w:rsid w:val="006E5032"/>
    <w:rsid w:val="006E5BDA"/>
    <w:rsid w:val="006F0A93"/>
    <w:rsid w:val="006F0FC7"/>
    <w:rsid w:val="006F39A9"/>
    <w:rsid w:val="006F41A8"/>
    <w:rsid w:val="006F670F"/>
    <w:rsid w:val="00703272"/>
    <w:rsid w:val="0070733C"/>
    <w:rsid w:val="00710C5D"/>
    <w:rsid w:val="0071348C"/>
    <w:rsid w:val="00717273"/>
    <w:rsid w:val="00720FD4"/>
    <w:rsid w:val="00724AF2"/>
    <w:rsid w:val="0073096C"/>
    <w:rsid w:val="00734034"/>
    <w:rsid w:val="0074095A"/>
    <w:rsid w:val="00742398"/>
    <w:rsid w:val="007447E3"/>
    <w:rsid w:val="00745581"/>
    <w:rsid w:val="0074751C"/>
    <w:rsid w:val="007507B5"/>
    <w:rsid w:val="0075091D"/>
    <w:rsid w:val="00753A24"/>
    <w:rsid w:val="007569C8"/>
    <w:rsid w:val="00772188"/>
    <w:rsid w:val="0077770B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053D"/>
    <w:rsid w:val="007B1398"/>
    <w:rsid w:val="007B499C"/>
    <w:rsid w:val="007B4CB5"/>
    <w:rsid w:val="007B4D4B"/>
    <w:rsid w:val="007C3B7D"/>
    <w:rsid w:val="007D2A02"/>
    <w:rsid w:val="007E2F9F"/>
    <w:rsid w:val="007E32EB"/>
    <w:rsid w:val="007E6EA1"/>
    <w:rsid w:val="007F0F63"/>
    <w:rsid w:val="007F2B1E"/>
    <w:rsid w:val="007F62B4"/>
    <w:rsid w:val="00801517"/>
    <w:rsid w:val="008050AB"/>
    <w:rsid w:val="00807D8C"/>
    <w:rsid w:val="00817AE8"/>
    <w:rsid w:val="00817DE8"/>
    <w:rsid w:val="008229F5"/>
    <w:rsid w:val="00825F99"/>
    <w:rsid w:val="0082699A"/>
    <w:rsid w:val="00833CEB"/>
    <w:rsid w:val="008372D2"/>
    <w:rsid w:val="008377BC"/>
    <w:rsid w:val="00844C17"/>
    <w:rsid w:val="00847726"/>
    <w:rsid w:val="00852511"/>
    <w:rsid w:val="008614F1"/>
    <w:rsid w:val="00862D2B"/>
    <w:rsid w:val="008639B3"/>
    <w:rsid w:val="00863C1A"/>
    <w:rsid w:val="0087142D"/>
    <w:rsid w:val="00873956"/>
    <w:rsid w:val="00877F3D"/>
    <w:rsid w:val="00880D1D"/>
    <w:rsid w:val="00880E72"/>
    <w:rsid w:val="008825EE"/>
    <w:rsid w:val="0088596E"/>
    <w:rsid w:val="00892E46"/>
    <w:rsid w:val="00893CD1"/>
    <w:rsid w:val="0089796A"/>
    <w:rsid w:val="008A2375"/>
    <w:rsid w:val="008B1871"/>
    <w:rsid w:val="008C6D75"/>
    <w:rsid w:val="008C7970"/>
    <w:rsid w:val="008D76C5"/>
    <w:rsid w:val="008E0AFA"/>
    <w:rsid w:val="008E3D9F"/>
    <w:rsid w:val="008E52A1"/>
    <w:rsid w:val="008E75D3"/>
    <w:rsid w:val="008F125E"/>
    <w:rsid w:val="008F4D2F"/>
    <w:rsid w:val="00903A9E"/>
    <w:rsid w:val="0090620F"/>
    <w:rsid w:val="00906292"/>
    <w:rsid w:val="009076AF"/>
    <w:rsid w:val="00917162"/>
    <w:rsid w:val="00920D62"/>
    <w:rsid w:val="009251CC"/>
    <w:rsid w:val="0092714E"/>
    <w:rsid w:val="00942002"/>
    <w:rsid w:val="00943B61"/>
    <w:rsid w:val="00947885"/>
    <w:rsid w:val="00952168"/>
    <w:rsid w:val="009527FE"/>
    <w:rsid w:val="009739A0"/>
    <w:rsid w:val="00974F84"/>
    <w:rsid w:val="009767C7"/>
    <w:rsid w:val="009827BF"/>
    <w:rsid w:val="0098579A"/>
    <w:rsid w:val="0099195A"/>
    <w:rsid w:val="00992A11"/>
    <w:rsid w:val="00994681"/>
    <w:rsid w:val="0099486A"/>
    <w:rsid w:val="009A0E26"/>
    <w:rsid w:val="009A0FB3"/>
    <w:rsid w:val="009A16EC"/>
    <w:rsid w:val="009B29B7"/>
    <w:rsid w:val="009B3B37"/>
    <w:rsid w:val="009B7D1F"/>
    <w:rsid w:val="009C088E"/>
    <w:rsid w:val="009C4D35"/>
    <w:rsid w:val="009D1522"/>
    <w:rsid w:val="009D5BC2"/>
    <w:rsid w:val="009D7252"/>
    <w:rsid w:val="009E5EB4"/>
    <w:rsid w:val="009F5432"/>
    <w:rsid w:val="00A044D6"/>
    <w:rsid w:val="00A04ADB"/>
    <w:rsid w:val="00A11E0F"/>
    <w:rsid w:val="00A1617E"/>
    <w:rsid w:val="00A1758C"/>
    <w:rsid w:val="00A23264"/>
    <w:rsid w:val="00A24962"/>
    <w:rsid w:val="00A26CB6"/>
    <w:rsid w:val="00A32F82"/>
    <w:rsid w:val="00A32F8B"/>
    <w:rsid w:val="00A3756F"/>
    <w:rsid w:val="00A42D6F"/>
    <w:rsid w:val="00A448EF"/>
    <w:rsid w:val="00A45A62"/>
    <w:rsid w:val="00A54AC5"/>
    <w:rsid w:val="00A55DC3"/>
    <w:rsid w:val="00A56D41"/>
    <w:rsid w:val="00A61353"/>
    <w:rsid w:val="00A66DB1"/>
    <w:rsid w:val="00A67A92"/>
    <w:rsid w:val="00A74557"/>
    <w:rsid w:val="00A87870"/>
    <w:rsid w:val="00A91A70"/>
    <w:rsid w:val="00A927E8"/>
    <w:rsid w:val="00AA1B85"/>
    <w:rsid w:val="00AA5173"/>
    <w:rsid w:val="00AA57CA"/>
    <w:rsid w:val="00AB1CB6"/>
    <w:rsid w:val="00AB1D9A"/>
    <w:rsid w:val="00AD03FD"/>
    <w:rsid w:val="00AD2751"/>
    <w:rsid w:val="00AD44FE"/>
    <w:rsid w:val="00AE30CE"/>
    <w:rsid w:val="00AE49F1"/>
    <w:rsid w:val="00B05CCA"/>
    <w:rsid w:val="00B14271"/>
    <w:rsid w:val="00B14C02"/>
    <w:rsid w:val="00B16270"/>
    <w:rsid w:val="00B2685D"/>
    <w:rsid w:val="00B30351"/>
    <w:rsid w:val="00B33C2A"/>
    <w:rsid w:val="00B41DF5"/>
    <w:rsid w:val="00B422EC"/>
    <w:rsid w:val="00B47FA3"/>
    <w:rsid w:val="00B50B8E"/>
    <w:rsid w:val="00B55C37"/>
    <w:rsid w:val="00B632E8"/>
    <w:rsid w:val="00B726D4"/>
    <w:rsid w:val="00B77695"/>
    <w:rsid w:val="00B8214F"/>
    <w:rsid w:val="00B86A4F"/>
    <w:rsid w:val="00B9125C"/>
    <w:rsid w:val="00B93035"/>
    <w:rsid w:val="00B9337E"/>
    <w:rsid w:val="00B958E8"/>
    <w:rsid w:val="00B97E4A"/>
    <w:rsid w:val="00BA09B2"/>
    <w:rsid w:val="00BA13B7"/>
    <w:rsid w:val="00BA27F2"/>
    <w:rsid w:val="00BA5B46"/>
    <w:rsid w:val="00BB186D"/>
    <w:rsid w:val="00BB5D0B"/>
    <w:rsid w:val="00BC0995"/>
    <w:rsid w:val="00BC79BE"/>
    <w:rsid w:val="00BE1E37"/>
    <w:rsid w:val="00BE4CF5"/>
    <w:rsid w:val="00BE793A"/>
    <w:rsid w:val="00BF2B82"/>
    <w:rsid w:val="00BF432A"/>
    <w:rsid w:val="00BF6E82"/>
    <w:rsid w:val="00C060C7"/>
    <w:rsid w:val="00C24C17"/>
    <w:rsid w:val="00C258B8"/>
    <w:rsid w:val="00C3235E"/>
    <w:rsid w:val="00C3758F"/>
    <w:rsid w:val="00C40007"/>
    <w:rsid w:val="00C40B88"/>
    <w:rsid w:val="00C42C93"/>
    <w:rsid w:val="00C43854"/>
    <w:rsid w:val="00C464E6"/>
    <w:rsid w:val="00C47D87"/>
    <w:rsid w:val="00C50EA5"/>
    <w:rsid w:val="00C5376E"/>
    <w:rsid w:val="00C7108A"/>
    <w:rsid w:val="00C808A6"/>
    <w:rsid w:val="00C9321A"/>
    <w:rsid w:val="00C94C83"/>
    <w:rsid w:val="00C97091"/>
    <w:rsid w:val="00C97260"/>
    <w:rsid w:val="00CA2001"/>
    <w:rsid w:val="00CA5317"/>
    <w:rsid w:val="00CB5A6F"/>
    <w:rsid w:val="00CB5B6C"/>
    <w:rsid w:val="00CC052E"/>
    <w:rsid w:val="00CC282D"/>
    <w:rsid w:val="00CD16BE"/>
    <w:rsid w:val="00CD4616"/>
    <w:rsid w:val="00CD47AC"/>
    <w:rsid w:val="00CD56AF"/>
    <w:rsid w:val="00CE33D5"/>
    <w:rsid w:val="00CF1D7E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3B9C"/>
    <w:rsid w:val="00D35790"/>
    <w:rsid w:val="00D52A6F"/>
    <w:rsid w:val="00D5653B"/>
    <w:rsid w:val="00D61269"/>
    <w:rsid w:val="00D62EF1"/>
    <w:rsid w:val="00D6309D"/>
    <w:rsid w:val="00D644CA"/>
    <w:rsid w:val="00D66FC2"/>
    <w:rsid w:val="00D76C7E"/>
    <w:rsid w:val="00D771DE"/>
    <w:rsid w:val="00D7776D"/>
    <w:rsid w:val="00D83F9D"/>
    <w:rsid w:val="00D9293F"/>
    <w:rsid w:val="00D93598"/>
    <w:rsid w:val="00D96C5F"/>
    <w:rsid w:val="00D96D4C"/>
    <w:rsid w:val="00DA1E18"/>
    <w:rsid w:val="00DA2009"/>
    <w:rsid w:val="00DA47B4"/>
    <w:rsid w:val="00DB05B1"/>
    <w:rsid w:val="00DB5A79"/>
    <w:rsid w:val="00DC096B"/>
    <w:rsid w:val="00DC2465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2064"/>
    <w:rsid w:val="00E10BE9"/>
    <w:rsid w:val="00E13747"/>
    <w:rsid w:val="00E252D5"/>
    <w:rsid w:val="00E25AEA"/>
    <w:rsid w:val="00E279A9"/>
    <w:rsid w:val="00E30DEF"/>
    <w:rsid w:val="00E30ED2"/>
    <w:rsid w:val="00E31276"/>
    <w:rsid w:val="00E37F70"/>
    <w:rsid w:val="00E43A03"/>
    <w:rsid w:val="00E446C1"/>
    <w:rsid w:val="00E5231A"/>
    <w:rsid w:val="00E638B5"/>
    <w:rsid w:val="00E64357"/>
    <w:rsid w:val="00E659CE"/>
    <w:rsid w:val="00E669D8"/>
    <w:rsid w:val="00E7062F"/>
    <w:rsid w:val="00E758B9"/>
    <w:rsid w:val="00E806CE"/>
    <w:rsid w:val="00E8471C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5A89"/>
    <w:rsid w:val="00EA5BDB"/>
    <w:rsid w:val="00EB11FD"/>
    <w:rsid w:val="00EB46D9"/>
    <w:rsid w:val="00EB6A3B"/>
    <w:rsid w:val="00EC142D"/>
    <w:rsid w:val="00EC1E16"/>
    <w:rsid w:val="00EC489E"/>
    <w:rsid w:val="00ED0024"/>
    <w:rsid w:val="00ED0F85"/>
    <w:rsid w:val="00ED2B5C"/>
    <w:rsid w:val="00ED3269"/>
    <w:rsid w:val="00EE1A8C"/>
    <w:rsid w:val="00EE4643"/>
    <w:rsid w:val="00EF02F3"/>
    <w:rsid w:val="00EF1330"/>
    <w:rsid w:val="00EF15FF"/>
    <w:rsid w:val="00EF20EA"/>
    <w:rsid w:val="00EF27C9"/>
    <w:rsid w:val="00EF57F8"/>
    <w:rsid w:val="00EF7111"/>
    <w:rsid w:val="00EF7D1A"/>
    <w:rsid w:val="00F029B6"/>
    <w:rsid w:val="00F0448F"/>
    <w:rsid w:val="00F0716C"/>
    <w:rsid w:val="00F23539"/>
    <w:rsid w:val="00F236F6"/>
    <w:rsid w:val="00F270E9"/>
    <w:rsid w:val="00F275C0"/>
    <w:rsid w:val="00F346B6"/>
    <w:rsid w:val="00F36145"/>
    <w:rsid w:val="00F37BDD"/>
    <w:rsid w:val="00F40A7A"/>
    <w:rsid w:val="00F41503"/>
    <w:rsid w:val="00F44E73"/>
    <w:rsid w:val="00F466C8"/>
    <w:rsid w:val="00F469A9"/>
    <w:rsid w:val="00F50B46"/>
    <w:rsid w:val="00F50D1F"/>
    <w:rsid w:val="00F5583E"/>
    <w:rsid w:val="00F6203E"/>
    <w:rsid w:val="00F635FC"/>
    <w:rsid w:val="00F63D03"/>
    <w:rsid w:val="00F65E2F"/>
    <w:rsid w:val="00F67DF1"/>
    <w:rsid w:val="00F815D3"/>
    <w:rsid w:val="00F82C88"/>
    <w:rsid w:val="00F8309B"/>
    <w:rsid w:val="00F833C9"/>
    <w:rsid w:val="00F85A86"/>
    <w:rsid w:val="00F8680B"/>
    <w:rsid w:val="00F90064"/>
    <w:rsid w:val="00F96AFD"/>
    <w:rsid w:val="00FA1398"/>
    <w:rsid w:val="00FA2E19"/>
    <w:rsid w:val="00FA697F"/>
    <w:rsid w:val="00FB0DE7"/>
    <w:rsid w:val="00FB5521"/>
    <w:rsid w:val="00FB610D"/>
    <w:rsid w:val="00FC4477"/>
    <w:rsid w:val="00FC46FB"/>
    <w:rsid w:val="00FD0734"/>
    <w:rsid w:val="00FD0A38"/>
    <w:rsid w:val="00FD2BD3"/>
    <w:rsid w:val="00FD36A0"/>
    <w:rsid w:val="00FD4588"/>
    <w:rsid w:val="00FD4CCA"/>
    <w:rsid w:val="00FE2A9E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D0EEF"/>
  <w14:defaultImageDpi w14:val="0"/>
  <w15:docId w15:val="{16FC3B5E-91F2-433C-8F24-5BAFAC66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Segoe UI"/>
        <w:sz w:val="18"/>
        <w:szCs w:val="18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rFonts w:cs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6854"/>
    <w:rPr>
      <w:rFonts w:ascii="Segoe UI" w:hAnsi="Segoe UI"/>
      <w:color w:val="0000FF"/>
      <w:sz w:val="1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Intro">
    <w:name w:val="Intro"/>
    <w:basedOn w:val="Normal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pPr>
      <w:numPr>
        <w:numId w:val="1"/>
      </w:numPr>
      <w:tabs>
        <w:tab w:val="left" w:pos="357"/>
      </w:tabs>
      <w:ind w:left="357" w:hanging="357"/>
    </w:pPr>
  </w:style>
  <w:style w:type="paragraph" w:customStyle="1" w:styleId="Page1Name">
    <w:name w:val="Page1_Name"/>
    <w:basedOn w:val="Normal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pPr>
      <w:spacing w:before="240" w:after="0"/>
    </w:pPr>
    <w:rPr>
      <w:b w:val="0"/>
      <w:bCs/>
    </w:rPr>
  </w:style>
  <w:style w:type="table" w:styleId="TableGrid">
    <w:name w:val="Table Grid"/>
    <w:basedOn w:val="TableNormal"/>
    <w:uiPriority w:val="39"/>
    <w:pPr>
      <w:spacing w:line="260" w:lineRule="atLeas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Pr>
      <w:rFonts w:ascii="Arial" w:hAnsi="Arial"/>
      <w:sz w:val="24"/>
      <w:lang w:val="de-DE" w:eastAsia="en-US"/>
    </w:rPr>
  </w:style>
  <w:style w:type="paragraph" w:customStyle="1" w:styleId="Standard12pt">
    <w:name w:val="Standard_12pt"/>
    <w:basedOn w:val="Normal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/>
      <w:b/>
      <w:kern w:val="32"/>
      <w:sz w:val="32"/>
      <w:lang w:val="de-DE" w:eastAsia="x-non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336854"/>
    <w:pPr>
      <w:spacing w:line="240" w:lineRule="auto"/>
    </w:pPr>
    <w:rPr>
      <w:sz w:val="18"/>
      <w:szCs w:val="18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 w:cs="Times New Roman"/>
      <w:szCs w:val="24"/>
      <w:lang w:val="de-DE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lang w:val="de-DE" w:eastAsia="x-non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noProof/>
      <w:sz w:val="24"/>
      <w:lang w:val="de-DE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rFonts w:cs="Times New Roman"/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 w:cs="Times New Roman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 w:cs="Times New Roman"/>
      <w:b/>
      <w:bCs/>
      <w:sz w:val="18"/>
    </w:rPr>
  </w:style>
  <w:style w:type="paragraph" w:styleId="Revision">
    <w:name w:val="Revision"/>
    <w:hidden/>
    <w:uiPriority w:val="62"/>
    <w:unhideWhenUsed/>
    <w:rsid w:val="002F00B7"/>
    <w:rPr>
      <w:rFonts w:cs="Times New Roman"/>
      <w:sz w:val="22"/>
      <w:szCs w:val="24"/>
    </w:rPr>
  </w:style>
  <w:style w:type="character" w:styleId="CommentReference">
    <w:name w:val="annotation reference"/>
    <w:basedOn w:val="DefaultParagraphFont"/>
    <w:uiPriority w:val="99"/>
    <w:rsid w:val="00920D6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0D6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0D62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920D62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20D6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nkel.h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henkel.com/resource/blob/2147522/8941c6fb4e08be9facee9fd4ee20ae64/data/sustainable-impact-report-2025-en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elena.sarenac@henkel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nkel.com/pres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2f792e8-4dad-42c1-ad63-44982727bf4d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/>
    <lcf76f155ced4ddcb4097134ff3c332f xmlns="2b1ed756-d086-4fdf-a17a-21742199d8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412AB7BD75244A4AD465861CD4C6E" ma:contentTypeVersion="21" ma:contentTypeDescription="Create a new document." ma:contentTypeScope="" ma:versionID="27fd1b5eff0d961eba926d8f6ab1cf8a">
  <xsd:schema xmlns:xsd="http://www.w3.org/2001/XMLSchema" xmlns:xs="http://www.w3.org/2001/XMLSchema" xmlns:p="http://schemas.microsoft.com/office/2006/metadata/properties" xmlns:ns2="2b1ed756-d086-4fdf-a17a-21742199d804" xmlns:ns3="33270825-9502-4f44-99e1-0b2736f161aa" xmlns:ns4="ef406d6b-70e0-427c-b08d-4edfc77771aa" targetNamespace="http://schemas.microsoft.com/office/2006/metadata/properties" ma:root="true" ma:fieldsID="e3b482176b9e94822f5442606cf56e49" ns2:_="" ns3:_="" ns4:_="">
    <xsd:import namespace="2b1ed756-d086-4fdf-a17a-21742199d804"/>
    <xsd:import namespace="33270825-9502-4f44-99e1-0b2736f161aa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d756-d086-4fdf-a17a-21742199d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70825-9502-4f44-99e1-0b2736f16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bec13d3-e295-4160-a51a-24621d98b0e2}" ma:internalName="TaxCatchAll" ma:showField="CatchAllData" ma:web="33270825-9502-4f44-99e1-0b2736f16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65F3B49-96ED-4169-ABB3-6B8DBEBE2BF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2b1ed756-d086-4fdf-a17a-21742199d804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8F1CAB-DCC4-4E3D-B18B-DA0A93D72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d756-d086-4fdf-a17a-21742199d804"/>
    <ds:schemaRef ds:uri="33270825-9502-4f44-99e1-0b2736f161aa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4</Pages>
  <Words>1089</Words>
  <Characters>6911</Characters>
  <Application>Microsoft Office Word</Application>
  <DocSecurity>0</DocSecurity>
  <Lines>57</Lines>
  <Paragraphs>15</Paragraphs>
  <ScaleCrop>false</ScaleCrop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Philipps</dc:creator>
  <cp:keywords/>
  <dc:description/>
  <cp:lastModifiedBy>Ana Krezic (Ext)</cp:lastModifiedBy>
  <cp:revision>11</cp:revision>
  <cp:lastPrinted>2026-04-13T08:04:00Z</cp:lastPrinted>
  <dcterms:created xsi:type="dcterms:W3CDTF">2026-04-28T07:44:00Z</dcterms:created>
  <dcterms:modified xsi:type="dcterms:W3CDTF">2026-04-30T11:52:00Z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0x01010078C412AB7BD75244A4AD465861CD4C6E</vt:lpwstr>
  </property>
  <property fmtid="{D5CDD505-2E9C-101B-9397-08002B2CF9AE}" pid="4" name="docLang">
    <vt:lpwstr>en</vt:lpwstr>
  </property>
</Properties>
</file>