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B7AD4" w14:textId="08FDD952" w:rsidR="00CC1027" w:rsidRDefault="006849A5">
      <w:pPr>
        <w:spacing w:before="120"/>
        <w:jc w:val="right"/>
        <w:rPr>
          <w:i/>
          <w:iCs/>
          <w:sz w:val="24"/>
          <w:szCs w:val="24"/>
        </w:rPr>
      </w:pPr>
      <w:r>
        <w:rPr>
          <w:sz w:val="24"/>
          <w:szCs w:val="24"/>
        </w:rPr>
        <w:t>9</w:t>
      </w:r>
      <w:r w:rsidR="002B3E7B">
        <w:rPr>
          <w:sz w:val="24"/>
          <w:szCs w:val="24"/>
        </w:rPr>
        <w:t xml:space="preserve"> ju</w:t>
      </w:r>
      <w:r w:rsidR="00FD323E">
        <w:rPr>
          <w:sz w:val="24"/>
          <w:szCs w:val="24"/>
        </w:rPr>
        <w:t>illet</w:t>
      </w:r>
      <w:r w:rsidR="002B3E7B">
        <w:rPr>
          <w:sz w:val="24"/>
          <w:szCs w:val="24"/>
        </w:rPr>
        <w:t xml:space="preserve"> 2026</w:t>
      </w:r>
    </w:p>
    <w:p w14:paraId="4AA3B609" w14:textId="77777777" w:rsidR="00CC1027" w:rsidRDefault="00CC1027">
      <w:pPr>
        <w:spacing w:before="120"/>
        <w:jc w:val="right"/>
        <w:rPr>
          <w:i/>
          <w:iCs/>
          <w:sz w:val="24"/>
          <w:szCs w:val="24"/>
        </w:rPr>
      </w:pPr>
    </w:p>
    <w:p w14:paraId="058B58C2" w14:textId="77777777" w:rsidR="00CC1027" w:rsidRDefault="00CC1027">
      <w:pPr>
        <w:spacing w:before="280" w:after="280"/>
        <w:jc w:val="both"/>
        <w:rPr>
          <w:rFonts w:ascii="Quattrocento Sans" w:eastAsia="Quattrocento Sans" w:hAnsi="Quattrocento Sans" w:cs="Quattrocento Sans"/>
          <w:sz w:val="22"/>
          <w:szCs w:val="22"/>
        </w:rPr>
      </w:pPr>
    </w:p>
    <w:p w14:paraId="4DD8AF1E" w14:textId="107DC373" w:rsidR="00CC1027" w:rsidRPr="00F20BB8" w:rsidRDefault="002B3E7B">
      <w:pPr>
        <w:spacing w:before="280" w:after="280"/>
        <w:jc w:val="center"/>
        <w:rPr>
          <w:rFonts w:ascii="Segoe UI" w:eastAsia="Quattrocento Sans" w:hAnsi="Segoe UI" w:cs="Segoe UI"/>
          <w:b/>
          <w:bCs/>
          <w:sz w:val="36"/>
          <w:szCs w:val="36"/>
        </w:rPr>
      </w:pPr>
      <w:r w:rsidRPr="00D3081C">
        <w:rPr>
          <w:rFonts w:ascii="Segoe UI" w:eastAsia="Quattrocento Sans" w:hAnsi="Segoe UI" w:cs="Segoe UI"/>
          <w:b/>
          <w:bCs/>
          <w:sz w:val="36"/>
          <w:szCs w:val="36"/>
        </w:rPr>
        <w:t xml:space="preserve">Henkel France signe un Sustainable Linked Business Plan avec Carrefour pour </w:t>
      </w:r>
      <w:r w:rsidR="005C44E0" w:rsidRPr="00D3081C">
        <w:rPr>
          <w:rFonts w:ascii="Segoe UI" w:eastAsia="Quattrocento Sans" w:hAnsi="Segoe UI" w:cs="Segoe UI"/>
          <w:b/>
          <w:bCs/>
          <w:sz w:val="36"/>
          <w:szCs w:val="36"/>
        </w:rPr>
        <w:t xml:space="preserve">promouvoir </w:t>
      </w:r>
      <w:r w:rsidRPr="00D3081C">
        <w:rPr>
          <w:rFonts w:ascii="Segoe UI" w:eastAsia="Quattrocento Sans" w:hAnsi="Segoe UI" w:cs="Segoe UI"/>
          <w:b/>
          <w:bCs/>
          <w:sz w:val="36"/>
          <w:szCs w:val="36"/>
        </w:rPr>
        <w:t>une offre de produits d’</w:t>
      </w:r>
      <w:r w:rsidR="005C44E0" w:rsidRPr="00D3081C">
        <w:rPr>
          <w:rFonts w:ascii="Segoe UI" w:eastAsia="Quattrocento Sans" w:hAnsi="Segoe UI" w:cs="Segoe UI"/>
          <w:b/>
          <w:bCs/>
          <w:sz w:val="36"/>
          <w:szCs w:val="36"/>
        </w:rPr>
        <w:t>hygiène et d’</w:t>
      </w:r>
      <w:r w:rsidRPr="00D3081C">
        <w:rPr>
          <w:rFonts w:ascii="Segoe UI" w:eastAsia="Quattrocento Sans" w:hAnsi="Segoe UI" w:cs="Segoe UI"/>
          <w:b/>
          <w:bCs/>
          <w:sz w:val="36"/>
          <w:szCs w:val="36"/>
        </w:rPr>
        <w:t xml:space="preserve">entretien </w:t>
      </w:r>
      <w:r w:rsidR="005C44E0" w:rsidRPr="00D3081C">
        <w:rPr>
          <w:rFonts w:ascii="Segoe UI" w:eastAsia="Quattrocento Sans" w:hAnsi="Segoe UI" w:cs="Segoe UI"/>
          <w:b/>
          <w:bCs/>
          <w:sz w:val="36"/>
          <w:szCs w:val="36"/>
        </w:rPr>
        <w:t>avec une empreinte environnementale réduite</w:t>
      </w:r>
    </w:p>
    <w:p w14:paraId="0CC2E4EC" w14:textId="55213B0A" w:rsidR="00CC1027" w:rsidRPr="00F20BB8" w:rsidRDefault="002B3E7B">
      <w:pPr>
        <w:spacing w:before="280" w:after="280"/>
        <w:jc w:val="both"/>
        <w:rPr>
          <w:rFonts w:ascii="Segoe UI" w:eastAsia="Quattrocento Sans" w:hAnsi="Segoe UI" w:cs="Segoe UI"/>
          <w:b/>
          <w:bCs/>
          <w:sz w:val="22"/>
          <w:szCs w:val="22"/>
        </w:rPr>
      </w:pPr>
      <w:r w:rsidRPr="00D3081C">
        <w:rPr>
          <w:rFonts w:ascii="Segoe UI" w:eastAsia="Quattrocento Sans" w:hAnsi="Segoe UI" w:cs="Segoe UI"/>
          <w:b/>
          <w:bCs/>
          <w:sz w:val="22"/>
          <w:szCs w:val="22"/>
        </w:rPr>
        <w:t xml:space="preserve">Henkel France annonce la signature d’un Sustainable Linked Business Plan (SLBP) avec Carrefour pour </w:t>
      </w:r>
      <w:r w:rsidR="00F914DE" w:rsidRPr="00F248FF">
        <w:rPr>
          <w:rFonts w:ascii="Segoe UI" w:eastAsia="Quattrocento Sans" w:hAnsi="Segoe UI" w:cs="Segoe UI"/>
          <w:b/>
          <w:bCs/>
          <w:sz w:val="22"/>
          <w:szCs w:val="22"/>
        </w:rPr>
        <w:t>renforcer</w:t>
      </w:r>
      <w:r w:rsidR="005C44E0" w:rsidRPr="00D3081C">
        <w:rPr>
          <w:rFonts w:ascii="Segoe UI" w:eastAsia="Quattrocento Sans" w:hAnsi="Segoe UI" w:cs="Segoe UI"/>
          <w:b/>
          <w:bCs/>
          <w:sz w:val="22"/>
          <w:szCs w:val="22"/>
        </w:rPr>
        <w:t xml:space="preserve"> l’</w:t>
      </w:r>
      <w:r w:rsidR="00782CB7">
        <w:rPr>
          <w:rFonts w:ascii="Segoe UI" w:eastAsia="Quattrocento Sans" w:hAnsi="Segoe UI" w:cs="Segoe UI"/>
          <w:b/>
          <w:bCs/>
          <w:sz w:val="22"/>
          <w:szCs w:val="22"/>
        </w:rPr>
        <w:t>offre</w:t>
      </w:r>
      <w:r w:rsidR="005C44E0" w:rsidRPr="00D3081C">
        <w:rPr>
          <w:rFonts w:ascii="Segoe UI" w:eastAsia="Quattrocento Sans" w:hAnsi="Segoe UI" w:cs="Segoe UI"/>
          <w:b/>
          <w:bCs/>
          <w:sz w:val="22"/>
          <w:szCs w:val="22"/>
        </w:rPr>
        <w:t xml:space="preserve"> de </w:t>
      </w:r>
      <w:r w:rsidRPr="00D3081C">
        <w:rPr>
          <w:rFonts w:ascii="Segoe UI" w:eastAsia="Quattrocento Sans" w:hAnsi="Segoe UI" w:cs="Segoe UI"/>
          <w:b/>
          <w:bCs/>
          <w:sz w:val="22"/>
          <w:szCs w:val="22"/>
        </w:rPr>
        <w:t xml:space="preserve">produits d’hygiène </w:t>
      </w:r>
      <w:r w:rsidR="005C44E0" w:rsidRPr="00D3081C">
        <w:rPr>
          <w:rFonts w:ascii="Segoe UI" w:eastAsia="Quattrocento Sans" w:hAnsi="Segoe UI" w:cs="Segoe UI"/>
          <w:b/>
          <w:bCs/>
          <w:sz w:val="22"/>
          <w:szCs w:val="22"/>
        </w:rPr>
        <w:t>et d’entretien</w:t>
      </w:r>
      <w:r w:rsidR="003B750E" w:rsidRPr="00F248FF">
        <w:rPr>
          <w:rFonts w:ascii="Segoe UI" w:eastAsia="Quattrocento Sans" w:hAnsi="Segoe UI" w:cs="Segoe UI"/>
          <w:b/>
          <w:bCs/>
          <w:sz w:val="22"/>
          <w:szCs w:val="22"/>
        </w:rPr>
        <w:t xml:space="preserve"> avec une empreinte environnementale réduite</w:t>
      </w:r>
      <w:r w:rsidR="005C44E0" w:rsidRPr="00D3081C">
        <w:rPr>
          <w:rFonts w:ascii="Segoe UI" w:eastAsia="Quattrocento Sans" w:hAnsi="Segoe UI" w:cs="Segoe UI"/>
          <w:b/>
          <w:bCs/>
          <w:sz w:val="22"/>
          <w:szCs w:val="22"/>
        </w:rPr>
        <w:t xml:space="preserve">, en agissant sur les formules, les emballages et le transport. </w:t>
      </w:r>
      <w:r w:rsidRPr="00D3081C">
        <w:rPr>
          <w:rFonts w:ascii="Segoe UI" w:eastAsia="Quattrocento Sans" w:hAnsi="Segoe UI" w:cs="Segoe UI"/>
          <w:b/>
          <w:bCs/>
          <w:sz w:val="22"/>
          <w:szCs w:val="22"/>
        </w:rPr>
        <w:t>Complémentaire aux accords commerciaux, cet accord extra-financier formalise une trajectoire commune reposant sur des actions concrètes et des indicateurs de performance partagés.</w:t>
      </w:r>
    </w:p>
    <w:p w14:paraId="2BD4EF1A" w14:textId="77777777" w:rsidR="00CC1027" w:rsidRPr="00F20BB8" w:rsidRDefault="002B3E7B">
      <w:pPr>
        <w:spacing w:before="280" w:after="280"/>
        <w:jc w:val="both"/>
        <w:rPr>
          <w:rFonts w:ascii="Segoe UI" w:eastAsia="Quattrocento Sans" w:hAnsi="Segoe UI" w:cs="Segoe UI"/>
          <w:b/>
          <w:bCs/>
          <w:sz w:val="24"/>
          <w:szCs w:val="24"/>
        </w:rPr>
      </w:pPr>
      <w:r w:rsidRPr="00F20BB8">
        <w:rPr>
          <w:rFonts w:ascii="Segoe UI" w:eastAsia="Quattrocento Sans" w:hAnsi="Segoe UI" w:cs="Segoe UI"/>
          <w:b/>
          <w:bCs/>
          <w:sz w:val="22"/>
          <w:szCs w:val="22"/>
        </w:rPr>
        <w:t>Trois leviers concrets pour agir sur les formules, les emballages et le transport</w:t>
      </w:r>
    </w:p>
    <w:p w14:paraId="22E58938" w14:textId="41C20E9B" w:rsidR="00CC1027" w:rsidRPr="00F20BB8" w:rsidRDefault="002B3E7B">
      <w:pPr>
        <w:spacing w:before="280" w:after="280"/>
        <w:jc w:val="both"/>
        <w:rPr>
          <w:rFonts w:ascii="Segoe UI" w:eastAsia="Quattrocento Sans" w:hAnsi="Segoe UI" w:cs="Segoe UI"/>
          <w:sz w:val="22"/>
          <w:szCs w:val="22"/>
          <w:highlight w:val="yellow"/>
        </w:rPr>
      </w:pPr>
      <w:r w:rsidRPr="00F20BB8">
        <w:rPr>
          <w:rFonts w:ascii="Segoe UI" w:eastAsia="Quattrocento Sans" w:hAnsi="Segoe UI" w:cs="Segoe UI"/>
          <w:sz w:val="22"/>
          <w:szCs w:val="22"/>
        </w:rPr>
        <w:t xml:space="preserve">L’accord vise à agir sur trois dimensions clés : la formulation, les emballages et le transport, afin de réduire l’empreinte environnementale des produits tout au long de leur cycle de vie, du sourcing des matières premières à la commercialisation et la distribution. Il couvre en priorité plusieurs </w:t>
      </w:r>
      <w:r w:rsidRPr="00BE1AA6">
        <w:rPr>
          <w:rFonts w:ascii="Segoe UI" w:eastAsia="Quattrocento Sans" w:hAnsi="Segoe UI" w:cs="Segoe UI"/>
          <w:sz w:val="22"/>
          <w:szCs w:val="22"/>
        </w:rPr>
        <w:t xml:space="preserve">catégories clés de Henkel, où les volumes sont les plus importants et donc le potentiel de réduction d’impact le plus significatif, </w:t>
      </w:r>
      <w:r w:rsidR="00BF55FA" w:rsidRPr="00F248FF">
        <w:rPr>
          <w:rFonts w:ascii="Segoe UI" w:eastAsia="Quattrocento Sans" w:hAnsi="Segoe UI" w:cs="Segoe UI"/>
          <w:sz w:val="22"/>
          <w:szCs w:val="22"/>
        </w:rPr>
        <w:t xml:space="preserve">telles que </w:t>
      </w:r>
      <w:r w:rsidR="00F20BB8" w:rsidRPr="00F248FF">
        <w:rPr>
          <w:rFonts w:ascii="Segoe UI" w:eastAsia="Quattrocento Sans" w:hAnsi="Segoe UI" w:cs="Segoe UI"/>
          <w:sz w:val="22"/>
          <w:szCs w:val="22"/>
        </w:rPr>
        <w:t>des marques du quotidien comme Le Chat, XTRA, Mir, Maison Verte ou encore Schwarzkopf, couvrant les catégories lessive, vaisselle et hygiène-beauté.</w:t>
      </w:r>
    </w:p>
    <w:p w14:paraId="5ACDFBD7" w14:textId="77777777" w:rsidR="00CC1027" w:rsidRPr="00F20BB8" w:rsidRDefault="002B3E7B">
      <w:pPr>
        <w:numPr>
          <w:ilvl w:val="0"/>
          <w:numId w:val="1"/>
        </w:numPr>
        <w:pBdr>
          <w:top w:val="nil"/>
          <w:left w:val="nil"/>
          <w:bottom w:val="nil"/>
          <w:right w:val="nil"/>
          <w:between w:val="nil"/>
        </w:pBdr>
        <w:spacing w:before="280"/>
        <w:ind w:left="360"/>
        <w:jc w:val="both"/>
        <w:rPr>
          <w:rFonts w:ascii="Segoe UI" w:eastAsia="Quattrocento Sans" w:hAnsi="Segoe UI" w:cs="Segoe UI"/>
          <w:color w:val="000000"/>
          <w:sz w:val="22"/>
          <w:szCs w:val="22"/>
        </w:rPr>
      </w:pPr>
      <w:r w:rsidRPr="00F20BB8">
        <w:rPr>
          <w:rFonts w:ascii="Segoe UI" w:eastAsia="Quattrocento Sans" w:hAnsi="Segoe UI" w:cs="Segoe UI"/>
          <w:b/>
          <w:bCs/>
          <w:color w:val="000000"/>
          <w:sz w:val="22"/>
          <w:szCs w:val="22"/>
        </w:rPr>
        <w:t xml:space="preserve">La transformation des formules, à travers l’initiative Biomass Balance : </w:t>
      </w:r>
      <w:r w:rsidRPr="00F20BB8">
        <w:rPr>
          <w:rFonts w:ascii="Segoe UI" w:eastAsia="Quattrocento Sans" w:hAnsi="Segoe UI" w:cs="Segoe UI"/>
          <w:color w:val="000000"/>
          <w:sz w:val="22"/>
          <w:szCs w:val="22"/>
        </w:rPr>
        <w:t xml:space="preserve">celle-ci vise à intégrer des matières premières renouvelables dans la fabrication de certains ingrédients, notamment les tensioactifs, en substitution de ressources d’origine fossile. Ces ingrédients renouvelables, issus notamment de déchets agricoles, sont fournis par des partenaires tels que BASF et suivis via une méthodologie reposant sur les volumes utilisés à l’échelle européenne, appliqués au périmètre français. Cette initiative concerne plusieurs catégories, dont les lessives, les additifs de lavage, les produits vaisselle, les gels douche et les shampoings, tout en garantissant un niveau de performance inchangé pour les produits.  </w:t>
      </w:r>
    </w:p>
    <w:p w14:paraId="2B43406C" w14:textId="77777777" w:rsidR="00CC1027" w:rsidRPr="00F20BB8" w:rsidRDefault="00CC1027">
      <w:pPr>
        <w:pBdr>
          <w:top w:val="nil"/>
          <w:left w:val="nil"/>
          <w:bottom w:val="nil"/>
          <w:right w:val="nil"/>
          <w:between w:val="nil"/>
        </w:pBdr>
        <w:spacing w:before="280"/>
        <w:ind w:left="720"/>
        <w:jc w:val="both"/>
        <w:rPr>
          <w:rFonts w:ascii="Segoe UI" w:eastAsia="Quattrocento Sans" w:hAnsi="Segoe UI" w:cs="Segoe UI"/>
          <w:sz w:val="22"/>
          <w:szCs w:val="22"/>
        </w:rPr>
      </w:pPr>
    </w:p>
    <w:p w14:paraId="4E0B367E" w14:textId="77777777" w:rsidR="00CC1027" w:rsidRPr="00F20BB8" w:rsidRDefault="002B3E7B">
      <w:pPr>
        <w:numPr>
          <w:ilvl w:val="0"/>
          <w:numId w:val="1"/>
        </w:numPr>
        <w:pBdr>
          <w:top w:val="nil"/>
          <w:left w:val="nil"/>
          <w:bottom w:val="nil"/>
          <w:right w:val="nil"/>
          <w:between w:val="nil"/>
        </w:pBdr>
        <w:ind w:left="360"/>
        <w:jc w:val="both"/>
        <w:rPr>
          <w:rFonts w:ascii="Segoe UI" w:eastAsia="Quattrocento Sans" w:hAnsi="Segoe UI" w:cs="Segoe UI"/>
          <w:color w:val="000000"/>
          <w:sz w:val="22"/>
          <w:szCs w:val="22"/>
        </w:rPr>
      </w:pPr>
      <w:r w:rsidRPr="00F20BB8">
        <w:rPr>
          <w:rFonts w:ascii="Segoe UI" w:eastAsia="Quattrocento Sans" w:hAnsi="Segoe UI" w:cs="Segoe UI"/>
          <w:b/>
          <w:bCs/>
          <w:color w:val="000000"/>
          <w:sz w:val="22"/>
          <w:szCs w:val="22"/>
        </w:rPr>
        <w:lastRenderedPageBreak/>
        <w:t>La réduction de l’empreinte plastique des emballages </w:t>
      </w:r>
      <w:r w:rsidRPr="00F20BB8">
        <w:rPr>
          <w:rFonts w:ascii="Segoe UI" w:eastAsia="Quattrocento Sans" w:hAnsi="Segoe UI" w:cs="Segoe UI"/>
          <w:color w:val="000000"/>
          <w:sz w:val="22"/>
          <w:szCs w:val="22"/>
        </w:rPr>
        <w:t xml:space="preserve">: Henkel agit sur trois leviers principaux, avec le soutien de Carrefour pour en accompagner le déploiement et la valorisation : </w:t>
      </w:r>
    </w:p>
    <w:p w14:paraId="1F364FA6" w14:textId="77777777" w:rsidR="00CC1027" w:rsidRPr="00F20BB8" w:rsidRDefault="002B3E7B">
      <w:pPr>
        <w:numPr>
          <w:ilvl w:val="0"/>
          <w:numId w:val="2"/>
        </w:numPr>
        <w:pBdr>
          <w:top w:val="nil"/>
          <w:left w:val="nil"/>
          <w:bottom w:val="nil"/>
          <w:right w:val="nil"/>
          <w:between w:val="nil"/>
        </w:pBdr>
        <w:jc w:val="both"/>
        <w:rPr>
          <w:rFonts w:ascii="Segoe UI" w:eastAsia="Quattrocento Sans" w:hAnsi="Segoe UI" w:cs="Segoe UI"/>
          <w:color w:val="000000"/>
          <w:sz w:val="22"/>
          <w:szCs w:val="22"/>
        </w:rPr>
      </w:pPr>
      <w:r w:rsidRPr="00F20BB8">
        <w:rPr>
          <w:rFonts w:ascii="Segoe UI" w:eastAsia="Quattrocento Sans" w:hAnsi="Segoe UI" w:cs="Segoe UI"/>
          <w:b/>
          <w:bCs/>
          <w:sz w:val="22"/>
          <w:szCs w:val="22"/>
        </w:rPr>
        <w:t>intégrer</w:t>
      </w:r>
      <w:r w:rsidRPr="00F20BB8">
        <w:rPr>
          <w:rFonts w:ascii="Segoe UI" w:eastAsia="Quattrocento Sans" w:hAnsi="Segoe UI" w:cs="Segoe UI"/>
          <w:b/>
          <w:bCs/>
          <w:color w:val="000000"/>
          <w:sz w:val="22"/>
          <w:szCs w:val="22"/>
        </w:rPr>
        <w:t xml:space="preserve"> davantage de plastique recyclé dans ses emballages</w:t>
      </w:r>
      <w:r w:rsidRPr="00F20BB8">
        <w:rPr>
          <w:rFonts w:ascii="Segoe UI" w:eastAsia="Quattrocento Sans" w:hAnsi="Segoe UI" w:cs="Segoe UI"/>
          <w:color w:val="000000"/>
          <w:sz w:val="22"/>
          <w:szCs w:val="22"/>
        </w:rPr>
        <w:t xml:space="preserve">, sur un large périmètre de catégories (lessive, vaisselle, hygiène-beauté). </w:t>
      </w:r>
    </w:p>
    <w:p w14:paraId="019A5EE9" w14:textId="77777777" w:rsidR="00CC1027" w:rsidRPr="00F20BB8" w:rsidRDefault="002B3E7B">
      <w:pPr>
        <w:numPr>
          <w:ilvl w:val="0"/>
          <w:numId w:val="2"/>
        </w:numPr>
        <w:pBdr>
          <w:top w:val="nil"/>
          <w:left w:val="nil"/>
          <w:bottom w:val="nil"/>
          <w:right w:val="nil"/>
          <w:between w:val="nil"/>
        </w:pBdr>
        <w:jc w:val="both"/>
        <w:rPr>
          <w:rFonts w:ascii="Segoe UI" w:eastAsia="Quattrocento Sans" w:hAnsi="Segoe UI" w:cs="Segoe UI"/>
          <w:color w:val="000000"/>
          <w:sz w:val="22"/>
          <w:szCs w:val="22"/>
        </w:rPr>
      </w:pPr>
      <w:r w:rsidRPr="00F20BB8">
        <w:rPr>
          <w:rFonts w:ascii="Segoe UI" w:eastAsia="Quattrocento Sans" w:hAnsi="Segoe UI" w:cs="Segoe UI"/>
          <w:b/>
          <w:bCs/>
          <w:sz w:val="22"/>
          <w:szCs w:val="22"/>
        </w:rPr>
        <w:t xml:space="preserve">développer </w:t>
      </w:r>
      <w:r w:rsidRPr="00F20BB8">
        <w:rPr>
          <w:rFonts w:ascii="Segoe UI" w:eastAsia="Quattrocento Sans" w:hAnsi="Segoe UI" w:cs="Segoe UI"/>
          <w:b/>
          <w:bCs/>
          <w:color w:val="000000"/>
          <w:sz w:val="22"/>
          <w:szCs w:val="22"/>
        </w:rPr>
        <w:t>de nouveaux formats</w:t>
      </w:r>
      <w:r w:rsidRPr="00F20BB8">
        <w:rPr>
          <w:rFonts w:ascii="Segoe UI" w:eastAsia="Quattrocento Sans" w:hAnsi="Segoe UI" w:cs="Segoe UI"/>
          <w:color w:val="000000"/>
          <w:sz w:val="22"/>
          <w:szCs w:val="22"/>
        </w:rPr>
        <w:t xml:space="preserve">, </w:t>
      </w:r>
      <w:r w:rsidRPr="00F20BB8">
        <w:rPr>
          <w:rFonts w:ascii="Segoe UI" w:eastAsia="Quattrocento Sans" w:hAnsi="Segoe UI" w:cs="Segoe UI"/>
          <w:sz w:val="22"/>
          <w:szCs w:val="22"/>
        </w:rPr>
        <w:t>comme les</w:t>
      </w:r>
      <w:r w:rsidRPr="00F20BB8">
        <w:rPr>
          <w:rFonts w:ascii="Segoe UI" w:eastAsia="Quattrocento Sans" w:hAnsi="Segoe UI" w:cs="Segoe UI"/>
          <w:color w:val="000000"/>
          <w:sz w:val="22"/>
          <w:szCs w:val="22"/>
        </w:rPr>
        <w:t xml:space="preserve"> recharges,</w:t>
      </w:r>
      <w:r w:rsidRPr="00F20BB8">
        <w:rPr>
          <w:rFonts w:ascii="Segoe UI" w:eastAsia="Quattrocento Sans" w:hAnsi="Segoe UI" w:cs="Segoe UI"/>
          <w:sz w:val="22"/>
          <w:szCs w:val="22"/>
        </w:rPr>
        <w:t xml:space="preserve"> pour la lessive ou les nettoyants ménagers, ce qui permet de réduire la quantité de plastique utilisée</w:t>
      </w:r>
    </w:p>
    <w:p w14:paraId="1A37CEB0" w14:textId="77777777" w:rsidR="00CC1027" w:rsidRPr="00F20BB8" w:rsidRDefault="002B3E7B">
      <w:pPr>
        <w:numPr>
          <w:ilvl w:val="0"/>
          <w:numId w:val="2"/>
        </w:numPr>
        <w:pBdr>
          <w:top w:val="nil"/>
          <w:left w:val="nil"/>
          <w:bottom w:val="nil"/>
          <w:right w:val="nil"/>
          <w:between w:val="nil"/>
        </w:pBdr>
        <w:jc w:val="both"/>
        <w:rPr>
          <w:rFonts w:ascii="Segoe UI" w:eastAsia="Quattrocento Sans" w:hAnsi="Segoe UI" w:cs="Segoe UI"/>
          <w:color w:val="000000"/>
          <w:sz w:val="22"/>
          <w:szCs w:val="22"/>
        </w:rPr>
      </w:pPr>
      <w:r w:rsidRPr="00F20BB8">
        <w:rPr>
          <w:rFonts w:ascii="Segoe UI" w:eastAsia="Quattrocento Sans" w:hAnsi="Segoe UI" w:cs="Segoe UI"/>
          <w:b/>
          <w:bCs/>
          <w:sz w:val="22"/>
          <w:szCs w:val="22"/>
        </w:rPr>
        <w:t>remplacer</w:t>
      </w:r>
      <w:r w:rsidRPr="00F20BB8">
        <w:rPr>
          <w:rFonts w:ascii="Segoe UI" w:eastAsia="Quattrocento Sans" w:hAnsi="Segoe UI" w:cs="Segoe UI"/>
          <w:b/>
          <w:bCs/>
          <w:color w:val="000000"/>
          <w:sz w:val="22"/>
          <w:szCs w:val="22"/>
        </w:rPr>
        <w:t xml:space="preserve"> </w:t>
      </w:r>
      <w:r w:rsidRPr="00F20BB8">
        <w:rPr>
          <w:rFonts w:ascii="Segoe UI" w:eastAsia="Quattrocento Sans" w:hAnsi="Segoe UI" w:cs="Segoe UI"/>
          <w:b/>
          <w:bCs/>
          <w:sz w:val="22"/>
          <w:szCs w:val="22"/>
        </w:rPr>
        <w:t>certains packagings plastiques</w:t>
      </w:r>
      <w:r w:rsidRPr="00F20BB8">
        <w:rPr>
          <w:rFonts w:ascii="Segoe UI" w:eastAsia="Quattrocento Sans" w:hAnsi="Segoe UI" w:cs="Segoe UI"/>
          <w:b/>
          <w:bCs/>
          <w:color w:val="000000"/>
          <w:sz w:val="22"/>
          <w:szCs w:val="22"/>
        </w:rPr>
        <w:t xml:space="preserve"> par des solutions alternatives</w:t>
      </w:r>
      <w:r w:rsidRPr="00F20BB8">
        <w:rPr>
          <w:rFonts w:ascii="Segoe UI" w:eastAsia="Quattrocento Sans" w:hAnsi="Segoe UI" w:cs="Segoe UI"/>
          <w:color w:val="000000"/>
          <w:sz w:val="22"/>
          <w:szCs w:val="22"/>
        </w:rPr>
        <w:t xml:space="preserve">, comme </w:t>
      </w:r>
      <w:r w:rsidRPr="00F20BB8">
        <w:rPr>
          <w:rFonts w:ascii="Segoe UI" w:eastAsia="Quattrocento Sans" w:hAnsi="Segoe UI" w:cs="Segoe UI"/>
          <w:sz w:val="22"/>
          <w:szCs w:val="22"/>
        </w:rPr>
        <w:t>le carton</w:t>
      </w:r>
    </w:p>
    <w:p w14:paraId="6A00F8B3" w14:textId="77777777" w:rsidR="00CC1027" w:rsidRPr="00F20BB8" w:rsidRDefault="00CC1027">
      <w:pPr>
        <w:pBdr>
          <w:top w:val="nil"/>
          <w:left w:val="nil"/>
          <w:bottom w:val="nil"/>
          <w:right w:val="nil"/>
          <w:between w:val="nil"/>
        </w:pBdr>
        <w:jc w:val="both"/>
        <w:rPr>
          <w:rFonts w:ascii="Segoe UI" w:eastAsia="Quattrocento Sans" w:hAnsi="Segoe UI" w:cs="Segoe UI"/>
          <w:sz w:val="22"/>
          <w:szCs w:val="22"/>
        </w:rPr>
      </w:pPr>
    </w:p>
    <w:p w14:paraId="4251CA4D" w14:textId="77777777" w:rsidR="00CC1027" w:rsidRPr="00F20BB8" w:rsidRDefault="002B3E7B">
      <w:pPr>
        <w:numPr>
          <w:ilvl w:val="0"/>
          <w:numId w:val="1"/>
        </w:numPr>
        <w:pBdr>
          <w:top w:val="nil"/>
          <w:left w:val="nil"/>
          <w:bottom w:val="nil"/>
          <w:right w:val="nil"/>
          <w:between w:val="nil"/>
        </w:pBdr>
        <w:ind w:left="360"/>
        <w:jc w:val="both"/>
        <w:rPr>
          <w:rFonts w:ascii="Segoe UI" w:eastAsia="Quattrocento Sans" w:hAnsi="Segoe UI" w:cs="Segoe UI"/>
          <w:color w:val="000000"/>
          <w:sz w:val="22"/>
          <w:szCs w:val="22"/>
        </w:rPr>
      </w:pPr>
      <w:r w:rsidRPr="00F20BB8">
        <w:rPr>
          <w:rFonts w:ascii="Segoe UI" w:eastAsia="Quattrocento Sans" w:hAnsi="Segoe UI" w:cs="Segoe UI"/>
          <w:b/>
          <w:bCs/>
          <w:color w:val="000000"/>
          <w:sz w:val="22"/>
          <w:szCs w:val="22"/>
        </w:rPr>
        <w:t>La décarbonation du transport</w:t>
      </w:r>
      <w:r w:rsidRPr="00F20BB8">
        <w:rPr>
          <w:rFonts w:ascii="Segoe UI" w:eastAsia="Quattrocento Sans" w:hAnsi="Segoe UI" w:cs="Segoe UI"/>
          <w:color w:val="000000"/>
          <w:sz w:val="22"/>
          <w:szCs w:val="22"/>
        </w:rPr>
        <w:t> : Henkel et Carrefour s’engagent à réduire l’empreinte carbone de leur logistique en s’appuyant notamment sur la démarche FRET21 et une méthodologie définie avec l’ADEME. Les actions mises en place portent sur l’optimisation des flux logistiques, la mutualisation des livraisons, le développement du transport multimodal rail-route et le recours à des énergies alternatives au diesel, telles que le B100 ou le HVO, qui couvrent déjà une part des livraisons. Le partenariat prévoit également une augmentation progressive du recours à ces solutions, avec des objectifs à horizon 2030.</w:t>
      </w:r>
    </w:p>
    <w:p w14:paraId="56CAB0E8" w14:textId="77777777" w:rsidR="00CC1027" w:rsidRPr="00F20BB8" w:rsidRDefault="00CC1027">
      <w:pPr>
        <w:pBdr>
          <w:top w:val="nil"/>
          <w:left w:val="nil"/>
          <w:bottom w:val="nil"/>
          <w:right w:val="nil"/>
          <w:between w:val="nil"/>
        </w:pBdr>
        <w:jc w:val="both"/>
        <w:rPr>
          <w:rFonts w:ascii="Segoe UI" w:eastAsia="Quattrocento Sans" w:hAnsi="Segoe UI" w:cs="Segoe UI"/>
          <w:b/>
          <w:bCs/>
          <w:sz w:val="22"/>
          <w:szCs w:val="22"/>
        </w:rPr>
      </w:pPr>
    </w:p>
    <w:p w14:paraId="38F19251" w14:textId="77777777" w:rsidR="00CC1027" w:rsidRPr="00F20BB8" w:rsidRDefault="002B3E7B">
      <w:pPr>
        <w:pBdr>
          <w:top w:val="nil"/>
          <w:left w:val="nil"/>
          <w:bottom w:val="nil"/>
          <w:right w:val="nil"/>
          <w:between w:val="nil"/>
        </w:pBdr>
        <w:jc w:val="both"/>
        <w:rPr>
          <w:rFonts w:ascii="Segoe UI" w:eastAsia="Quattrocento Sans" w:hAnsi="Segoe UI" w:cs="Segoe UI"/>
          <w:b/>
          <w:bCs/>
          <w:color w:val="000000"/>
          <w:sz w:val="22"/>
          <w:szCs w:val="22"/>
        </w:rPr>
      </w:pPr>
      <w:r w:rsidRPr="00F20BB8">
        <w:rPr>
          <w:rFonts w:ascii="Segoe UI" w:eastAsia="Quattrocento Sans" w:hAnsi="Segoe UI" w:cs="Segoe UI"/>
          <w:b/>
          <w:bCs/>
          <w:color w:val="000000"/>
          <w:sz w:val="22"/>
          <w:szCs w:val="22"/>
        </w:rPr>
        <w:t>Un cadre de pilotage fondé sur des indicateurs mesurables et une responsabilité partagée</w:t>
      </w:r>
    </w:p>
    <w:p w14:paraId="2A881D97" w14:textId="77777777" w:rsidR="00BF55FA" w:rsidRDefault="00BF55FA">
      <w:pPr>
        <w:pBdr>
          <w:top w:val="nil"/>
          <w:left w:val="nil"/>
          <w:bottom w:val="nil"/>
          <w:right w:val="nil"/>
          <w:between w:val="nil"/>
        </w:pBdr>
        <w:jc w:val="both"/>
        <w:rPr>
          <w:rFonts w:ascii="Segoe UI" w:eastAsia="Quattrocento Sans" w:hAnsi="Segoe UI" w:cs="Segoe UI"/>
          <w:color w:val="000000"/>
          <w:sz w:val="22"/>
          <w:szCs w:val="22"/>
        </w:rPr>
      </w:pPr>
    </w:p>
    <w:p w14:paraId="268705B1" w14:textId="4CB72EB8" w:rsidR="00CC1027" w:rsidRPr="00F20BB8" w:rsidRDefault="002B3E7B">
      <w:pPr>
        <w:pBdr>
          <w:top w:val="nil"/>
          <w:left w:val="nil"/>
          <w:bottom w:val="nil"/>
          <w:right w:val="nil"/>
          <w:between w:val="nil"/>
        </w:pBdr>
        <w:jc w:val="both"/>
        <w:rPr>
          <w:rFonts w:ascii="Segoe UI" w:eastAsia="Quattrocento Sans" w:hAnsi="Segoe UI" w:cs="Segoe UI"/>
          <w:color w:val="000000"/>
          <w:sz w:val="22"/>
          <w:szCs w:val="22"/>
        </w:rPr>
      </w:pPr>
      <w:r w:rsidRPr="00F20BB8">
        <w:rPr>
          <w:rFonts w:ascii="Segoe UI" w:eastAsia="Quattrocento Sans" w:hAnsi="Segoe UI" w:cs="Segoe UI"/>
          <w:color w:val="000000"/>
          <w:sz w:val="22"/>
          <w:szCs w:val="22"/>
        </w:rPr>
        <w:t xml:space="preserve">L’ensemble des initiatives portées dans le cadre du SLBP repose sur un dispositif structuré de pilotage et de suivi de la performance. Des indicateurs clés ont été définis conjointement par Carrefour et Henkel afin de mesurer de manière objective l’impact des actions engagées, notamment en matière de réduction des émissions de CO₂ et de diminution de l’empreinte plastique. Dans ce cadre, Henkel s’engage à partager de manière transparente les informations relatives à ses démarches RSE, tandis que Carrefour </w:t>
      </w:r>
      <w:r w:rsidRPr="00F20BB8">
        <w:rPr>
          <w:rFonts w:ascii="Segoe UI" w:eastAsia="Quattrocento Sans" w:hAnsi="Segoe UI" w:cs="Segoe UI"/>
          <w:sz w:val="22"/>
          <w:szCs w:val="22"/>
        </w:rPr>
        <w:t>s’engage à</w:t>
      </w:r>
      <w:r w:rsidRPr="00F20BB8">
        <w:rPr>
          <w:rFonts w:ascii="Segoe UI" w:eastAsia="Quattrocento Sans" w:hAnsi="Segoe UI" w:cs="Segoe UI"/>
          <w:color w:val="000000"/>
          <w:sz w:val="22"/>
          <w:szCs w:val="22"/>
        </w:rPr>
        <w:t xml:space="preserve"> valoriser ces initiatives auprès des consommateurs, dans le respect du cadre réglementaire applicable. </w:t>
      </w:r>
    </w:p>
    <w:p w14:paraId="24F23018" w14:textId="77777777" w:rsidR="00CC1027" w:rsidRPr="00F20BB8" w:rsidRDefault="00CC1027">
      <w:pPr>
        <w:pBdr>
          <w:top w:val="nil"/>
          <w:left w:val="nil"/>
          <w:bottom w:val="nil"/>
          <w:right w:val="nil"/>
          <w:between w:val="nil"/>
        </w:pBdr>
        <w:jc w:val="both"/>
        <w:rPr>
          <w:rFonts w:ascii="Segoe UI" w:eastAsia="Quattrocento Sans" w:hAnsi="Segoe UI" w:cs="Segoe UI"/>
          <w:sz w:val="22"/>
          <w:szCs w:val="22"/>
          <w:highlight w:val="yellow"/>
        </w:rPr>
      </w:pPr>
    </w:p>
    <w:p w14:paraId="7A2BC58F" w14:textId="22B3C828" w:rsidR="00CC1027" w:rsidRPr="00BF55FA" w:rsidRDefault="002B3E7B">
      <w:pPr>
        <w:pBdr>
          <w:top w:val="nil"/>
          <w:left w:val="nil"/>
          <w:bottom w:val="nil"/>
          <w:right w:val="nil"/>
          <w:between w:val="nil"/>
        </w:pBdr>
        <w:jc w:val="both"/>
        <w:rPr>
          <w:rFonts w:ascii="Segoe UI" w:eastAsia="Quattrocento Sans" w:hAnsi="Segoe UI" w:cs="Segoe UI"/>
          <w:color w:val="000000"/>
          <w:sz w:val="22"/>
          <w:szCs w:val="22"/>
        </w:rPr>
      </w:pPr>
      <w:r w:rsidRPr="00BF55FA">
        <w:rPr>
          <w:rFonts w:ascii="Segoe UI" w:eastAsia="Quattrocento Sans" w:hAnsi="Segoe UI" w:cs="Segoe UI"/>
          <w:color w:val="000000"/>
          <w:sz w:val="22"/>
          <w:szCs w:val="22"/>
        </w:rPr>
        <w:t>Une approche que résume Cécile Leroi, présidente de Henkel en France « Nous avons voulu mettre en place avec Carrefour un plan à la fois ambitieux dans son principe et réaliste dans sa mise en œuvre. Il repose sur des actions concrètes, sur trois leviers très clairs : les formules, les emballages et le transport. Ce partenariat s’inscrit plus largement dans la trajectoire globale de Henkel en matière de transformation durable, et reflète un travail collectif considérable ainsi qu’un fort engagement de nos équipes pour passer de l’ambition à l’action, de façon crédible et ancrée dans la relation commerciale</w:t>
      </w:r>
      <w:r w:rsidR="00AE1980" w:rsidRPr="00BF55FA">
        <w:rPr>
          <w:rFonts w:ascii="Segoe UI" w:eastAsia="Quattrocento Sans" w:hAnsi="Segoe UI" w:cs="Segoe UI"/>
          <w:color w:val="000000"/>
          <w:sz w:val="22"/>
          <w:szCs w:val="22"/>
        </w:rPr>
        <w:t>. »</w:t>
      </w:r>
      <w:r w:rsidRPr="00BF55FA">
        <w:rPr>
          <w:rFonts w:ascii="Segoe UI" w:eastAsia="Quattrocento Sans" w:hAnsi="Segoe UI" w:cs="Segoe UI"/>
          <w:color w:val="000000"/>
          <w:sz w:val="22"/>
          <w:szCs w:val="22"/>
        </w:rPr>
        <w:t>.</w:t>
      </w:r>
    </w:p>
    <w:p w14:paraId="47CBEE8A" w14:textId="77777777" w:rsidR="00CC1027" w:rsidRPr="00F248FF" w:rsidRDefault="00CC1027">
      <w:pPr>
        <w:jc w:val="both"/>
        <w:rPr>
          <w:rFonts w:ascii="Segoe UI" w:eastAsia="Quattrocento Sans" w:hAnsi="Segoe UI" w:cs="Segoe UI"/>
          <w:sz w:val="22"/>
          <w:szCs w:val="22"/>
        </w:rPr>
      </w:pPr>
    </w:p>
    <w:p w14:paraId="758B01DD" w14:textId="462FAEF5" w:rsidR="00CC1027" w:rsidRPr="00F248FF" w:rsidRDefault="00AE1980">
      <w:pPr>
        <w:jc w:val="both"/>
        <w:rPr>
          <w:rFonts w:ascii="Segoe UI" w:eastAsia="Quattrocento Sans" w:hAnsi="Segoe UI" w:cs="Segoe UI"/>
          <w:sz w:val="22"/>
          <w:szCs w:val="22"/>
        </w:rPr>
      </w:pPr>
      <w:r>
        <w:rPr>
          <w:rFonts w:ascii="Segoe UI" w:eastAsia="Quattrocento Sans" w:hAnsi="Segoe UI" w:cs="Segoe UI"/>
          <w:sz w:val="22"/>
          <w:szCs w:val="22"/>
        </w:rPr>
        <w:t>« </w:t>
      </w:r>
      <w:r w:rsidR="002B3E7B" w:rsidRPr="00F248FF">
        <w:rPr>
          <w:rFonts w:ascii="Segoe UI" w:eastAsia="Quattrocento Sans" w:hAnsi="Segoe UI" w:cs="Segoe UI"/>
          <w:sz w:val="22"/>
          <w:szCs w:val="22"/>
        </w:rPr>
        <w:t>À travers cet accord mutuel, nous souhaitons encourager notre fournisseur à promouvoir dans nos rayons les produits porteurs de l’initiative Biomass Balance. L’objectif est de mieux faire connaître cette démarche, tant auprès de nos équipes achats que de nos clients. L’approche innovante d</w:t>
      </w:r>
      <w:r w:rsidR="00AE384E" w:rsidRPr="00F248FF">
        <w:rPr>
          <w:rFonts w:ascii="Segoe UI" w:eastAsia="Quattrocento Sans" w:hAnsi="Segoe UI" w:cs="Segoe UI"/>
          <w:sz w:val="22"/>
          <w:szCs w:val="22"/>
        </w:rPr>
        <w:t xml:space="preserve">e </w:t>
      </w:r>
      <w:r w:rsidR="002B3E7B" w:rsidRPr="00F248FF">
        <w:rPr>
          <w:rFonts w:ascii="Segoe UI" w:eastAsia="Quattrocento Sans" w:hAnsi="Segoe UI" w:cs="Segoe UI"/>
          <w:sz w:val="22"/>
          <w:szCs w:val="22"/>
        </w:rPr>
        <w:t>Henkel dans la formulation de ses produits d'entretien et d’hygiène prend ainsi une nouvelle dimension, permettant d’accélérer la transformation de l’offre sur ce marché.</w:t>
      </w:r>
      <w:r>
        <w:rPr>
          <w:rFonts w:ascii="Segoe UI" w:eastAsia="Quattrocento Sans" w:hAnsi="Segoe UI" w:cs="Segoe UI"/>
          <w:sz w:val="22"/>
          <w:szCs w:val="22"/>
        </w:rPr>
        <w:t> »</w:t>
      </w:r>
      <w:r w:rsidR="002B3E7B" w:rsidRPr="00F248FF">
        <w:rPr>
          <w:rFonts w:ascii="Segoe UI" w:eastAsia="Quattrocento Sans" w:hAnsi="Segoe UI" w:cs="Segoe UI"/>
          <w:sz w:val="22"/>
          <w:szCs w:val="22"/>
        </w:rPr>
        <w:t xml:space="preserve">  Stéphane Pierrefeu, Directeur RSE Fournisseurs</w:t>
      </w:r>
      <w:r w:rsidR="006E094B">
        <w:rPr>
          <w:rFonts w:ascii="Segoe UI" w:eastAsia="Quattrocento Sans" w:hAnsi="Segoe UI" w:cs="Segoe UI"/>
          <w:sz w:val="22"/>
          <w:szCs w:val="22"/>
        </w:rPr>
        <w:t xml:space="preserve"> de Carrefour.</w:t>
      </w:r>
    </w:p>
    <w:p w14:paraId="70D38467" w14:textId="77777777" w:rsidR="00CC1027" w:rsidRDefault="00CC1027">
      <w:pPr>
        <w:jc w:val="both"/>
        <w:rPr>
          <w:rFonts w:ascii="Segoe UI" w:eastAsia="Quattrocento Sans" w:hAnsi="Segoe UI" w:cs="Segoe UI"/>
          <w:color w:val="FF0000"/>
          <w:sz w:val="22"/>
          <w:szCs w:val="22"/>
          <w:highlight w:val="white"/>
        </w:rPr>
      </w:pPr>
    </w:p>
    <w:p w14:paraId="08840CAE" w14:textId="77777777" w:rsidR="00AE384E" w:rsidRDefault="00AE384E">
      <w:pPr>
        <w:jc w:val="both"/>
        <w:rPr>
          <w:rFonts w:ascii="Segoe UI" w:eastAsia="Quattrocento Sans" w:hAnsi="Segoe UI" w:cs="Segoe UI"/>
          <w:color w:val="FF0000"/>
          <w:sz w:val="22"/>
          <w:szCs w:val="22"/>
          <w:highlight w:val="white"/>
        </w:rPr>
      </w:pPr>
    </w:p>
    <w:p w14:paraId="4DE4D1D8" w14:textId="77777777" w:rsidR="00AE384E" w:rsidRPr="00F20BB8" w:rsidRDefault="00AE384E">
      <w:pPr>
        <w:jc w:val="both"/>
        <w:rPr>
          <w:rFonts w:ascii="Segoe UI" w:eastAsia="Quattrocento Sans" w:hAnsi="Segoe UI" w:cs="Segoe UI"/>
          <w:color w:val="FF0000"/>
          <w:sz w:val="22"/>
          <w:szCs w:val="22"/>
          <w:highlight w:val="white"/>
        </w:rPr>
      </w:pPr>
    </w:p>
    <w:p w14:paraId="7D8B4CD7" w14:textId="77777777" w:rsidR="00CC1027" w:rsidRPr="00F20BB8" w:rsidRDefault="00CC1027">
      <w:pPr>
        <w:pBdr>
          <w:top w:val="nil"/>
          <w:left w:val="nil"/>
          <w:bottom w:val="nil"/>
          <w:right w:val="nil"/>
          <w:between w:val="nil"/>
        </w:pBdr>
        <w:jc w:val="both"/>
        <w:rPr>
          <w:rFonts w:ascii="Segoe UI" w:eastAsia="Quattrocento Sans" w:hAnsi="Segoe UI" w:cs="Segoe UI"/>
          <w:b/>
          <w:bCs/>
          <w:sz w:val="18"/>
          <w:szCs w:val="18"/>
        </w:rPr>
      </w:pPr>
    </w:p>
    <w:p w14:paraId="640FC3D2" w14:textId="77777777" w:rsidR="00CC1027" w:rsidRPr="00F20BB8" w:rsidRDefault="002B3E7B">
      <w:pPr>
        <w:pBdr>
          <w:top w:val="nil"/>
          <w:left w:val="nil"/>
          <w:bottom w:val="nil"/>
          <w:right w:val="nil"/>
          <w:between w:val="nil"/>
        </w:pBdr>
        <w:jc w:val="both"/>
        <w:rPr>
          <w:rFonts w:ascii="Segoe UI" w:eastAsia="Quattrocento Sans" w:hAnsi="Segoe UI" w:cs="Segoe UI"/>
          <w:color w:val="000000"/>
          <w:sz w:val="22"/>
          <w:szCs w:val="22"/>
        </w:rPr>
      </w:pPr>
      <w:r w:rsidRPr="00F20BB8">
        <w:rPr>
          <w:rFonts w:ascii="Segoe UI" w:eastAsia="Quattrocento Sans" w:hAnsi="Segoe UI" w:cs="Segoe UI"/>
          <w:b/>
          <w:bCs/>
          <w:color w:val="000000"/>
          <w:sz w:val="18"/>
          <w:szCs w:val="18"/>
        </w:rPr>
        <w:t xml:space="preserve">À propos de Henkel </w:t>
      </w:r>
    </w:p>
    <w:p w14:paraId="4BD848E6" w14:textId="77777777" w:rsidR="00CC1027" w:rsidRPr="00F20BB8" w:rsidRDefault="002B3E7B">
      <w:pPr>
        <w:pBdr>
          <w:top w:val="nil"/>
          <w:left w:val="nil"/>
          <w:bottom w:val="nil"/>
          <w:right w:val="nil"/>
          <w:between w:val="nil"/>
        </w:pBdr>
        <w:jc w:val="both"/>
        <w:rPr>
          <w:rFonts w:ascii="Segoe UI" w:eastAsia="Quattrocento Sans" w:hAnsi="Segoe UI" w:cs="Segoe UI"/>
          <w:b/>
          <w:bCs/>
          <w:color w:val="000000"/>
          <w:sz w:val="18"/>
          <w:szCs w:val="18"/>
        </w:rPr>
      </w:pPr>
      <w:r w:rsidRPr="00F20BB8">
        <w:rPr>
          <w:rFonts w:ascii="Segoe UI" w:eastAsia="Quattrocento Sans" w:hAnsi="Segoe UI" w:cs="Segoe UI"/>
          <w:color w:val="000000"/>
          <w:sz w:val="16"/>
          <w:szCs w:val="16"/>
        </w:rPr>
        <w:t xml:space="preserve">Grâce à ses marques, ses innovations et ses technologies, Henkel détient des positions mondiales fortes auprès des industriels comme des consommateurs. L’activité Adhesive Technologies est leader mondial des adhésifs, des produits d'étanchéité et des revêtements fonctionnels. Avec son activité Consumer Brands, Henkel détient des positions de leader sur de nombreux marchés et catégories dans le monde, en particulier pour les soins des cheveux et pour les lessives et produits d’entretien. Les trois premières marques internationales du Groupe sont Loctite, Persil (Le Chat en France) et Schwarzkopf. En 2025, Henkel a réalisé un chiffre d’affaires de plus de 20,5 milliards d’EUR et un bénéfice d’exploitation ajusté d’environ 3 milliards d’euros. Les actions préférentielles Henkel sont listées à l’indice boursier allemand DAX. Le développement durable fait partie intégrante de l’histoire de Henkel et le Groupe a dans ce domaine une stratégie claire avec des objectifs concrets. Fondé en 1876, Henkel s’appuie aujourd’hui sur une équipe empreinte de diversité, de près de 47 000 personnes à travers le monde – unies par une culture forte, des valeurs d’entreprise et une raison d’être partagées : « Pioneers at heart for the good of generations ». Plus d’informations sur </w:t>
      </w:r>
      <w:hyperlink r:id="rId9">
        <w:r w:rsidRPr="00F20BB8">
          <w:rPr>
            <w:rFonts w:ascii="Segoe UI" w:eastAsia="Quattrocento Sans" w:hAnsi="Segoe UI" w:cs="Segoe UI"/>
            <w:color w:val="0000FF"/>
            <w:sz w:val="16"/>
            <w:szCs w:val="16"/>
            <w:u w:val="single"/>
          </w:rPr>
          <w:t>www.henkel.com</w:t>
        </w:r>
      </w:hyperlink>
    </w:p>
    <w:p w14:paraId="437171D3" w14:textId="77777777" w:rsidR="00CC1027" w:rsidRPr="00F20BB8" w:rsidRDefault="002B3E7B">
      <w:pPr>
        <w:pBdr>
          <w:top w:val="nil"/>
          <w:left w:val="nil"/>
          <w:bottom w:val="nil"/>
          <w:right w:val="nil"/>
          <w:between w:val="nil"/>
        </w:pBdr>
        <w:spacing w:before="280" w:after="40"/>
        <w:rPr>
          <w:rFonts w:ascii="Segoe UI" w:eastAsia="Quattrocento Sans" w:hAnsi="Segoe UI" w:cs="Segoe UI"/>
          <w:b/>
          <w:bCs/>
          <w:color w:val="000000"/>
          <w:sz w:val="18"/>
          <w:szCs w:val="18"/>
        </w:rPr>
      </w:pPr>
      <w:r w:rsidRPr="00F20BB8">
        <w:rPr>
          <w:rFonts w:ascii="Segoe UI" w:eastAsia="Quattrocento Sans" w:hAnsi="Segoe UI" w:cs="Segoe UI"/>
          <w:b/>
          <w:bCs/>
          <w:color w:val="000000"/>
          <w:sz w:val="18"/>
          <w:szCs w:val="18"/>
        </w:rPr>
        <w:t>Henkel en France</w:t>
      </w:r>
    </w:p>
    <w:p w14:paraId="7228966C" w14:textId="1B4431FF" w:rsidR="00CC1027" w:rsidRPr="00F20BB8" w:rsidRDefault="002B3E7B">
      <w:pPr>
        <w:pBdr>
          <w:top w:val="nil"/>
          <w:left w:val="nil"/>
          <w:bottom w:val="nil"/>
          <w:right w:val="nil"/>
          <w:between w:val="nil"/>
        </w:pBdr>
        <w:spacing w:after="280"/>
        <w:jc w:val="both"/>
        <w:rPr>
          <w:rFonts w:ascii="Segoe UI" w:eastAsia="Quattrocento Sans" w:hAnsi="Segoe UI" w:cs="Segoe UI"/>
          <w:color w:val="000000"/>
          <w:sz w:val="18"/>
          <w:szCs w:val="18"/>
        </w:rPr>
      </w:pPr>
      <w:r w:rsidRPr="00F20BB8">
        <w:rPr>
          <w:rFonts w:ascii="Segoe UI" w:eastAsia="Quattrocento Sans" w:hAnsi="Segoe UI" w:cs="Segoe UI"/>
          <w:color w:val="000000"/>
          <w:sz w:val="18"/>
          <w:szCs w:val="18"/>
        </w:rPr>
        <w:t xml:space="preserve">Henkel est en France un acteur clé des produits de grande consommation (soins des cheveux, détergents et produits d’entretien) et des technologies adhésives. Avec des marques aussi connues que Le Chat et Mir, Schwarzkopf, Loctite et Rubson, les produits Henkel sont présents dans près de 80% des foyers français. Présent dans l’hexagone depuis plus de 50 ans, Henkel France a son siège à Boulogne Billancourt et développe des relations fortes avec de nombreux partenaires locaux.  Le groupe s’appuie sur près de </w:t>
      </w:r>
      <w:r w:rsidR="00414254">
        <w:rPr>
          <w:rFonts w:ascii="Segoe UI" w:eastAsia="Quattrocento Sans" w:hAnsi="Segoe UI" w:cs="Segoe UI"/>
          <w:color w:val="000000"/>
          <w:sz w:val="18"/>
          <w:szCs w:val="18"/>
        </w:rPr>
        <w:t xml:space="preserve">800 </w:t>
      </w:r>
      <w:r w:rsidRPr="00F20BB8">
        <w:rPr>
          <w:rFonts w:ascii="Segoe UI" w:eastAsia="Quattrocento Sans" w:hAnsi="Segoe UI" w:cs="Segoe UI"/>
          <w:color w:val="000000"/>
          <w:sz w:val="18"/>
          <w:szCs w:val="18"/>
        </w:rPr>
        <w:t xml:space="preserve">salariés et deux sites industriels (Villefranche-sur-Saône et Epernon), exportant plus de 80% de leur production. Pour en savoir plus, rendez-vous sur </w:t>
      </w:r>
      <w:hyperlink r:id="rId10">
        <w:r w:rsidRPr="00F20BB8">
          <w:rPr>
            <w:rFonts w:ascii="Segoe UI" w:eastAsia="Quattrocento Sans" w:hAnsi="Segoe UI" w:cs="Segoe UI"/>
            <w:color w:val="0000FF"/>
            <w:sz w:val="18"/>
            <w:szCs w:val="18"/>
            <w:u w:val="single"/>
          </w:rPr>
          <w:t>www.henkel.fr</w:t>
        </w:r>
      </w:hyperlink>
    </w:p>
    <w:p w14:paraId="1A1FA738" w14:textId="77777777" w:rsidR="00CC1027" w:rsidRDefault="002B3E7B">
      <w:pPr>
        <w:spacing w:after="160"/>
        <w:rPr>
          <w:rFonts w:ascii="Quattrocento Sans" w:eastAsia="Quattrocento Sans" w:hAnsi="Quattrocento Sans" w:cs="Quattrocento Sans"/>
          <w:b/>
          <w:bCs/>
          <w:color w:val="000000"/>
          <w:sz w:val="16"/>
          <w:szCs w:val="16"/>
        </w:rPr>
      </w:pPr>
      <w:r>
        <w:rPr>
          <w:rFonts w:ascii="Quattrocento Sans" w:eastAsia="Quattrocento Sans" w:hAnsi="Quattrocento Sans" w:cs="Quattrocento Sans"/>
          <w:b/>
          <w:bCs/>
          <w:color w:val="000000"/>
          <w:sz w:val="16"/>
          <w:szCs w:val="16"/>
        </w:rPr>
        <w:t>Contacts presse</w:t>
      </w:r>
    </w:p>
    <w:p w14:paraId="4B5EDE18" w14:textId="77777777" w:rsidR="00CC1027" w:rsidRDefault="002B3E7B">
      <w:pPr>
        <w:spacing w:after="160"/>
        <w:rPr>
          <w:rFonts w:ascii="Quattrocento Sans" w:eastAsia="Quattrocento Sans" w:hAnsi="Quattrocento Sans" w:cs="Quattrocento Sans"/>
          <w:b/>
          <w:bCs/>
          <w:color w:val="000000"/>
          <w:sz w:val="16"/>
          <w:szCs w:val="16"/>
        </w:rPr>
      </w:pPr>
      <w:r>
        <w:rPr>
          <w:rFonts w:ascii="Quattrocento Sans" w:eastAsia="Quattrocento Sans" w:hAnsi="Quattrocento Sans" w:cs="Quattrocento Sans"/>
          <w:b/>
          <w:bCs/>
          <w:color w:val="000000"/>
          <w:sz w:val="16"/>
          <w:szCs w:val="16"/>
        </w:rPr>
        <w:t>Henkel</w:t>
      </w:r>
      <w:r>
        <w:rPr>
          <w:rFonts w:ascii="Quattrocento Sans" w:eastAsia="Quattrocento Sans" w:hAnsi="Quattrocento Sans" w:cs="Quattrocento Sans"/>
          <w:b/>
          <w:bCs/>
          <w:color w:val="000000"/>
          <w:sz w:val="16"/>
          <w:szCs w:val="16"/>
        </w:rPr>
        <w:tab/>
      </w:r>
      <w:r>
        <w:rPr>
          <w:rFonts w:ascii="Quattrocento Sans" w:eastAsia="Quattrocento Sans" w:hAnsi="Quattrocento Sans" w:cs="Quattrocento Sans"/>
          <w:b/>
          <w:bCs/>
          <w:color w:val="000000"/>
          <w:sz w:val="16"/>
          <w:szCs w:val="16"/>
        </w:rPr>
        <w:tab/>
      </w:r>
      <w:r>
        <w:rPr>
          <w:rFonts w:ascii="Quattrocento Sans" w:eastAsia="Quattrocento Sans" w:hAnsi="Quattrocento Sans" w:cs="Quattrocento Sans"/>
          <w:b/>
          <w:bCs/>
          <w:color w:val="000000"/>
          <w:sz w:val="16"/>
          <w:szCs w:val="16"/>
        </w:rPr>
        <w:tab/>
      </w:r>
      <w:r>
        <w:rPr>
          <w:rFonts w:ascii="Quattrocento Sans" w:eastAsia="Quattrocento Sans" w:hAnsi="Quattrocento Sans" w:cs="Quattrocento Sans"/>
          <w:b/>
          <w:bCs/>
          <w:color w:val="000000"/>
          <w:sz w:val="16"/>
          <w:szCs w:val="16"/>
        </w:rPr>
        <w:tab/>
      </w:r>
      <w:r>
        <w:rPr>
          <w:rFonts w:ascii="Quattrocento Sans" w:eastAsia="Quattrocento Sans" w:hAnsi="Quattrocento Sans" w:cs="Quattrocento Sans"/>
          <w:b/>
          <w:bCs/>
          <w:color w:val="000000"/>
          <w:sz w:val="16"/>
          <w:szCs w:val="16"/>
        </w:rPr>
        <w:tab/>
      </w:r>
      <w:r>
        <w:rPr>
          <w:rFonts w:ascii="Quattrocento Sans" w:eastAsia="Quattrocento Sans" w:hAnsi="Quattrocento Sans" w:cs="Quattrocento Sans"/>
          <w:b/>
          <w:bCs/>
          <w:color w:val="000000"/>
          <w:sz w:val="16"/>
          <w:szCs w:val="16"/>
        </w:rPr>
        <w:tab/>
      </w:r>
      <w:r>
        <w:rPr>
          <w:rFonts w:ascii="Quattrocento Sans" w:eastAsia="Quattrocento Sans" w:hAnsi="Quattrocento Sans" w:cs="Quattrocento Sans"/>
          <w:b/>
          <w:bCs/>
          <w:color w:val="000000"/>
          <w:sz w:val="16"/>
          <w:szCs w:val="16"/>
        </w:rPr>
        <w:tab/>
      </w:r>
      <w:r>
        <w:rPr>
          <w:rFonts w:ascii="Quattrocento Sans" w:eastAsia="Quattrocento Sans" w:hAnsi="Quattrocento Sans" w:cs="Quattrocento Sans"/>
          <w:b/>
          <w:bCs/>
          <w:color w:val="000000"/>
          <w:sz w:val="16"/>
          <w:szCs w:val="16"/>
        </w:rPr>
        <w:tab/>
        <w:t>Agence Burson</w:t>
      </w:r>
    </w:p>
    <w:p w14:paraId="117B14E4" w14:textId="77777777" w:rsidR="00CC1027" w:rsidRDefault="002B3E7B">
      <w:pPr>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Octavie Blandin</w:t>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t>Paolo Ghilardi</w:t>
      </w:r>
    </w:p>
    <w:p w14:paraId="39DD1DF5" w14:textId="77777777" w:rsidR="00CC1027" w:rsidRDefault="002B3E7B">
      <w:pPr>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01 46 84 92 45</w:t>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t>01 56 03 13 02</w:t>
      </w:r>
    </w:p>
    <w:p w14:paraId="72D32382" w14:textId="77777777" w:rsidR="00CC1027" w:rsidRDefault="002B3E7B">
      <w:pPr>
        <w:rPr>
          <w:rFonts w:ascii="Quattrocento Sans" w:eastAsia="Quattrocento Sans" w:hAnsi="Quattrocento Sans" w:cs="Quattrocento Sans"/>
          <w:color w:val="000000"/>
          <w:sz w:val="16"/>
          <w:szCs w:val="16"/>
        </w:rPr>
      </w:pPr>
      <w:hyperlink r:id="rId11">
        <w:r>
          <w:rPr>
            <w:rFonts w:ascii="Quattrocento Sans" w:eastAsia="Quattrocento Sans" w:hAnsi="Quattrocento Sans" w:cs="Quattrocento Sans"/>
            <w:color w:val="0000FF"/>
            <w:sz w:val="16"/>
            <w:szCs w:val="16"/>
            <w:u w:val="single"/>
          </w:rPr>
          <w:t>octavie.blandin@henkel.com</w:t>
        </w:r>
      </w:hyperlink>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r>
        <w:rPr>
          <w:rFonts w:ascii="Quattrocento Sans" w:eastAsia="Quattrocento Sans" w:hAnsi="Quattrocento Sans" w:cs="Quattrocento Sans"/>
          <w:color w:val="000000"/>
          <w:sz w:val="16"/>
          <w:szCs w:val="16"/>
        </w:rPr>
        <w:tab/>
      </w:r>
    </w:p>
    <w:sectPr w:rsidR="00CC1027">
      <w:headerReference w:type="default" r:id="rId12"/>
      <w:footerReference w:type="default" r:id="rId13"/>
      <w:headerReference w:type="first" r:id="rId14"/>
      <w:footerReference w:type="first" r:id="rId15"/>
      <w:pgSz w:w="11907" w:h="16840"/>
      <w:pgMar w:top="1134" w:right="1418" w:bottom="1985" w:left="1418" w:header="1247" w:footer="94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71DDC" w14:textId="77777777" w:rsidR="005C4147" w:rsidRDefault="005C4147">
      <w:r>
        <w:separator/>
      </w:r>
    </w:p>
  </w:endnote>
  <w:endnote w:type="continuationSeparator" w:id="0">
    <w:p w14:paraId="2B3EE0B9" w14:textId="77777777" w:rsidR="005C4147" w:rsidRDefault="005C4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0CF17F7-09F9-490F-B306-D116D9129A5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18F0841-6594-4454-A188-B830EC350385}"/>
  </w:font>
  <w:font w:name="Quattrocento Sans">
    <w:charset w:val="00"/>
    <w:family w:val="swiss"/>
    <w:pitch w:val="variable"/>
    <w:sig w:usb0="800000BF" w:usb1="4000005B" w:usb2="00000000" w:usb3="00000000" w:csb0="00000001" w:csb1="00000000"/>
    <w:embedRegular r:id="rId3" w:fontKey="{7B611C5D-5B51-4006-BFA9-54ABA263E813}"/>
    <w:embedBold r:id="rId4" w:fontKey="{A61C33C4-0AFC-4B2C-9A06-E7FA783BB032}"/>
  </w:font>
  <w:font w:name="Segoe UI">
    <w:panose1 w:val="020B0502040204020203"/>
    <w:charset w:val="00"/>
    <w:family w:val="swiss"/>
    <w:pitch w:val="variable"/>
    <w:sig w:usb0="E4002EFF" w:usb1="C000E47F" w:usb2="00000009" w:usb3="00000000" w:csb0="000001FF" w:csb1="00000000"/>
    <w:embedRegular r:id="rId5" w:fontKey="{078962F4-360B-4DE9-B9C0-C66809B6A70D}"/>
    <w:embedBold r:id="rId6" w:fontKey="{7B1302AA-8F01-4E29-AF22-EE6AF1F45DED}"/>
  </w:font>
  <w:font w:name="Calibri">
    <w:panose1 w:val="020F0502020204030204"/>
    <w:charset w:val="00"/>
    <w:family w:val="swiss"/>
    <w:pitch w:val="variable"/>
    <w:sig w:usb0="E4002EFF" w:usb1="C200247B" w:usb2="00000009" w:usb3="00000000" w:csb0="000001FF" w:csb1="00000000"/>
    <w:embedRegular r:id="rId7" w:fontKey="{06B83BF1-A183-4A71-B2BE-23F6903406F7}"/>
    <w:embedBold r:id="rId8" w:fontKey="{EF5793E5-53F5-4414-90FB-81AB483E60F7}"/>
  </w:font>
  <w:font w:name="Cambria">
    <w:panose1 w:val="02040503050406030204"/>
    <w:charset w:val="00"/>
    <w:family w:val="roman"/>
    <w:pitch w:val="variable"/>
    <w:sig w:usb0="E00006FF" w:usb1="420024FF" w:usb2="02000000" w:usb3="00000000" w:csb0="0000019F" w:csb1="00000000"/>
    <w:embedRegular r:id="rId9" w:fontKey="{E31870EC-DB83-498D-B06F-DBF433220B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C883" w14:textId="77777777" w:rsidR="00CC1027" w:rsidRDefault="002B3E7B">
    <w:pPr>
      <w:pBdr>
        <w:top w:val="nil"/>
        <w:left w:val="nil"/>
        <w:bottom w:val="nil"/>
        <w:right w:val="nil"/>
        <w:between w:val="nil"/>
      </w:pBdr>
      <w:tabs>
        <w:tab w:val="right" w:pos="7083"/>
        <w:tab w:val="right" w:pos="8640"/>
        <w:tab w:val="right" w:pos="9057"/>
      </w:tabs>
      <w:rPr>
        <w:color w:val="000000"/>
        <w:sz w:val="14"/>
        <w:szCs w:val="14"/>
      </w:rPr>
    </w:pPr>
    <w:r>
      <w:rPr>
        <w:b/>
        <w:bCs/>
        <w:color w:val="000000"/>
        <w:sz w:val="14"/>
        <w:szCs w:val="14"/>
      </w:rPr>
      <w:tab/>
    </w:r>
    <w:r>
      <w:rPr>
        <w:color w:val="000000"/>
        <w:sz w:val="14"/>
        <w:szCs w:val="14"/>
      </w:rPr>
      <w:t xml:space="preserve">Page </w:t>
    </w:r>
    <w:r>
      <w:rPr>
        <w:color w:val="000000"/>
        <w:sz w:val="14"/>
        <w:szCs w:val="14"/>
      </w:rPr>
      <w:fldChar w:fldCharType="begin"/>
    </w:r>
    <w:r>
      <w:rPr>
        <w:color w:val="000000"/>
        <w:sz w:val="14"/>
        <w:szCs w:val="14"/>
      </w:rPr>
      <w:instrText>PAGE</w:instrText>
    </w:r>
    <w:r>
      <w:rPr>
        <w:color w:val="000000"/>
        <w:sz w:val="14"/>
        <w:szCs w:val="14"/>
      </w:rPr>
      <w:fldChar w:fldCharType="separate"/>
    </w:r>
    <w:r w:rsidR="00F20BB8">
      <w:rPr>
        <w:noProof/>
        <w:color w:val="000000"/>
        <w:sz w:val="14"/>
        <w:szCs w:val="14"/>
      </w:rPr>
      <w:t>2</w:t>
    </w:r>
    <w:r>
      <w:rPr>
        <w:color w:val="000000"/>
        <w:sz w:val="14"/>
        <w:szCs w:val="14"/>
      </w:rPr>
      <w:fldChar w:fldCharType="end"/>
    </w:r>
    <w:r>
      <w:rPr>
        <w:color w:val="000000"/>
        <w:sz w:val="14"/>
        <w:szCs w:val="14"/>
      </w:rPr>
      <w:t>/</w:t>
    </w:r>
    <w:r>
      <w:rPr>
        <w:color w:val="000000"/>
        <w:sz w:val="14"/>
        <w:szCs w:val="14"/>
      </w:rPr>
      <w:fldChar w:fldCharType="begin"/>
    </w:r>
    <w:r>
      <w:rPr>
        <w:color w:val="000000"/>
        <w:sz w:val="14"/>
        <w:szCs w:val="14"/>
      </w:rPr>
      <w:instrText>NUMPAGES</w:instrText>
    </w:r>
    <w:r>
      <w:rPr>
        <w:color w:val="000000"/>
        <w:sz w:val="14"/>
        <w:szCs w:val="14"/>
      </w:rPr>
      <w:fldChar w:fldCharType="separate"/>
    </w:r>
    <w:r w:rsidR="00F20BB8">
      <w:rPr>
        <w:noProof/>
        <w:color w:val="000000"/>
        <w:sz w:val="14"/>
        <w:szCs w:val="14"/>
      </w:rPr>
      <w:t>2</w:t>
    </w:r>
    <w:r>
      <w:rPr>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A8E8" w14:textId="77777777" w:rsidR="00CC1027" w:rsidRDefault="002B3E7B">
    <w:pPr>
      <w:pBdr>
        <w:top w:val="nil"/>
        <w:left w:val="nil"/>
        <w:bottom w:val="nil"/>
        <w:right w:val="nil"/>
        <w:between w:val="nil"/>
      </w:pBdr>
      <w:tabs>
        <w:tab w:val="right" w:pos="7083"/>
        <w:tab w:val="right" w:pos="8640"/>
      </w:tabs>
      <w:jc w:val="both"/>
      <w:rPr>
        <w:b/>
        <w:bCs/>
        <w:color w:val="E1000F"/>
        <w:sz w:val="14"/>
        <w:szCs w:val="14"/>
      </w:rPr>
    </w:pPr>
    <w:r>
      <w:rPr>
        <w:b/>
        <w:bCs/>
        <w:color w:val="E1000F"/>
        <w:sz w:val="36"/>
        <w:szCs w:val="36"/>
        <w:vertAlign w:val="subscript"/>
      </w:rPr>
      <w:t xml:space="preserve"> </w:t>
    </w:r>
    <w:r>
      <w:rPr>
        <w:b/>
        <w:bCs/>
        <w:color w:val="E1000F"/>
        <w:sz w:val="14"/>
        <w:szCs w:val="14"/>
      </w:rPr>
      <w:t xml:space="preserve"> </w:t>
    </w:r>
    <w:r>
      <w:rPr>
        <w:color w:val="E1000F"/>
        <w:sz w:val="14"/>
        <w:szCs w:val="14"/>
      </w:rPr>
      <w:t xml:space="preserve">     </w:t>
    </w:r>
  </w:p>
  <w:p w14:paraId="000FCB37" w14:textId="77777777" w:rsidR="00CC1027" w:rsidRDefault="002B3E7B">
    <w:pPr>
      <w:pBdr>
        <w:top w:val="nil"/>
        <w:left w:val="nil"/>
        <w:bottom w:val="nil"/>
        <w:right w:val="nil"/>
        <w:between w:val="nil"/>
      </w:pBdr>
      <w:tabs>
        <w:tab w:val="right" w:pos="7083"/>
        <w:tab w:val="right" w:pos="8640"/>
        <w:tab w:val="right" w:pos="9071"/>
      </w:tabs>
      <w:jc w:val="both"/>
      <w:rPr>
        <w:color w:val="E1000F"/>
        <w:sz w:val="14"/>
        <w:szCs w:val="14"/>
      </w:rPr>
    </w:pPr>
    <w:r>
      <w:rPr>
        <w:b/>
        <w:bCs/>
        <w:color w:val="E1000F"/>
        <w:sz w:val="14"/>
        <w:szCs w:val="14"/>
      </w:rPr>
      <w:tab/>
    </w:r>
    <w:r>
      <w:rPr>
        <w:b/>
        <w:bCs/>
        <w:color w:val="E1000F"/>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08249" w14:textId="77777777" w:rsidR="005C4147" w:rsidRDefault="005C4147">
      <w:r>
        <w:separator/>
      </w:r>
    </w:p>
  </w:footnote>
  <w:footnote w:type="continuationSeparator" w:id="0">
    <w:p w14:paraId="5D1AC460" w14:textId="77777777" w:rsidR="005C4147" w:rsidRDefault="005C4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E82B" w14:textId="77777777" w:rsidR="00CC1027" w:rsidRDefault="002B3E7B">
    <w:pPr>
      <w:pBdr>
        <w:top w:val="nil"/>
        <w:left w:val="nil"/>
        <w:bottom w:val="nil"/>
        <w:right w:val="nil"/>
        <w:between w:val="nil"/>
      </w:pBdr>
      <w:tabs>
        <w:tab w:val="center" w:pos="4320"/>
        <w:tab w:val="right" w:pos="8640"/>
      </w:tabs>
      <w:jc w:val="right"/>
      <w:rPr>
        <w:color w:val="000000"/>
      </w:rPr>
    </w:pPr>
    <w:r>
      <w:rPr>
        <w:noProof/>
        <w:color w:val="000000"/>
      </w:rPr>
      <mc:AlternateContent>
        <mc:Choice Requires="wpg">
          <w:drawing>
            <wp:anchor distT="0" distB="0" distL="114300" distR="114300" simplePos="0" relativeHeight="251658240" behindDoc="0" locked="0" layoutInCell="1" hidden="0" allowOverlap="1" wp14:anchorId="2CECA825" wp14:editId="0DFB5F46">
              <wp:simplePos x="0" y="0"/>
              <wp:positionH relativeFrom="page">
                <wp:posOffset>180340</wp:posOffset>
              </wp:positionH>
              <wp:positionV relativeFrom="page">
                <wp:posOffset>3780790</wp:posOffset>
              </wp:positionV>
              <wp:extent cx="183515" cy="3796030"/>
              <wp:effectExtent l="0" t="0" r="0" b="0"/>
              <wp:wrapNone/>
              <wp:docPr id="2" name="Groupe 2"/>
              <wp:cNvGraphicFramePr/>
              <a:graphic xmlns:a="http://schemas.openxmlformats.org/drawingml/2006/main">
                <a:graphicData uri="http://schemas.microsoft.com/office/word/2010/wordprocessingGroup">
                  <wpg:wgp>
                    <wpg:cNvGrpSpPr/>
                    <wpg:grpSpPr>
                      <a:xfrm>
                        <a:off x="0" y="0"/>
                        <a:ext cx="183515" cy="3796030"/>
                        <a:chOff x="5254225" y="1877200"/>
                        <a:chExt cx="183550" cy="3805600"/>
                      </a:xfrm>
                    </wpg:grpSpPr>
                    <wpg:grpSp>
                      <wpg:cNvPr id="314845483" name="Groupe 314845483"/>
                      <wpg:cNvGrpSpPr/>
                      <wpg:grpSpPr>
                        <a:xfrm>
                          <a:off x="5254243" y="1881985"/>
                          <a:ext cx="183515" cy="3796030"/>
                          <a:chOff x="0" y="5954"/>
                          <a:chExt cx="283" cy="5953"/>
                        </a:xfrm>
                      </wpg:grpSpPr>
                      <wps:wsp>
                        <wps:cNvPr id="1067604094" name="Rectangle 1067604094"/>
                        <wps:cNvSpPr/>
                        <wps:spPr>
                          <a:xfrm>
                            <a:off x="0" y="5954"/>
                            <a:ext cx="275" cy="5950"/>
                          </a:xfrm>
                          <a:prstGeom prst="rect">
                            <a:avLst/>
                          </a:prstGeom>
                          <a:noFill/>
                          <a:ln>
                            <a:noFill/>
                          </a:ln>
                        </wps:spPr>
                        <wps:txbx>
                          <w:txbxContent>
                            <w:p w14:paraId="7C2AF4EF" w14:textId="77777777" w:rsidR="00CC1027" w:rsidRDefault="00CC1027">
                              <w:pPr>
                                <w:textDirection w:val="btLr"/>
                              </w:pPr>
                            </w:p>
                          </w:txbxContent>
                        </wps:txbx>
                        <wps:bodyPr spcFirstLastPara="1" wrap="square" lIns="91425" tIns="91425" rIns="91425" bIns="91425" anchor="ctr" anchorCtr="0">
                          <a:noAutofit/>
                        </wps:bodyPr>
                      </wps:wsp>
                      <wps:wsp>
                        <wps:cNvPr id="1175400787" name="Connecteur droit avec flèche 1175400787"/>
                        <wps:cNvCnPr/>
                        <wps:spPr>
                          <a:xfrm>
                            <a:off x="0" y="5954"/>
                            <a:ext cx="283" cy="0"/>
                          </a:xfrm>
                          <a:prstGeom prst="straightConnector1">
                            <a:avLst/>
                          </a:prstGeom>
                          <a:noFill/>
                          <a:ln w="9525" cap="flat" cmpd="sng">
                            <a:solidFill>
                              <a:srgbClr val="E1000F"/>
                            </a:solidFill>
                            <a:prstDash val="solid"/>
                            <a:round/>
                            <a:headEnd type="none" w="med" len="med"/>
                            <a:tailEnd type="none" w="med" len="med"/>
                          </a:ln>
                        </wps:spPr>
                        <wps:bodyPr/>
                      </wps:wsp>
                      <wps:wsp>
                        <wps:cNvPr id="1859364436" name="Connecteur droit avec flèche 1859364436"/>
                        <wps:cNvCnPr/>
                        <wps:spPr>
                          <a:xfrm>
                            <a:off x="0" y="8420"/>
                            <a:ext cx="283" cy="0"/>
                          </a:xfrm>
                          <a:prstGeom prst="straightConnector1">
                            <a:avLst/>
                          </a:prstGeom>
                          <a:noFill/>
                          <a:ln w="9525" cap="flat" cmpd="sng">
                            <a:solidFill>
                              <a:srgbClr val="E1000F"/>
                            </a:solidFill>
                            <a:prstDash val="solid"/>
                            <a:round/>
                            <a:headEnd type="none" w="med" len="med"/>
                            <a:tailEnd type="none" w="med" len="med"/>
                          </a:ln>
                        </wps:spPr>
                        <wps:bodyPr/>
                      </wps:wsp>
                      <wps:wsp>
                        <wps:cNvPr id="1646474901" name="Connecteur droit avec flèche 1646474901"/>
                        <wps:cNvCnPr/>
                        <wps:spPr>
                          <a:xfrm>
                            <a:off x="0" y="11907"/>
                            <a:ext cx="283" cy="0"/>
                          </a:xfrm>
                          <a:prstGeom prst="straightConnector1">
                            <a:avLst/>
                          </a:prstGeom>
                          <a:noFill/>
                          <a:ln w="9525" cap="flat" cmpd="sng">
                            <a:solidFill>
                              <a:srgbClr val="E1000F"/>
                            </a:solidFill>
                            <a:prstDash val="solid"/>
                            <a:round/>
                            <a:headEnd type="none" w="med" len="med"/>
                            <a:tailEnd type="none" w="med" len="med"/>
                          </a:ln>
                        </wps:spPr>
                        <wps:bodyPr/>
                      </wps:wsp>
                    </wpg:grpSp>
                  </wpg:wgp>
                </a:graphicData>
              </a:graphic>
            </wp:anchor>
          </w:drawing>
        </mc:Choice>
        <mc:Fallback>
          <w:pict>
            <v:group w14:anchorId="2CECA825" id="Groupe 2" o:spid="_x0000_s1026" style="position:absolute;left:0;text-align:left;margin-left:14.2pt;margin-top:297.7pt;width:14.45pt;height:298.9pt;z-index:251658240;mso-position-horizontal-relative:page;mso-position-vertical-relative:page" coordorigin="52542,18772" coordsize="1835,38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">
              <v:group id="Groupe 314845483" o:spid="_x0000_s1027" style="position:absolute;left:52542;top:18819;width:1835;height:37961" coordorigin=",5954" coordsize="283,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">
                <v:rect id="Rectangle 1067604094" o:spid="_x0000_s1028" style="position:absolute;top:5954;width:275;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" filled="f" stroked="f">
                  <v:textbox inset="2.53958mm,2.53958mm,2.53958mm,2.53958mm">
                    <w:txbxContent>
                      <w:p w14:paraId="7C2AF4EF" w14:textId="77777777" w:rsidR="00CC1027" w:rsidRDefault="00CC1027">
                        <w:pPr>
                          <w:textDirection w:val="btLr"/>
                        </w:pPr>
                      </w:p>
                    </w:txbxContent>
                  </v:textbox>
                </v:rect>
                <v:shapetype id="_x0000_t32" coordsize="21600,21600" o:spt="32" o:oned="t" path="m,l21600,21600e" filled="f">
                  <v:path arrowok="t" fillok="f" o:connecttype="none"/>
                  <o:lock v:ext="edit" shapetype="t"/>
                </v:shapetype>
                <v:shape id="Connecteur droit avec flèche 1175400787" o:spid="_x0000_s1029" type="#_x0000_t32" style="position:absolute;top:5954;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" strokecolor="#e1000f"/>
                <v:shape id="Connecteur droit avec flèche 1859364436" o:spid="_x0000_s1030" type="#_x0000_t32" style="position:absolute;top:8420;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" strokecolor="#e1000f"/>
                <v:shape id="Connecteur droit avec flèche 1646474901" o:spid="_x0000_s1031" type="#_x0000_t32" style="position:absolute;top:11907;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" strokecolor="#e1000f"/>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017A" w14:textId="77777777" w:rsidR="00CC1027" w:rsidRDefault="002B3E7B">
    <w:pPr>
      <w:pBdr>
        <w:top w:val="nil"/>
        <w:left w:val="nil"/>
        <w:bottom w:val="nil"/>
        <w:right w:val="nil"/>
        <w:between w:val="nil"/>
      </w:pBdr>
      <w:tabs>
        <w:tab w:val="center" w:pos="4320"/>
        <w:tab w:val="right" w:pos="8640"/>
        <w:tab w:val="right" w:pos="9071"/>
      </w:tabs>
      <w:rPr>
        <w:rFonts w:ascii="Calibri" w:eastAsia="Calibri" w:hAnsi="Calibri" w:cs="Calibri"/>
        <w:b/>
        <w:bCs/>
        <w:color w:val="000000"/>
        <w:sz w:val="40"/>
        <w:szCs w:val="40"/>
      </w:rPr>
    </w:pPr>
    <w:r>
      <w:rPr>
        <w:noProof/>
        <w:color w:val="000000"/>
      </w:rPr>
      <w:drawing>
        <wp:anchor distT="0" distB="0" distL="114300" distR="114300" simplePos="0" relativeHeight="251659264" behindDoc="0" locked="0" layoutInCell="1" hidden="0" allowOverlap="1" wp14:anchorId="7F82AD02" wp14:editId="533428DA">
          <wp:simplePos x="0" y="0"/>
          <wp:positionH relativeFrom="margin">
            <wp:posOffset>4982210</wp:posOffset>
          </wp:positionH>
          <wp:positionV relativeFrom="margin">
            <wp:posOffset>-1583054</wp:posOffset>
          </wp:positionV>
          <wp:extent cx="1166495" cy="78930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66495" cy="789305"/>
                  </a:xfrm>
                  <a:prstGeom prst="rect">
                    <a:avLst/>
                  </a:prstGeom>
                  <a:ln/>
                </pic:spPr>
              </pic:pic>
            </a:graphicData>
          </a:graphic>
        </wp:anchor>
      </w:drawing>
    </w:r>
  </w:p>
  <w:p w14:paraId="01FE56B4" w14:textId="77777777" w:rsidR="00CC1027" w:rsidRDefault="00CC1027">
    <w:pPr>
      <w:pBdr>
        <w:top w:val="nil"/>
        <w:left w:val="nil"/>
        <w:bottom w:val="nil"/>
        <w:right w:val="nil"/>
        <w:between w:val="nil"/>
      </w:pBdr>
      <w:tabs>
        <w:tab w:val="center" w:pos="4320"/>
        <w:tab w:val="right" w:pos="8640"/>
        <w:tab w:val="right" w:pos="9071"/>
      </w:tabs>
      <w:rPr>
        <w:rFonts w:ascii="Calibri" w:eastAsia="Calibri" w:hAnsi="Calibri" w:cs="Calibri"/>
        <w:b/>
        <w:bCs/>
        <w:color w:val="000000"/>
        <w:sz w:val="40"/>
        <w:szCs w:val="40"/>
      </w:rPr>
    </w:pPr>
  </w:p>
  <w:p w14:paraId="1550DF68" w14:textId="77777777" w:rsidR="00CC1027" w:rsidRDefault="002B3E7B">
    <w:pPr>
      <w:pBdr>
        <w:top w:val="nil"/>
        <w:left w:val="nil"/>
        <w:bottom w:val="nil"/>
        <w:right w:val="nil"/>
        <w:between w:val="nil"/>
      </w:pBdr>
      <w:tabs>
        <w:tab w:val="center" w:pos="4320"/>
        <w:tab w:val="right" w:pos="8640"/>
        <w:tab w:val="left" w:pos="2607"/>
        <w:tab w:val="right" w:pos="9071"/>
      </w:tabs>
      <w:jc w:val="right"/>
      <w:rPr>
        <w:b/>
        <w:bCs/>
        <w:color w:val="3E3C3C"/>
        <w:sz w:val="40"/>
        <w:szCs w:val="40"/>
      </w:rPr>
    </w:pPr>
    <w:r>
      <w:rPr>
        <w:noProof/>
        <w:color w:val="000000"/>
      </w:rPr>
      <mc:AlternateContent>
        <mc:Choice Requires="wpg">
          <w:drawing>
            <wp:anchor distT="0" distB="0" distL="114300" distR="114300" simplePos="0" relativeHeight="251660288" behindDoc="0" locked="0" layoutInCell="1" hidden="0" allowOverlap="1" wp14:anchorId="1310083E" wp14:editId="6918EC37">
              <wp:simplePos x="0" y="0"/>
              <wp:positionH relativeFrom="page">
                <wp:posOffset>180340</wp:posOffset>
              </wp:positionH>
              <wp:positionV relativeFrom="page">
                <wp:posOffset>3780790</wp:posOffset>
              </wp:positionV>
              <wp:extent cx="179705" cy="3780155"/>
              <wp:effectExtent l="0" t="0" r="0" b="0"/>
              <wp:wrapNone/>
              <wp:docPr id="1" name="Groupe 1"/>
              <wp:cNvGraphicFramePr/>
              <a:graphic xmlns:a="http://schemas.openxmlformats.org/drawingml/2006/main">
                <a:graphicData uri="http://schemas.microsoft.com/office/word/2010/wordprocessingGroup">
                  <wpg:wgp>
                    <wpg:cNvGrpSpPr/>
                    <wpg:grpSpPr>
                      <a:xfrm>
                        <a:off x="0" y="0"/>
                        <a:ext cx="179705" cy="3780155"/>
                        <a:chOff x="5256125" y="1885150"/>
                        <a:chExt cx="179750" cy="3789700"/>
                      </a:xfrm>
                    </wpg:grpSpPr>
                    <wpg:grpSp>
                      <wpg:cNvPr id="1449694119" name="Groupe 1449694119"/>
                      <wpg:cNvGrpSpPr/>
                      <wpg:grpSpPr>
                        <a:xfrm>
                          <a:off x="5256148" y="1889923"/>
                          <a:ext cx="179705" cy="3780155"/>
                          <a:chOff x="0" y="5954"/>
                          <a:chExt cx="283" cy="5953"/>
                        </a:xfrm>
                      </wpg:grpSpPr>
                      <wps:wsp>
                        <wps:cNvPr id="335335911" name="Rectangle 335335911"/>
                        <wps:cNvSpPr/>
                        <wps:spPr>
                          <a:xfrm>
                            <a:off x="0" y="5954"/>
                            <a:ext cx="275" cy="5950"/>
                          </a:xfrm>
                          <a:prstGeom prst="rect">
                            <a:avLst/>
                          </a:prstGeom>
                          <a:noFill/>
                          <a:ln>
                            <a:noFill/>
                          </a:ln>
                        </wps:spPr>
                        <wps:txbx>
                          <w:txbxContent>
                            <w:p w14:paraId="7B17BA6D" w14:textId="77777777" w:rsidR="00CC1027" w:rsidRDefault="00CC1027">
                              <w:pPr>
                                <w:textDirection w:val="btLr"/>
                              </w:pPr>
                            </w:p>
                          </w:txbxContent>
                        </wps:txbx>
                        <wps:bodyPr spcFirstLastPara="1" wrap="square" lIns="91425" tIns="91425" rIns="91425" bIns="91425" anchor="ctr" anchorCtr="0">
                          <a:noAutofit/>
                        </wps:bodyPr>
                      </wps:wsp>
                      <wps:wsp>
                        <wps:cNvPr id="1150180073" name="Connecteur droit avec flèche 1150180073"/>
                        <wps:cNvCnPr/>
                        <wps:spPr>
                          <a:xfrm>
                            <a:off x="0" y="5954"/>
                            <a:ext cx="283" cy="0"/>
                          </a:xfrm>
                          <a:prstGeom prst="straightConnector1">
                            <a:avLst/>
                          </a:prstGeom>
                          <a:noFill/>
                          <a:ln w="9525" cap="flat" cmpd="sng">
                            <a:solidFill>
                              <a:srgbClr val="E1000F"/>
                            </a:solidFill>
                            <a:prstDash val="solid"/>
                            <a:round/>
                            <a:headEnd type="none" w="med" len="med"/>
                            <a:tailEnd type="none" w="med" len="med"/>
                          </a:ln>
                        </wps:spPr>
                        <wps:bodyPr/>
                      </wps:wsp>
                      <wps:wsp>
                        <wps:cNvPr id="1655244922" name="Connecteur droit avec flèche 1655244922"/>
                        <wps:cNvCnPr/>
                        <wps:spPr>
                          <a:xfrm>
                            <a:off x="0" y="8420"/>
                            <a:ext cx="283" cy="0"/>
                          </a:xfrm>
                          <a:prstGeom prst="straightConnector1">
                            <a:avLst/>
                          </a:prstGeom>
                          <a:noFill/>
                          <a:ln w="9525" cap="flat" cmpd="sng">
                            <a:solidFill>
                              <a:srgbClr val="E1000F"/>
                            </a:solidFill>
                            <a:prstDash val="solid"/>
                            <a:round/>
                            <a:headEnd type="none" w="med" len="med"/>
                            <a:tailEnd type="none" w="med" len="med"/>
                          </a:ln>
                        </wps:spPr>
                        <wps:bodyPr/>
                      </wps:wsp>
                      <wps:wsp>
                        <wps:cNvPr id="597679178" name="Connecteur droit avec flèche 597679178"/>
                        <wps:cNvCnPr/>
                        <wps:spPr>
                          <a:xfrm>
                            <a:off x="0" y="11907"/>
                            <a:ext cx="283" cy="0"/>
                          </a:xfrm>
                          <a:prstGeom prst="straightConnector1">
                            <a:avLst/>
                          </a:prstGeom>
                          <a:noFill/>
                          <a:ln w="9525" cap="flat" cmpd="sng">
                            <a:solidFill>
                              <a:srgbClr val="E1000F"/>
                            </a:solidFill>
                            <a:prstDash val="solid"/>
                            <a:round/>
                            <a:headEnd type="none" w="med" len="med"/>
                            <a:tailEnd type="none" w="med" len="med"/>
                          </a:ln>
                        </wps:spPr>
                        <wps:bodyPr/>
                      </wps:wsp>
                    </wpg:grpSp>
                  </wpg:wgp>
                </a:graphicData>
              </a:graphic>
            </wp:anchor>
          </w:drawing>
        </mc:Choice>
        <mc:Fallback>
          <w:pict>
            <v:group w14:anchorId="1310083E" id="Groupe 1" o:spid="_x0000_s1032" style="position:absolute;left:0;text-align:left;margin-left:14.2pt;margin-top:297.7pt;width:14.15pt;height:297.65pt;z-index:251660288;mso-position-horizontal-relative:page;mso-position-vertical-relative:page" coordorigin="52561,18851" coordsize="1797,3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">
              <v:group id="Groupe 1449694119" o:spid="_x0000_s1033" style="position:absolute;left:52561;top:18899;width:1797;height:37801" coordorigin=",5954" coordsize="283,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">
                <v:rect id="Rectangle 335335911" o:spid="_x0000_s1034" style="position:absolute;top:5954;width:275;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" filled="f" stroked="f">
                  <v:textbox inset="2.53958mm,2.53958mm,2.53958mm,2.53958mm">
                    <w:txbxContent>
                      <w:p w14:paraId="7B17BA6D" w14:textId="77777777" w:rsidR="00CC1027" w:rsidRDefault="00CC1027">
                        <w:pPr>
                          <w:textDirection w:val="btLr"/>
                        </w:pPr>
                      </w:p>
                    </w:txbxContent>
                  </v:textbox>
                </v:rect>
                <v:shapetype id="_x0000_t32" coordsize="21600,21600" o:spt="32" o:oned="t" path="m,l21600,21600e" filled="f">
                  <v:path arrowok="t" fillok="f" o:connecttype="none"/>
                  <o:lock v:ext="edit" shapetype="t"/>
                </v:shapetype>
                <v:shape id="Connecteur droit avec flèche 1150180073" o:spid="_x0000_s1035" type="#_x0000_t32" style="position:absolute;top:5954;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" strokecolor="#e1000f"/>
                <v:shape id="Connecteur droit avec flèche 1655244922" o:spid="_x0000_s1036" type="#_x0000_t32" style="position:absolute;top:8420;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" strokecolor="#e1000f"/>
                <v:shape id="Connecteur droit avec flèche 597679178" o:spid="_x0000_s1037" type="#_x0000_t32" style="position:absolute;top:11907;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" strokecolor="#e1000f"/>
              </v:group>
              <w10:wrap anchorx="page" anchory="page"/>
            </v:group>
          </w:pict>
        </mc:Fallback>
      </mc:AlternateContent>
    </w:r>
    <w:r>
      <w:rPr>
        <w:b/>
        <w:bCs/>
        <w:color w:val="3E3C3C"/>
        <w:sz w:val="40"/>
        <w:szCs w:val="40"/>
      </w:rP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7474"/>
    <w:multiLevelType w:val="multilevel"/>
    <w:tmpl w:val="CDCE08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751737"/>
    <w:multiLevelType w:val="multilevel"/>
    <w:tmpl w:val="A57AD8D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6327655">
    <w:abstractNumId w:val="1"/>
  </w:num>
  <w:num w:numId="2" w16cid:durableId="1069233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027"/>
    <w:rsid w:val="002B3E7B"/>
    <w:rsid w:val="003B750E"/>
    <w:rsid w:val="00414254"/>
    <w:rsid w:val="005C4147"/>
    <w:rsid w:val="005C44E0"/>
    <w:rsid w:val="006849A5"/>
    <w:rsid w:val="006E094B"/>
    <w:rsid w:val="00730890"/>
    <w:rsid w:val="00782CB7"/>
    <w:rsid w:val="007C6321"/>
    <w:rsid w:val="008918CB"/>
    <w:rsid w:val="00904331"/>
    <w:rsid w:val="00AE1980"/>
    <w:rsid w:val="00AE384E"/>
    <w:rsid w:val="00B007CF"/>
    <w:rsid w:val="00BE1AA6"/>
    <w:rsid w:val="00BF55FA"/>
    <w:rsid w:val="00CC1027"/>
    <w:rsid w:val="00D3081C"/>
    <w:rsid w:val="00E32ED3"/>
    <w:rsid w:val="00F20BB8"/>
    <w:rsid w:val="00F248FF"/>
    <w:rsid w:val="00F914DE"/>
    <w:rsid w:val="00FD32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6EFCE"/>
  <w15:docId w15:val="{E8F83E17-7A3B-4C5A-8D41-C87E50E9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outlineLvl w:val="0"/>
    </w:pPr>
    <w:rPr>
      <w:b/>
      <w:bCs/>
      <w:sz w:val="36"/>
      <w:szCs w:val="36"/>
    </w:rPr>
  </w:style>
  <w:style w:type="paragraph" w:styleId="Titre2">
    <w:name w:val="heading 2"/>
    <w:basedOn w:val="Normal"/>
    <w:next w:val="Normal"/>
    <w:uiPriority w:val="9"/>
    <w:semiHidden/>
    <w:unhideWhenUsed/>
    <w:qFormat/>
    <w:pPr>
      <w:keepNext/>
      <w:outlineLvl w:val="1"/>
    </w:pPr>
    <w:rPr>
      <w:color w:val="E1000F"/>
      <w:sz w:val="22"/>
      <w:szCs w:val="22"/>
    </w:rPr>
  </w:style>
  <w:style w:type="paragraph" w:styleId="Titre3">
    <w:name w:val="heading 3"/>
    <w:basedOn w:val="Normal"/>
    <w:next w:val="Normal"/>
    <w:uiPriority w:val="9"/>
    <w:semiHidden/>
    <w:unhideWhenUsed/>
    <w:qFormat/>
    <w:pPr>
      <w:keepNext/>
      <w:outlineLvl w:val="2"/>
    </w:pPr>
    <w:rPr>
      <w:color w:val="000000"/>
      <w:sz w:val="22"/>
      <w:szCs w:val="22"/>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vision">
    <w:name w:val="Revision"/>
    <w:hidden/>
    <w:uiPriority w:val="99"/>
    <w:semiHidden/>
    <w:rsid w:val="005C4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ctavie.blandin@henke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henkel.fr" TargetMode="External"/><Relationship Id="rId4" Type="http://schemas.openxmlformats.org/officeDocument/2006/relationships/styles" Target="styles.xml"/><Relationship Id="rId9" Type="http://schemas.openxmlformats.org/officeDocument/2006/relationships/hyperlink" Target="http://www.henke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04p5aW+JNTKe0pHXOqLezGw7+w==">CgMxLjA4AGokChRzdWdnZXN0LmVpemJ5OXYxeTF1ORIMTG91aXNlIExPUlJZaiMKE3N1Z2dlc3Qub2ZnMWJnaW10NGESDExvdWlzZSBMT1JSWWokChRzdWdnZXN0LmxmanpsZTZ5Ymk5MRIMTG91aXNlIExPUlJZaiQKFHN1Z2dlc3QuamRpZXJ5MWZlcDhvEgxMb3Vpc2UgTE9SUllyITEycmI3SlFkRTkwN2FxOXQ5TnRTR1hvUXJoeXRmSEpFVg==</go:docsCustomData>
</go:gDocsCustomXmlDataStorage>
</file>

<file path=customXml/itemProps1.xml><?xml version="1.0" encoding="utf-8"?>
<ds:datastoreItem xmlns:ds="http://schemas.openxmlformats.org/officeDocument/2006/customXml" ds:itemID="{7238E8BC-0598-45F9-9040-6605EB04862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8701075-0d9e-4ea1-991d-5a0d110a5d29}" enabled="0" method="" siteId="{e8701075-0d9e-4ea1-991d-5a0d110a5d2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995</Words>
  <Characters>6379</Characters>
  <Application>Microsoft Office Word</Application>
  <DocSecurity>0</DocSecurity>
  <Lines>82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Octavie Blandin</dc:creator>
  <cp:lastModifiedBy>Octavie Blandin</cp:lastModifiedBy>
  <cp:revision>3</cp:revision>
  <cp:lastPrinted>2026-07-08T18:05:00Z</cp:lastPrinted>
  <dcterms:created xsi:type="dcterms:W3CDTF">2026-07-08T18:05:00Z</dcterms:created>
  <dcterms:modified xsi:type="dcterms:W3CDTF">2026-07-08T18:06:00Z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0x010100C0B3A211AF7228419C4AC427929EF557</vt:lpwstr>
  </property>
</Properties>
</file>