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both"/>
        <w:rPr>
          <w:rFonts w:ascii="Quattrocento Sans" w:cs="Quattrocento Sans" w:eastAsia="Quattrocento Sans" w:hAnsi="Quattrocento Sans"/>
          <w:b w:val="1"/>
          <w:bCs w:val="1"/>
          <w:sz w:val="34"/>
          <w:szCs w:val="34"/>
        </w:rPr>
      </w:pPr>
      <w:bookmarkStart w:colFirst="0" w:colLast="0" w:name="_heading=h.npahtq297uw6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34"/>
          <w:szCs w:val="34"/>
          <w:rtl w:val="0"/>
        </w:rPr>
        <w:t xml:space="preserve">65 años de Agorex: una marca que se pegó en generaciones de chilenos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0"/>
          <w:szCs w:val="20"/>
          <w:rtl w:val="0"/>
        </w:rPr>
        <w:t xml:space="preserve">Desde proyectos de construcción y trabajos de oficio, hasta reparaciones y mejoras en el hogar, Agorex, de Henkel, refleja la evolución de los hábitos de consumo, las exigencias de seguridad y la permanencia de una marca en la memoria cotidiana del país.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0"/>
          <w:szCs w:val="20"/>
          <w:rtl w:val="0"/>
        </w:rPr>
        <w:t xml:space="preserve">Santiago,  junio de 2026</w:t>
      </w: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. Durante más de seis décadas, Agorex ha estado presente en distintos espacios de la vida cotidiana de los chilenos, desde obras de construcción y talleres hasta proyectos y reparaciones realizadas en el hogar. Este año, la marca de Henkel cumple 65 años en el país, consolidando una trayectoria vinculada al trabajo, los oficios y la evolución de la industria de los adhesivos.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 lo largo de estas décadas, la marca ha acompañado distintas transformaciones del mercado y de las necesidades de los usuarios, manteniendo presencia tanto en labores profesionales como en proyectos desarrollados por personas que realizan mejoras, creaciones y reparaciones en sus hogares.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El aniversario ocurre en un contexto en que la relación entre consumidores y marcas se ha vuelto más exigente. Hoy, atributos como la confianza, la seguridad y el respaldo tienen un rol cada vez más relevante en las decisiones de compra, especialmente en categorías vinculadas al hogar, la construcción y el uso cotidiano.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 paralelo, la categoría de adhesivos también ha evolucionado durante las últimas décadas. Nuevas aplicaciones, mayores exigencias técnicas y estándares más altos en seguridad y desempeño han transformado las expectativas tanto de consumidores como de profesionales. En ese escenario, el negocio de Adhesive Technologies de Henkel, a través de su marca Agorex, ha impulsado distintos procesos de mejora y actualización de sus productos a lo largo de la historia, entre ellos la eliminación del tolueno de sus fórmulas, como parte del fortalecimiento continuo de sus estándares de seguridad.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“Las marcas que permanecen en el tiempo son aquellas que logran seguir presentes en la vida de las personas generación tras generación. Agorex ha sido parte de proyectos, aprendizajes, oficios y reparaciones cotidianas durante 65 años, y para nosotros es un orgullo haber construido una relación cercana y reconocible con los chilenos", señala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0"/>
          <w:szCs w:val="20"/>
          <w:rtl w:val="0"/>
        </w:rPr>
        <w:t xml:space="preserve">Ángela Robles, Brand Manager para Adhesivos de Consumo y Construcción en Henkel Chile. 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La conmemoración de este aniversario se alinea al propósito de la marca "</w:t>
      </w: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Agorex, el poder que te impulsa",  el cual busca relevar el vínculo que ha construido con distintas generaciones de usuarios a lo largo de todas las etapas de su vida.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0"/>
          <w:szCs w:val="20"/>
          <w:rtl w:val="0"/>
        </w:rPr>
        <w:t xml:space="preserve">Ruta 65 recorrió Chile en el marco del aniversario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Como parte de esta celebración, Agorex impulsó la “Ruta 65”, una iniciativa que recorrió más de 60 puntos del país con el objetivo de acercarse a maestros, ferreteros, contratistas y familias que han sido parte de la historia de la marca. El recorrido incluyó juegos, activaciones y premios para los participantes, poniendo el foco en las personas y en los múltiples espacios donde Agorex ha construido una presencia reconocible dentro de la vida cotidiana chilena. 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“Cumplir 65 años también es una oportunidad para reencontrarse con quienes han sido parte de este recorrido. Detrás de una marca con larga trayectoria existen historias, oficios, experiencias y vínculos que se han construido durante décadas”, agrega Robles.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Más allá de la conmemoración, el aniversario reflejó también la evolución de una categoría presente en múltiples ámbitos de la vida cotidiana y la capacidad de una marca para mantenerse vigente en un entorno marcado por nuevas exigencias, tecnologías y formas de uso.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16"/>
          <w:szCs w:val="16"/>
          <w:rtl w:val="0"/>
        </w:rPr>
        <w:t xml:space="preserve">Acerca de Henkel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Con sus marcas, innovaciones y tecnologías, Henkel ocupa posiciones de liderazgo a nivel mundial tanto en los mercados industriales como de consumo. Su unidad de negocio Adhesive Technologies es líder global en el mercado de adhesivos, selladores y recubrimientos. A través de Consumer Brands, la compañía mantiene posiciones destacadas, especialmente en las categorías de cuidado del hogar y lavandería, así como en cuidado del cabello, en numerosos mercados alrededor del mundo.</w:t>
        <w:br w:type="textWrapping"/>
        <w:t xml:space="preserve">Las tres marcas más importantes de la compañía son Loctite, Persil y Schwarzkopf. En el ejercicio fiscal 2025, Henkel registró ventas por aproximadamente 20.500 millones de euros y una utilidad operativa ajustada cercana a los 3.000 millones de euros. Sus acciones preferentes cotizan en el índice bursátil alemán DAX. La sostenibilidad es parte de la tradición de Henkel desde hace décadas, y la compañía cuenta con una estrategia clara en esta materia, respaldada por objetivos concretos. Fundada en 1876, Henkel emplea actualmente a cerca de 47.000 personas en todo el mundo, quienes comparten una sólida cultura corporativa, valores comunes y un mismo propósito: “Pioneros de corazón para el bien de las generaciones”. Más información en </w:t>
      </w:r>
      <w:hyperlink r:id="rId7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16"/>
            <w:szCs w:val="16"/>
            <w:u w:val="single"/>
            <w:rtl w:val="0"/>
          </w:rPr>
          <w:t xml:space="preserve">www.henkel.com.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16"/>
          <w:szCs w:val="16"/>
          <w:rtl w:val="0"/>
        </w:rPr>
        <w:t xml:space="preserve">Acerca de Henkel en Chile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jc w:val="both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Henkel tiene más de 40 años en Chile. Respaldada por su reconocida calidad a nivel mundial, comercializa en el país exitosamente productos en los sectores de Adhesive Technologies y Consumer Brands. Henkel en Chile reportó ventas en el 2025 de más de 72,8 millones de euros, lo que equivale a más de 78.249 millones de pesos chilenos. Cuenta con cerca de 300 colaboradores distribuidos en sus oficinas corporativas, plantas en Quilicura y Pudahuel, así como sus Centros de Distribución. Más información en</w:t>
      </w:r>
      <w:hyperlink r:id="rId8">
        <w:r w:rsidDel="00000000" w:rsidR="00000000" w:rsidRPr="00000000">
          <w:rPr>
            <w:rFonts w:ascii="Quattrocento Sans" w:cs="Quattrocento Sans" w:eastAsia="Quattrocento Sans" w:hAnsi="Quattrocento Sans"/>
            <w:sz w:val="16"/>
            <w:szCs w:val="16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Quattrocento Sans" w:cs="Quattrocento Sans" w:eastAsia="Quattrocento Sans" w:hAnsi="Quattrocento Sans"/>
            <w:color w:val="0070c0"/>
            <w:sz w:val="16"/>
            <w:szCs w:val="16"/>
            <w:u w:val="single"/>
            <w:rtl w:val="0"/>
          </w:rPr>
          <w:t xml:space="preserve">www.henkel.cl</w:t>
        </w:r>
      </w:hyperlink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after="200" w:before="240" w:lineRule="auto"/>
        <w:jc w:val="center"/>
        <w:rPr>
          <w:rFonts w:ascii="Quattrocento Sans" w:cs="Quattrocento Sans" w:eastAsia="Quattrocento Sans" w:hAnsi="Quattrocento Sans"/>
          <w:sz w:val="14"/>
          <w:szCs w:val="1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4"/>
          <w:szCs w:val="14"/>
          <w:rtl w:val="0"/>
        </w:rPr>
        <w:t xml:space="preserve">***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16"/>
          <w:szCs w:val="16"/>
          <w:rtl w:val="0"/>
        </w:rPr>
        <w:t xml:space="preserve">CONTACTO DE PRENSA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Nicolás Gamboa  </w:t>
      </w:r>
      <w:hyperlink r:id="rId10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16"/>
            <w:szCs w:val="16"/>
            <w:u w:val="single"/>
            <w:rtl w:val="0"/>
          </w:rPr>
          <w:t xml:space="preserve">nicolas.gamboa@headline.cl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Headline Comunicaciones Estratégicas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Periodista Ejecutivo de Cuentas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+569 93469628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even"/>
      <w:footerReference r:id="rId13" w:type="default"/>
      <w:footerReference r:id="rId14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419"/>
        <w:tab w:val="right" w:leader="none" w:pos="8838"/>
      </w:tabs>
      <w:spacing w:line="240" w:lineRule="auto"/>
      <w:rPr/>
    </w:pPr>
    <w:r w:rsidDel="00000000" w:rsidR="00000000" w:rsidRPr="00000000">
      <w:rPr/>
      <w:drawing>
        <wp:inline distB="0" distT="0" distL="0" distR="0">
          <wp:extent cx="5731200" cy="6096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419"/>
        <w:tab w:val="right" w:leader="none" w:pos="8838"/>
      </w:tabs>
      <w:spacing w:line="240" w:lineRule="auto"/>
      <w:rPr/>
    </w:pPr>
    <w:r w:rsidDel="00000000" w:rsidR="00000000" w:rsidRPr="00000000">
      <w:rPr/>
      <w:drawing>
        <wp:inline distB="0" distT="0" distL="0" distR="0">
          <wp:extent cx="5731200" cy="6096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left" w:leader="none" w:pos="2607"/>
        <w:tab w:val="center" w:leader="none" w:pos="4320"/>
        <w:tab w:val="right" w:leader="none" w:pos="9356"/>
      </w:tabs>
      <w:spacing w:before="1440" w:lineRule="auto"/>
      <w:jc w:val="right"/>
      <w:rPr>
        <w:rFonts w:ascii="Quattrocento Sans" w:cs="Quattrocento Sans" w:eastAsia="Quattrocento Sans" w:hAnsi="Quattrocento Sans"/>
        <w:b w:val="1"/>
        <w:bCs w:val="1"/>
        <w:color w:val="3e3c3c"/>
        <w:sz w:val="40"/>
        <w:szCs w:val="40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bCs w:val="1"/>
        <w:color w:val="3e3c3c"/>
        <w:sz w:val="40"/>
        <w:szCs w:val="40"/>
        <w:rtl w:val="0"/>
      </w:rPr>
      <w:t xml:space="preserve">Comunicado de Prensa</w:t>
      <w:br w:type="textWrapping"/>
    </w:r>
    <w:r w:rsidDel="00000000" w:rsidR="00000000" w:rsidRPr="00000000">
      <w:rPr>
        <w:rFonts w:ascii="Quattrocento Sans" w:cs="Quattrocento Sans" w:eastAsia="Quattrocento Sans" w:hAnsi="Quattrocento Sans"/>
        <w:rtl w:val="0"/>
      </w:rPr>
      <w:t xml:space="preserve"> Junio, 2026</w:t>
    </w:r>
    <w:r w:rsidDel="00000000" w:rsidR="00000000" w:rsidRPr="00000000">
      <w:rPr>
        <w:rFonts w:ascii="Quattrocento Sans" w:cs="Quattrocento Sans" w:eastAsia="Quattrocento Sans" w:hAnsi="Quattrocento Sans"/>
        <w:b w:val="1"/>
        <w:bCs w:val="1"/>
        <w:color w:val="3e3c3c"/>
        <w:sz w:val="40"/>
        <w:szCs w:val="4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56125" y="1889900"/>
                        <a:ext cx="179705" cy="3780155"/>
                        <a:chOff x="5256125" y="1889900"/>
                        <a:chExt cx="179750" cy="3780200"/>
                      </a:xfrm>
                    </wpg:grpSpPr>
                    <wpg:grpSp>
                      <wpg:cNvGrpSpPr/>
                      <wpg:grpSpPr>
                        <a:xfrm>
                          <a:off x="5256148" y="1889923"/>
                          <a:ext cx="179705" cy="3780155"/>
                          <a:chOff x="5256125" y="1889900"/>
                          <a:chExt cx="179750" cy="3780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5256125" y="1889900"/>
                            <a:ext cx="179750" cy="378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256148" y="1889923"/>
                            <a:ext cx="179705" cy="3780155"/>
                            <a:chOff x="5256125" y="1889900"/>
                            <a:chExt cx="179750" cy="37802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5256125" y="1889900"/>
                              <a:ext cx="179750" cy="378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56148" y="1889923"/>
                              <a:ext cx="179705" cy="3780155"/>
                              <a:chOff x="5256125" y="1889900"/>
                              <a:chExt cx="179750" cy="37802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5256125" y="1889900"/>
                                <a:ext cx="179750" cy="378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256148" y="1889923"/>
                                <a:ext cx="179705" cy="3780155"/>
                                <a:chOff x="5256125" y="1889900"/>
                                <a:chExt cx="179750" cy="37802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5256125" y="1889900"/>
                                  <a:ext cx="179750" cy="378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5256148" y="1889923"/>
                                  <a:ext cx="179705" cy="3780155"/>
                                  <a:chOff x="0" y="5954"/>
                                  <a:chExt cx="283" cy="5953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5954"/>
                                    <a:ext cx="275" cy="5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5954"/>
                                    <a:ext cx="28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8420"/>
                                    <a:ext cx="28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11907"/>
                                    <a:ext cx="28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705" cy="37801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4762500</wp:posOffset>
          </wp:positionH>
          <wp:positionV relativeFrom="paragraph">
            <wp:posOffset>-257169</wp:posOffset>
          </wp:positionV>
          <wp:extent cx="1155700" cy="774700"/>
          <wp:effectExtent b="0" l="0" r="0" t="0"/>
          <wp:wrapNone/>
          <wp:docPr descr="Logotipo, nombre de la empresa&#10;&#10;Descripción generada automáticamente" id="2" name="image3.jpg"/>
          <a:graphic>
            <a:graphicData uri="http://schemas.openxmlformats.org/drawingml/2006/picture">
              <pic:pic>
                <pic:nvPicPr>
                  <pic:cNvPr descr="Logotipo, nombre de la empresa&#10;&#10;Descripción generada automáticamente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5700" cy="774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nicolas.gamboa@headline.cl" TargetMode="Externa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enkel.cl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henkel.com" TargetMode="External"/><Relationship Id="rId8" Type="http://schemas.openxmlformats.org/officeDocument/2006/relationships/hyperlink" Target="http://www.henkel.c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M0lWY+svA9xJwx4/Y32qmtVF/Q==">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