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499C6103" w:rsidR="00B422EC" w:rsidRPr="00613DC9" w:rsidRDefault="00D101F5" w:rsidP="00643D8A">
      <w:pPr>
        <w:pStyle w:val="MonthDayYear"/>
        <w:rPr>
          <w:lang w:val="es-ES"/>
        </w:rPr>
      </w:pPr>
      <w:r>
        <w:rPr>
          <w:lang w:val="es-ES"/>
        </w:rPr>
        <w:t>25 de junio</w:t>
      </w:r>
      <w:r w:rsidR="00CA387D">
        <w:rPr>
          <w:lang w:val="es-ES"/>
        </w:rPr>
        <w:t xml:space="preserve"> de 2026</w:t>
      </w:r>
    </w:p>
    <w:p w14:paraId="6E985F73" w14:textId="77777777" w:rsidR="00C04D24" w:rsidRDefault="00C04D24" w:rsidP="00D101F5">
      <w:pPr>
        <w:jc w:val="center"/>
        <w:rPr>
          <w:rStyle w:val="Headline"/>
          <w:lang w:val="es-ES"/>
        </w:rPr>
      </w:pPr>
    </w:p>
    <w:p w14:paraId="45AA718A" w14:textId="619D801E" w:rsidR="009D75E9" w:rsidRDefault="00D101F5" w:rsidP="00D101F5">
      <w:pPr>
        <w:jc w:val="center"/>
        <w:rPr>
          <w:b/>
          <w:bCs/>
          <w:sz w:val="36"/>
          <w:szCs w:val="28"/>
          <w:lang w:val="es-ES"/>
        </w:rPr>
      </w:pPr>
      <w:r w:rsidRPr="00D101F5">
        <w:rPr>
          <w:b/>
          <w:bCs/>
          <w:sz w:val="36"/>
          <w:szCs w:val="28"/>
          <w:lang w:val="es-ES"/>
        </w:rPr>
        <w:t>Día Internacional del Orgullo LGBTQI+: la construcción de oportunidades reales en el mundo corporativo</w:t>
      </w:r>
    </w:p>
    <w:p w14:paraId="72C8F8A3" w14:textId="77777777" w:rsidR="00D101F5" w:rsidRPr="00E95894" w:rsidRDefault="00D101F5" w:rsidP="00CA387D">
      <w:pPr>
        <w:rPr>
          <w:rStyle w:val="Headline"/>
          <w:sz w:val="36"/>
          <w:szCs w:val="28"/>
          <w:lang w:val="es-ES"/>
        </w:rPr>
      </w:pPr>
    </w:p>
    <w:p w14:paraId="100D77B3" w14:textId="77777777" w:rsidR="00C87D2C" w:rsidRPr="00C87D2C" w:rsidRDefault="00A26BF8" w:rsidP="00C87D2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>
        <w:rPr>
          <w:szCs w:val="22"/>
          <w:lang w:val="es-ES"/>
        </w:rPr>
        <w:t xml:space="preserve">Buenos Aires, Argentina - </w:t>
      </w:r>
      <w:r w:rsidR="00C87D2C" w:rsidRPr="00C87D2C">
        <w:rPr>
          <w:szCs w:val="22"/>
          <w:lang w:val="es-ES"/>
        </w:rPr>
        <w:t xml:space="preserve">Hace tiempo que el compromiso con la diversidad empezó a ocupar un lugar muy importante en la cultura organizacional. En un contexto donde </w:t>
      </w:r>
      <w:r w:rsidR="00C87D2C" w:rsidRPr="00C87D2C">
        <w:rPr>
          <w:b/>
          <w:bCs/>
          <w:szCs w:val="22"/>
          <w:lang w:val="es-ES"/>
        </w:rPr>
        <w:t>el acceso al empleo formal todavía representa una barrera para muchos colectivos</w:t>
      </w:r>
      <w:r w:rsidR="00C87D2C" w:rsidRPr="00C87D2C">
        <w:rPr>
          <w:szCs w:val="22"/>
          <w:lang w:val="es-ES"/>
        </w:rPr>
        <w:t>, las empresas tienen por delante el desafío de generar condiciones más equitativas que amplíen oportunidades reales de desarrollo.</w:t>
      </w:r>
    </w:p>
    <w:p w14:paraId="6FB5CB3E" w14:textId="77777777" w:rsidR="00C87D2C" w:rsidRPr="00C87D2C" w:rsidRDefault="00C87D2C" w:rsidP="00C87D2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 w:rsidRPr="00C87D2C">
        <w:rPr>
          <w:szCs w:val="22"/>
          <w:lang w:val="es-ES"/>
        </w:rPr>
        <w:t>Frente a este escenario, algunas compañías empezaron a avanzar con acciones concretas que van más allá de políticas internas. Se buscan iniciativas que también tengan impacto hacia afuera y contribuyan a generar herramientas efectivas para la inserción laboral.</w:t>
      </w:r>
    </w:p>
    <w:p w14:paraId="2C42F2B9" w14:textId="77777777" w:rsidR="00C87D2C" w:rsidRPr="00C87D2C" w:rsidRDefault="00C87D2C" w:rsidP="00C87D2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 w:rsidRPr="00C87D2C">
        <w:rPr>
          <w:szCs w:val="22"/>
          <w:lang w:val="es-ES"/>
        </w:rPr>
        <w:t xml:space="preserve">En ese camino, Henkel Argentina viene profundizando su trabajo en diversidad e inclusión a partir de distintos programas vinculados con la empleabilidad. </w:t>
      </w:r>
      <w:r w:rsidRPr="00C87D2C">
        <w:rPr>
          <w:i/>
          <w:iCs/>
          <w:szCs w:val="22"/>
          <w:lang w:val="es-ES"/>
        </w:rPr>
        <w:t xml:space="preserve">“En Henkel entendemos que la diversidad además de ser un valor </w:t>
      </w:r>
      <w:proofErr w:type="gramStart"/>
      <w:r w:rsidRPr="00C87D2C">
        <w:rPr>
          <w:i/>
          <w:iCs/>
          <w:szCs w:val="22"/>
          <w:lang w:val="es-ES"/>
        </w:rPr>
        <w:t>cultural,</w:t>
      </w:r>
      <w:proofErr w:type="gramEnd"/>
      <w:r w:rsidRPr="00C87D2C">
        <w:rPr>
          <w:i/>
          <w:iCs/>
          <w:szCs w:val="22"/>
          <w:lang w:val="es-ES"/>
        </w:rPr>
        <w:t xml:space="preserve"> es una condición necesaria para construir negocios sostenibles en el tiempo. Por eso, buscamos que nuestro compromiso tenga un impacto tangible, tanto dentro como fuera de la compañía”</w:t>
      </w:r>
      <w:r w:rsidRPr="00C87D2C">
        <w:rPr>
          <w:szCs w:val="22"/>
          <w:lang w:val="es-ES"/>
        </w:rPr>
        <w:t xml:space="preserve">, señala </w:t>
      </w:r>
      <w:r w:rsidRPr="00C87D2C">
        <w:rPr>
          <w:b/>
          <w:bCs/>
          <w:szCs w:val="22"/>
          <w:lang w:val="es-ES"/>
        </w:rPr>
        <w:t xml:space="preserve">Gustavo Di Biassi, General Manager de </w:t>
      </w:r>
      <w:proofErr w:type="spellStart"/>
      <w:r w:rsidRPr="00C87D2C">
        <w:rPr>
          <w:b/>
          <w:bCs/>
          <w:szCs w:val="22"/>
          <w:lang w:val="es-ES"/>
        </w:rPr>
        <w:t>Consumer</w:t>
      </w:r>
      <w:proofErr w:type="spellEnd"/>
      <w:r w:rsidRPr="00C87D2C">
        <w:rPr>
          <w:b/>
          <w:bCs/>
          <w:szCs w:val="22"/>
          <w:lang w:val="es-ES"/>
        </w:rPr>
        <w:t xml:space="preserve"> Brands Professional de Henkel Argentina</w:t>
      </w:r>
      <w:r w:rsidRPr="00C87D2C">
        <w:rPr>
          <w:szCs w:val="22"/>
          <w:lang w:val="es-ES"/>
        </w:rPr>
        <w:t>. </w:t>
      </w:r>
    </w:p>
    <w:p w14:paraId="1F667DF3" w14:textId="77777777" w:rsidR="00C87D2C" w:rsidRPr="00C87D2C" w:rsidRDefault="00C87D2C" w:rsidP="00C87D2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 w:rsidRPr="00C87D2C">
        <w:rPr>
          <w:szCs w:val="22"/>
          <w:lang w:val="es-ES"/>
        </w:rPr>
        <w:t xml:space="preserve">Una de las iniciativas de la compañía es el programa </w:t>
      </w:r>
      <w:r w:rsidRPr="00C87D2C">
        <w:rPr>
          <w:b/>
          <w:bCs/>
          <w:szCs w:val="22"/>
          <w:lang w:val="es-ES"/>
        </w:rPr>
        <w:t>“</w:t>
      </w:r>
      <w:proofErr w:type="spellStart"/>
      <w:r w:rsidRPr="00C87D2C">
        <w:rPr>
          <w:b/>
          <w:bCs/>
          <w:szCs w:val="22"/>
          <w:lang w:val="es-ES"/>
        </w:rPr>
        <w:t>Shaping</w:t>
      </w:r>
      <w:proofErr w:type="spellEnd"/>
      <w:r w:rsidRPr="00C87D2C">
        <w:rPr>
          <w:b/>
          <w:bCs/>
          <w:szCs w:val="22"/>
          <w:lang w:val="es-ES"/>
        </w:rPr>
        <w:t xml:space="preserve"> Futures”</w:t>
      </w:r>
      <w:r w:rsidRPr="00C87D2C">
        <w:rPr>
          <w:szCs w:val="22"/>
          <w:lang w:val="es-ES"/>
        </w:rPr>
        <w:t xml:space="preserve"> desarrollado junto a </w:t>
      </w:r>
      <w:proofErr w:type="spellStart"/>
      <w:r w:rsidRPr="00C87D2C">
        <w:rPr>
          <w:b/>
          <w:bCs/>
          <w:szCs w:val="22"/>
          <w:lang w:val="es-ES"/>
        </w:rPr>
        <w:t>It</w:t>
      </w:r>
      <w:proofErr w:type="spellEnd"/>
      <w:r w:rsidRPr="00C87D2C">
        <w:rPr>
          <w:b/>
          <w:bCs/>
          <w:szCs w:val="22"/>
          <w:lang w:val="es-ES"/>
        </w:rPr>
        <w:t xml:space="preserve"> </w:t>
      </w:r>
      <w:proofErr w:type="spellStart"/>
      <w:r w:rsidRPr="00C87D2C">
        <w:rPr>
          <w:b/>
          <w:bCs/>
          <w:szCs w:val="22"/>
          <w:lang w:val="es-ES"/>
        </w:rPr>
        <w:t>Gets</w:t>
      </w:r>
      <w:proofErr w:type="spellEnd"/>
      <w:r w:rsidRPr="00C87D2C">
        <w:rPr>
          <w:b/>
          <w:bCs/>
          <w:szCs w:val="22"/>
          <w:lang w:val="es-ES"/>
        </w:rPr>
        <w:t xml:space="preserve"> Better Argentina</w:t>
      </w:r>
      <w:r w:rsidRPr="00C87D2C">
        <w:rPr>
          <w:szCs w:val="22"/>
          <w:lang w:val="es-ES"/>
        </w:rPr>
        <w:t>, que está orientado a brindar capacitación en peluquería a personas del colectivo en situación de vulnerabilidad. La formación en el oficio se complementa con contenidos de habilidades blandas, como lo es la atención al cliente, la comunicación efectiva y la escucha activa, aspectos que muchas veces resultan determinantes a la hora de insertarse en el mercado. </w:t>
      </w:r>
    </w:p>
    <w:p w14:paraId="39FA857B" w14:textId="77777777" w:rsidR="00C87D2C" w:rsidRPr="00C87D2C" w:rsidRDefault="00C87D2C" w:rsidP="00C87D2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 w:rsidRPr="005F46C8">
        <w:rPr>
          <w:i/>
          <w:iCs/>
          <w:szCs w:val="22"/>
          <w:lang w:val="es-ES"/>
        </w:rPr>
        <w:lastRenderedPageBreak/>
        <w:t xml:space="preserve">“El objetivo del programa es justamente </w:t>
      </w:r>
      <w:r w:rsidRPr="005F46C8">
        <w:rPr>
          <w:b/>
          <w:bCs/>
          <w:i/>
          <w:iCs/>
          <w:szCs w:val="22"/>
          <w:lang w:val="es-ES"/>
        </w:rPr>
        <w:t>acortar esa distancia entre la formación y el empleo</w:t>
      </w:r>
      <w:r w:rsidRPr="005F46C8">
        <w:rPr>
          <w:i/>
          <w:iCs/>
          <w:szCs w:val="22"/>
          <w:lang w:val="es-ES"/>
        </w:rPr>
        <w:t>. Además de enseñar un oficio: es clave trabajar también en la confianza, en las herramientas para desenvolverse y en generar oportunidades reales de inserción”</w:t>
      </w:r>
      <w:r w:rsidRPr="00C87D2C">
        <w:rPr>
          <w:szCs w:val="22"/>
          <w:lang w:val="es-ES"/>
        </w:rPr>
        <w:t xml:space="preserve">, agrega </w:t>
      </w:r>
      <w:r w:rsidRPr="005F46C8">
        <w:rPr>
          <w:b/>
          <w:bCs/>
          <w:szCs w:val="22"/>
          <w:lang w:val="es-ES"/>
        </w:rPr>
        <w:t>Di Biassi</w:t>
      </w:r>
      <w:r w:rsidRPr="00C87D2C">
        <w:rPr>
          <w:szCs w:val="22"/>
          <w:lang w:val="es-ES"/>
        </w:rPr>
        <w:t>.</w:t>
      </w:r>
    </w:p>
    <w:p w14:paraId="5ADF8DFB" w14:textId="77777777" w:rsidR="00C87D2C" w:rsidRPr="00C87D2C" w:rsidRDefault="00C87D2C" w:rsidP="00C87D2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 w:rsidRPr="00C87D2C">
        <w:rPr>
          <w:szCs w:val="22"/>
          <w:lang w:val="es-ES"/>
        </w:rPr>
        <w:t xml:space="preserve">Detrás de este tipo de iniciativas hay una mirada más amplia sobre </w:t>
      </w:r>
      <w:r w:rsidRPr="005F46C8">
        <w:rPr>
          <w:b/>
          <w:bCs/>
          <w:szCs w:val="22"/>
          <w:lang w:val="es-ES"/>
        </w:rPr>
        <w:t>el rol que pueden asumir las empresas</w:t>
      </w:r>
      <w:r w:rsidRPr="00C87D2C">
        <w:rPr>
          <w:szCs w:val="22"/>
          <w:lang w:val="es-ES"/>
        </w:rPr>
        <w:t xml:space="preserve">. La inclusión no pasa solo por abrir vacantes, sino por </w:t>
      </w:r>
      <w:r w:rsidRPr="005F46C8">
        <w:rPr>
          <w:b/>
          <w:bCs/>
          <w:szCs w:val="22"/>
          <w:lang w:val="es-ES"/>
        </w:rPr>
        <w:t>intervenir sobre las condiciones de acceso</w:t>
      </w:r>
      <w:r w:rsidRPr="00C87D2C">
        <w:rPr>
          <w:szCs w:val="22"/>
          <w:lang w:val="es-ES"/>
        </w:rPr>
        <w:t>, reducir brechas y acompañar procesos que muchas veces parten de situaciones desiguales.</w:t>
      </w:r>
    </w:p>
    <w:p w14:paraId="4D56CF44" w14:textId="77777777" w:rsidR="00C87D2C" w:rsidRPr="00C87D2C" w:rsidRDefault="00C87D2C" w:rsidP="00C87D2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  <w:r w:rsidRPr="00C87D2C">
        <w:rPr>
          <w:szCs w:val="22"/>
          <w:lang w:val="es-ES"/>
        </w:rPr>
        <w:t xml:space="preserve">En el marco del </w:t>
      </w:r>
      <w:r w:rsidRPr="005F46C8">
        <w:rPr>
          <w:b/>
          <w:bCs/>
          <w:szCs w:val="22"/>
          <w:lang w:val="es-ES"/>
        </w:rPr>
        <w:t>Día Internacional del Orgullo LGBTQI+</w:t>
      </w:r>
      <w:r w:rsidRPr="00C87D2C">
        <w:rPr>
          <w:szCs w:val="22"/>
          <w:lang w:val="es-ES"/>
        </w:rPr>
        <w:t xml:space="preserve">, la agenda corporativa suma un desafío que va más allá de la visibilidad: transformar el compromiso en acción, porque, en definitiva, la inclusión se vuelve real cuando se traduce en oportunidades concretas que cambian trayectorias. </w:t>
      </w:r>
      <w:r w:rsidRPr="005F46C8">
        <w:rPr>
          <w:b/>
          <w:bCs/>
          <w:szCs w:val="22"/>
          <w:lang w:val="es-ES"/>
        </w:rPr>
        <w:t>Y ahí es donde las empresas pueden marcar una diferencia tangible.</w:t>
      </w:r>
    </w:p>
    <w:p w14:paraId="338D0CC6" w14:textId="165A51ED" w:rsidR="00A26BF8" w:rsidRDefault="00A26BF8" w:rsidP="00C87D2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Cs w:val="22"/>
          <w:lang w:val="es-ES"/>
        </w:rPr>
      </w:pPr>
    </w:p>
    <w:p w14:paraId="1FDEAA85" w14:textId="14FA7C0A" w:rsidR="00294B4C" w:rsidRPr="00294B4C" w:rsidRDefault="00294B4C" w:rsidP="007906D6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Quattrocento Sans" w:cs="Segoe UI"/>
          <w:b/>
          <w:color w:val="000000"/>
          <w:sz w:val="16"/>
          <w:szCs w:val="16"/>
          <w:lang w:val="es-ES"/>
        </w:rPr>
      </w:pPr>
      <w:r w:rsidRPr="00294B4C">
        <w:rPr>
          <w:rFonts w:eastAsia="Quattrocento Sans" w:cs="Segoe UI"/>
          <w:b/>
          <w:color w:val="000000"/>
          <w:sz w:val="16"/>
          <w:szCs w:val="16"/>
          <w:lang w:val="es-ES"/>
        </w:rPr>
        <w:t>Acerca de Henkel</w:t>
      </w:r>
    </w:p>
    <w:p w14:paraId="3C406D9C" w14:textId="24472CFA" w:rsidR="00294B4C" w:rsidRPr="00294B4C" w:rsidRDefault="00294B4C" w:rsidP="00294B4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Quattrocento Sans" w:cs="Segoe UI"/>
          <w:bCs/>
          <w:color w:val="000000"/>
          <w:sz w:val="16"/>
          <w:szCs w:val="16"/>
          <w:lang w:val="es-ES"/>
        </w:rPr>
      </w:pPr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Gracias a sus marcas, innovaciones y tecnologías, Henkel ocupa posiciones de liderazgo en el mercado mundial en el sector industrial y de consumo. La unidad de negocio Adhesive Technologies es líder mundial en el mercado de adhesivos, selladores y recubrimientos funcionales. Con </w:t>
      </w:r>
      <w:proofErr w:type="spellStart"/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>Consumer</w:t>
      </w:r>
      <w:proofErr w:type="spellEnd"/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 Brands, la empresa ocupa posiciones de liderazgo, especialmente en los sectores de lavandería y cuidado del hogar, así como de productos para el cabello, en numerosos mercados y categorías de todo el mundo. Las tres marcas más fuertes de la empresa son Loctite, </w:t>
      </w:r>
      <w:proofErr w:type="spellStart"/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>Persil</w:t>
      </w:r>
      <w:proofErr w:type="spellEnd"/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 y Schwarzkopf. En el ejercicio fiscal 2025, Henkel registró unas ventas cercanas a 20.500 millones de euros y un beneficio operativo ajustado de alrededor de 3.000 millones de euros. Las acciones preferentes de Henkel cotizan en el índice bursátil alemán DAX. La sostenibilidad tiene una larga tradición en Henkel, y la empresa tiene una clara estrategia de sostenibilidad con objetivos específicos. Henkel se fundó en 1876 y hoy emplea a un equipo diverso de unas 47.000 personas en todo el mundo, unidas por una sólida cultura corporativa, valores compartidos y un propósito común: «Pioneros de corazón por el bien de las generaciones».  Más información en </w:t>
      </w:r>
      <w:hyperlink r:id="rId12" w:history="1">
        <w:r w:rsidRPr="003A598E">
          <w:rPr>
            <w:rStyle w:val="Hipervnculo"/>
            <w:rFonts w:eastAsia="Quattrocento Sans" w:cs="Segoe UI"/>
            <w:bCs/>
            <w:sz w:val="16"/>
            <w:szCs w:val="16"/>
            <w:lang w:val="es-ES"/>
          </w:rPr>
          <w:t>www.henkel.com</w:t>
        </w:r>
      </w:hyperlink>
      <w:r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 </w:t>
      </w:r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 </w:t>
      </w:r>
    </w:p>
    <w:p w14:paraId="0EB9C37B" w14:textId="77777777" w:rsidR="00294B4C" w:rsidRPr="00294B4C" w:rsidRDefault="00294B4C" w:rsidP="00294B4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Quattrocento Sans" w:cs="Segoe UI"/>
          <w:b/>
          <w:color w:val="000000"/>
          <w:sz w:val="16"/>
          <w:szCs w:val="16"/>
          <w:lang w:val="es-ES"/>
        </w:rPr>
      </w:pPr>
      <w:r w:rsidRPr="00294B4C">
        <w:rPr>
          <w:rFonts w:eastAsia="Quattrocento Sans" w:cs="Segoe UI"/>
          <w:b/>
          <w:color w:val="000000"/>
          <w:sz w:val="16"/>
          <w:szCs w:val="16"/>
          <w:lang w:val="es-ES"/>
        </w:rPr>
        <w:t>Acerca de Henkel en Argentina</w:t>
      </w:r>
    </w:p>
    <w:p w14:paraId="192CD94C" w14:textId="1AA28782" w:rsidR="009E4663" w:rsidRPr="007906D6" w:rsidRDefault="00294B4C" w:rsidP="007906D6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Cs/>
          <w:sz w:val="12"/>
          <w:szCs w:val="12"/>
        </w:rPr>
      </w:pPr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Henkel tiene más de 55 años en Argentina. Respaldada por su reconocida calidad a nivel mundial, comercializa en el país exitosamente productos en los sectores de Adhesive Technologies y </w:t>
      </w:r>
      <w:proofErr w:type="spellStart"/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>Consumer</w:t>
      </w:r>
      <w:proofErr w:type="spellEnd"/>
      <w:r w:rsidRPr="00294B4C"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 Brands. Henkel Argentina reportó ventas en el 2025 de más de 67,1 millones de euros, lo que equivale a más de 94.618 millones de pesos argentinos. Cuenta con cerca de 120 colaboradores distribuidos en su oficina corporativa en San Isidro, una planta en Chivilcoy y una Academia en la Capital Federal. Más información en </w:t>
      </w:r>
      <w:hyperlink r:id="rId13" w:history="1">
        <w:r w:rsidRPr="003A598E">
          <w:rPr>
            <w:rStyle w:val="Hipervnculo"/>
            <w:rFonts w:eastAsia="Quattrocento Sans" w:cs="Segoe UI"/>
            <w:bCs/>
            <w:sz w:val="16"/>
            <w:szCs w:val="16"/>
            <w:lang w:val="es-ES"/>
          </w:rPr>
          <w:t>www.henkel.com.ar</w:t>
        </w:r>
      </w:hyperlink>
      <w:r>
        <w:rPr>
          <w:rFonts w:eastAsia="Quattrocento Sans" w:cs="Segoe UI"/>
          <w:bCs/>
          <w:color w:val="000000"/>
          <w:sz w:val="16"/>
          <w:szCs w:val="16"/>
          <w:lang w:val="es-ES"/>
        </w:rPr>
        <w:t xml:space="preserve"> </w:t>
      </w:r>
    </w:p>
    <w:tbl>
      <w:tblPr>
        <w:tblW w:w="84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5"/>
        <w:gridCol w:w="4500"/>
      </w:tblGrid>
      <w:tr w:rsidR="009E4663" w:rsidRPr="009A0391" w14:paraId="456B2FAE" w14:textId="77777777" w:rsidTr="00F575C7">
        <w:trPr>
          <w:trHeight w:val="1191"/>
        </w:trPr>
        <w:tc>
          <w:tcPr>
            <w:tcW w:w="39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8E531" w14:textId="77777777" w:rsidR="009E4663" w:rsidRPr="00B96EF7" w:rsidRDefault="009E4663" w:rsidP="00F575C7">
            <w:pPr>
              <w:ind w:right="204" w:hanging="105"/>
              <w:rPr>
                <w:rFonts w:cs="Segoe UI"/>
                <w:b/>
                <w:bCs/>
                <w:sz w:val="18"/>
                <w:szCs w:val="18"/>
                <w:lang w:val="pt-BR"/>
              </w:rPr>
            </w:pPr>
            <w:proofErr w:type="gramStart"/>
            <w:r w:rsidRPr="00B96EF7">
              <w:rPr>
                <w:rFonts w:cs="Segoe UI"/>
                <w:b/>
                <w:bCs/>
                <w:sz w:val="18"/>
                <w:szCs w:val="18"/>
                <w:lang w:val="pt-BR"/>
              </w:rPr>
              <w:t>Agencia</w:t>
            </w:r>
            <w:proofErr w:type="gramEnd"/>
            <w:r w:rsidRPr="00B96EF7">
              <w:rPr>
                <w:rFonts w:cs="Segoe UI"/>
                <w:b/>
                <w:bCs/>
                <w:sz w:val="18"/>
                <w:szCs w:val="18"/>
                <w:lang w:val="pt-BR"/>
              </w:rPr>
              <w:t xml:space="preserve"> de RP</w:t>
            </w:r>
          </w:p>
          <w:p w14:paraId="4C9D6590" w14:textId="380FCA98" w:rsidR="009E4663" w:rsidRDefault="009E4663" w:rsidP="00F575C7">
            <w:pPr>
              <w:ind w:right="204" w:hanging="105"/>
              <w:rPr>
                <w:rFonts w:cs="Segoe UI"/>
                <w:b/>
                <w:bCs/>
                <w:sz w:val="18"/>
                <w:szCs w:val="18"/>
                <w:lang w:val="pt-BR"/>
              </w:rPr>
            </w:pPr>
            <w:r w:rsidRPr="00B96EF7">
              <w:rPr>
                <w:rFonts w:cs="Segoe UI"/>
                <w:b/>
                <w:bCs/>
                <w:sz w:val="18"/>
                <w:szCs w:val="18"/>
                <w:lang w:val="pt-BR"/>
              </w:rPr>
              <w:t>POINTER</w:t>
            </w:r>
            <w:r w:rsidR="00C36969">
              <w:rPr>
                <w:rFonts w:cs="Segoe UI"/>
                <w:b/>
                <w:bCs/>
                <w:sz w:val="18"/>
                <w:szCs w:val="18"/>
                <w:lang w:val="pt-BR"/>
              </w:rPr>
              <w:t xml:space="preserve"> DH</w:t>
            </w:r>
          </w:p>
          <w:p w14:paraId="4D4E1A35" w14:textId="77777777" w:rsidR="009E4663" w:rsidRPr="00B96EF7" w:rsidRDefault="009E4663" w:rsidP="00F575C7">
            <w:pPr>
              <w:ind w:right="204" w:hanging="105"/>
              <w:rPr>
                <w:rFonts w:cs="Segoe UI"/>
                <w:b/>
                <w:bCs/>
                <w:sz w:val="18"/>
                <w:szCs w:val="18"/>
                <w:lang w:val="pt-BR"/>
              </w:rPr>
            </w:pPr>
          </w:p>
          <w:p w14:paraId="48503560" w14:textId="77777777" w:rsidR="009E4663" w:rsidRPr="00B96EF7" w:rsidRDefault="009E4663" w:rsidP="00F575C7">
            <w:pPr>
              <w:ind w:right="202" w:hanging="105"/>
              <w:rPr>
                <w:rFonts w:cs="Segoe UI"/>
                <w:sz w:val="18"/>
                <w:szCs w:val="18"/>
                <w:lang w:val="pt-BR" w:eastAsia="es-419"/>
              </w:rPr>
            </w:pPr>
            <w:r w:rsidRPr="00B96EF7">
              <w:rPr>
                <w:rFonts w:cs="Segoe UI"/>
                <w:sz w:val="18"/>
                <w:szCs w:val="18"/>
                <w:lang w:val="pt-BR"/>
              </w:rPr>
              <w:t>Contacto: N</w:t>
            </w:r>
            <w:r>
              <w:rPr>
                <w:rFonts w:cs="Segoe UI"/>
                <w:sz w:val="18"/>
                <w:szCs w:val="18"/>
                <w:lang w:val="pt-BR"/>
              </w:rPr>
              <w:t>adia Amad</w:t>
            </w:r>
          </w:p>
          <w:p w14:paraId="481C80B6" w14:textId="6C527CD1" w:rsidR="009E4663" w:rsidRPr="00B96EF7" w:rsidRDefault="009E4663" w:rsidP="00F575C7">
            <w:pPr>
              <w:ind w:right="202" w:hanging="105"/>
              <w:rPr>
                <w:rStyle w:val="Hipervnculo"/>
                <w:lang w:val="pt-BR"/>
              </w:rPr>
            </w:pPr>
            <w:r>
              <w:rPr>
                <w:rFonts w:cs="Segoe UI"/>
                <w:sz w:val="18"/>
                <w:szCs w:val="18"/>
                <w:lang w:val="pt-BR"/>
              </w:rPr>
              <w:t xml:space="preserve">E-mail: </w:t>
            </w:r>
            <w:hyperlink r:id="rId14" w:history="1">
              <w:r w:rsidR="000A3748" w:rsidRPr="0011513A">
                <w:rPr>
                  <w:rStyle w:val="Hipervnculo"/>
                  <w:rFonts w:cs="Segoe UI"/>
                  <w:lang w:val="pt-BR"/>
                </w:rPr>
                <w:t>nadia@pointerdh.com</w:t>
              </w:r>
            </w:hyperlink>
            <w:r w:rsidR="000A3748">
              <w:rPr>
                <w:rFonts w:cs="Segoe UI"/>
                <w:sz w:val="18"/>
                <w:szCs w:val="18"/>
                <w:lang w:val="pt-BR"/>
              </w:rPr>
              <w:t xml:space="preserve"> </w:t>
            </w:r>
          </w:p>
          <w:p w14:paraId="0882A1FC" w14:textId="77777777" w:rsidR="009E4663" w:rsidRDefault="009E4663" w:rsidP="00F575C7">
            <w:pPr>
              <w:ind w:right="202" w:hanging="105"/>
              <w:rPr>
                <w:rStyle w:val="Hipervnculo"/>
                <w:rFonts w:cs="Segoe UI"/>
                <w:lang w:val="pt-BR"/>
              </w:rPr>
            </w:pPr>
          </w:p>
          <w:p w14:paraId="168CE830" w14:textId="77777777" w:rsidR="009E4663" w:rsidRPr="009F5AF3" w:rsidRDefault="009E4663" w:rsidP="00F575C7">
            <w:pPr>
              <w:ind w:right="202" w:hanging="105"/>
              <w:rPr>
                <w:lang w:val="pt-BR"/>
              </w:rPr>
            </w:pPr>
            <w:r>
              <w:rPr>
                <w:rFonts w:cs="Segoe UI"/>
                <w:sz w:val="18"/>
                <w:szCs w:val="18"/>
                <w:lang w:val="pt-BR"/>
              </w:rPr>
              <w:t>Contacto: Daniela Gigante</w:t>
            </w:r>
          </w:p>
          <w:p w14:paraId="36B43049" w14:textId="7536AE6C" w:rsidR="009E4663" w:rsidRDefault="009E4663" w:rsidP="00F575C7">
            <w:pPr>
              <w:ind w:right="202" w:hanging="105"/>
              <w:rPr>
                <w:rFonts w:cs="Segoe UI"/>
                <w:sz w:val="18"/>
                <w:szCs w:val="18"/>
                <w:lang w:val="pt-BR"/>
              </w:rPr>
            </w:pPr>
            <w:r>
              <w:rPr>
                <w:rFonts w:cs="Segoe UI"/>
                <w:sz w:val="18"/>
                <w:szCs w:val="18"/>
                <w:lang w:val="pt-BR"/>
              </w:rPr>
              <w:t>E-mail:</w:t>
            </w:r>
            <w:r w:rsidRPr="00B96EF7">
              <w:rPr>
                <w:lang w:val="pt-BR"/>
              </w:rPr>
              <w:t xml:space="preserve"> </w:t>
            </w:r>
            <w:hyperlink r:id="rId15" w:history="1">
              <w:r w:rsidRPr="00BE4C48">
                <w:rPr>
                  <w:rStyle w:val="Hipervnculo"/>
                  <w:rFonts w:cs="Segoe UI"/>
                  <w:lang w:val="pt-BR"/>
                </w:rPr>
                <w:t>daniela.gigante@pointerdh.com</w:t>
              </w:r>
            </w:hyperlink>
          </w:p>
        </w:tc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38DC" w14:textId="77777777" w:rsidR="009E4663" w:rsidRPr="009F5AF3" w:rsidRDefault="009E4663" w:rsidP="00F575C7">
            <w:pPr>
              <w:ind w:right="202" w:hanging="105"/>
              <w:rPr>
                <w:rFonts w:cs="Segoe UI"/>
                <w:sz w:val="18"/>
                <w:szCs w:val="18"/>
                <w:lang w:val="pt-BR"/>
              </w:rPr>
            </w:pPr>
            <w:r w:rsidRPr="00173BB0">
              <w:rPr>
                <w:rFonts w:cs="Segoe UI"/>
                <w:color w:val="0070C0"/>
                <w:sz w:val="18"/>
                <w:szCs w:val="18"/>
                <w:u w:val="single"/>
                <w:lang w:val="pt-BR"/>
              </w:rPr>
              <w:lastRenderedPageBreak/>
              <w:t xml:space="preserve"> </w:t>
            </w:r>
          </w:p>
        </w:tc>
      </w:tr>
    </w:tbl>
    <w:p w14:paraId="05A9DDE0" w14:textId="46022BE4" w:rsidR="002B3DC4" w:rsidRPr="009E4663" w:rsidRDefault="002B3DC4" w:rsidP="007906D6">
      <w:pPr>
        <w:rPr>
          <w:rStyle w:val="AboutandContactHeadline"/>
          <w:b w:val="0"/>
          <w:bCs w:val="0"/>
          <w:lang w:val="pt-BR"/>
        </w:rPr>
      </w:pPr>
    </w:p>
    <w:sectPr w:rsidR="002B3DC4" w:rsidRPr="009E4663" w:rsidSect="00EA4939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944" w:right="1411" w:bottom="1987" w:left="1411" w:header="1253" w:footer="9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DD0C8" w14:textId="77777777" w:rsidR="00B9298D" w:rsidRDefault="00B9298D">
      <w:r>
        <w:separator/>
      </w:r>
    </w:p>
  </w:endnote>
  <w:endnote w:type="continuationSeparator" w:id="0">
    <w:p w14:paraId="3C2E6985" w14:textId="77777777" w:rsidR="00B9298D" w:rsidRDefault="00B9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33344A3A" w:rsidR="00CF6F33" w:rsidRPr="00112A28" w:rsidRDefault="00A7493F" w:rsidP="008F6D15">
    <w:pPr>
      <w:pStyle w:val="Piedepgina"/>
      <w:tabs>
        <w:tab w:val="clear" w:pos="7083"/>
        <w:tab w:val="clear" w:pos="8640"/>
        <w:tab w:val="right" w:pos="9071"/>
      </w:tabs>
    </w:pPr>
    <w:r>
      <w:drawing>
        <wp:inline distT="0" distB="0" distL="0" distR="0" wp14:anchorId="4EB946E8" wp14:editId="3C593BAB">
          <wp:extent cx="5713095" cy="824556"/>
          <wp:effectExtent l="0" t="0" r="1905" b="0"/>
          <wp:docPr id="19820697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986" cy="8441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2A28" w:rsidRPr="00BF6E82">
      <w:t xml:space="preserve">Page </w:t>
    </w:r>
    <w:r w:rsidR="00112A28" w:rsidRPr="00BF6E82">
      <w:fldChar w:fldCharType="begin"/>
    </w:r>
    <w:r w:rsidR="00112A28" w:rsidRPr="00BF6E82">
      <w:instrText xml:space="preserve"> PAGE  \* Arabic  \* MERGEFORMAT </w:instrText>
    </w:r>
    <w:r w:rsidR="00112A28" w:rsidRPr="00BF6E82">
      <w:fldChar w:fldCharType="separate"/>
    </w:r>
    <w:r w:rsidR="00112A28">
      <w:t>2</w:t>
    </w:r>
    <w:r w:rsidR="00112A28" w:rsidRPr="00BF6E82">
      <w:fldChar w:fldCharType="end"/>
    </w:r>
    <w:r w:rsidR="00112A28" w:rsidRPr="00BF6E82">
      <w:t>/</w:t>
    </w:r>
    <w:fldSimple w:instr="NUMPAGES  \* Arabic  \* MERGEFORMAT">
      <w:r w:rsidR="00112A28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156B61A4" w:rsidR="00CF6F33" w:rsidRPr="00992A11" w:rsidRDefault="00183267" w:rsidP="00992A11">
    <w:pPr>
      <w:pStyle w:val="Piedepgina"/>
    </w:pPr>
    <w:r>
      <w:drawing>
        <wp:inline distT="0" distB="0" distL="0" distR="0" wp14:anchorId="538D8F4B" wp14:editId="03A9692D">
          <wp:extent cx="5768975" cy="457835"/>
          <wp:effectExtent l="0" t="0" r="3175" b="0"/>
          <wp:docPr id="6564022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675473" name="Imagen 1842675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8975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9DC4" w14:textId="77777777" w:rsidR="00B9298D" w:rsidRDefault="00B9298D">
      <w:r>
        <w:separator/>
      </w:r>
    </w:p>
  </w:footnote>
  <w:footnote w:type="continuationSeparator" w:id="0">
    <w:p w14:paraId="00413899" w14:textId="77777777" w:rsidR="00B9298D" w:rsidRDefault="00B9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Encabezad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AEC9" w14:textId="38D74884" w:rsidR="001B31F9" w:rsidRDefault="00394D48" w:rsidP="00A26BF8">
    <w:pPr>
      <w:pStyle w:val="Encabezado"/>
      <w:spacing w:before="0"/>
      <w:jc w:val="center"/>
    </w:pPr>
    <w:r w:rsidRPr="00EB46D9">
      <w:rPr>
        <w:noProof/>
      </w:rPr>
      <w:drawing>
        <wp:anchor distT="0" distB="0" distL="114300" distR="114300" simplePos="0" relativeHeight="251660800" behindDoc="0" locked="1" layoutInCell="1" allowOverlap="1" wp14:anchorId="2A78052E" wp14:editId="3605BAF5">
          <wp:simplePos x="0" y="0"/>
          <wp:positionH relativeFrom="margin">
            <wp:posOffset>4751070</wp:posOffset>
          </wp:positionH>
          <wp:positionV relativeFrom="margin">
            <wp:posOffset>-1415415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8E7A5D" w14:textId="77777777" w:rsidR="001B31F9" w:rsidRDefault="001B31F9" w:rsidP="001B31F9">
    <w:pPr>
      <w:pStyle w:val="Encabezado"/>
      <w:spacing w:before="0"/>
    </w:pPr>
  </w:p>
  <w:p w14:paraId="1AD62D43" w14:textId="1C1B1F5A" w:rsidR="001B31F9" w:rsidRDefault="003B0EB5" w:rsidP="001B31F9">
    <w:pPr>
      <w:pStyle w:val="Encabezado"/>
      <w:spacing w:before="0"/>
    </w:pPr>
    <w:proofErr w:type="spellStart"/>
    <w:r>
      <w:t>Comunicado</w:t>
    </w:r>
    <w:proofErr w:type="spellEnd"/>
    <w:r>
      <w:t xml:space="preserve"> de Prensa</w:t>
    </w:r>
  </w:p>
  <w:p w14:paraId="18791404" w14:textId="77777777" w:rsidR="009B0A8F" w:rsidRPr="001B31F9" w:rsidRDefault="009B0A8F" w:rsidP="001B31F9">
    <w:pPr>
      <w:pStyle w:val="Encabezado"/>
      <w:spacing w:before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F3DEDD2" w:rsidR="00CF6F33" w:rsidRPr="00EB46D9" w:rsidRDefault="0059722C" w:rsidP="009E4663">
    <w:pPr>
      <w:pStyle w:val="Encabezado"/>
    </w:pPr>
    <w:r w:rsidRPr="00EB46D9">
      <w:rPr>
        <w:noProof/>
      </w:rPr>
      <w:drawing>
        <wp:anchor distT="0" distB="0" distL="114300" distR="114300" simplePos="0" relativeHeight="25165875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9501467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72B3AB" id="Group 16" o:spid="_x0000_s1026" style="position:absolute;margin-left:14.2pt;margin-top:297.7pt;width:14.15pt;height:297.65pt;z-index:251656704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proofErr w:type="spellStart"/>
    <w:r w:rsidR="009E4663">
      <w:t>C</w:t>
    </w:r>
    <w:r w:rsidR="00613DC9">
      <w:t>omunicado</w:t>
    </w:r>
    <w:proofErr w:type="spellEnd"/>
    <w:r w:rsidR="00613DC9">
      <w:t xml:space="preserve"> 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4F5"/>
    <w:multiLevelType w:val="hybridMultilevel"/>
    <w:tmpl w:val="3A5406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A44209"/>
    <w:multiLevelType w:val="multilevel"/>
    <w:tmpl w:val="1B10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DC3701"/>
    <w:multiLevelType w:val="multilevel"/>
    <w:tmpl w:val="A6F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D58CE"/>
    <w:multiLevelType w:val="hybridMultilevel"/>
    <w:tmpl w:val="354E6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4A94C2B"/>
    <w:multiLevelType w:val="hybridMultilevel"/>
    <w:tmpl w:val="9F1C9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E0F5E"/>
    <w:multiLevelType w:val="hybridMultilevel"/>
    <w:tmpl w:val="56881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444ED"/>
    <w:multiLevelType w:val="multilevel"/>
    <w:tmpl w:val="0B22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F6FE9"/>
    <w:multiLevelType w:val="hybridMultilevel"/>
    <w:tmpl w:val="0B1A4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52F5D"/>
    <w:multiLevelType w:val="hybridMultilevel"/>
    <w:tmpl w:val="980467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14"/>
  </w:num>
  <w:num w:numId="4" w16cid:durableId="1658344630">
    <w:abstractNumId w:val="7"/>
  </w:num>
  <w:num w:numId="5" w16cid:durableId="2132553883">
    <w:abstractNumId w:val="4"/>
  </w:num>
  <w:num w:numId="6" w16cid:durableId="545726518">
    <w:abstractNumId w:val="11"/>
  </w:num>
  <w:num w:numId="7" w16cid:durableId="1553541217">
    <w:abstractNumId w:val="12"/>
  </w:num>
  <w:num w:numId="8" w16cid:durableId="469635862">
    <w:abstractNumId w:val="3"/>
  </w:num>
  <w:num w:numId="9" w16cid:durableId="1901162877">
    <w:abstractNumId w:val="2"/>
  </w:num>
  <w:num w:numId="10" w16cid:durableId="899512460">
    <w:abstractNumId w:val="13"/>
  </w:num>
  <w:num w:numId="11" w16cid:durableId="111050567">
    <w:abstractNumId w:val="6"/>
  </w:num>
  <w:num w:numId="12" w16cid:durableId="1146706571">
    <w:abstractNumId w:val="8"/>
  </w:num>
  <w:num w:numId="13" w16cid:durableId="326593733">
    <w:abstractNumId w:val="5"/>
  </w:num>
  <w:num w:numId="14" w16cid:durableId="1538423647">
    <w:abstractNumId w:val="9"/>
  </w:num>
  <w:num w:numId="15" w16cid:durableId="7676997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30557"/>
    <w:rsid w:val="00030F51"/>
    <w:rsid w:val="00035A84"/>
    <w:rsid w:val="00040802"/>
    <w:rsid w:val="00040CC9"/>
    <w:rsid w:val="00041261"/>
    <w:rsid w:val="00042749"/>
    <w:rsid w:val="000510B8"/>
    <w:rsid w:val="00051E86"/>
    <w:rsid w:val="000575F9"/>
    <w:rsid w:val="000618FC"/>
    <w:rsid w:val="00062A68"/>
    <w:rsid w:val="0006344D"/>
    <w:rsid w:val="00067071"/>
    <w:rsid w:val="000722E8"/>
    <w:rsid w:val="00080D10"/>
    <w:rsid w:val="0008357F"/>
    <w:rsid w:val="000847B7"/>
    <w:rsid w:val="000871DC"/>
    <w:rsid w:val="000A3748"/>
    <w:rsid w:val="000B695A"/>
    <w:rsid w:val="000C210A"/>
    <w:rsid w:val="000C56DD"/>
    <w:rsid w:val="000D01D4"/>
    <w:rsid w:val="000D1672"/>
    <w:rsid w:val="000E2F62"/>
    <w:rsid w:val="000E3484"/>
    <w:rsid w:val="000E38ED"/>
    <w:rsid w:val="000E7F24"/>
    <w:rsid w:val="000F03BE"/>
    <w:rsid w:val="000F1757"/>
    <w:rsid w:val="000F225B"/>
    <w:rsid w:val="000F7FAF"/>
    <w:rsid w:val="00105975"/>
    <w:rsid w:val="00111F4D"/>
    <w:rsid w:val="00112A28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77E9"/>
    <w:rsid w:val="0016138C"/>
    <w:rsid w:val="00161EC5"/>
    <w:rsid w:val="001731CE"/>
    <w:rsid w:val="001746F2"/>
    <w:rsid w:val="00183267"/>
    <w:rsid w:val="001937D3"/>
    <w:rsid w:val="001B31F9"/>
    <w:rsid w:val="001B7C20"/>
    <w:rsid w:val="001C0B32"/>
    <w:rsid w:val="001C0E66"/>
    <w:rsid w:val="001C4BE1"/>
    <w:rsid w:val="001D7ADF"/>
    <w:rsid w:val="001E0F71"/>
    <w:rsid w:val="001E6D05"/>
    <w:rsid w:val="001E7C28"/>
    <w:rsid w:val="001F1BDF"/>
    <w:rsid w:val="001F7110"/>
    <w:rsid w:val="001F7E96"/>
    <w:rsid w:val="00202284"/>
    <w:rsid w:val="00212488"/>
    <w:rsid w:val="00215D05"/>
    <w:rsid w:val="00220628"/>
    <w:rsid w:val="002304D2"/>
    <w:rsid w:val="00234ABD"/>
    <w:rsid w:val="00236E2A"/>
    <w:rsid w:val="00237F62"/>
    <w:rsid w:val="0024586A"/>
    <w:rsid w:val="00256F0C"/>
    <w:rsid w:val="00262C05"/>
    <w:rsid w:val="00264D32"/>
    <w:rsid w:val="00277D65"/>
    <w:rsid w:val="002803AB"/>
    <w:rsid w:val="00281D14"/>
    <w:rsid w:val="00282C13"/>
    <w:rsid w:val="00293A47"/>
    <w:rsid w:val="00294B4C"/>
    <w:rsid w:val="002A0DF7"/>
    <w:rsid w:val="002A2975"/>
    <w:rsid w:val="002A60E0"/>
    <w:rsid w:val="002B3DC4"/>
    <w:rsid w:val="002B6749"/>
    <w:rsid w:val="002C1344"/>
    <w:rsid w:val="002C252E"/>
    <w:rsid w:val="002C4DDE"/>
    <w:rsid w:val="002C531A"/>
    <w:rsid w:val="002C6773"/>
    <w:rsid w:val="002D2A3D"/>
    <w:rsid w:val="002E0B17"/>
    <w:rsid w:val="002E4FFB"/>
    <w:rsid w:val="002E7DED"/>
    <w:rsid w:val="002F7E11"/>
    <w:rsid w:val="00304087"/>
    <w:rsid w:val="00310ACD"/>
    <w:rsid w:val="0031379F"/>
    <w:rsid w:val="00320A26"/>
    <w:rsid w:val="00321344"/>
    <w:rsid w:val="0033451C"/>
    <w:rsid w:val="00336854"/>
    <w:rsid w:val="00340009"/>
    <w:rsid w:val="0034015C"/>
    <w:rsid w:val="003442F4"/>
    <w:rsid w:val="00344B91"/>
    <w:rsid w:val="00347E97"/>
    <w:rsid w:val="00353705"/>
    <w:rsid w:val="003562E8"/>
    <w:rsid w:val="0036357D"/>
    <w:rsid w:val="003649BC"/>
    <w:rsid w:val="00365E44"/>
    <w:rsid w:val="00367AA1"/>
    <w:rsid w:val="003714C0"/>
    <w:rsid w:val="00372E36"/>
    <w:rsid w:val="00376EE9"/>
    <w:rsid w:val="00377CBB"/>
    <w:rsid w:val="00385185"/>
    <w:rsid w:val="003877B6"/>
    <w:rsid w:val="00393887"/>
    <w:rsid w:val="00394C6B"/>
    <w:rsid w:val="00394D48"/>
    <w:rsid w:val="003A4E62"/>
    <w:rsid w:val="003A6B36"/>
    <w:rsid w:val="003B0EB5"/>
    <w:rsid w:val="003B1069"/>
    <w:rsid w:val="003B37D7"/>
    <w:rsid w:val="003B390A"/>
    <w:rsid w:val="003C15DE"/>
    <w:rsid w:val="003C4EB2"/>
    <w:rsid w:val="003D4957"/>
    <w:rsid w:val="003E453B"/>
    <w:rsid w:val="003F1AF3"/>
    <w:rsid w:val="003F4D8D"/>
    <w:rsid w:val="004313E7"/>
    <w:rsid w:val="0044763B"/>
    <w:rsid w:val="00451F34"/>
    <w:rsid w:val="00457F73"/>
    <w:rsid w:val="004629B3"/>
    <w:rsid w:val="0046376E"/>
    <w:rsid w:val="0046690F"/>
    <w:rsid w:val="00472FEC"/>
    <w:rsid w:val="00490A03"/>
    <w:rsid w:val="00493327"/>
    <w:rsid w:val="00494DBE"/>
    <w:rsid w:val="00495CE6"/>
    <w:rsid w:val="00496C3D"/>
    <w:rsid w:val="004A323C"/>
    <w:rsid w:val="004B54E8"/>
    <w:rsid w:val="004C4FEB"/>
    <w:rsid w:val="004C6B79"/>
    <w:rsid w:val="004D059B"/>
    <w:rsid w:val="004D4CB6"/>
    <w:rsid w:val="004E0870"/>
    <w:rsid w:val="004E3341"/>
    <w:rsid w:val="004F10C1"/>
    <w:rsid w:val="00502E62"/>
    <w:rsid w:val="00504452"/>
    <w:rsid w:val="00506B8A"/>
    <w:rsid w:val="0052212B"/>
    <w:rsid w:val="00531B98"/>
    <w:rsid w:val="00534B46"/>
    <w:rsid w:val="005370CC"/>
    <w:rsid w:val="00540358"/>
    <w:rsid w:val="00540D47"/>
    <w:rsid w:val="00550864"/>
    <w:rsid w:val="00554D6B"/>
    <w:rsid w:val="0055571E"/>
    <w:rsid w:val="00556F67"/>
    <w:rsid w:val="00565428"/>
    <w:rsid w:val="005746EC"/>
    <w:rsid w:val="00581EE8"/>
    <w:rsid w:val="005833F0"/>
    <w:rsid w:val="0058542B"/>
    <w:rsid w:val="00586CAF"/>
    <w:rsid w:val="005873E9"/>
    <w:rsid w:val="00590F55"/>
    <w:rsid w:val="00591180"/>
    <w:rsid w:val="0059722C"/>
    <w:rsid w:val="00597D07"/>
    <w:rsid w:val="005A3846"/>
    <w:rsid w:val="005B1F0C"/>
    <w:rsid w:val="005B6A58"/>
    <w:rsid w:val="005C7112"/>
    <w:rsid w:val="005D00A3"/>
    <w:rsid w:val="005D0561"/>
    <w:rsid w:val="005D0AD9"/>
    <w:rsid w:val="005D22F6"/>
    <w:rsid w:val="005E0C30"/>
    <w:rsid w:val="005E1CB0"/>
    <w:rsid w:val="005E69D9"/>
    <w:rsid w:val="005E7D7F"/>
    <w:rsid w:val="005F27F4"/>
    <w:rsid w:val="005F3239"/>
    <w:rsid w:val="005F3BF4"/>
    <w:rsid w:val="005F46C8"/>
    <w:rsid w:val="005F6567"/>
    <w:rsid w:val="00607256"/>
    <w:rsid w:val="00613DC9"/>
    <w:rsid w:val="006144B1"/>
    <w:rsid w:val="006335F1"/>
    <w:rsid w:val="006345B6"/>
    <w:rsid w:val="00635712"/>
    <w:rsid w:val="00643D8A"/>
    <w:rsid w:val="00644499"/>
    <w:rsid w:val="006513EB"/>
    <w:rsid w:val="00652229"/>
    <w:rsid w:val="00652793"/>
    <w:rsid w:val="006626CA"/>
    <w:rsid w:val="00663487"/>
    <w:rsid w:val="00664080"/>
    <w:rsid w:val="00672036"/>
    <w:rsid w:val="00672382"/>
    <w:rsid w:val="00682643"/>
    <w:rsid w:val="00682D99"/>
    <w:rsid w:val="00682EB9"/>
    <w:rsid w:val="0068441A"/>
    <w:rsid w:val="00690B19"/>
    <w:rsid w:val="00694FD6"/>
    <w:rsid w:val="006A0A3C"/>
    <w:rsid w:val="006A378F"/>
    <w:rsid w:val="006A79F0"/>
    <w:rsid w:val="006B47EE"/>
    <w:rsid w:val="006B499F"/>
    <w:rsid w:val="006C33C0"/>
    <w:rsid w:val="006D0D97"/>
    <w:rsid w:val="006D4996"/>
    <w:rsid w:val="006D54AB"/>
    <w:rsid w:val="006E075D"/>
    <w:rsid w:val="006E3006"/>
    <w:rsid w:val="006E5032"/>
    <w:rsid w:val="006E57E8"/>
    <w:rsid w:val="006E5BDA"/>
    <w:rsid w:val="006F04EA"/>
    <w:rsid w:val="006F0FC7"/>
    <w:rsid w:val="006F39A9"/>
    <w:rsid w:val="006F670F"/>
    <w:rsid w:val="00703272"/>
    <w:rsid w:val="0070733C"/>
    <w:rsid w:val="00710C5D"/>
    <w:rsid w:val="0071348C"/>
    <w:rsid w:val="00717273"/>
    <w:rsid w:val="00720FD4"/>
    <w:rsid w:val="00724AF2"/>
    <w:rsid w:val="007277A9"/>
    <w:rsid w:val="0073096C"/>
    <w:rsid w:val="00732941"/>
    <w:rsid w:val="00742398"/>
    <w:rsid w:val="007507B5"/>
    <w:rsid w:val="0075091D"/>
    <w:rsid w:val="00753A24"/>
    <w:rsid w:val="00766B17"/>
    <w:rsid w:val="00772188"/>
    <w:rsid w:val="007813D0"/>
    <w:rsid w:val="00785993"/>
    <w:rsid w:val="007866E2"/>
    <w:rsid w:val="00786BA3"/>
    <w:rsid w:val="007906D6"/>
    <w:rsid w:val="0079202F"/>
    <w:rsid w:val="00792617"/>
    <w:rsid w:val="00795AF2"/>
    <w:rsid w:val="00795B61"/>
    <w:rsid w:val="00796EB4"/>
    <w:rsid w:val="007A2AAD"/>
    <w:rsid w:val="007A4432"/>
    <w:rsid w:val="007A784E"/>
    <w:rsid w:val="007B499C"/>
    <w:rsid w:val="007B4D4B"/>
    <w:rsid w:val="007D2A02"/>
    <w:rsid w:val="007E6EA1"/>
    <w:rsid w:val="007F0F63"/>
    <w:rsid w:val="007F2B1E"/>
    <w:rsid w:val="007F62B4"/>
    <w:rsid w:val="00801517"/>
    <w:rsid w:val="00817AE8"/>
    <w:rsid w:val="00817DE8"/>
    <w:rsid w:val="00822979"/>
    <w:rsid w:val="008229F5"/>
    <w:rsid w:val="00823D64"/>
    <w:rsid w:val="0082699A"/>
    <w:rsid w:val="00827BB5"/>
    <w:rsid w:val="00833CEB"/>
    <w:rsid w:val="00833E0A"/>
    <w:rsid w:val="008372D2"/>
    <w:rsid w:val="008377BC"/>
    <w:rsid w:val="00840447"/>
    <w:rsid w:val="00844C17"/>
    <w:rsid w:val="00847726"/>
    <w:rsid w:val="00852511"/>
    <w:rsid w:val="008614F1"/>
    <w:rsid w:val="008639B3"/>
    <w:rsid w:val="00863C1A"/>
    <w:rsid w:val="00865381"/>
    <w:rsid w:val="0087142D"/>
    <w:rsid w:val="00873956"/>
    <w:rsid w:val="008761E1"/>
    <w:rsid w:val="00880E72"/>
    <w:rsid w:val="008825EE"/>
    <w:rsid w:val="0088596E"/>
    <w:rsid w:val="0089796A"/>
    <w:rsid w:val="008A2375"/>
    <w:rsid w:val="008A5DDA"/>
    <w:rsid w:val="008B2CA1"/>
    <w:rsid w:val="008C5FDE"/>
    <w:rsid w:val="008D76C5"/>
    <w:rsid w:val="008E060A"/>
    <w:rsid w:val="008E0AFA"/>
    <w:rsid w:val="008E75D3"/>
    <w:rsid w:val="008F125E"/>
    <w:rsid w:val="008F4D2F"/>
    <w:rsid w:val="008F5CBA"/>
    <w:rsid w:val="008F6D15"/>
    <w:rsid w:val="00906292"/>
    <w:rsid w:val="009076AF"/>
    <w:rsid w:val="00907DE6"/>
    <w:rsid w:val="00917162"/>
    <w:rsid w:val="009251CC"/>
    <w:rsid w:val="0092714E"/>
    <w:rsid w:val="0093019D"/>
    <w:rsid w:val="00934240"/>
    <w:rsid w:val="00942002"/>
    <w:rsid w:val="00947885"/>
    <w:rsid w:val="00950D65"/>
    <w:rsid w:val="00952168"/>
    <w:rsid w:val="009527FE"/>
    <w:rsid w:val="009739A0"/>
    <w:rsid w:val="00974F84"/>
    <w:rsid w:val="009767C7"/>
    <w:rsid w:val="009827BF"/>
    <w:rsid w:val="009848F0"/>
    <w:rsid w:val="0098579A"/>
    <w:rsid w:val="00986766"/>
    <w:rsid w:val="0099195A"/>
    <w:rsid w:val="00992A11"/>
    <w:rsid w:val="00994681"/>
    <w:rsid w:val="0099486A"/>
    <w:rsid w:val="009A0391"/>
    <w:rsid w:val="009A0773"/>
    <w:rsid w:val="009A0E26"/>
    <w:rsid w:val="009A16EC"/>
    <w:rsid w:val="009B0A8F"/>
    <w:rsid w:val="009B29B7"/>
    <w:rsid w:val="009B3B37"/>
    <w:rsid w:val="009B7D1F"/>
    <w:rsid w:val="009C088E"/>
    <w:rsid w:val="009C4D35"/>
    <w:rsid w:val="009C7FFC"/>
    <w:rsid w:val="009D1522"/>
    <w:rsid w:val="009D7252"/>
    <w:rsid w:val="009D75E9"/>
    <w:rsid w:val="009E4663"/>
    <w:rsid w:val="009E5EB4"/>
    <w:rsid w:val="009E69B3"/>
    <w:rsid w:val="009E6DCE"/>
    <w:rsid w:val="00A044D6"/>
    <w:rsid w:val="00A04ADB"/>
    <w:rsid w:val="00A04C47"/>
    <w:rsid w:val="00A11CAA"/>
    <w:rsid w:val="00A11E0F"/>
    <w:rsid w:val="00A2125E"/>
    <w:rsid w:val="00A23264"/>
    <w:rsid w:val="00A26BF8"/>
    <w:rsid w:val="00A26CB6"/>
    <w:rsid w:val="00A32F82"/>
    <w:rsid w:val="00A32F8B"/>
    <w:rsid w:val="00A347C5"/>
    <w:rsid w:val="00A3756F"/>
    <w:rsid w:val="00A42D6F"/>
    <w:rsid w:val="00A45A62"/>
    <w:rsid w:val="00A54AC5"/>
    <w:rsid w:val="00A55DC3"/>
    <w:rsid w:val="00A56D41"/>
    <w:rsid w:val="00A61353"/>
    <w:rsid w:val="00A66DB1"/>
    <w:rsid w:val="00A67A92"/>
    <w:rsid w:val="00A7493F"/>
    <w:rsid w:val="00A80CAC"/>
    <w:rsid w:val="00A87870"/>
    <w:rsid w:val="00A91A70"/>
    <w:rsid w:val="00AA1B85"/>
    <w:rsid w:val="00AB1CB6"/>
    <w:rsid w:val="00AB1D9A"/>
    <w:rsid w:val="00AD44FE"/>
    <w:rsid w:val="00AD6B83"/>
    <w:rsid w:val="00AE49F1"/>
    <w:rsid w:val="00AE6E00"/>
    <w:rsid w:val="00AF0992"/>
    <w:rsid w:val="00B05CCA"/>
    <w:rsid w:val="00B14271"/>
    <w:rsid w:val="00B14C02"/>
    <w:rsid w:val="00B16270"/>
    <w:rsid w:val="00B2685D"/>
    <w:rsid w:val="00B30351"/>
    <w:rsid w:val="00B33C2A"/>
    <w:rsid w:val="00B422EC"/>
    <w:rsid w:val="00B726D4"/>
    <w:rsid w:val="00B8214F"/>
    <w:rsid w:val="00B86A4F"/>
    <w:rsid w:val="00B86A95"/>
    <w:rsid w:val="00B87434"/>
    <w:rsid w:val="00B9298D"/>
    <w:rsid w:val="00B93035"/>
    <w:rsid w:val="00B9337E"/>
    <w:rsid w:val="00B958E8"/>
    <w:rsid w:val="00B97E4A"/>
    <w:rsid w:val="00BA09B2"/>
    <w:rsid w:val="00BA5B46"/>
    <w:rsid w:val="00BB5D0B"/>
    <w:rsid w:val="00BC0995"/>
    <w:rsid w:val="00BC32A0"/>
    <w:rsid w:val="00BD1655"/>
    <w:rsid w:val="00BD38F5"/>
    <w:rsid w:val="00BE793A"/>
    <w:rsid w:val="00BF2B82"/>
    <w:rsid w:val="00BF432A"/>
    <w:rsid w:val="00BF6E82"/>
    <w:rsid w:val="00C04D24"/>
    <w:rsid w:val="00C060C7"/>
    <w:rsid w:val="00C24C17"/>
    <w:rsid w:val="00C36969"/>
    <w:rsid w:val="00C3758F"/>
    <w:rsid w:val="00C406A9"/>
    <w:rsid w:val="00C40B88"/>
    <w:rsid w:val="00C41FE1"/>
    <w:rsid w:val="00C42C93"/>
    <w:rsid w:val="00C47D87"/>
    <w:rsid w:val="00C5376E"/>
    <w:rsid w:val="00C56EE8"/>
    <w:rsid w:val="00C6106A"/>
    <w:rsid w:val="00C67BC4"/>
    <w:rsid w:val="00C808A6"/>
    <w:rsid w:val="00C87D2C"/>
    <w:rsid w:val="00C97091"/>
    <w:rsid w:val="00C97260"/>
    <w:rsid w:val="00C977DC"/>
    <w:rsid w:val="00C978C7"/>
    <w:rsid w:val="00CA2001"/>
    <w:rsid w:val="00CA387D"/>
    <w:rsid w:val="00CB5B6C"/>
    <w:rsid w:val="00CC052E"/>
    <w:rsid w:val="00CD16BE"/>
    <w:rsid w:val="00CD24C4"/>
    <w:rsid w:val="00CD4616"/>
    <w:rsid w:val="00CD47AC"/>
    <w:rsid w:val="00CD56AF"/>
    <w:rsid w:val="00CE33D5"/>
    <w:rsid w:val="00CF5D37"/>
    <w:rsid w:val="00CF6F33"/>
    <w:rsid w:val="00CF7EC2"/>
    <w:rsid w:val="00D02248"/>
    <w:rsid w:val="00D063B8"/>
    <w:rsid w:val="00D06825"/>
    <w:rsid w:val="00D101F5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5653B"/>
    <w:rsid w:val="00D62EF1"/>
    <w:rsid w:val="00D6309D"/>
    <w:rsid w:val="00D644CA"/>
    <w:rsid w:val="00D66FC2"/>
    <w:rsid w:val="00D76C7E"/>
    <w:rsid w:val="00D771DE"/>
    <w:rsid w:val="00D7776D"/>
    <w:rsid w:val="00D9293F"/>
    <w:rsid w:val="00D93598"/>
    <w:rsid w:val="00D97ACC"/>
    <w:rsid w:val="00DA1E18"/>
    <w:rsid w:val="00DA2009"/>
    <w:rsid w:val="00DB05B1"/>
    <w:rsid w:val="00DB3AA7"/>
    <w:rsid w:val="00DB5A79"/>
    <w:rsid w:val="00DC2465"/>
    <w:rsid w:val="00DD512E"/>
    <w:rsid w:val="00DE1177"/>
    <w:rsid w:val="00DE2CEA"/>
    <w:rsid w:val="00DE6A3C"/>
    <w:rsid w:val="00DE74F4"/>
    <w:rsid w:val="00DE7F97"/>
    <w:rsid w:val="00DF0C96"/>
    <w:rsid w:val="00DF1010"/>
    <w:rsid w:val="00DF5AEA"/>
    <w:rsid w:val="00DF63F6"/>
    <w:rsid w:val="00E13747"/>
    <w:rsid w:val="00E25AEA"/>
    <w:rsid w:val="00E30DEF"/>
    <w:rsid w:val="00E30ED2"/>
    <w:rsid w:val="00E31276"/>
    <w:rsid w:val="00E37F70"/>
    <w:rsid w:val="00E446C1"/>
    <w:rsid w:val="00E4500F"/>
    <w:rsid w:val="00E50D3C"/>
    <w:rsid w:val="00E707FF"/>
    <w:rsid w:val="00E758B9"/>
    <w:rsid w:val="00E85569"/>
    <w:rsid w:val="00E856AF"/>
    <w:rsid w:val="00E86B83"/>
    <w:rsid w:val="00E87C64"/>
    <w:rsid w:val="00E93A01"/>
    <w:rsid w:val="00E93FF8"/>
    <w:rsid w:val="00E95894"/>
    <w:rsid w:val="00E962F0"/>
    <w:rsid w:val="00E96EAF"/>
    <w:rsid w:val="00EA1752"/>
    <w:rsid w:val="00EA1ABC"/>
    <w:rsid w:val="00EA4939"/>
    <w:rsid w:val="00EA5A89"/>
    <w:rsid w:val="00EA5BDB"/>
    <w:rsid w:val="00EB1117"/>
    <w:rsid w:val="00EB3393"/>
    <w:rsid w:val="00EB46D9"/>
    <w:rsid w:val="00EB541A"/>
    <w:rsid w:val="00EC142D"/>
    <w:rsid w:val="00EC1E16"/>
    <w:rsid w:val="00EC77C7"/>
    <w:rsid w:val="00ED0024"/>
    <w:rsid w:val="00ED0F85"/>
    <w:rsid w:val="00ED2B5C"/>
    <w:rsid w:val="00ED3269"/>
    <w:rsid w:val="00EE1A8C"/>
    <w:rsid w:val="00EE4643"/>
    <w:rsid w:val="00EF1330"/>
    <w:rsid w:val="00EF15FF"/>
    <w:rsid w:val="00EF7111"/>
    <w:rsid w:val="00EF7D1A"/>
    <w:rsid w:val="00F0448F"/>
    <w:rsid w:val="00F06CAD"/>
    <w:rsid w:val="00F0716C"/>
    <w:rsid w:val="00F11AAC"/>
    <w:rsid w:val="00F270E9"/>
    <w:rsid w:val="00F275C0"/>
    <w:rsid w:val="00F346B6"/>
    <w:rsid w:val="00F36145"/>
    <w:rsid w:val="00F37BDD"/>
    <w:rsid w:val="00F41503"/>
    <w:rsid w:val="00F466C8"/>
    <w:rsid w:val="00F469A9"/>
    <w:rsid w:val="00F50B46"/>
    <w:rsid w:val="00F50D1F"/>
    <w:rsid w:val="00F6203E"/>
    <w:rsid w:val="00F635FC"/>
    <w:rsid w:val="00F63D03"/>
    <w:rsid w:val="00F65E2F"/>
    <w:rsid w:val="00F67DF1"/>
    <w:rsid w:val="00F709C9"/>
    <w:rsid w:val="00F8309B"/>
    <w:rsid w:val="00F833C9"/>
    <w:rsid w:val="00F90064"/>
    <w:rsid w:val="00F95827"/>
    <w:rsid w:val="00F96AFD"/>
    <w:rsid w:val="00FA1398"/>
    <w:rsid w:val="00FA2E19"/>
    <w:rsid w:val="00FA697F"/>
    <w:rsid w:val="00FA6E99"/>
    <w:rsid w:val="00FB5521"/>
    <w:rsid w:val="00FB610D"/>
    <w:rsid w:val="00FB68B2"/>
    <w:rsid w:val="00FB764A"/>
    <w:rsid w:val="00FC4477"/>
    <w:rsid w:val="00FC46FB"/>
    <w:rsid w:val="00FC5CF8"/>
    <w:rsid w:val="00FD0A38"/>
    <w:rsid w:val="00FD2BD3"/>
    <w:rsid w:val="00FD4CCA"/>
    <w:rsid w:val="00FE1A6C"/>
    <w:rsid w:val="00FE2A9E"/>
    <w:rsid w:val="00FF0179"/>
    <w:rsid w:val="00FF5268"/>
    <w:rsid w:val="0B4E0D5F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Ttulo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Ttulo3">
    <w:name w:val="heading 3"/>
    <w:basedOn w:val="Ttulo2"/>
    <w:next w:val="Normal"/>
    <w:qFormat/>
    <w:rsid w:val="006F1596"/>
    <w:pPr>
      <w:outlineLvl w:val="2"/>
    </w:pPr>
    <w:rPr>
      <w:color w:val="aut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iedepgina">
    <w:name w:val="footer"/>
    <w:basedOn w:val="Normal"/>
    <w:link w:val="PiedepginaC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aconcuadrcula">
    <w:name w:val="Table Grid"/>
    <w:basedOn w:val="Tabla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Ttulo1Car">
    <w:name w:val="Título 1 Car"/>
    <w:link w:val="Ttulo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vnculo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Textodeglobo">
    <w:name w:val="Balloon Text"/>
    <w:basedOn w:val="Normal"/>
    <w:link w:val="TextodegloboCar"/>
    <w:rsid w:val="00336854"/>
    <w:pPr>
      <w:spacing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iedepginaCar">
    <w:name w:val="Pie de página Car"/>
    <w:link w:val="Piedepgin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Mencinsinresolver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Fuentedeprrafopredeter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Fuentedeprrafopredeter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Fuentedeprrafopredeter"/>
    <w:rsid w:val="00336854"/>
    <w:rPr>
      <w:rFonts w:ascii="Segoe UI" w:hAnsi="Segoe UI"/>
      <w:b/>
      <w:bCs/>
      <w:sz w:val="18"/>
    </w:rPr>
  </w:style>
  <w:style w:type="paragraph" w:styleId="Prrafodelista">
    <w:name w:val="List Paragraph"/>
    <w:basedOn w:val="Normal"/>
    <w:uiPriority w:val="63"/>
    <w:qFormat/>
    <w:rsid w:val="00C36969"/>
    <w:pPr>
      <w:ind w:left="720"/>
      <w:contextualSpacing/>
    </w:pPr>
  </w:style>
  <w:style w:type="paragraph" w:styleId="NormalWeb">
    <w:name w:val="Normal (Web)"/>
    <w:basedOn w:val="Normal"/>
    <w:rsid w:val="003D495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enkel.com.a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henke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aniela.gigante@pointerdh.com.ar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adia@pointerdh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2" ma:contentTypeDescription="Create a new document." ma:contentTypeScope="" ma:versionID="f2db7ac7c7b01594fb0b5dddb168fe63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3b0ba459bc2e53ad93a41e55d48e0e6e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haredContentType xmlns="Microsoft.SharePoint.Taxonomy.ContentTypeSync" SourceId="72f792e8-4dad-42c1-ad63-44982727bf4d" ContentTypeId="0x01" PreviousValue="false"/>
</file>

<file path=customXml/itemProps1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D5876-7745-4D4C-9FAD-9D2AE6D3B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41</TotalTime>
  <Pages>3</Pages>
  <Words>739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Nadia Amad</cp:lastModifiedBy>
  <cp:revision>3</cp:revision>
  <cp:lastPrinted>2016-11-16T01:11:00Z</cp:lastPrinted>
  <dcterms:created xsi:type="dcterms:W3CDTF">2026-06-25T14:22:00Z</dcterms:created>
  <dcterms:modified xsi:type="dcterms:W3CDTF">2026-06-25T15:01:00Z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