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D5E39A" w14:textId="290E5487" w:rsidR="00B422EC" w:rsidRDefault="00081692" w:rsidP="00081692">
      <w:pPr>
        <w:pStyle w:val="MonthDayYear"/>
        <w:tabs>
          <w:tab w:val="left" w:pos="7371"/>
        </w:tabs>
        <w:jc w:val="left"/>
        <w:rPr>
          <w:lang w:val="it-IT"/>
        </w:rPr>
      </w:pPr>
      <w:r w:rsidRPr="00921C0C">
        <w:tab/>
      </w:r>
      <w:r w:rsidR="00320BBE">
        <w:rPr>
          <w:lang w:val="it-IT"/>
        </w:rPr>
        <w:t>6 agosto 2026</w:t>
      </w:r>
    </w:p>
    <w:p w14:paraId="5A0D57AE" w14:textId="77777777" w:rsidR="00320BBE" w:rsidRPr="00320BBE" w:rsidRDefault="00320BBE" w:rsidP="00081692">
      <w:pPr>
        <w:pStyle w:val="MonthDayYear"/>
        <w:tabs>
          <w:tab w:val="left" w:pos="7371"/>
        </w:tabs>
        <w:jc w:val="left"/>
        <w:rPr>
          <w:lang w:val="it-IT"/>
        </w:rPr>
      </w:pPr>
    </w:p>
    <w:p w14:paraId="00757E4D" w14:textId="77777777" w:rsidR="00320BBE" w:rsidRPr="00320BBE" w:rsidRDefault="00320BBE" w:rsidP="00320BBE">
      <w:pPr>
        <w:spacing w:line="240" w:lineRule="auto"/>
        <w:rPr>
          <w:rFonts w:ascii="Aptos" w:eastAsiaTheme="majorEastAsia" w:hAnsi="Aptos" w:cstheme="majorBidi"/>
          <w:spacing w:val="5"/>
          <w:kern w:val="28"/>
          <w:szCs w:val="22"/>
          <w:lang w:val="it-IT"/>
        </w:rPr>
      </w:pPr>
      <w:bookmarkStart w:id="0" w:name="_Hlk190695874"/>
      <w:r w:rsidRPr="00320BBE">
        <w:rPr>
          <w:rFonts w:ascii="Aptos" w:eastAsiaTheme="majorEastAsia" w:hAnsi="Aptos" w:cstheme="majorBidi"/>
          <w:spacing w:val="5"/>
          <w:kern w:val="28"/>
          <w:szCs w:val="22"/>
          <w:lang w:val="it-IT"/>
        </w:rPr>
        <w:t>Henkel accelera la sua agenda di crescita: investimenti in marchi, innovazione e M&amp;A</w:t>
      </w:r>
    </w:p>
    <w:p w14:paraId="05A0C1D5" w14:textId="77777777" w:rsidR="00320BBE" w:rsidRDefault="00320BBE" w:rsidP="00320BBE">
      <w:pPr>
        <w:spacing w:line="240" w:lineRule="auto"/>
        <w:rPr>
          <w:rFonts w:ascii="Aptos" w:eastAsiaTheme="majorEastAsia" w:hAnsi="Aptos" w:cstheme="majorBidi"/>
          <w:b/>
          <w:bCs/>
          <w:spacing w:val="5"/>
          <w:kern w:val="28"/>
          <w:sz w:val="28"/>
          <w:szCs w:val="28"/>
          <w:lang w:val="it-IT"/>
        </w:rPr>
      </w:pPr>
    </w:p>
    <w:bookmarkEnd w:id="0"/>
    <w:p w14:paraId="3ECDFDF8" w14:textId="77777777" w:rsidR="00F84847" w:rsidRDefault="00F84847" w:rsidP="00F84847">
      <w:pPr>
        <w:spacing w:line="240" w:lineRule="auto"/>
        <w:rPr>
          <w:rFonts w:ascii="Aptos" w:eastAsiaTheme="majorEastAsia" w:hAnsi="Aptos" w:cstheme="majorBidi"/>
          <w:b/>
          <w:bCs/>
          <w:spacing w:val="5"/>
          <w:kern w:val="28"/>
          <w:sz w:val="28"/>
          <w:szCs w:val="28"/>
          <w:lang w:val="it-IT"/>
        </w:rPr>
      </w:pPr>
      <w:r w:rsidRPr="00F84847">
        <w:rPr>
          <w:rFonts w:ascii="Aptos" w:eastAsiaTheme="majorEastAsia" w:hAnsi="Aptos" w:cstheme="majorBidi"/>
          <w:b/>
          <w:bCs/>
          <w:spacing w:val="5"/>
          <w:kern w:val="28"/>
          <w:sz w:val="28"/>
          <w:szCs w:val="28"/>
          <w:lang w:val="it-IT"/>
        </w:rPr>
        <w:t>Henkel registra una solida performance di vendite e utili nella prima metà dell’anno e aggiorna al rialzo le previsioni di crescita del fatturato per il 2026</w:t>
      </w:r>
    </w:p>
    <w:p w14:paraId="37E2BD28" w14:textId="77777777" w:rsidR="00BA6BC0" w:rsidRPr="00F84847" w:rsidRDefault="00BA6BC0" w:rsidP="00F84847">
      <w:pPr>
        <w:spacing w:line="240" w:lineRule="auto"/>
        <w:rPr>
          <w:rFonts w:ascii="Aptos" w:eastAsiaTheme="majorEastAsia" w:hAnsi="Aptos" w:cstheme="majorBidi"/>
          <w:b/>
          <w:bCs/>
          <w:spacing w:val="5"/>
          <w:kern w:val="28"/>
          <w:sz w:val="28"/>
          <w:szCs w:val="28"/>
          <w:lang w:val="it-IT"/>
        </w:rPr>
      </w:pPr>
    </w:p>
    <w:p w14:paraId="5E22EDC4" w14:textId="77777777" w:rsidR="00A54C2A" w:rsidRPr="00F84847" w:rsidRDefault="00A54C2A" w:rsidP="00C65957">
      <w:pPr>
        <w:spacing w:line="240" w:lineRule="auto"/>
        <w:jc w:val="left"/>
        <w:rPr>
          <w:sz w:val="16"/>
          <w:szCs w:val="16"/>
          <w:lang w:val="it-IT"/>
        </w:rPr>
      </w:pPr>
    </w:p>
    <w:p w14:paraId="6C2BB472"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Le vendite del Gruppo nella prima metà dell’anno hanno registrato una forte crescita organica del 3,2%, raggiungendo 10,3 miliardi di euro</w:t>
      </w:r>
    </w:p>
    <w:p w14:paraId="63B65BF1"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La crescita è stata sostenuta da un andamento positivo di prezzi e volumi in entrambe le divisioni</w:t>
      </w:r>
    </w:p>
    <w:p w14:paraId="65F2275B"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L’utile operativo (EBIT)* è aumentato a 1.620 milioni di euro (+0,3%)</w:t>
      </w:r>
    </w:p>
    <w:p w14:paraId="15DCC319"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Il margine EBIT* si è attestato a un solido 15,7% (+10 punti base), sostenuto da entrambe le divisioni e a conferma della forza del business</w:t>
      </w:r>
    </w:p>
    <w:p w14:paraId="51356548"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L’utile per azione privilegiata (EPS)* è aumentato a 2,86 euro, in crescita del 7,1% a tassi di cambio costanti</w:t>
      </w:r>
    </w:p>
    <w:p w14:paraId="087B54C6"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Esecuzione efficace della strategia di crescita tramite M&amp;A nella prima metà dell’anno, con i primi contributi positivi a vendite e utili già nel 2026</w:t>
      </w:r>
    </w:p>
    <w:p w14:paraId="7E6FECB1" w14:textId="77777777" w:rsidR="00BE369E" w:rsidRPr="00BA6BC0" w:rsidRDefault="00BE369E" w:rsidP="00BE369E">
      <w:pPr>
        <w:numPr>
          <w:ilvl w:val="0"/>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 xml:space="preserve">Previsioni per l’esercizio 2026: aggiornate al rialzo le aspettative di crescita del fatturato per il Gruppo e per Adhesive Technologies </w:t>
      </w:r>
    </w:p>
    <w:p w14:paraId="26D84E6B" w14:textId="77777777" w:rsidR="00BE369E" w:rsidRPr="00BA6BC0" w:rsidRDefault="00BE369E" w:rsidP="00BE369E">
      <w:pPr>
        <w:numPr>
          <w:ilvl w:val="1"/>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Crescita organica del fatturato: tra l’1,5% e il 3,5% (precedentemente: 1% – 3%)</w:t>
      </w:r>
    </w:p>
    <w:p w14:paraId="53452C1F" w14:textId="77777777" w:rsidR="00BE369E" w:rsidRPr="00BA6BC0" w:rsidRDefault="00BE369E" w:rsidP="00BE369E">
      <w:pPr>
        <w:numPr>
          <w:ilvl w:val="1"/>
          <w:numId w:val="9"/>
        </w:numPr>
        <w:spacing w:line="240" w:lineRule="auto"/>
        <w:jc w:val="left"/>
        <w:rPr>
          <w:rFonts w:asciiTheme="minorHAnsi" w:eastAsiaTheme="majorEastAsia" w:hAnsiTheme="minorHAnsi" w:cstheme="minorHAnsi"/>
          <w:spacing w:val="5"/>
          <w:kern w:val="28"/>
          <w:szCs w:val="22"/>
          <w:lang w:val="it-IT"/>
        </w:rPr>
      </w:pPr>
      <w:r w:rsidRPr="00BA6BC0">
        <w:rPr>
          <w:rFonts w:asciiTheme="minorHAnsi" w:eastAsiaTheme="majorEastAsia" w:hAnsiTheme="minorHAnsi" w:cstheme="minorHAnsi"/>
          <w:spacing w:val="5"/>
          <w:kern w:val="28"/>
          <w:szCs w:val="22"/>
          <w:lang w:val="it-IT"/>
        </w:rPr>
        <w:t>Ritorno depurato sulle vendite: tra il 14,5% e il 16%</w:t>
      </w:r>
    </w:p>
    <w:p w14:paraId="1FBA8585" w14:textId="77777777" w:rsidR="00BE369E" w:rsidRPr="00BA6BC0" w:rsidRDefault="00BE369E" w:rsidP="00BE369E">
      <w:pPr>
        <w:numPr>
          <w:ilvl w:val="1"/>
          <w:numId w:val="9"/>
        </w:numPr>
        <w:spacing w:line="240" w:lineRule="auto"/>
        <w:jc w:val="left"/>
        <w:rPr>
          <w:rFonts w:asciiTheme="minorHAnsi" w:eastAsiaTheme="majorEastAsia" w:hAnsiTheme="minorHAnsi" w:cstheme="minorHAnsi"/>
          <w:spacing w:val="5"/>
          <w:kern w:val="28"/>
          <w:lang w:val="it-IT"/>
        </w:rPr>
      </w:pPr>
      <w:r w:rsidRPr="00BA6BC0">
        <w:rPr>
          <w:rFonts w:asciiTheme="minorHAnsi" w:eastAsiaTheme="majorEastAsia" w:hAnsiTheme="minorHAnsi" w:cstheme="minorHAnsi"/>
          <w:spacing w:val="5"/>
          <w:kern w:val="28"/>
          <w:szCs w:val="22"/>
          <w:lang w:val="it-IT"/>
        </w:rPr>
        <w:t>Utile depurato per azione privilegiata (EPS): incremento nella fascia tra bassa e alta delle percentuali a una cifra, a tassi di cambio costanti</w:t>
      </w:r>
    </w:p>
    <w:p w14:paraId="51A0F424" w14:textId="77777777" w:rsidR="00BE369E" w:rsidRPr="00495E55" w:rsidRDefault="00BE369E" w:rsidP="00BE369E">
      <w:pPr>
        <w:spacing w:line="240" w:lineRule="auto"/>
        <w:rPr>
          <w:rFonts w:ascii="Aptos" w:eastAsiaTheme="majorEastAsia" w:hAnsi="Aptos" w:cstheme="majorBidi"/>
          <w:spacing w:val="5"/>
          <w:kern w:val="28"/>
          <w:szCs w:val="22"/>
          <w:lang w:val="it-IT"/>
        </w:rPr>
      </w:pPr>
    </w:p>
    <w:p w14:paraId="0E973721" w14:textId="3F3EF3D0" w:rsidR="00D93B82" w:rsidRPr="00BE369E" w:rsidRDefault="00D93B82" w:rsidP="00037396">
      <w:pPr>
        <w:rPr>
          <w:rFonts w:cs="Segoe UI"/>
          <w:b/>
          <w:bCs/>
          <w:szCs w:val="22"/>
          <w:lang w:val="it-IT"/>
        </w:rPr>
      </w:pPr>
    </w:p>
    <w:p w14:paraId="2DEFE0BA" w14:textId="5F5DC30E" w:rsidR="00BA6BC0" w:rsidRPr="0087235F" w:rsidRDefault="00BA6BC0" w:rsidP="00BA6BC0">
      <w:pPr>
        <w:spacing w:line="240" w:lineRule="auto"/>
        <w:rPr>
          <w:rFonts w:cs="Segoe UI"/>
          <w:szCs w:val="22"/>
          <w:lang w:val="it-IT"/>
        </w:rPr>
      </w:pPr>
      <w:r w:rsidRPr="0087235F">
        <w:rPr>
          <w:rFonts w:cs="Segoe UI"/>
          <w:szCs w:val="22"/>
          <w:lang w:val="it-IT"/>
        </w:rPr>
        <w:t>Düsseldorf – Henkel ha registrato una forte crescita organica del fatturato e una performance molto buona in termini di utili nella prima metà del 2026, nonostante un contesto economico che continua a essere particolarmente sfidante.</w:t>
      </w:r>
    </w:p>
    <w:p w14:paraId="668D1270" w14:textId="77777777" w:rsidR="00BA6BC0" w:rsidRPr="00BA6BC0" w:rsidRDefault="00BA6BC0" w:rsidP="00BA6BC0">
      <w:pPr>
        <w:spacing w:line="240" w:lineRule="auto"/>
        <w:rPr>
          <w:rFonts w:cs="Segoe UI"/>
          <w:szCs w:val="22"/>
        </w:rPr>
      </w:pPr>
      <w:r w:rsidRPr="00BA6BC0">
        <w:rPr>
          <w:rFonts w:cs="Segoe UI"/>
          <w:szCs w:val="22"/>
        </w:rPr>
        <w:t xml:space="preserve">“Anche in </w:t>
      </w:r>
      <w:proofErr w:type="spellStart"/>
      <w:r w:rsidRPr="00BA6BC0">
        <w:rPr>
          <w:rFonts w:cs="Segoe UI"/>
          <w:szCs w:val="22"/>
        </w:rPr>
        <w:t>questo</w:t>
      </w:r>
      <w:proofErr w:type="spellEnd"/>
      <w:r w:rsidRPr="00BA6BC0">
        <w:rPr>
          <w:rFonts w:cs="Segoe UI"/>
          <w:szCs w:val="22"/>
        </w:rPr>
        <w:t xml:space="preserve"> </w:t>
      </w:r>
      <w:proofErr w:type="spellStart"/>
      <w:r w:rsidRPr="00BA6BC0">
        <w:rPr>
          <w:rFonts w:cs="Segoe UI"/>
          <w:szCs w:val="22"/>
        </w:rPr>
        <w:t>periodo</w:t>
      </w:r>
      <w:proofErr w:type="spellEnd"/>
      <w:r w:rsidRPr="00BA6BC0">
        <w:rPr>
          <w:rFonts w:cs="Segoe UI"/>
          <w:szCs w:val="22"/>
        </w:rPr>
        <w:t xml:space="preserve"> la crescita organica del fatturato è stata trainata da entrambe le divisioni, che hanno registrato uno sviluppo positivo sia dei prezzi sia dei volumi. In Adhesive Technologies, il miglioramento delle vendite e degli utili è stato inoltre sostenuto dalla costante e rapida attuazione delle iniziative di pricing, finalizzate a compensare la pressione derivante dall’aumento dei costi delle materie prime”, ha dichiarato il CEO di Henkel, Carsten Knobel. “In </w:t>
      </w:r>
      <w:r w:rsidRPr="00BA6BC0">
        <w:rPr>
          <w:rFonts w:cs="Segoe UI"/>
          <w:szCs w:val="22"/>
        </w:rPr>
        <w:lastRenderedPageBreak/>
        <w:t>Consumer Brands, il business Hair ha proseguito il suo forte percorso di crescita, mentre il business Laundry Care è tornato a registrare una crescita positiva.”</w:t>
      </w:r>
    </w:p>
    <w:p w14:paraId="341CB32D" w14:textId="4D094ED8" w:rsidR="002566B2" w:rsidRPr="00BA6BC0" w:rsidRDefault="002566B2" w:rsidP="002566B2">
      <w:pPr>
        <w:rPr>
          <w:rFonts w:cs="Segoe UI"/>
          <w:szCs w:val="22"/>
          <w:lang w:val="it-IT"/>
        </w:rPr>
      </w:pPr>
    </w:p>
    <w:p w14:paraId="7D5A2C87" w14:textId="77777777" w:rsidR="00FF398E" w:rsidRDefault="00FF398E" w:rsidP="00FF398E">
      <w:pPr>
        <w:spacing w:line="240" w:lineRule="auto"/>
        <w:rPr>
          <w:rFonts w:cs="Segoe UI"/>
          <w:szCs w:val="22"/>
        </w:rPr>
      </w:pPr>
      <w:r w:rsidRPr="00FF398E">
        <w:rPr>
          <w:rFonts w:cs="Segoe UI"/>
          <w:szCs w:val="22"/>
        </w:rPr>
        <w:t xml:space="preserve">“Stiamo attuando con coerenza la nostra strategia, con un chiaro focus sulla crescita mirata, e i risultati dimostrano il successo di questo approccio. Nella prima metà dell’anno abbiamo ottenuto una performance di business complessivamente molto solida, continuando al contempo a investire in modo significativo nel nostro futuro tra marchi, tecnologie e innovazione. Inoltre, abbiamo accelerato in modo significativo le nostre attività di M&amp;A. Abbiamo raggiunto accordi per cinque acquisizioni per un valore complessivo di circa </w:t>
      </w:r>
      <w:proofErr w:type="gramStart"/>
      <w:r w:rsidRPr="00FF398E">
        <w:rPr>
          <w:rFonts w:cs="Segoe UI"/>
          <w:szCs w:val="22"/>
        </w:rPr>
        <w:t>5</w:t>
      </w:r>
      <w:proofErr w:type="gramEnd"/>
      <w:r w:rsidRPr="00FF398E">
        <w:rPr>
          <w:rFonts w:cs="Segoe UI"/>
          <w:szCs w:val="22"/>
        </w:rPr>
        <w:t xml:space="preserve"> miliardi di euro, che rafforzeranno in modo sostanziale entrambe le nostre divisioni. Quattro di queste acquisizioni sono già state finalizzate. Nei prossimi anni le attività acquisite dovrebbero generare una crescita superiore alla media, nella fascia medio-alta delle percentuali a una cifra, e contribuire con circa </w:t>
      </w:r>
      <w:proofErr w:type="gramStart"/>
      <w:r w:rsidRPr="00FF398E">
        <w:rPr>
          <w:rFonts w:cs="Segoe UI"/>
          <w:szCs w:val="22"/>
        </w:rPr>
        <w:t>2</w:t>
      </w:r>
      <w:proofErr w:type="gramEnd"/>
      <w:r w:rsidRPr="00FF398E">
        <w:rPr>
          <w:rFonts w:cs="Segoe UI"/>
          <w:szCs w:val="22"/>
        </w:rPr>
        <w:t xml:space="preserve"> miliardi di euro di fatturato aggiuntivo annuo. Questo rappresenta un ulteriore importante passo avanti nell’attuazione sostenibile della nostra agenda di crescita”, ha proseguito Carsten Knobel. </w:t>
      </w:r>
    </w:p>
    <w:p w14:paraId="07DC3110" w14:textId="77777777" w:rsidR="00FF398E" w:rsidRPr="00FF398E" w:rsidRDefault="00FF398E" w:rsidP="00FF398E">
      <w:pPr>
        <w:spacing w:line="240" w:lineRule="auto"/>
        <w:rPr>
          <w:rFonts w:cs="Segoe UI"/>
          <w:szCs w:val="22"/>
        </w:rPr>
      </w:pPr>
    </w:p>
    <w:p w14:paraId="59F5F4F0" w14:textId="076B2B56" w:rsidR="006D4D0C" w:rsidRDefault="00FF398E" w:rsidP="00FF398E">
      <w:pPr>
        <w:spacing w:after="120"/>
        <w:rPr>
          <w:rFonts w:cs="Segoe UI"/>
          <w:szCs w:val="22"/>
        </w:rPr>
      </w:pPr>
      <w:r w:rsidRPr="00FF398E">
        <w:rPr>
          <w:rFonts w:cs="Segoe UI"/>
          <w:szCs w:val="22"/>
        </w:rPr>
        <w:t xml:space="preserve">“Sulla base della forte performance registrata nella prima metà dell’anno, abbiamo aggiornato al rialzo le nostre aspettative di crescita del fatturato sia per il Gruppo sia per la divisione Adhesive Technologies. A livello di Gruppo, prevediamo ora una crescita organica del fatturato compresa tra l’1,5% e il 3,5%, rispetto alla precedente previsione compresa tra l’1% e il 3%. Per Adhesive Technologies, abbiamo aumentato le nostre aspettative di crescita organica del fatturato da un intervallo compreso tra l’1% e il 3% a un intervallo compreso tra il 2% e il 4%. Continuiamo pertanto a ritenere che Henkel sia ben posizionata per conseguire una </w:t>
      </w:r>
      <w:proofErr w:type="spellStart"/>
      <w:r w:rsidRPr="00FF398E">
        <w:rPr>
          <w:rFonts w:cs="Segoe UI"/>
          <w:szCs w:val="22"/>
        </w:rPr>
        <w:t>crescita</w:t>
      </w:r>
      <w:proofErr w:type="spellEnd"/>
      <w:r w:rsidRPr="00FF398E">
        <w:rPr>
          <w:rFonts w:cs="Segoe UI"/>
          <w:szCs w:val="22"/>
        </w:rPr>
        <w:t xml:space="preserve"> sostenibile e </w:t>
      </w:r>
      <w:proofErr w:type="spellStart"/>
      <w:r w:rsidRPr="00FF398E">
        <w:rPr>
          <w:rFonts w:cs="Segoe UI"/>
          <w:szCs w:val="22"/>
        </w:rPr>
        <w:t>redditizia</w:t>
      </w:r>
      <w:proofErr w:type="spellEnd"/>
      <w:r w:rsidRPr="00FF398E">
        <w:rPr>
          <w:rFonts w:cs="Segoe UI"/>
          <w:szCs w:val="22"/>
        </w:rPr>
        <w:t>.”</w:t>
      </w:r>
    </w:p>
    <w:p w14:paraId="7A701E7F" w14:textId="77777777" w:rsidR="00FF398E" w:rsidRPr="00FF398E" w:rsidRDefault="00FF398E" w:rsidP="00FF398E">
      <w:pPr>
        <w:spacing w:after="120"/>
        <w:rPr>
          <w:rFonts w:cs="Segoe UI"/>
          <w:szCs w:val="22"/>
        </w:rPr>
      </w:pPr>
    </w:p>
    <w:p w14:paraId="2A76FDBC" w14:textId="77777777" w:rsidR="003D53D7" w:rsidRPr="003D53D7" w:rsidRDefault="003D53D7" w:rsidP="003D53D7">
      <w:pPr>
        <w:spacing w:line="240" w:lineRule="auto"/>
        <w:rPr>
          <w:rFonts w:cs="Segoe UI"/>
          <w:b/>
          <w:bCs/>
          <w:szCs w:val="22"/>
          <w:lang w:eastAsia="de-DE"/>
        </w:rPr>
      </w:pPr>
      <w:r w:rsidRPr="003D53D7">
        <w:rPr>
          <w:rFonts w:cs="Segoe UI"/>
          <w:b/>
          <w:bCs/>
          <w:szCs w:val="22"/>
          <w:lang w:eastAsia="de-DE"/>
        </w:rPr>
        <w:t>Andamento di vendite e utili nella prima metà del 2026</w:t>
      </w:r>
    </w:p>
    <w:p w14:paraId="1D1D841B" w14:textId="77777777" w:rsidR="003D53D7" w:rsidRPr="003D53D7" w:rsidRDefault="003D53D7" w:rsidP="003D53D7">
      <w:pPr>
        <w:spacing w:line="240" w:lineRule="auto"/>
        <w:rPr>
          <w:rFonts w:cs="Segoe UI"/>
          <w:b/>
          <w:bCs/>
          <w:szCs w:val="22"/>
          <w:lang w:eastAsia="de-DE"/>
        </w:rPr>
      </w:pPr>
    </w:p>
    <w:p w14:paraId="33E76AFD" w14:textId="77777777" w:rsidR="00C827EE" w:rsidRPr="00C827EE" w:rsidRDefault="00C827EE" w:rsidP="00C827EE">
      <w:pPr>
        <w:spacing w:line="240" w:lineRule="auto"/>
        <w:rPr>
          <w:rFonts w:cs="Segoe UI"/>
          <w:szCs w:val="22"/>
        </w:rPr>
      </w:pPr>
      <w:r w:rsidRPr="00C827EE">
        <w:rPr>
          <w:rFonts w:cs="Segoe UI"/>
          <w:szCs w:val="22"/>
        </w:rPr>
        <w:t xml:space="preserve">Henkel ha registrato un fatturato di </w:t>
      </w:r>
      <w:r w:rsidRPr="00C827EE">
        <w:rPr>
          <w:rFonts w:cs="Segoe UI"/>
          <w:b/>
          <w:bCs/>
          <w:szCs w:val="22"/>
        </w:rPr>
        <w:t>Gruppo</w:t>
      </w:r>
      <w:r w:rsidRPr="00C827EE">
        <w:rPr>
          <w:rFonts w:cs="Segoe UI"/>
          <w:szCs w:val="22"/>
        </w:rPr>
        <w:t xml:space="preserve"> pari a 10.348 milioni di euro nella prima metà del 2026, corrispondente a un andamento nominale del -0,5% (Q2: 5.396 milioni di euro, +4,6%). Gli effetti valutari hanno ridotto le vendite del -3,9% (Q2: -2,6%). Acquisizioni e dismissioni hanno avuto un impatto leggermente positivo sulle vendite pari allo 0,2% (Q2: +2,5%). Se da un lato la cessione del business dei marchi del distributore in Nord America (aprile 2025) ha avuto un impatto negativo, dall’altro le acquisizioni completate in entrambe le divisioni nella prima metà del 2026, in particolare ATP Adhesive Systems e Not Your </w:t>
      </w:r>
      <w:proofErr w:type="spellStart"/>
      <w:r w:rsidRPr="00C827EE">
        <w:rPr>
          <w:rFonts w:cs="Segoe UI"/>
          <w:szCs w:val="22"/>
        </w:rPr>
        <w:t>Mother’s</w:t>
      </w:r>
      <w:proofErr w:type="spellEnd"/>
      <w:r w:rsidRPr="00C827EE">
        <w:rPr>
          <w:rFonts w:cs="Segoe UI"/>
          <w:szCs w:val="22"/>
        </w:rPr>
        <w:t>, hanno contribuito positivamente ai risultati. In termini organici, vale a dire al netto degli effetti valutari e di acquisizioni/dismissioni, Henkel ha registrato una forte crescita del fatturato del 3,2% (Q2: +4,7%).</w:t>
      </w:r>
    </w:p>
    <w:p w14:paraId="50004094" w14:textId="77777777" w:rsidR="00C827EE" w:rsidRPr="00C827EE" w:rsidRDefault="00C827EE" w:rsidP="00C827EE">
      <w:pPr>
        <w:spacing w:line="240" w:lineRule="auto"/>
        <w:rPr>
          <w:rFonts w:cs="Segoe UI"/>
          <w:szCs w:val="22"/>
        </w:rPr>
      </w:pPr>
    </w:p>
    <w:p w14:paraId="34BA5159" w14:textId="77777777" w:rsidR="00C827EE" w:rsidRPr="00C827EE" w:rsidRDefault="00C827EE" w:rsidP="00C827EE">
      <w:pPr>
        <w:spacing w:line="240" w:lineRule="auto"/>
        <w:rPr>
          <w:rFonts w:cs="Segoe UI"/>
          <w:szCs w:val="22"/>
        </w:rPr>
      </w:pPr>
      <w:r w:rsidRPr="00C827EE">
        <w:rPr>
          <w:rFonts w:cs="Segoe UI"/>
          <w:szCs w:val="22"/>
        </w:rPr>
        <w:t xml:space="preserve">La divisione </w:t>
      </w:r>
      <w:r w:rsidRPr="00C827EE">
        <w:rPr>
          <w:rFonts w:cs="Segoe UI"/>
          <w:b/>
          <w:bCs/>
          <w:szCs w:val="22"/>
        </w:rPr>
        <w:t>Adhesive Technologies</w:t>
      </w:r>
      <w:r w:rsidRPr="00C827EE">
        <w:rPr>
          <w:rFonts w:cs="Segoe UI"/>
          <w:szCs w:val="22"/>
        </w:rPr>
        <w:t xml:space="preserve"> ha registrato una crescita organica delle vendite molto forte, pari al 4,5% nella prima metà del 2026 (Q2: +7,4%), trainata principalmente dall’area di business </w:t>
      </w:r>
      <w:proofErr w:type="spellStart"/>
      <w:r w:rsidRPr="00C827EE">
        <w:rPr>
          <w:rFonts w:cs="Segoe UI"/>
          <w:szCs w:val="22"/>
        </w:rPr>
        <w:t>Mobility</w:t>
      </w:r>
      <w:proofErr w:type="spellEnd"/>
      <w:r w:rsidRPr="00C827EE">
        <w:rPr>
          <w:rFonts w:cs="Segoe UI"/>
          <w:szCs w:val="22"/>
        </w:rPr>
        <w:t xml:space="preserve"> &amp; Electronics. Anche la divisione </w:t>
      </w:r>
      <w:r w:rsidRPr="00C827EE">
        <w:rPr>
          <w:rFonts w:cs="Segoe UI"/>
          <w:b/>
          <w:bCs/>
          <w:szCs w:val="22"/>
        </w:rPr>
        <w:t>Consumer Brands</w:t>
      </w:r>
      <w:r w:rsidRPr="00C827EE">
        <w:rPr>
          <w:rFonts w:cs="Segoe UI"/>
          <w:szCs w:val="22"/>
        </w:rPr>
        <w:t xml:space="preserve"> ha evidenziato un </w:t>
      </w:r>
      <w:r w:rsidRPr="00C827EE">
        <w:rPr>
          <w:rFonts w:cs="Segoe UI"/>
          <w:szCs w:val="22"/>
        </w:rPr>
        <w:lastRenderedPageBreak/>
        <w:t>andamento positivo, con una buona crescita organica delle vendite pari all’1,7% (Q2: +1,6%), sostenuta soprattutto dalla forte crescita del business Hair.</w:t>
      </w:r>
    </w:p>
    <w:p w14:paraId="6ACF862A" w14:textId="77777777" w:rsidR="00C827EE" w:rsidRPr="00C827EE" w:rsidRDefault="00C827EE" w:rsidP="00C827EE">
      <w:pPr>
        <w:spacing w:line="240" w:lineRule="auto"/>
        <w:rPr>
          <w:rFonts w:cs="Segoe UI"/>
          <w:szCs w:val="22"/>
        </w:rPr>
      </w:pPr>
    </w:p>
    <w:p w14:paraId="365AFA5C" w14:textId="1FB8A4EE" w:rsidR="00C827EE" w:rsidRPr="00C827EE" w:rsidRDefault="00C827EE" w:rsidP="00C827EE">
      <w:pPr>
        <w:spacing w:line="240" w:lineRule="auto"/>
        <w:rPr>
          <w:rFonts w:cs="Segoe UI"/>
          <w:szCs w:val="22"/>
        </w:rPr>
      </w:pPr>
      <w:r w:rsidRPr="00C827EE">
        <w:rPr>
          <w:rFonts w:cs="Segoe UI"/>
          <w:szCs w:val="22"/>
        </w:rPr>
        <w:t xml:space="preserve">La regione </w:t>
      </w:r>
      <w:r w:rsidRPr="00B14B30">
        <w:rPr>
          <w:rFonts w:cs="Segoe UI"/>
          <w:b/>
          <w:bCs/>
          <w:szCs w:val="22"/>
        </w:rPr>
        <w:t xml:space="preserve">Europa </w:t>
      </w:r>
      <w:r w:rsidRPr="00C827EE">
        <w:rPr>
          <w:rFonts w:cs="Segoe UI"/>
          <w:szCs w:val="22"/>
        </w:rPr>
        <w:t xml:space="preserve">ha registrato un andamento organico delle vendite negativo pari al -1,5% (Q2: +0,4%). Al contrario, il </w:t>
      </w:r>
      <w:r w:rsidRPr="00B14B30">
        <w:rPr>
          <w:rFonts w:cs="Segoe UI"/>
          <w:b/>
          <w:bCs/>
          <w:szCs w:val="22"/>
        </w:rPr>
        <w:t>Nord America</w:t>
      </w:r>
      <w:r w:rsidRPr="00C827EE">
        <w:rPr>
          <w:rFonts w:cs="Segoe UI"/>
          <w:szCs w:val="22"/>
        </w:rPr>
        <w:t xml:space="preserve"> ha riportato una buona crescita organica del 2,4% (Q2: +3,9%). </w:t>
      </w:r>
      <w:r w:rsidRPr="00B14B30">
        <w:rPr>
          <w:rFonts w:cs="Segoe UI"/>
          <w:szCs w:val="22"/>
          <w:lang w:val="it-IT"/>
        </w:rPr>
        <w:t xml:space="preserve">Nelle regioni </w:t>
      </w:r>
      <w:r w:rsidRPr="00B14B30">
        <w:rPr>
          <w:rFonts w:cs="Segoe UI"/>
          <w:b/>
          <w:bCs/>
          <w:szCs w:val="22"/>
          <w:lang w:val="it-IT"/>
        </w:rPr>
        <w:t>IMEA</w:t>
      </w:r>
      <w:r w:rsidRPr="00B14B30">
        <w:rPr>
          <w:rFonts w:cs="Segoe UI"/>
          <w:szCs w:val="22"/>
          <w:lang w:val="it-IT"/>
        </w:rPr>
        <w:t xml:space="preserve"> e </w:t>
      </w:r>
      <w:r w:rsidRPr="00B14B30">
        <w:rPr>
          <w:rFonts w:cs="Segoe UI"/>
          <w:b/>
          <w:bCs/>
          <w:szCs w:val="22"/>
          <w:lang w:val="it-IT"/>
        </w:rPr>
        <w:t>Asia-Pacific</w:t>
      </w:r>
      <w:r w:rsidRPr="00B14B30">
        <w:rPr>
          <w:rFonts w:cs="Segoe UI"/>
          <w:szCs w:val="22"/>
          <w:lang w:val="it-IT"/>
        </w:rPr>
        <w:t xml:space="preserve">, Henkel ha conseguito una crescita organica delle vendite a doppia cifra, pari rispettivamente al 14,9% (Q2: +17,4%) e al 10,3% (Q2: +10,3%). </w:t>
      </w:r>
      <w:r w:rsidRPr="00C827EE">
        <w:rPr>
          <w:rFonts w:cs="Segoe UI"/>
          <w:szCs w:val="22"/>
        </w:rPr>
        <w:t xml:space="preserve">La </w:t>
      </w:r>
      <w:proofErr w:type="spellStart"/>
      <w:r w:rsidRPr="00C827EE">
        <w:rPr>
          <w:rFonts w:cs="Segoe UI"/>
          <w:szCs w:val="22"/>
        </w:rPr>
        <w:t>regione</w:t>
      </w:r>
      <w:proofErr w:type="spellEnd"/>
      <w:r w:rsidRPr="00C827EE">
        <w:rPr>
          <w:rFonts w:cs="Segoe UI"/>
          <w:szCs w:val="22"/>
        </w:rPr>
        <w:t xml:space="preserve"> </w:t>
      </w:r>
      <w:r w:rsidRPr="00B14B30">
        <w:rPr>
          <w:rFonts w:cs="Segoe UI"/>
          <w:b/>
          <w:bCs/>
          <w:szCs w:val="22"/>
        </w:rPr>
        <w:t>America Latina</w:t>
      </w:r>
      <w:r w:rsidRPr="00C827EE">
        <w:rPr>
          <w:rFonts w:cs="Segoe UI"/>
          <w:szCs w:val="22"/>
        </w:rPr>
        <w:t>, invece, ha registrato un andamento organico delle vendite leggermente negativo, pari al -1,3% (Q2: +0,5%).</w:t>
      </w:r>
    </w:p>
    <w:p w14:paraId="5B437410" w14:textId="77777777" w:rsidR="00C827EE" w:rsidRPr="00C827EE" w:rsidRDefault="00C827EE" w:rsidP="00C827EE">
      <w:pPr>
        <w:spacing w:line="240" w:lineRule="auto"/>
        <w:rPr>
          <w:rFonts w:cs="Segoe UI"/>
          <w:szCs w:val="22"/>
        </w:rPr>
      </w:pPr>
    </w:p>
    <w:p w14:paraId="45C85F15" w14:textId="77777777" w:rsidR="00C827EE" w:rsidRDefault="00C827EE" w:rsidP="00C827EE">
      <w:pPr>
        <w:spacing w:line="240" w:lineRule="auto"/>
        <w:rPr>
          <w:rFonts w:cs="Segoe UI"/>
          <w:szCs w:val="22"/>
        </w:rPr>
      </w:pPr>
      <w:r w:rsidRPr="006B40A5">
        <w:rPr>
          <w:rFonts w:cs="Segoe UI"/>
          <w:b/>
          <w:bCs/>
          <w:szCs w:val="22"/>
        </w:rPr>
        <w:t>L’utile operativo depurato (EBIT depurato)</w:t>
      </w:r>
      <w:r w:rsidRPr="00C827EE">
        <w:rPr>
          <w:rFonts w:cs="Segoe UI"/>
          <w:szCs w:val="22"/>
        </w:rPr>
        <w:t xml:space="preserve"> si è attestato a 1.620 milioni di euro, leggermente al di sopra del livello dell’anno precedente, pari a 1.614 </w:t>
      </w:r>
      <w:proofErr w:type="spellStart"/>
      <w:r w:rsidRPr="00C827EE">
        <w:rPr>
          <w:rFonts w:cs="Segoe UI"/>
          <w:szCs w:val="22"/>
        </w:rPr>
        <w:t>milioni</w:t>
      </w:r>
      <w:proofErr w:type="spellEnd"/>
      <w:r w:rsidRPr="00C827EE">
        <w:rPr>
          <w:rFonts w:cs="Segoe UI"/>
          <w:szCs w:val="22"/>
        </w:rPr>
        <w:t xml:space="preserve"> di euro.</w:t>
      </w:r>
    </w:p>
    <w:p w14:paraId="321C1653" w14:textId="77777777" w:rsidR="006B40A5" w:rsidRPr="00C827EE" w:rsidRDefault="006B40A5" w:rsidP="00C827EE">
      <w:pPr>
        <w:spacing w:line="240" w:lineRule="auto"/>
        <w:rPr>
          <w:rFonts w:cs="Segoe UI"/>
          <w:szCs w:val="22"/>
        </w:rPr>
      </w:pPr>
    </w:p>
    <w:p w14:paraId="32F4773B" w14:textId="77777777" w:rsidR="00C827EE" w:rsidRDefault="00C827EE" w:rsidP="00C827EE">
      <w:pPr>
        <w:spacing w:line="240" w:lineRule="auto"/>
        <w:rPr>
          <w:rFonts w:cs="Segoe UI"/>
          <w:szCs w:val="22"/>
        </w:rPr>
      </w:pPr>
      <w:r w:rsidRPr="00C827EE">
        <w:rPr>
          <w:rFonts w:cs="Segoe UI"/>
          <w:szCs w:val="22"/>
        </w:rPr>
        <w:t xml:space="preserve">Anche il </w:t>
      </w:r>
      <w:r w:rsidRPr="006B40A5">
        <w:rPr>
          <w:rFonts w:cs="Segoe UI"/>
          <w:b/>
          <w:bCs/>
          <w:szCs w:val="22"/>
        </w:rPr>
        <w:t>ritorno depurato sulle vendite (margine EBIT depurato)</w:t>
      </w:r>
      <w:r w:rsidRPr="00C827EE">
        <w:rPr>
          <w:rFonts w:cs="Segoe UI"/>
          <w:szCs w:val="22"/>
        </w:rPr>
        <w:t xml:space="preserve"> del Gruppo Henkel è aumentato, raggiungendo il 15,7% (anno </w:t>
      </w:r>
      <w:proofErr w:type="spellStart"/>
      <w:r w:rsidRPr="00C827EE">
        <w:rPr>
          <w:rFonts w:cs="Segoe UI"/>
          <w:szCs w:val="22"/>
        </w:rPr>
        <w:t>precedente</w:t>
      </w:r>
      <w:proofErr w:type="spellEnd"/>
      <w:r w:rsidRPr="00C827EE">
        <w:rPr>
          <w:rFonts w:cs="Segoe UI"/>
          <w:szCs w:val="22"/>
        </w:rPr>
        <w:t>: 15,5%).</w:t>
      </w:r>
    </w:p>
    <w:p w14:paraId="30EE5F2E" w14:textId="77777777" w:rsidR="006B40A5" w:rsidRPr="00C827EE" w:rsidRDefault="006B40A5" w:rsidP="00C827EE">
      <w:pPr>
        <w:spacing w:line="240" w:lineRule="auto"/>
        <w:rPr>
          <w:rFonts w:cs="Segoe UI"/>
          <w:szCs w:val="22"/>
        </w:rPr>
      </w:pPr>
    </w:p>
    <w:p w14:paraId="678EDAAA" w14:textId="77777777" w:rsidR="00C827EE" w:rsidRDefault="00C827EE" w:rsidP="00C827EE">
      <w:pPr>
        <w:spacing w:line="240" w:lineRule="auto"/>
        <w:rPr>
          <w:rFonts w:cs="Segoe UI"/>
          <w:szCs w:val="22"/>
        </w:rPr>
      </w:pPr>
      <w:r w:rsidRPr="006B40A5">
        <w:rPr>
          <w:rFonts w:cs="Segoe UI"/>
          <w:b/>
          <w:bCs/>
          <w:szCs w:val="22"/>
        </w:rPr>
        <w:t>L’utile depurato per azione privilegiata (EPS)</w:t>
      </w:r>
      <w:r w:rsidRPr="00C827EE">
        <w:rPr>
          <w:rFonts w:cs="Segoe UI"/>
          <w:szCs w:val="22"/>
        </w:rPr>
        <w:t xml:space="preserve"> è cresciuto dell’1,8%, raggiungendo 2,86 euro (anno precedente: 2,81 euro). A tassi di cambio costanti, l’utile depurato per azione privilegiata è </w:t>
      </w:r>
      <w:proofErr w:type="spellStart"/>
      <w:r w:rsidRPr="00C827EE">
        <w:rPr>
          <w:rFonts w:cs="Segoe UI"/>
          <w:szCs w:val="22"/>
        </w:rPr>
        <w:t>aumentato</w:t>
      </w:r>
      <w:proofErr w:type="spellEnd"/>
      <w:r w:rsidRPr="00C827EE">
        <w:rPr>
          <w:rFonts w:cs="Segoe UI"/>
          <w:szCs w:val="22"/>
        </w:rPr>
        <w:t xml:space="preserve"> del 7,1%.</w:t>
      </w:r>
    </w:p>
    <w:p w14:paraId="2896C6D8" w14:textId="77777777" w:rsidR="006B40A5" w:rsidRPr="00C827EE" w:rsidRDefault="006B40A5" w:rsidP="00C827EE">
      <w:pPr>
        <w:spacing w:line="240" w:lineRule="auto"/>
        <w:rPr>
          <w:rFonts w:cs="Segoe UI"/>
          <w:szCs w:val="22"/>
        </w:rPr>
      </w:pPr>
    </w:p>
    <w:p w14:paraId="6E67897E" w14:textId="77777777" w:rsidR="00C827EE" w:rsidRDefault="00C827EE" w:rsidP="00C827EE">
      <w:pPr>
        <w:spacing w:line="240" w:lineRule="auto"/>
        <w:rPr>
          <w:rFonts w:cs="Segoe UI"/>
          <w:szCs w:val="22"/>
        </w:rPr>
      </w:pPr>
      <w:r w:rsidRPr="006B40A5">
        <w:rPr>
          <w:rFonts w:cs="Segoe UI"/>
          <w:b/>
          <w:bCs/>
          <w:szCs w:val="22"/>
        </w:rPr>
        <w:t>Il capitale circolante netto</w:t>
      </w:r>
      <w:r w:rsidRPr="00C827EE">
        <w:rPr>
          <w:rFonts w:cs="Segoe UI"/>
          <w:szCs w:val="22"/>
        </w:rPr>
        <w:t xml:space="preserve"> (Net Working Capital), espresso come percentuale delle vendite del secondo trimestre, è aumentato dal 6% al 7% rispetto allo stesso periodo dell’anno precedente, anche per </w:t>
      </w:r>
      <w:proofErr w:type="spellStart"/>
      <w:r w:rsidRPr="00C827EE">
        <w:rPr>
          <w:rFonts w:cs="Segoe UI"/>
          <w:szCs w:val="22"/>
        </w:rPr>
        <w:t>effetto</w:t>
      </w:r>
      <w:proofErr w:type="spellEnd"/>
      <w:r w:rsidRPr="00C827EE">
        <w:rPr>
          <w:rFonts w:cs="Segoe UI"/>
          <w:szCs w:val="22"/>
        </w:rPr>
        <w:t xml:space="preserve"> delle </w:t>
      </w:r>
      <w:proofErr w:type="spellStart"/>
      <w:r w:rsidRPr="00C827EE">
        <w:rPr>
          <w:rFonts w:cs="Segoe UI"/>
          <w:szCs w:val="22"/>
        </w:rPr>
        <w:t>acquisizioni</w:t>
      </w:r>
      <w:proofErr w:type="spellEnd"/>
      <w:r w:rsidRPr="00C827EE">
        <w:rPr>
          <w:rFonts w:cs="Segoe UI"/>
          <w:szCs w:val="22"/>
        </w:rPr>
        <w:t>.</w:t>
      </w:r>
    </w:p>
    <w:p w14:paraId="1657998D" w14:textId="77777777" w:rsidR="006B40A5" w:rsidRPr="00C827EE" w:rsidRDefault="006B40A5" w:rsidP="00C827EE">
      <w:pPr>
        <w:spacing w:line="240" w:lineRule="auto"/>
        <w:rPr>
          <w:rFonts w:cs="Segoe UI"/>
          <w:szCs w:val="22"/>
        </w:rPr>
      </w:pPr>
    </w:p>
    <w:p w14:paraId="15128988" w14:textId="77777777" w:rsidR="00C827EE" w:rsidRDefault="00C827EE" w:rsidP="00C827EE">
      <w:pPr>
        <w:spacing w:line="240" w:lineRule="auto"/>
        <w:rPr>
          <w:rFonts w:cs="Segoe UI"/>
          <w:szCs w:val="22"/>
        </w:rPr>
      </w:pPr>
      <w:r w:rsidRPr="006B40A5">
        <w:rPr>
          <w:rFonts w:cs="Segoe UI"/>
          <w:b/>
          <w:bCs/>
          <w:szCs w:val="22"/>
        </w:rPr>
        <w:t>Il free cash flow</w:t>
      </w:r>
      <w:r w:rsidRPr="00C827EE">
        <w:rPr>
          <w:rFonts w:cs="Segoe UI"/>
          <w:szCs w:val="22"/>
        </w:rPr>
        <w:t xml:space="preserve"> è aumentato a 612 milioni di euro (prima metà del 2025: 485 milioni di euro), principalmente grazie al maggiore flusso di cassa </w:t>
      </w:r>
      <w:proofErr w:type="spellStart"/>
      <w:r w:rsidRPr="00C827EE">
        <w:rPr>
          <w:rFonts w:cs="Segoe UI"/>
          <w:szCs w:val="22"/>
        </w:rPr>
        <w:t>generato</w:t>
      </w:r>
      <w:proofErr w:type="spellEnd"/>
      <w:r w:rsidRPr="00C827EE">
        <w:rPr>
          <w:rFonts w:cs="Segoe UI"/>
          <w:szCs w:val="22"/>
        </w:rPr>
        <w:t xml:space="preserve"> </w:t>
      </w:r>
      <w:proofErr w:type="spellStart"/>
      <w:r w:rsidRPr="00C827EE">
        <w:rPr>
          <w:rFonts w:cs="Segoe UI"/>
          <w:szCs w:val="22"/>
        </w:rPr>
        <w:t>dalle</w:t>
      </w:r>
      <w:proofErr w:type="spellEnd"/>
      <w:r w:rsidRPr="00C827EE">
        <w:rPr>
          <w:rFonts w:cs="Segoe UI"/>
          <w:szCs w:val="22"/>
        </w:rPr>
        <w:t xml:space="preserve"> </w:t>
      </w:r>
      <w:proofErr w:type="spellStart"/>
      <w:r w:rsidRPr="00C827EE">
        <w:rPr>
          <w:rFonts w:cs="Segoe UI"/>
          <w:szCs w:val="22"/>
        </w:rPr>
        <w:t>attività</w:t>
      </w:r>
      <w:proofErr w:type="spellEnd"/>
      <w:r w:rsidRPr="00C827EE">
        <w:rPr>
          <w:rFonts w:cs="Segoe UI"/>
          <w:szCs w:val="22"/>
        </w:rPr>
        <w:t xml:space="preserve"> operative.</w:t>
      </w:r>
    </w:p>
    <w:p w14:paraId="5AD67BFD" w14:textId="77777777" w:rsidR="006B40A5" w:rsidRPr="00C827EE" w:rsidRDefault="006B40A5" w:rsidP="00C827EE">
      <w:pPr>
        <w:spacing w:line="240" w:lineRule="auto"/>
        <w:rPr>
          <w:rFonts w:cs="Segoe UI"/>
          <w:szCs w:val="22"/>
        </w:rPr>
      </w:pPr>
    </w:p>
    <w:p w14:paraId="0332E979" w14:textId="77777777" w:rsidR="00C827EE" w:rsidRPr="009469EC" w:rsidRDefault="00C827EE" w:rsidP="00C827EE">
      <w:pPr>
        <w:spacing w:line="240" w:lineRule="auto"/>
        <w:rPr>
          <w:rFonts w:eastAsiaTheme="majorEastAsia" w:cs="Segoe UI"/>
          <w:spacing w:val="5"/>
          <w:kern w:val="28"/>
          <w:lang w:val="it-IT"/>
        </w:rPr>
      </w:pPr>
      <w:r w:rsidRPr="006B40A5">
        <w:rPr>
          <w:rFonts w:cs="Segoe UI"/>
          <w:b/>
          <w:bCs/>
          <w:szCs w:val="22"/>
        </w:rPr>
        <w:t>La posizione finanziaria netta</w:t>
      </w:r>
      <w:r w:rsidRPr="00C827EE">
        <w:rPr>
          <w:rFonts w:cs="Segoe UI"/>
          <w:szCs w:val="22"/>
        </w:rPr>
        <w:t xml:space="preserve"> si è attestata a -1.855 milioni di euro al 30 giugno 2026 (31 dicembre 2025: 109 milioni di euro), riflettendo principalmente gli esborsi di cassa legati alle acquisizioni recentemente completate e al programma di riacquisto di azioni proprie.</w:t>
      </w:r>
    </w:p>
    <w:p w14:paraId="247B272B" w14:textId="77777777" w:rsidR="000311F4" w:rsidRPr="00C827EE" w:rsidRDefault="000311F4" w:rsidP="000311F4">
      <w:pPr>
        <w:rPr>
          <w:rFonts w:cs="Segoe UI"/>
          <w:szCs w:val="22"/>
          <w:lang w:val="it-IT"/>
        </w:rPr>
      </w:pPr>
    </w:p>
    <w:p w14:paraId="79375996" w14:textId="77777777" w:rsidR="006B40A5" w:rsidRDefault="006B40A5" w:rsidP="00795638">
      <w:pPr>
        <w:spacing w:line="240" w:lineRule="auto"/>
        <w:rPr>
          <w:rFonts w:eastAsiaTheme="majorEastAsia" w:cs="Segoe UI"/>
          <w:b/>
          <w:bCs/>
          <w:spacing w:val="5"/>
          <w:kern w:val="28"/>
          <w:szCs w:val="22"/>
          <w:lang w:val="it-IT"/>
        </w:rPr>
      </w:pPr>
    </w:p>
    <w:p w14:paraId="4A9BDC57" w14:textId="715F89D3" w:rsidR="00795638" w:rsidRDefault="00795638" w:rsidP="00795638">
      <w:pPr>
        <w:spacing w:line="240" w:lineRule="auto"/>
        <w:rPr>
          <w:rFonts w:eastAsiaTheme="majorEastAsia" w:cs="Segoe UI"/>
          <w:b/>
          <w:bCs/>
          <w:spacing w:val="5"/>
          <w:kern w:val="28"/>
          <w:szCs w:val="22"/>
          <w:lang w:val="it-IT"/>
        </w:rPr>
      </w:pPr>
      <w:r w:rsidRPr="009469EC">
        <w:rPr>
          <w:rFonts w:eastAsiaTheme="majorEastAsia" w:cs="Segoe UI"/>
          <w:b/>
          <w:bCs/>
          <w:spacing w:val="5"/>
          <w:kern w:val="28"/>
          <w:szCs w:val="22"/>
          <w:lang w:val="it-IT"/>
        </w:rPr>
        <w:t>Performance delle divisioni nella prima metà dell’esercizio 2026</w:t>
      </w:r>
    </w:p>
    <w:p w14:paraId="4039B43E" w14:textId="77777777" w:rsidR="00795638" w:rsidRPr="009469EC" w:rsidRDefault="00795638" w:rsidP="00795638">
      <w:pPr>
        <w:spacing w:line="240" w:lineRule="auto"/>
        <w:rPr>
          <w:rFonts w:eastAsiaTheme="majorEastAsia" w:cs="Segoe UI"/>
          <w:b/>
          <w:bCs/>
          <w:spacing w:val="5"/>
          <w:kern w:val="28"/>
          <w:szCs w:val="22"/>
          <w:lang w:val="it-IT"/>
        </w:rPr>
      </w:pPr>
    </w:p>
    <w:p w14:paraId="75200F81" w14:textId="77777777" w:rsidR="00B53016" w:rsidRPr="00B53016" w:rsidRDefault="00B53016" w:rsidP="00B53016">
      <w:pPr>
        <w:spacing w:line="240" w:lineRule="auto"/>
        <w:rPr>
          <w:rFonts w:eastAsia="Segoe UI" w:cs="Segoe UI"/>
          <w:szCs w:val="18"/>
        </w:rPr>
      </w:pPr>
      <w:r w:rsidRPr="00B53016">
        <w:rPr>
          <w:rFonts w:eastAsia="Segoe UI" w:cs="Segoe UI"/>
          <w:szCs w:val="18"/>
        </w:rPr>
        <w:t xml:space="preserve">Le </w:t>
      </w:r>
      <w:r w:rsidRPr="00B53016">
        <w:rPr>
          <w:rFonts w:eastAsia="Segoe UI" w:cs="Segoe UI"/>
          <w:b/>
          <w:bCs/>
          <w:szCs w:val="18"/>
        </w:rPr>
        <w:t xml:space="preserve">vendite </w:t>
      </w:r>
      <w:r w:rsidRPr="00B53016">
        <w:rPr>
          <w:rFonts w:eastAsia="Segoe UI" w:cs="Segoe UI"/>
          <w:szCs w:val="18"/>
        </w:rPr>
        <w:t xml:space="preserve">della divisione </w:t>
      </w:r>
      <w:r w:rsidRPr="00B53016">
        <w:rPr>
          <w:rFonts w:eastAsia="Segoe UI" w:cs="Segoe UI"/>
          <w:b/>
          <w:bCs/>
          <w:szCs w:val="18"/>
        </w:rPr>
        <w:t>Adhesive Technologies</w:t>
      </w:r>
      <w:r w:rsidRPr="00B53016">
        <w:rPr>
          <w:rFonts w:eastAsia="Segoe UI" w:cs="Segoe UI"/>
          <w:szCs w:val="18"/>
        </w:rPr>
        <w:t xml:space="preserve"> sono aumentate del 2,2% in termini nominali, raggiungendo 5.534 milioni di euro nella prima metà del 2026 (Q2: 2.908 milioni di euro, +7,6%). In termini </w:t>
      </w:r>
      <w:r w:rsidRPr="00B53016">
        <w:rPr>
          <w:rFonts w:eastAsia="Segoe UI" w:cs="Segoe UI"/>
          <w:b/>
          <w:bCs/>
          <w:szCs w:val="18"/>
        </w:rPr>
        <w:t>organici</w:t>
      </w:r>
      <w:r w:rsidRPr="00B53016">
        <w:rPr>
          <w:rFonts w:eastAsia="Segoe UI" w:cs="Segoe UI"/>
          <w:szCs w:val="18"/>
        </w:rPr>
        <w:t>, Adhesive Technologies ha registrato una crescita delle vendite molto forte pari al 4,5% (Q2: +7,4%). Tale crescita è stata sostenuta da uno sviluppo positivo sia dei prezzi sia dei volumi.</w:t>
      </w:r>
    </w:p>
    <w:p w14:paraId="7DCABAF6" w14:textId="77777777" w:rsidR="005D4737" w:rsidRPr="00B53016" w:rsidRDefault="005D4737" w:rsidP="00B312F1">
      <w:pPr>
        <w:rPr>
          <w:rFonts w:cs="Segoe UI"/>
          <w:szCs w:val="22"/>
          <w:lang w:val="it-IT"/>
        </w:rPr>
      </w:pPr>
    </w:p>
    <w:p w14:paraId="059045DB" w14:textId="77777777" w:rsidR="008F205D" w:rsidRPr="005468E3" w:rsidRDefault="00F604D0" w:rsidP="008F205D">
      <w:pPr>
        <w:spacing w:line="240" w:lineRule="auto"/>
        <w:rPr>
          <w:rFonts w:cs="Segoe UI"/>
          <w:bCs/>
          <w:szCs w:val="22"/>
        </w:rPr>
      </w:pPr>
      <w:bookmarkStart w:id="1" w:name="_Hlk190097207"/>
      <w:r w:rsidRPr="00F604D0">
        <w:rPr>
          <w:rFonts w:cs="Segoe UI"/>
          <w:szCs w:val="22"/>
        </w:rPr>
        <w:t xml:space="preserve">Nelle diverse aree di business, la crescita organica delle vendite della divisione </w:t>
      </w:r>
      <w:r w:rsidRPr="006B40A5">
        <w:rPr>
          <w:rFonts w:cs="Segoe UI"/>
          <w:szCs w:val="22"/>
        </w:rPr>
        <w:t>Adhesive Technologies</w:t>
      </w:r>
      <w:r w:rsidRPr="00F604D0">
        <w:rPr>
          <w:rFonts w:cs="Segoe UI"/>
          <w:szCs w:val="22"/>
        </w:rPr>
        <w:t xml:space="preserve"> nella prima metà dell’anno è stata trainata in particolare dal significativo incremento del 7,8% registrato dall’area </w:t>
      </w:r>
      <w:proofErr w:type="spellStart"/>
      <w:r w:rsidRPr="00F604D0">
        <w:rPr>
          <w:rFonts w:cs="Segoe UI"/>
          <w:b/>
          <w:bCs/>
          <w:szCs w:val="22"/>
        </w:rPr>
        <w:t>Mobility</w:t>
      </w:r>
      <w:proofErr w:type="spellEnd"/>
      <w:r w:rsidRPr="00F604D0">
        <w:rPr>
          <w:rFonts w:cs="Segoe UI"/>
          <w:b/>
          <w:bCs/>
          <w:szCs w:val="22"/>
        </w:rPr>
        <w:t xml:space="preserve"> &amp; Electronics</w:t>
      </w:r>
      <w:r w:rsidRPr="00F604D0">
        <w:rPr>
          <w:rFonts w:cs="Segoe UI"/>
          <w:szCs w:val="22"/>
        </w:rPr>
        <w:t xml:space="preserve"> (Q2: +8,8%). Questo risultato è stato sostenuto da una crescita organica a doppia cifra del business Electronics e da un </w:t>
      </w:r>
      <w:r w:rsidRPr="00F604D0">
        <w:rPr>
          <w:rFonts w:cs="Segoe UI"/>
          <w:szCs w:val="22"/>
        </w:rPr>
        <w:lastRenderedPageBreak/>
        <w:t xml:space="preserve">significativo aumento delle vendite nel business Industrial. </w:t>
      </w:r>
      <w:r w:rsidRPr="006B40A5">
        <w:rPr>
          <w:rFonts w:cs="Segoe UI"/>
          <w:szCs w:val="22"/>
          <w:lang w:val="it-IT"/>
        </w:rPr>
        <w:t xml:space="preserve">Al contrario, il business Automotive ha registrato complessivamente una flessione nella prima metà dell’anno, pur mostrando un miglioramento nel secondo trimestre con una buona crescita </w:t>
      </w:r>
      <w:r w:rsidRPr="005468E3">
        <w:rPr>
          <w:rFonts w:cs="Segoe UI"/>
          <w:bCs/>
          <w:szCs w:val="22"/>
        </w:rPr>
        <w:t>organica.</w:t>
      </w:r>
      <w:r w:rsidR="006B40A5" w:rsidRPr="005468E3">
        <w:rPr>
          <w:rFonts w:cs="Segoe UI"/>
          <w:bCs/>
          <w:szCs w:val="22"/>
        </w:rPr>
        <w:t xml:space="preserve"> </w:t>
      </w:r>
      <w:r w:rsidRPr="005468E3">
        <w:rPr>
          <w:rFonts w:cs="Segoe UI"/>
          <w:bCs/>
          <w:szCs w:val="22"/>
        </w:rPr>
        <w:t xml:space="preserve">Il settore </w:t>
      </w:r>
      <w:r w:rsidRPr="005468E3">
        <w:rPr>
          <w:rFonts w:cs="Segoe UI"/>
          <w:b/>
          <w:szCs w:val="22"/>
        </w:rPr>
        <w:t>Packaging &amp; Consumer Goods</w:t>
      </w:r>
      <w:r w:rsidRPr="005468E3">
        <w:rPr>
          <w:rFonts w:cs="Segoe UI"/>
          <w:bCs/>
          <w:szCs w:val="22"/>
        </w:rPr>
        <w:t xml:space="preserve"> ha registrato una crescita organica molto forte del 4,7%, sostenuta dalla ottima performance del business Packaging e dall’elevato incremento organico del business Consumer Goods (Q2: +9,1%). Questo andamento è stato inoltre favorito dagli acquisti anticipati effettuati dai clienti in risposta alle incertezze geopolitiche.</w:t>
      </w:r>
      <w:r w:rsidR="008F205D" w:rsidRPr="005468E3">
        <w:rPr>
          <w:rFonts w:cs="Segoe UI"/>
          <w:bCs/>
          <w:szCs w:val="22"/>
        </w:rPr>
        <w:t xml:space="preserve"> </w:t>
      </w:r>
      <w:r w:rsidR="008F205D" w:rsidRPr="005468E3">
        <w:rPr>
          <w:rFonts w:cs="Segoe UI"/>
          <w:bCs/>
          <w:szCs w:val="22"/>
        </w:rPr>
        <w:t xml:space="preserve">L’area di business </w:t>
      </w:r>
      <w:proofErr w:type="spellStart"/>
      <w:r w:rsidR="008F205D" w:rsidRPr="005468E3">
        <w:rPr>
          <w:rFonts w:cs="Segoe UI"/>
          <w:b/>
          <w:szCs w:val="22"/>
        </w:rPr>
        <w:t>Craftsmen</w:t>
      </w:r>
      <w:proofErr w:type="spellEnd"/>
      <w:r w:rsidR="008F205D" w:rsidRPr="005468E3">
        <w:rPr>
          <w:rFonts w:cs="Segoe UI"/>
          <w:b/>
          <w:szCs w:val="22"/>
        </w:rPr>
        <w:t>, Construction &amp; Professional</w:t>
      </w:r>
      <w:r w:rsidR="008F205D" w:rsidRPr="005468E3">
        <w:rPr>
          <w:rFonts w:cs="Segoe UI"/>
          <w:bCs/>
          <w:szCs w:val="22"/>
        </w:rPr>
        <w:t xml:space="preserve"> ha registrato una crescita organica delle vendite dell’1% (Q2: +4,4%). Tale crescita è stata sostenuta in particolare dal forte incremento organico del business General Manufacturing &amp; </w:t>
      </w:r>
      <w:proofErr w:type="spellStart"/>
      <w:r w:rsidR="008F205D" w:rsidRPr="005468E3">
        <w:rPr>
          <w:rFonts w:cs="Segoe UI"/>
          <w:bCs/>
          <w:szCs w:val="22"/>
        </w:rPr>
        <w:t>Maintenance</w:t>
      </w:r>
      <w:proofErr w:type="spellEnd"/>
      <w:r w:rsidR="008F205D" w:rsidRPr="005468E3">
        <w:rPr>
          <w:rFonts w:cs="Segoe UI"/>
          <w:bCs/>
          <w:szCs w:val="22"/>
        </w:rPr>
        <w:t>, mentre il business Consumer &amp; Construction ha registrato un andamento organico delle vendite leggermente negativo.</w:t>
      </w:r>
    </w:p>
    <w:p w14:paraId="7487D857" w14:textId="77777777" w:rsidR="008F205D" w:rsidRPr="005468E3" w:rsidRDefault="008F205D" w:rsidP="008F205D">
      <w:pPr>
        <w:spacing w:line="240" w:lineRule="auto"/>
        <w:rPr>
          <w:rFonts w:cs="Segoe UI"/>
          <w:bCs/>
          <w:szCs w:val="22"/>
        </w:rPr>
      </w:pPr>
    </w:p>
    <w:p w14:paraId="0AD495BD" w14:textId="77777777" w:rsidR="008F205D" w:rsidRPr="005468E3" w:rsidRDefault="008F205D" w:rsidP="008F205D">
      <w:pPr>
        <w:spacing w:line="240" w:lineRule="auto"/>
        <w:rPr>
          <w:rFonts w:cs="Segoe UI"/>
          <w:bCs/>
          <w:szCs w:val="22"/>
        </w:rPr>
      </w:pPr>
      <w:r w:rsidRPr="005468E3">
        <w:rPr>
          <w:rFonts w:cs="Segoe UI"/>
          <w:b/>
          <w:szCs w:val="22"/>
        </w:rPr>
        <w:t>L’utile operativo depurato</w:t>
      </w:r>
      <w:r w:rsidRPr="005468E3">
        <w:rPr>
          <w:rFonts w:cs="Segoe UI"/>
          <w:bCs/>
          <w:szCs w:val="22"/>
        </w:rPr>
        <w:t xml:space="preserve"> si è attestato a 982 milioni di euro, superando il livello dell’anno precedente nonostante gli effetti valutari negativi. Il </w:t>
      </w:r>
      <w:r w:rsidRPr="005468E3">
        <w:rPr>
          <w:rFonts w:cs="Segoe UI"/>
          <w:b/>
          <w:szCs w:val="22"/>
        </w:rPr>
        <w:t>ritorno depurato sulle vendite</w:t>
      </w:r>
      <w:r w:rsidRPr="005468E3">
        <w:rPr>
          <w:rFonts w:cs="Segoe UI"/>
          <w:bCs/>
          <w:szCs w:val="22"/>
        </w:rPr>
        <w:t xml:space="preserve"> è aumentato al 17,7%, rispetto al 17,2% registrato nello stesso periodo dell’anno precedente. In questo caso, hanno avuto un impatto favorevole le economie di scala derivanti dalla crescita dei volumi e il mix di business.</w:t>
      </w:r>
    </w:p>
    <w:p w14:paraId="412BE229" w14:textId="18812976" w:rsidR="00F604D0" w:rsidRPr="008F205D" w:rsidRDefault="00F604D0" w:rsidP="00F604D0">
      <w:pPr>
        <w:spacing w:line="240" w:lineRule="auto"/>
        <w:rPr>
          <w:rFonts w:cs="Segoe UI"/>
          <w:szCs w:val="22"/>
          <w:lang w:val="it-IT"/>
        </w:rPr>
      </w:pPr>
    </w:p>
    <w:p w14:paraId="7C6B9192" w14:textId="77777777" w:rsidR="00F604D0" w:rsidRDefault="00F604D0" w:rsidP="005D4737">
      <w:pPr>
        <w:rPr>
          <w:rFonts w:cs="Segoe UI"/>
          <w:b/>
          <w:bCs/>
          <w:szCs w:val="22"/>
          <w:lang w:val="it-IT"/>
        </w:rPr>
      </w:pPr>
    </w:p>
    <w:p w14:paraId="17297203" w14:textId="77777777" w:rsidR="00B249DB" w:rsidRPr="009469EC" w:rsidRDefault="00B249DB" w:rsidP="00B249DB">
      <w:pPr>
        <w:spacing w:line="240" w:lineRule="auto"/>
        <w:rPr>
          <w:rFonts w:eastAsiaTheme="majorEastAsia" w:cs="Segoe UI"/>
          <w:b/>
          <w:bCs/>
          <w:spacing w:val="5"/>
          <w:kern w:val="28"/>
          <w:szCs w:val="22"/>
          <w:lang w:val="it-IT"/>
        </w:rPr>
      </w:pPr>
      <w:r w:rsidRPr="009469EC">
        <w:rPr>
          <w:rFonts w:eastAsiaTheme="majorEastAsia" w:cs="Segoe UI"/>
          <w:b/>
          <w:bCs/>
          <w:spacing w:val="5"/>
          <w:kern w:val="28"/>
          <w:szCs w:val="22"/>
          <w:lang w:val="it-IT"/>
        </w:rPr>
        <w:t>Performance della divisione Consumer Brands nella prima metà dell’esercizio 2026</w:t>
      </w:r>
    </w:p>
    <w:p w14:paraId="4FF29955" w14:textId="77777777" w:rsidR="005D4737" w:rsidRPr="00B249DB" w:rsidRDefault="005D4737" w:rsidP="005D4737">
      <w:pPr>
        <w:rPr>
          <w:rFonts w:cs="Segoe UI"/>
          <w:szCs w:val="22"/>
          <w:lang w:val="it-IT"/>
        </w:rPr>
      </w:pPr>
    </w:p>
    <w:bookmarkEnd w:id="1"/>
    <w:p w14:paraId="637C207C" w14:textId="77777777" w:rsidR="005468E3" w:rsidRPr="005468E3" w:rsidRDefault="005468E3" w:rsidP="005468E3">
      <w:pPr>
        <w:spacing w:line="240" w:lineRule="auto"/>
        <w:rPr>
          <w:rFonts w:cs="Segoe UI"/>
          <w:bCs/>
          <w:szCs w:val="22"/>
        </w:rPr>
      </w:pPr>
      <w:r w:rsidRPr="005468E3">
        <w:rPr>
          <w:rFonts w:cs="Segoe UI"/>
          <w:bCs/>
          <w:szCs w:val="22"/>
        </w:rPr>
        <w:t xml:space="preserve">La divisione </w:t>
      </w:r>
      <w:r w:rsidRPr="005468E3">
        <w:rPr>
          <w:rFonts w:cs="Segoe UI"/>
          <w:b/>
          <w:szCs w:val="22"/>
        </w:rPr>
        <w:t>Consumer Brands</w:t>
      </w:r>
      <w:r w:rsidRPr="005468E3">
        <w:rPr>
          <w:rFonts w:cs="Segoe UI"/>
          <w:bCs/>
          <w:szCs w:val="22"/>
        </w:rPr>
        <w:t xml:space="preserve"> ha registrato </w:t>
      </w:r>
      <w:r w:rsidRPr="005468E3">
        <w:rPr>
          <w:rFonts w:cs="Segoe UI"/>
          <w:b/>
          <w:szCs w:val="22"/>
        </w:rPr>
        <w:t>vendite</w:t>
      </w:r>
      <w:r w:rsidRPr="005468E3">
        <w:rPr>
          <w:rFonts w:cs="Segoe UI"/>
          <w:bCs/>
          <w:szCs w:val="22"/>
        </w:rPr>
        <w:t xml:space="preserve"> pari a 4.733 milioni di euro nella prima metà del 2026, corrispondenti a un calo nominale del -3,5% rispetto allo stesso periodo dell’anno precedente (Q2: 2.448 milioni di euro, +1,1%). In </w:t>
      </w:r>
      <w:r w:rsidRPr="005468E3">
        <w:rPr>
          <w:rFonts w:cs="Segoe UI"/>
          <w:b/>
          <w:szCs w:val="22"/>
        </w:rPr>
        <w:t>termini organici</w:t>
      </w:r>
      <w:r w:rsidRPr="005468E3">
        <w:rPr>
          <w:rFonts w:cs="Segoe UI"/>
          <w:bCs/>
          <w:szCs w:val="22"/>
        </w:rPr>
        <w:t xml:space="preserve">, le vendite sono aumentate dell’1,7% (Q2: +1,6%), grazie a uno sviluppo positivo sia dei prezzi sia dei volumi rispetto alla prima metà del 2025. </w:t>
      </w:r>
    </w:p>
    <w:p w14:paraId="1D98A209" w14:textId="6267FFF6" w:rsidR="005468E3" w:rsidRPr="005468E3" w:rsidRDefault="005468E3" w:rsidP="005468E3">
      <w:pPr>
        <w:spacing w:line="240" w:lineRule="auto"/>
        <w:rPr>
          <w:rFonts w:cs="Segoe UI"/>
          <w:bCs/>
          <w:szCs w:val="22"/>
        </w:rPr>
      </w:pPr>
      <w:r w:rsidRPr="005468E3">
        <w:rPr>
          <w:rFonts w:cs="Segoe UI"/>
          <w:bCs/>
          <w:szCs w:val="22"/>
        </w:rPr>
        <w:t xml:space="preserve">Nella prima metà dell’anno, l’area di business </w:t>
      </w:r>
      <w:r w:rsidRPr="005468E3">
        <w:rPr>
          <w:rFonts w:cs="Segoe UI"/>
          <w:b/>
          <w:szCs w:val="22"/>
        </w:rPr>
        <w:t>Laundry &amp; Home Care</w:t>
      </w:r>
      <w:r w:rsidRPr="005468E3">
        <w:rPr>
          <w:rFonts w:cs="Segoe UI"/>
          <w:bCs/>
          <w:szCs w:val="22"/>
        </w:rPr>
        <w:t xml:space="preserve"> ha registrato una crescita organica delle vendite dello 0,7% (Q2: +1,3%). Il segmento Laundry Care ha conseguito una crescita organica positiva, sostenuta da un significativo incremento delle vendite nella categoria </w:t>
      </w:r>
      <w:proofErr w:type="spellStart"/>
      <w:r w:rsidRPr="005468E3">
        <w:rPr>
          <w:rFonts w:cs="Segoe UI"/>
          <w:bCs/>
          <w:szCs w:val="22"/>
        </w:rPr>
        <w:t>Fabric</w:t>
      </w:r>
      <w:proofErr w:type="spellEnd"/>
      <w:r w:rsidRPr="005468E3">
        <w:rPr>
          <w:rFonts w:cs="Segoe UI"/>
          <w:bCs/>
          <w:szCs w:val="22"/>
        </w:rPr>
        <w:t xml:space="preserve"> Care e da una crescita positiva nella categoria </w:t>
      </w:r>
      <w:proofErr w:type="spellStart"/>
      <w:r w:rsidRPr="005468E3">
        <w:rPr>
          <w:rFonts w:cs="Segoe UI"/>
          <w:bCs/>
          <w:szCs w:val="22"/>
        </w:rPr>
        <w:t>Fabric</w:t>
      </w:r>
      <w:proofErr w:type="spellEnd"/>
      <w:r w:rsidRPr="005468E3">
        <w:rPr>
          <w:rFonts w:cs="Segoe UI"/>
          <w:bCs/>
          <w:szCs w:val="22"/>
        </w:rPr>
        <w:t xml:space="preserve"> Finisher. Al contrario, la categoria </w:t>
      </w:r>
      <w:proofErr w:type="spellStart"/>
      <w:r w:rsidRPr="005468E3">
        <w:rPr>
          <w:rFonts w:cs="Segoe UI"/>
          <w:bCs/>
          <w:szCs w:val="22"/>
        </w:rPr>
        <w:t>Fabric</w:t>
      </w:r>
      <w:proofErr w:type="spellEnd"/>
      <w:r w:rsidRPr="005468E3">
        <w:rPr>
          <w:rFonts w:cs="Segoe UI"/>
          <w:bCs/>
          <w:szCs w:val="22"/>
        </w:rPr>
        <w:t xml:space="preserve"> </w:t>
      </w:r>
      <w:proofErr w:type="spellStart"/>
      <w:r w:rsidRPr="005468E3">
        <w:rPr>
          <w:rFonts w:cs="Segoe UI"/>
          <w:bCs/>
          <w:szCs w:val="22"/>
        </w:rPr>
        <w:t>Cleaning</w:t>
      </w:r>
      <w:proofErr w:type="spellEnd"/>
      <w:r w:rsidRPr="005468E3">
        <w:rPr>
          <w:rFonts w:cs="Segoe UI"/>
          <w:bCs/>
          <w:szCs w:val="22"/>
        </w:rPr>
        <w:t xml:space="preserve"> ha registrato una lieve flessione. Anche il business Home Care ha evidenziato una buona crescita organica delle vendite, trainata in particolare dall’aumento a doppia cifra della categoria Hand </w:t>
      </w:r>
      <w:proofErr w:type="spellStart"/>
      <w:r w:rsidRPr="005468E3">
        <w:rPr>
          <w:rFonts w:cs="Segoe UI"/>
          <w:bCs/>
          <w:szCs w:val="22"/>
        </w:rPr>
        <w:t>Dishwashing</w:t>
      </w:r>
      <w:proofErr w:type="spellEnd"/>
      <w:r w:rsidRPr="005468E3">
        <w:rPr>
          <w:rFonts w:cs="Segoe UI"/>
          <w:bCs/>
          <w:szCs w:val="22"/>
        </w:rPr>
        <w:t xml:space="preserve">. </w:t>
      </w:r>
      <w:hyperlink r:id="rId12" w:history="1"/>
      <w:r w:rsidRPr="0081040D">
        <w:rPr>
          <w:rFonts w:cs="Segoe UI"/>
          <w:bCs/>
          <w:szCs w:val="22"/>
          <w:lang w:val="it-IT"/>
        </w:rPr>
        <w:t xml:space="preserve">L’area di business </w:t>
      </w:r>
      <w:r w:rsidRPr="0081040D">
        <w:rPr>
          <w:rFonts w:cs="Segoe UI"/>
          <w:b/>
          <w:szCs w:val="22"/>
          <w:lang w:val="it-IT"/>
        </w:rPr>
        <w:t>Hair</w:t>
      </w:r>
      <w:r w:rsidRPr="0081040D">
        <w:rPr>
          <w:rFonts w:cs="Segoe UI"/>
          <w:bCs/>
          <w:szCs w:val="22"/>
          <w:lang w:val="it-IT"/>
        </w:rPr>
        <w:t xml:space="preserve"> ha registrato una crescita organica molto forte pari al 4,2% (Q2: +3,3%), confermandosi il principale motore di crescita della divisione Consumer Brands. </w:t>
      </w:r>
      <w:r w:rsidRPr="005468E3">
        <w:rPr>
          <w:rFonts w:cs="Segoe UI"/>
          <w:bCs/>
          <w:szCs w:val="22"/>
        </w:rPr>
        <w:t xml:space="preserve">Questa performance </w:t>
      </w:r>
      <w:proofErr w:type="spellStart"/>
      <w:r w:rsidRPr="005468E3">
        <w:rPr>
          <w:rFonts w:cs="Segoe UI"/>
          <w:bCs/>
          <w:szCs w:val="22"/>
        </w:rPr>
        <w:t>positiva</w:t>
      </w:r>
      <w:proofErr w:type="spellEnd"/>
      <w:r w:rsidRPr="005468E3">
        <w:rPr>
          <w:rFonts w:cs="Segoe UI"/>
          <w:bCs/>
          <w:szCs w:val="22"/>
        </w:rPr>
        <w:t xml:space="preserve"> è stata sostenuta sia dal business Consumer, che ha registrato una forte crescita organica delle vendite, sia dal business Professional, che ha ottenuto un incremento molto significativo. All’interno del business Consumer, tutte le categorie hanno contribuito alla crescita, con il maggiore apporto da parte di Hair </w:t>
      </w:r>
      <w:proofErr w:type="spellStart"/>
      <w:r w:rsidRPr="005468E3">
        <w:rPr>
          <w:rFonts w:cs="Segoe UI"/>
          <w:bCs/>
          <w:szCs w:val="22"/>
        </w:rPr>
        <w:t>Colorants</w:t>
      </w:r>
      <w:proofErr w:type="spellEnd"/>
      <w:r w:rsidRPr="005468E3">
        <w:rPr>
          <w:rFonts w:cs="Segoe UI"/>
          <w:bCs/>
          <w:szCs w:val="22"/>
        </w:rPr>
        <w:t xml:space="preserve"> e Hair Styling. </w:t>
      </w:r>
      <w:r w:rsidRPr="00E850F0">
        <w:rPr>
          <w:rFonts w:cs="Segoe UI"/>
          <w:bCs/>
          <w:szCs w:val="22"/>
          <w:lang w:val="it-IT"/>
        </w:rPr>
        <w:t xml:space="preserve">L’area </w:t>
      </w:r>
      <w:r w:rsidRPr="00E850F0">
        <w:rPr>
          <w:rFonts w:cs="Segoe UI"/>
          <w:b/>
          <w:szCs w:val="22"/>
          <w:lang w:val="it-IT"/>
        </w:rPr>
        <w:t>Other Consumer Businesses</w:t>
      </w:r>
      <w:r w:rsidRPr="00E850F0">
        <w:rPr>
          <w:rFonts w:cs="Segoe UI"/>
          <w:bCs/>
          <w:szCs w:val="22"/>
          <w:lang w:val="it-IT"/>
        </w:rPr>
        <w:t xml:space="preserve">, invece, ha registrato nella prima metà dell’anno un andamento organico delle vendite negativo pari al -2,1% (Q2: -4,6%), principalmente a causa della performance del business Body Care nella regione Europa. </w:t>
      </w:r>
      <w:r w:rsidRPr="005468E3">
        <w:rPr>
          <w:rFonts w:cs="Segoe UI"/>
          <w:bCs/>
          <w:szCs w:val="22"/>
        </w:rPr>
        <w:t xml:space="preserve">La </w:t>
      </w:r>
      <w:proofErr w:type="spellStart"/>
      <w:r w:rsidRPr="005468E3">
        <w:rPr>
          <w:rFonts w:cs="Segoe UI"/>
          <w:bCs/>
          <w:szCs w:val="22"/>
        </w:rPr>
        <w:t>regione</w:t>
      </w:r>
      <w:proofErr w:type="spellEnd"/>
      <w:r w:rsidRPr="005468E3">
        <w:rPr>
          <w:rFonts w:cs="Segoe UI"/>
          <w:bCs/>
          <w:szCs w:val="22"/>
        </w:rPr>
        <w:t xml:space="preserve"> Nord America, invece, ha registrato una buona crescita organica delle vendite. </w:t>
      </w:r>
      <w:hyperlink r:id="rId13" w:history="1"/>
    </w:p>
    <w:p w14:paraId="038CEBD8" w14:textId="77777777" w:rsidR="005468E3" w:rsidRPr="005468E3" w:rsidRDefault="005468E3" w:rsidP="005468E3">
      <w:pPr>
        <w:spacing w:line="240" w:lineRule="auto"/>
        <w:rPr>
          <w:rFonts w:cs="Segoe UI"/>
          <w:bCs/>
          <w:szCs w:val="22"/>
        </w:rPr>
      </w:pPr>
      <w:r w:rsidRPr="00E850F0">
        <w:rPr>
          <w:rFonts w:cs="Segoe UI"/>
          <w:b/>
          <w:szCs w:val="22"/>
        </w:rPr>
        <w:lastRenderedPageBreak/>
        <w:t>L’utile operativo depurato</w:t>
      </w:r>
      <w:r w:rsidRPr="005468E3">
        <w:rPr>
          <w:rFonts w:cs="Segoe UI"/>
          <w:bCs/>
          <w:szCs w:val="22"/>
        </w:rPr>
        <w:t xml:space="preserve"> si è attestato a 724 milioni di euro, risultando leggermente inferiore al livello dell’anno precedente, principalmente a causa della cessione del business dei marchi del distributore in Nord America nell’aprile 2025 e degli effetti valutari negativi. Al contrario, il </w:t>
      </w:r>
      <w:r w:rsidRPr="00E850F0">
        <w:rPr>
          <w:rFonts w:cs="Segoe UI"/>
          <w:b/>
          <w:szCs w:val="22"/>
        </w:rPr>
        <w:t>ritorno depurato sulle vendite</w:t>
      </w:r>
      <w:r w:rsidRPr="005468E3">
        <w:rPr>
          <w:rFonts w:cs="Segoe UI"/>
          <w:bCs/>
          <w:szCs w:val="22"/>
        </w:rPr>
        <w:t xml:space="preserve"> è rimasto invariato al 15,3% rispetto allo stesso periodo dell’anno precedente. </w:t>
      </w:r>
    </w:p>
    <w:p w14:paraId="50407644" w14:textId="77777777" w:rsidR="005468E3" w:rsidRDefault="005468E3" w:rsidP="005468E3">
      <w:pPr>
        <w:spacing w:line="240" w:lineRule="auto"/>
        <w:rPr>
          <w:rFonts w:eastAsiaTheme="majorEastAsia" w:cs="Segoe UI"/>
          <w:spacing w:val="5"/>
          <w:kern w:val="28"/>
          <w:lang w:val="it-IT"/>
        </w:rPr>
      </w:pPr>
    </w:p>
    <w:p w14:paraId="2E1034DF" w14:textId="77777777" w:rsidR="00601252" w:rsidRPr="009469EC" w:rsidRDefault="00601252" w:rsidP="005468E3">
      <w:pPr>
        <w:spacing w:line="240" w:lineRule="auto"/>
        <w:rPr>
          <w:rFonts w:eastAsiaTheme="majorEastAsia" w:cs="Segoe UI"/>
          <w:spacing w:val="5"/>
          <w:kern w:val="28"/>
          <w:lang w:val="it-IT"/>
        </w:rPr>
      </w:pPr>
    </w:p>
    <w:p w14:paraId="4A4AAC70" w14:textId="77777777" w:rsidR="00B25E27" w:rsidRDefault="00B25E27" w:rsidP="00B25E27">
      <w:pPr>
        <w:spacing w:line="240" w:lineRule="auto"/>
        <w:rPr>
          <w:rFonts w:eastAsiaTheme="majorEastAsia" w:cs="Segoe UI"/>
          <w:b/>
          <w:bCs/>
          <w:spacing w:val="5"/>
          <w:kern w:val="28"/>
          <w:szCs w:val="22"/>
          <w:lang w:val="it-IT"/>
        </w:rPr>
      </w:pPr>
      <w:r w:rsidRPr="009469EC">
        <w:rPr>
          <w:rFonts w:eastAsiaTheme="majorEastAsia" w:cs="Segoe UI"/>
          <w:b/>
          <w:bCs/>
          <w:spacing w:val="5"/>
          <w:kern w:val="28"/>
          <w:szCs w:val="22"/>
          <w:lang w:val="it-IT"/>
        </w:rPr>
        <w:t>Esecuzione efficace della strategia di crescita tramite M&amp;A nella prima metà dell’anno</w:t>
      </w:r>
    </w:p>
    <w:p w14:paraId="51BE6D64" w14:textId="77777777" w:rsidR="00601252" w:rsidRPr="009469EC" w:rsidRDefault="00601252" w:rsidP="00B25E27">
      <w:pPr>
        <w:spacing w:line="240" w:lineRule="auto"/>
        <w:rPr>
          <w:rFonts w:eastAsiaTheme="majorEastAsia" w:cs="Segoe UI"/>
          <w:b/>
          <w:bCs/>
          <w:spacing w:val="5"/>
          <w:kern w:val="28"/>
          <w:szCs w:val="22"/>
          <w:lang w:val="it-IT"/>
        </w:rPr>
      </w:pPr>
    </w:p>
    <w:p w14:paraId="158B41BC" w14:textId="77777777" w:rsidR="00601252" w:rsidRPr="00601252" w:rsidRDefault="00601252" w:rsidP="00601252">
      <w:pPr>
        <w:spacing w:line="240" w:lineRule="auto"/>
        <w:rPr>
          <w:rFonts w:cs="Segoe UI"/>
          <w:szCs w:val="22"/>
        </w:rPr>
      </w:pPr>
      <w:r w:rsidRPr="00601252">
        <w:rPr>
          <w:rFonts w:cs="Segoe UI"/>
          <w:szCs w:val="22"/>
        </w:rPr>
        <w:t xml:space="preserve">Nella prima metà del 2026 Henkel ha compiuto ulteriori progressi significativi nell’attuazione della propria </w:t>
      </w:r>
      <w:r w:rsidRPr="00601252">
        <w:rPr>
          <w:rFonts w:cs="Segoe UI"/>
          <w:b/>
          <w:bCs/>
          <w:szCs w:val="22"/>
        </w:rPr>
        <w:t>strategia di crescita</w:t>
      </w:r>
      <w:r w:rsidRPr="00601252">
        <w:rPr>
          <w:rFonts w:cs="Segoe UI"/>
          <w:szCs w:val="22"/>
        </w:rPr>
        <w:t xml:space="preserve"> tramite M&amp;A in entrambe le divisioni, parte integrante della strategia complessiva di crescita dell’azienda. Con le acquisizioni recentemente annunciate, Henkel sta investendo complessivamente 5 miliardi di euro ed espandendo il proprio business di circa 1,6 miliardi di euro di fatturato annuo combinato. Ad oggi, Henkel ha completato con successo quattro delle cinque operazioni previste: Wetherby </w:t>
      </w:r>
      <w:proofErr w:type="spellStart"/>
      <w:r w:rsidRPr="00601252">
        <w:rPr>
          <w:rFonts w:cs="Segoe UI"/>
          <w:szCs w:val="22"/>
        </w:rPr>
        <w:t>Laroc</w:t>
      </w:r>
      <w:proofErr w:type="spellEnd"/>
      <w:r w:rsidRPr="00601252">
        <w:rPr>
          <w:rFonts w:cs="Segoe UI"/>
          <w:szCs w:val="22"/>
        </w:rPr>
        <w:t xml:space="preserve"> e ATP Adhesive Systems nella divisione Adhesive Technologies, nonché Not Your </w:t>
      </w:r>
      <w:proofErr w:type="spellStart"/>
      <w:r w:rsidRPr="00601252">
        <w:rPr>
          <w:rFonts w:cs="Segoe UI"/>
          <w:szCs w:val="22"/>
        </w:rPr>
        <w:t>Mother’s</w:t>
      </w:r>
      <w:proofErr w:type="spellEnd"/>
      <w:r w:rsidRPr="00601252">
        <w:rPr>
          <w:rFonts w:cs="Segoe UI"/>
          <w:szCs w:val="22"/>
        </w:rPr>
        <w:t xml:space="preserve"> e, più recentemente, OLAPLEX nella divisione Consumer Brands. Il completamento dell’acquisizione di Stahl Group (adesivi), è previsto nella seconda metà dell’esercizio 2026. </w:t>
      </w:r>
    </w:p>
    <w:p w14:paraId="1A657B34" w14:textId="77777777" w:rsidR="00601252" w:rsidRPr="00601252" w:rsidRDefault="00601252" w:rsidP="00601252">
      <w:pPr>
        <w:spacing w:line="240" w:lineRule="auto"/>
        <w:rPr>
          <w:rFonts w:cs="Segoe UI"/>
          <w:szCs w:val="22"/>
        </w:rPr>
      </w:pPr>
    </w:p>
    <w:p w14:paraId="42342C51" w14:textId="77777777" w:rsidR="00601252" w:rsidRPr="00601252" w:rsidRDefault="00601252" w:rsidP="00601252">
      <w:pPr>
        <w:spacing w:line="240" w:lineRule="auto"/>
        <w:rPr>
          <w:rFonts w:cs="Segoe UI"/>
          <w:szCs w:val="22"/>
        </w:rPr>
      </w:pPr>
      <w:r w:rsidRPr="00601252">
        <w:rPr>
          <w:rFonts w:cs="Segoe UI"/>
          <w:szCs w:val="22"/>
        </w:rPr>
        <w:t xml:space="preserve">Con l’acquisizione del marchio premium per la cura dei capelli </w:t>
      </w:r>
      <w:r w:rsidRPr="00601252">
        <w:rPr>
          <w:rFonts w:cs="Segoe UI"/>
          <w:b/>
          <w:bCs/>
          <w:szCs w:val="22"/>
        </w:rPr>
        <w:t>OLAPLEX</w:t>
      </w:r>
      <w:r w:rsidRPr="00601252">
        <w:rPr>
          <w:rFonts w:cs="Segoe UI"/>
          <w:szCs w:val="22"/>
        </w:rPr>
        <w:t xml:space="preserve">, che genera circa 370 milioni di euro di fatturato annuo, Henkel rafforza ulteriormente la propria presenza globale nel segmento premium dell’Hair Care e diventa il secondo operatore a livello mondiale nel business professionale dei capelli. Il mercato premium dell’Hair Care presenta prospettive particolarmente interessanti, con una crescita media annua prevista intorno al 5% nei prossimi anni. OLAPLEX è un marchio premium consolidato, con un portafoglio di prodotti ad alte prestazioni basati sulla ricerca scientifica. Grazie a questa operazione, Henkel rafforza ulteriormente la propria presenza globale nell’Hair Care, una delle categorie chiave della divisione Consumer Brands. L’azienda ritiene di poter accelerare significativamente la crescita del business facendo leva sulle opportunità di cross-selling e rafforzando sia i canali di distribuzione specializzati sia il canale dei saloni professionali. Inoltre, l’acquisizione offre interessanti opportunità sul fronte dell’innovazione e della tecnologia. </w:t>
      </w:r>
    </w:p>
    <w:p w14:paraId="669502A1" w14:textId="77777777" w:rsidR="00601252" w:rsidRPr="00601252" w:rsidRDefault="00601252" w:rsidP="00601252">
      <w:pPr>
        <w:spacing w:line="240" w:lineRule="auto"/>
        <w:rPr>
          <w:rFonts w:cs="Segoe UI"/>
          <w:szCs w:val="22"/>
        </w:rPr>
      </w:pPr>
    </w:p>
    <w:p w14:paraId="7D92C735" w14:textId="77777777" w:rsidR="00601252" w:rsidRPr="00601252" w:rsidRDefault="00601252" w:rsidP="00601252">
      <w:pPr>
        <w:spacing w:line="240" w:lineRule="auto"/>
        <w:rPr>
          <w:rFonts w:cs="Segoe UI"/>
          <w:szCs w:val="22"/>
        </w:rPr>
      </w:pPr>
      <w:r w:rsidRPr="00601252">
        <w:rPr>
          <w:rFonts w:cs="Segoe UI"/>
          <w:szCs w:val="22"/>
        </w:rPr>
        <w:t xml:space="preserve">Attraverso l’acquisizione di </w:t>
      </w:r>
      <w:r w:rsidRPr="00601252">
        <w:rPr>
          <w:rFonts w:cs="Segoe UI"/>
          <w:b/>
          <w:bCs/>
          <w:szCs w:val="22"/>
        </w:rPr>
        <w:t>ATP Adhesive Systems</w:t>
      </w:r>
      <w:r w:rsidRPr="00601252">
        <w:rPr>
          <w:rFonts w:cs="Segoe UI"/>
          <w:szCs w:val="22"/>
        </w:rPr>
        <w:t xml:space="preserve">, che genera circa 270 milioni di euro di fatturato annuo, Henkel amplia il proprio portafoglio oltre le tecnologie liquide e crea una nuova piattaforma di crescita per i nastri speciali ad alte prestazioni a base acqua. Si tratta di un mercato particolarmente attrattivo, con una crescita annua prevista del 7%. I nastri speciali a base acqua stanno aumentando la propria quota di mercato grazie al loro profilo di sostenibilità superiore rispetto alle soluzioni basate su solventi. Essi consentono infatti di ridurre le emissioni di composti organici volatili (VOC) fino al 90% e di abbattere l’impronta di carbonio fino al 60%. I nastri speciali di ATP trovano applicazione, ad esempio, nell’industria automobilistica per i sistemi avanzati di assistenza alla guida. Questa acquisizione rafforza inoltre le capacità di innovazione di Henkel, crea interessanti opportunità di cross-selling e </w:t>
      </w:r>
      <w:r w:rsidRPr="00601252">
        <w:rPr>
          <w:rFonts w:cs="Segoe UI"/>
          <w:szCs w:val="22"/>
        </w:rPr>
        <w:lastRenderedPageBreak/>
        <w:t xml:space="preserve">consolida ulteriormente la posizione dell’azienda nel mercato delle soluzioni adesive sostenibili. </w:t>
      </w:r>
    </w:p>
    <w:p w14:paraId="02F12B9A" w14:textId="77777777" w:rsidR="00601252" w:rsidRPr="00601252" w:rsidRDefault="00601252" w:rsidP="00601252">
      <w:pPr>
        <w:spacing w:line="240" w:lineRule="auto"/>
        <w:rPr>
          <w:rFonts w:cs="Segoe UI"/>
          <w:szCs w:val="22"/>
        </w:rPr>
      </w:pPr>
    </w:p>
    <w:p w14:paraId="7922636C" w14:textId="77777777" w:rsidR="00601252" w:rsidRPr="00601252" w:rsidRDefault="00601252" w:rsidP="00601252">
      <w:pPr>
        <w:spacing w:line="240" w:lineRule="auto"/>
        <w:rPr>
          <w:rFonts w:cs="Segoe UI"/>
          <w:szCs w:val="22"/>
        </w:rPr>
      </w:pPr>
      <w:r w:rsidRPr="00601252">
        <w:rPr>
          <w:rFonts w:cs="Segoe UI"/>
          <w:szCs w:val="22"/>
        </w:rPr>
        <w:t>Henkel prevede che le acquisizioni recentemente completate contribuiscano positivamente a vendite e utili già nell’esercizio in corso. Nel 2026 le attività acquisite dovrebbero generare circa 700 milioni di euro di fatturato. Nel medio-lungo termine, le cinque acquisizioni dovrebbero registrare una crescita superiore alla media, nella fascia medio-alta delle percentuali a una cifra, portando il fatturato complessivo a circa 2 miliardi di euro entro il 2030. Dal punto di vista degli utili, Henkel prevede che tali acquisizioni contribuiscano per almeno il 10% all’utile depurato per azione privilegiata entro il 2030.</w:t>
      </w:r>
    </w:p>
    <w:p w14:paraId="4DFD3C6C" w14:textId="77777777" w:rsidR="00211BA0" w:rsidRPr="00601252" w:rsidRDefault="00211BA0" w:rsidP="00C76008">
      <w:pPr>
        <w:rPr>
          <w:rFonts w:cs="Segoe UI"/>
          <w:bCs/>
          <w:szCs w:val="22"/>
          <w:lang w:val="it-IT"/>
        </w:rPr>
      </w:pPr>
    </w:p>
    <w:p w14:paraId="40EBA310" w14:textId="77777777" w:rsidR="00B6121F" w:rsidRPr="009469EC" w:rsidRDefault="00B6121F" w:rsidP="00B6121F">
      <w:pPr>
        <w:spacing w:line="240" w:lineRule="auto"/>
        <w:rPr>
          <w:rFonts w:eastAsiaTheme="majorEastAsia" w:cs="Segoe UI"/>
          <w:b/>
          <w:bCs/>
          <w:spacing w:val="5"/>
          <w:kern w:val="28"/>
          <w:lang w:val="it-IT"/>
        </w:rPr>
      </w:pPr>
      <w:bookmarkStart w:id="2" w:name="_Hlk190182989"/>
      <w:r w:rsidRPr="009469EC">
        <w:rPr>
          <w:rFonts w:eastAsiaTheme="majorEastAsia" w:cs="Segoe UI"/>
          <w:b/>
          <w:bCs/>
          <w:spacing w:val="5"/>
          <w:kern w:val="28"/>
          <w:szCs w:val="22"/>
          <w:lang w:val="it-IT"/>
        </w:rPr>
        <w:t>Previsioni per l’esercizio 2026: aggiornate al rialzo le aspettative di crescita del fatturato per il Gruppo e per Adhesive Technologies</w:t>
      </w:r>
    </w:p>
    <w:p w14:paraId="7BB76346" w14:textId="77777777" w:rsidR="00B6121F" w:rsidRDefault="00B6121F" w:rsidP="00E83A6D">
      <w:pPr>
        <w:rPr>
          <w:rFonts w:cs="Segoe UI"/>
          <w:szCs w:val="22"/>
          <w:lang w:val="it-IT"/>
        </w:rPr>
      </w:pPr>
    </w:p>
    <w:bookmarkEnd w:id="2"/>
    <w:p w14:paraId="3DFD8E13" w14:textId="77777777" w:rsidR="00FA7DE3" w:rsidRPr="00FA7DE3" w:rsidRDefault="00FA7DE3" w:rsidP="00FA7DE3">
      <w:pPr>
        <w:spacing w:line="240" w:lineRule="auto"/>
        <w:rPr>
          <w:rFonts w:cs="Segoe UI"/>
          <w:szCs w:val="22"/>
        </w:rPr>
      </w:pPr>
      <w:r w:rsidRPr="00FA7DE3">
        <w:rPr>
          <w:rFonts w:cs="Segoe UI"/>
          <w:szCs w:val="22"/>
        </w:rPr>
        <w:t>Sulla base della solida performance registrata nella prima metà dell’anno, Henkel ha aggiornato al rialzo le proprie aspettative di crescita del fatturato sia per il Gruppo sia per la divisione Adhesive Technologies, mentre le previsioni relative al margine EBIT depurato e alla crescita dell’utile depurato per azione privilegiata (EPS) a tassi di cambio costanti rimangono invariate.</w:t>
      </w:r>
    </w:p>
    <w:p w14:paraId="4340430C" w14:textId="77777777" w:rsidR="00FA7DE3" w:rsidRPr="00FA7DE3" w:rsidRDefault="00FA7DE3" w:rsidP="00FA7DE3">
      <w:pPr>
        <w:spacing w:line="240" w:lineRule="auto"/>
        <w:rPr>
          <w:rFonts w:cs="Segoe UI"/>
          <w:szCs w:val="22"/>
        </w:rPr>
      </w:pPr>
    </w:p>
    <w:p w14:paraId="1358FC87" w14:textId="77777777" w:rsidR="00FA7DE3" w:rsidRPr="00FA7DE3" w:rsidRDefault="00FA7DE3" w:rsidP="00FA7DE3">
      <w:pPr>
        <w:spacing w:line="240" w:lineRule="auto"/>
        <w:rPr>
          <w:rFonts w:cs="Segoe UI"/>
          <w:szCs w:val="22"/>
        </w:rPr>
      </w:pPr>
      <w:r w:rsidRPr="00FA7DE3">
        <w:rPr>
          <w:rFonts w:cs="Segoe UI"/>
          <w:szCs w:val="22"/>
        </w:rPr>
        <w:t xml:space="preserve">Per l’esercizio in corso, Henkel prevede ora una </w:t>
      </w:r>
      <w:r w:rsidRPr="00FA7DE3">
        <w:rPr>
          <w:rFonts w:cs="Segoe UI"/>
          <w:b/>
          <w:bCs/>
          <w:szCs w:val="22"/>
        </w:rPr>
        <w:t>crescita organica del fatturato</w:t>
      </w:r>
      <w:r w:rsidRPr="00FA7DE3">
        <w:rPr>
          <w:rFonts w:cs="Segoe UI"/>
          <w:szCs w:val="22"/>
        </w:rPr>
        <w:t xml:space="preserve"> compresa tra l’1,5% e il 3,5% (precedentemente: 1% – 3%). Per la divisione Adhesive Technologies, la crescita organica del fatturato è ora attesa tra il 2% e il 4% (precedentemente: 1% – 3%). Per Consumer Brands, Henkel continua a prevedere una crescita organica del fatturato compresa tra lo 0,5% e il 2,5%. </w:t>
      </w:r>
    </w:p>
    <w:p w14:paraId="57DC805D" w14:textId="77777777" w:rsidR="00FA7DE3" w:rsidRPr="00FA7DE3" w:rsidRDefault="00FA7DE3" w:rsidP="00FA7DE3">
      <w:pPr>
        <w:spacing w:line="240" w:lineRule="auto"/>
        <w:rPr>
          <w:rFonts w:cs="Segoe UI"/>
          <w:szCs w:val="22"/>
        </w:rPr>
      </w:pPr>
    </w:p>
    <w:p w14:paraId="413547E7" w14:textId="77777777" w:rsidR="00FA7DE3" w:rsidRPr="00FA7DE3" w:rsidRDefault="00FA7DE3" w:rsidP="00FA7DE3">
      <w:pPr>
        <w:spacing w:line="240" w:lineRule="auto"/>
        <w:rPr>
          <w:rFonts w:cs="Segoe UI"/>
          <w:szCs w:val="22"/>
        </w:rPr>
      </w:pPr>
      <w:r w:rsidRPr="00FA7DE3">
        <w:rPr>
          <w:rFonts w:cs="Segoe UI"/>
          <w:b/>
          <w:bCs/>
          <w:szCs w:val="22"/>
        </w:rPr>
        <w:t>Il ritorno depurato sulle vendite</w:t>
      </w:r>
      <w:r w:rsidRPr="00FA7DE3">
        <w:rPr>
          <w:rFonts w:cs="Segoe UI"/>
          <w:szCs w:val="22"/>
        </w:rPr>
        <w:t xml:space="preserve"> (margine EBIT depurato) è atteso in un intervallo compreso tra il 14,5% e il 16%. Per Adhesive Technologies, il ritorno depurato sulle vendite dovrebbe attestarsi tra il 16,5% e il 18%, mentre per Consumer Brands è previsto tra il 14% e il 15,5%. </w:t>
      </w:r>
      <w:hyperlink r:id="rId14" w:history="1"/>
    </w:p>
    <w:p w14:paraId="341433C6" w14:textId="77777777" w:rsidR="00FA7DE3" w:rsidRPr="00FA7DE3" w:rsidRDefault="00FA7DE3" w:rsidP="00FA7DE3">
      <w:pPr>
        <w:spacing w:line="240" w:lineRule="auto"/>
        <w:rPr>
          <w:rFonts w:cs="Segoe UI"/>
          <w:szCs w:val="22"/>
        </w:rPr>
      </w:pPr>
    </w:p>
    <w:p w14:paraId="0612F804" w14:textId="77777777" w:rsidR="00FA7DE3" w:rsidRPr="00FA7DE3" w:rsidRDefault="00FA7DE3" w:rsidP="00FA7DE3">
      <w:pPr>
        <w:spacing w:line="240" w:lineRule="auto"/>
        <w:rPr>
          <w:rFonts w:cs="Segoe UI"/>
          <w:szCs w:val="22"/>
        </w:rPr>
      </w:pPr>
      <w:r w:rsidRPr="00FA7DE3">
        <w:rPr>
          <w:rFonts w:cs="Segoe UI"/>
          <w:b/>
          <w:bCs/>
          <w:szCs w:val="22"/>
        </w:rPr>
        <w:t>L’utile depurato per azione privilegiata</w:t>
      </w:r>
      <w:r w:rsidRPr="00FA7DE3">
        <w:rPr>
          <w:rFonts w:cs="Segoe UI"/>
          <w:szCs w:val="22"/>
        </w:rPr>
        <w:t xml:space="preserve"> (EPS) a tassi di cambio costanti è atteso in crescita nella fascia tra bassa e alta delle percentuali a una cifra. </w:t>
      </w:r>
    </w:p>
    <w:p w14:paraId="20C17710" w14:textId="77777777" w:rsidR="00FA7DE3" w:rsidRPr="00FA7DE3" w:rsidRDefault="00FA7DE3" w:rsidP="00FA7DE3">
      <w:pPr>
        <w:spacing w:line="240" w:lineRule="auto"/>
        <w:rPr>
          <w:rFonts w:cs="Segoe UI"/>
          <w:szCs w:val="22"/>
        </w:rPr>
      </w:pPr>
    </w:p>
    <w:p w14:paraId="390170D6" w14:textId="77777777" w:rsidR="00FA7DE3" w:rsidRPr="00FA7DE3" w:rsidRDefault="00FA7DE3" w:rsidP="00FA7DE3">
      <w:pPr>
        <w:spacing w:line="240" w:lineRule="auto"/>
        <w:rPr>
          <w:rFonts w:cs="Segoe UI"/>
          <w:szCs w:val="22"/>
        </w:rPr>
      </w:pPr>
      <w:r w:rsidRPr="00FA7DE3">
        <w:rPr>
          <w:rFonts w:cs="Segoe UI"/>
          <w:szCs w:val="22"/>
        </w:rPr>
        <w:t>“L’ottima performance di business registrata nella prima metà del 2026, caratterizzata da una forte crescita organica del fatturato e da un ulteriore miglioramento sia dei margini sia degli utili, dimostra che la trasformazione di Henkel sta producendo risultati concreti. Continueremo a portare avanti con determinazione questa trasformazione per rafforzare ulteriormente la nostra competitività nel lungo termine e preparare l’azienda alle opportunità future. Stiamo trasformando Henkel per un futuro di successo e, grazie a una strategia chiara, siamo pienamente sulla buona strada per conseguire un’ulteriore crescita redditizia”, ha dichiarato Carsten Knobel.</w:t>
      </w:r>
    </w:p>
    <w:p w14:paraId="07529B49" w14:textId="77777777" w:rsidR="00FA7DE3" w:rsidRPr="00FA7DE3" w:rsidRDefault="00FA7DE3" w:rsidP="00FA7DE3">
      <w:pPr>
        <w:spacing w:line="240" w:lineRule="auto"/>
        <w:rPr>
          <w:rFonts w:cs="Segoe UI"/>
          <w:szCs w:val="22"/>
        </w:rPr>
      </w:pPr>
    </w:p>
    <w:p w14:paraId="33E22388" w14:textId="77777777" w:rsidR="00B312F1" w:rsidRPr="00FA7DE3" w:rsidRDefault="00B312F1">
      <w:pPr>
        <w:spacing w:line="240" w:lineRule="auto"/>
        <w:jc w:val="left"/>
        <w:rPr>
          <w:rFonts w:cs="Segoe UI"/>
          <w:szCs w:val="22"/>
        </w:rPr>
      </w:pPr>
    </w:p>
    <w:p w14:paraId="680187D5" w14:textId="595E59C0" w:rsidR="00292C23" w:rsidRPr="00292C23" w:rsidRDefault="00292C23" w:rsidP="00292C23">
      <w:pPr>
        <w:rPr>
          <w:rFonts w:cs="Segoe UI"/>
          <w:b/>
          <w:bCs/>
          <w:szCs w:val="22"/>
        </w:rPr>
      </w:pPr>
      <w:r w:rsidRPr="00292C23">
        <w:rPr>
          <w:b/>
          <w:bCs/>
          <w:sz w:val="18"/>
          <w:szCs w:val="18"/>
        </w:rPr>
        <w:t>About Henkel</w:t>
      </w:r>
    </w:p>
    <w:p w14:paraId="1DC4E6EC" w14:textId="15622E80" w:rsidR="00292C23" w:rsidRPr="00292C23" w:rsidRDefault="00292C23" w:rsidP="00292C23">
      <w:pPr>
        <w:rPr>
          <w:sz w:val="18"/>
        </w:rPr>
      </w:pPr>
      <w:r w:rsidRPr="00292C23">
        <w:rPr>
          <w:sz w:val="18"/>
        </w:rPr>
        <w:lastRenderedPageBreak/>
        <w:t>With its brands, innovations and technologies, Henkel holds leading market positions worldwide in the industrial and consumer businesses. The business unit Adhesive Technologies is the global leader in the market for adhesives, sealants and coatings. With Consumer Brands, the company holds leading positions especially in laundry &amp; home care and hair in many markets and categories around the world. The company's three strongest brands are Loctite, Persil and Schwarzkopf. In fiscal 202</w:t>
      </w:r>
      <w:r w:rsidR="003F5708">
        <w:rPr>
          <w:sz w:val="18"/>
        </w:rPr>
        <w:t>5</w:t>
      </w:r>
      <w:r w:rsidRPr="00292C23">
        <w:rPr>
          <w:sz w:val="18"/>
        </w:rPr>
        <w:t xml:space="preserve">, Henkel reported sales of </w:t>
      </w:r>
      <w:r w:rsidR="00497EB9">
        <w:rPr>
          <w:sz w:val="18"/>
        </w:rPr>
        <w:t>about</w:t>
      </w:r>
      <w:r w:rsidRPr="00292C23">
        <w:rPr>
          <w:sz w:val="18"/>
        </w:rPr>
        <w:t xml:space="preserve"> 2</w:t>
      </w:r>
      <w:r w:rsidR="003F5708">
        <w:rPr>
          <w:sz w:val="18"/>
        </w:rPr>
        <w:t>0</w:t>
      </w:r>
      <w:r w:rsidRPr="00292C23">
        <w:rPr>
          <w:sz w:val="18"/>
        </w:rPr>
        <w:t>.</w:t>
      </w:r>
      <w:r w:rsidR="003F5708">
        <w:rPr>
          <w:sz w:val="18"/>
        </w:rPr>
        <w:t>5</w:t>
      </w:r>
      <w:r w:rsidRPr="00292C23">
        <w:rPr>
          <w:sz w:val="18"/>
        </w:rPr>
        <w:t xml:space="preserve"> billion euros and adjusted operating profit of around 3.</w:t>
      </w:r>
      <w:r w:rsidR="003F5708">
        <w:rPr>
          <w:sz w:val="18"/>
        </w:rPr>
        <w:t>0</w:t>
      </w:r>
      <w:r w:rsidRPr="00292C23">
        <w:rPr>
          <w:sz w:val="18"/>
        </w:rPr>
        <w:t xml:space="preserve"> billion euros. Henkel’s preferred shares are listed in the German stock index DAX. Sustainability has a long tradition at Henkel, and the company has a clear sustainability strategy with specific targets. Henkel was founded in 1876 and today employs a diverse team of about </w:t>
      </w:r>
      <w:r w:rsidR="00DC34C4">
        <w:rPr>
          <w:sz w:val="18"/>
        </w:rPr>
        <w:t>50</w:t>
      </w:r>
      <w:r w:rsidRPr="00292C23">
        <w:rPr>
          <w:sz w:val="18"/>
        </w:rPr>
        <w:t xml:space="preserve">,000 people worldwide – united by a strong corporate culture, shared values and a common purpose: "Pioneers at heart for the good of generations.” More information at </w:t>
      </w:r>
      <w:hyperlink r:id="rId15" w:history="1">
        <w:r w:rsidRPr="00292C23">
          <w:rPr>
            <w:color w:val="0000FF"/>
            <w:sz w:val="18"/>
            <w:szCs w:val="18"/>
            <w:u w:val="single"/>
          </w:rPr>
          <w:t>www.henkel.com</w:t>
        </w:r>
      </w:hyperlink>
      <w:r w:rsidRPr="00292C23">
        <w:rPr>
          <w:sz w:val="18"/>
        </w:rPr>
        <w:t xml:space="preserve"> </w:t>
      </w:r>
    </w:p>
    <w:p w14:paraId="25DBBED5" w14:textId="77777777" w:rsidR="00292C23" w:rsidRPr="00292C23" w:rsidRDefault="00292C23" w:rsidP="00292C23">
      <w:pPr>
        <w:rPr>
          <w:sz w:val="14"/>
          <w:szCs w:val="14"/>
        </w:rPr>
      </w:pPr>
    </w:p>
    <w:p w14:paraId="532BFA22" w14:textId="0831AE8D" w:rsidR="00292C23" w:rsidRPr="00292C23" w:rsidRDefault="00292C23" w:rsidP="00292C23">
      <w:pPr>
        <w:spacing w:after="160" w:line="240" w:lineRule="auto"/>
        <w:jc w:val="left"/>
        <w:rPr>
          <w:sz w:val="14"/>
          <w:szCs w:val="14"/>
        </w:rPr>
      </w:pPr>
      <w:r w:rsidRPr="00292C23">
        <w:rPr>
          <w:sz w:val="14"/>
          <w:szCs w:val="14"/>
        </w:rPr>
        <w:t xml:space="preserve">This document contains statements referring to future business development, financial performance and other events or developments of future relevance for Henkel that may constitute forward-looking statements. Statements with respect to the future are characterized </w:t>
      </w:r>
      <w:proofErr w:type="gramStart"/>
      <w:r w:rsidRPr="00292C23">
        <w:rPr>
          <w:sz w:val="14"/>
          <w:szCs w:val="14"/>
        </w:rPr>
        <w:t>by the use of</w:t>
      </w:r>
      <w:proofErr w:type="gramEnd"/>
      <w:r w:rsidRPr="00292C23">
        <w:rPr>
          <w:sz w:val="14"/>
          <w:szCs w:val="14"/>
        </w:rPr>
        <w:t xml:space="preserve"> words such as expect, intend, plan, anticipate, believe, estimate, and similar terms. Such statements are based on current estimates and assumptions made by the corporate management of Henkel AG &amp; Co. KGaA. These statements are not to be understood as in any way guaranteeing that those expectations will turn out to be accurate. Future performance and results </w:t>
      </w:r>
      <w:proofErr w:type="gramStart"/>
      <w:r w:rsidRPr="00292C23">
        <w:rPr>
          <w:sz w:val="14"/>
          <w:szCs w:val="14"/>
        </w:rPr>
        <w:t>actually achieved</w:t>
      </w:r>
      <w:proofErr w:type="gramEnd"/>
      <w:r w:rsidRPr="00292C23">
        <w:rPr>
          <w:sz w:val="14"/>
          <w:szCs w:val="14"/>
        </w:rPr>
        <w:t xml:space="preserve"> by Henkel AG &amp; Co. KGaA and its affiliated companies depend on </w:t>
      </w:r>
      <w:proofErr w:type="gramStart"/>
      <w:r w:rsidRPr="00292C23">
        <w:rPr>
          <w:sz w:val="14"/>
          <w:szCs w:val="14"/>
        </w:rPr>
        <w:t>a number of</w:t>
      </w:r>
      <w:proofErr w:type="gramEnd"/>
      <w:r w:rsidRPr="00292C23">
        <w:rPr>
          <w:sz w:val="14"/>
          <w:szCs w:val="14"/>
        </w:rPr>
        <w:t xml:space="preserve"> risks and uncertainties and may therefore differ materially (both positively and negatively) from the forward-looking statements. Many of these factors are outside Henkel’s control and cannot be accurately estimated in advance, such as the future economic environment and the actions of competitors and others involved in the marketplace. Henkel neither plans nor undertakes to update forward-looking statements.</w:t>
      </w:r>
    </w:p>
    <w:p w14:paraId="5927BD4C" w14:textId="77777777" w:rsidR="00292C23" w:rsidRPr="00292C23" w:rsidRDefault="00292C23" w:rsidP="00292C23">
      <w:pPr>
        <w:spacing w:after="160" w:line="240" w:lineRule="auto"/>
        <w:jc w:val="left"/>
        <w:rPr>
          <w:sz w:val="14"/>
          <w:szCs w:val="14"/>
        </w:rPr>
      </w:pPr>
      <w:r w:rsidRPr="00292C23">
        <w:rPr>
          <w:sz w:val="14"/>
          <w:szCs w:val="14"/>
        </w:rPr>
        <w:t>This document includes supplemental financial indicators that are not clearly defined in the applicable financial reporting framework and that are or may be alternative performance measures. These supplemental financial indicators should not be viewed in isolation or as alternatives to measures of Henkel’s net assets and financial position or results of operations as presented in accordance with the applicable financial reporting framework in its Consolidated Financial Statements. Other companies that report or describe similarly titled alternative performance measures may calculate them differently.</w:t>
      </w:r>
    </w:p>
    <w:p w14:paraId="6495E95E" w14:textId="77777777" w:rsidR="00292C23" w:rsidRPr="00292C23" w:rsidRDefault="00292C23" w:rsidP="00292C23">
      <w:pPr>
        <w:spacing w:after="160" w:line="240" w:lineRule="auto"/>
        <w:jc w:val="left"/>
        <w:rPr>
          <w:sz w:val="14"/>
          <w:szCs w:val="14"/>
        </w:rPr>
      </w:pPr>
      <w:r w:rsidRPr="00292C23">
        <w:rPr>
          <w:sz w:val="14"/>
          <w:szCs w:val="14"/>
        </w:rPr>
        <w:t xml:space="preserve">This document has been issued for information purposes only and is not intended to constitute </w:t>
      </w:r>
      <w:proofErr w:type="gramStart"/>
      <w:r w:rsidRPr="00292C23">
        <w:rPr>
          <w:sz w:val="14"/>
          <w:szCs w:val="14"/>
        </w:rPr>
        <w:t>an investment</w:t>
      </w:r>
      <w:proofErr w:type="gramEnd"/>
      <w:r w:rsidRPr="00292C23">
        <w:rPr>
          <w:sz w:val="14"/>
          <w:szCs w:val="14"/>
        </w:rPr>
        <w:t xml:space="preserve"> advice or an offer to sell, or a solicitation of an offer to buy, any securities.</w:t>
      </w:r>
    </w:p>
    <w:p w14:paraId="6626B667" w14:textId="77777777" w:rsidR="00292C23" w:rsidRPr="00292C23" w:rsidRDefault="00292C23" w:rsidP="00292C23">
      <w:pPr>
        <w:tabs>
          <w:tab w:val="left" w:pos="1080"/>
          <w:tab w:val="left" w:pos="4500"/>
        </w:tabs>
        <w:spacing w:line="264" w:lineRule="auto"/>
        <w:rPr>
          <w:rFonts w:asciiTheme="majorHAnsi" w:eastAsia="PMingLiU" w:hAnsiTheme="majorHAnsi" w:cs="Calibri Light"/>
          <w:b/>
          <w:sz w:val="18"/>
          <w:szCs w:val="18"/>
        </w:rPr>
      </w:pPr>
    </w:p>
    <w:p w14:paraId="763085E6" w14:textId="0579D4F4" w:rsidR="00292C23" w:rsidRPr="00292C23" w:rsidRDefault="00292C23" w:rsidP="00292C23">
      <w:pPr>
        <w:spacing w:line="240" w:lineRule="auto"/>
        <w:jc w:val="left"/>
        <w:rPr>
          <w:rFonts w:asciiTheme="majorHAnsi" w:hAnsiTheme="majorHAnsi" w:cs="Calibri Light"/>
          <w:b/>
          <w:sz w:val="18"/>
          <w:szCs w:val="18"/>
        </w:rPr>
      </w:pPr>
    </w:p>
    <w:p w14:paraId="3E8DCBC1" w14:textId="07C28626" w:rsidR="00292C23" w:rsidRPr="00292C23" w:rsidRDefault="00292C23" w:rsidP="00292C23">
      <w:pPr>
        <w:spacing w:line="240" w:lineRule="auto"/>
        <w:jc w:val="left"/>
        <w:rPr>
          <w:rFonts w:asciiTheme="majorHAnsi" w:hAnsiTheme="majorHAnsi" w:cs="Calibri Light"/>
          <w:b/>
          <w:sz w:val="18"/>
          <w:szCs w:val="18"/>
        </w:rPr>
      </w:pPr>
      <w:r w:rsidRPr="00292C23">
        <w:rPr>
          <w:rFonts w:asciiTheme="majorHAnsi" w:hAnsiTheme="majorHAnsi" w:cs="Calibri Light"/>
          <w:b/>
          <w:sz w:val="18"/>
          <w:szCs w:val="18"/>
        </w:rPr>
        <w:t>Contact</w:t>
      </w:r>
    </w:p>
    <w:p w14:paraId="60CE870C" w14:textId="77777777" w:rsidR="00292C23" w:rsidRPr="00292C23" w:rsidRDefault="00292C23" w:rsidP="00292C23">
      <w:pPr>
        <w:tabs>
          <w:tab w:val="left" w:pos="1080"/>
          <w:tab w:val="left" w:pos="4500"/>
        </w:tabs>
        <w:spacing w:line="264" w:lineRule="auto"/>
        <w:rPr>
          <w:rFonts w:asciiTheme="majorHAnsi" w:hAnsiTheme="majorHAnsi" w:cs="Calibri Light"/>
          <w:b/>
          <w:sz w:val="16"/>
          <w:szCs w:val="16"/>
        </w:rPr>
      </w:pPr>
    </w:p>
    <w:p w14:paraId="6E1FD2B0" w14:textId="77777777" w:rsidR="00292C23" w:rsidRPr="00292C23" w:rsidRDefault="00292C23" w:rsidP="00292C23">
      <w:pPr>
        <w:tabs>
          <w:tab w:val="left" w:pos="1080"/>
          <w:tab w:val="left" w:pos="4500"/>
        </w:tabs>
        <w:spacing w:line="264" w:lineRule="auto"/>
        <w:rPr>
          <w:rFonts w:asciiTheme="majorHAnsi" w:hAnsiTheme="majorHAnsi" w:cs="Calibri Light"/>
          <w:b/>
          <w:sz w:val="18"/>
          <w:szCs w:val="18"/>
        </w:rPr>
      </w:pPr>
      <w:r w:rsidRPr="00292C23">
        <w:rPr>
          <w:rFonts w:asciiTheme="majorHAnsi" w:hAnsiTheme="majorHAnsi" w:cs="Calibri Light"/>
          <w:b/>
          <w:sz w:val="18"/>
          <w:szCs w:val="18"/>
        </w:rPr>
        <w:t>Investors &amp; Analysts</w:t>
      </w:r>
      <w:r w:rsidRPr="00292C23">
        <w:rPr>
          <w:rFonts w:asciiTheme="majorHAnsi" w:hAnsiTheme="majorHAnsi" w:cs="Calibri Light"/>
          <w:sz w:val="18"/>
          <w:szCs w:val="18"/>
        </w:rPr>
        <w:tab/>
      </w:r>
      <w:r w:rsidRPr="00292C23">
        <w:rPr>
          <w:rFonts w:asciiTheme="majorHAnsi" w:hAnsiTheme="majorHAnsi" w:cs="Calibri Light"/>
          <w:b/>
          <w:sz w:val="18"/>
          <w:szCs w:val="18"/>
        </w:rPr>
        <w:t>Press &amp; Media</w:t>
      </w:r>
    </w:p>
    <w:p w14:paraId="55E2A964" w14:textId="77777777" w:rsidR="00292C23" w:rsidRPr="00292C23" w:rsidRDefault="00292C23" w:rsidP="00292C23">
      <w:pPr>
        <w:tabs>
          <w:tab w:val="left" w:pos="1080"/>
          <w:tab w:val="left" w:pos="4500"/>
        </w:tabs>
        <w:spacing w:line="264" w:lineRule="auto"/>
        <w:rPr>
          <w:rFonts w:asciiTheme="majorHAnsi" w:hAnsiTheme="majorHAnsi" w:cs="Calibri Light"/>
          <w:b/>
          <w:sz w:val="16"/>
          <w:szCs w:val="16"/>
        </w:rPr>
      </w:pPr>
    </w:p>
    <w:p w14:paraId="73893A1E" w14:textId="77777777" w:rsidR="00292C23" w:rsidRPr="00292C23" w:rsidRDefault="00292C23" w:rsidP="00292C23">
      <w:pPr>
        <w:tabs>
          <w:tab w:val="left" w:pos="1080"/>
          <w:tab w:val="left" w:pos="4500"/>
        </w:tabs>
        <w:spacing w:line="264" w:lineRule="auto"/>
        <w:rPr>
          <w:rFonts w:asciiTheme="majorHAnsi" w:hAnsiTheme="majorHAnsi" w:cs="Calibri Light"/>
          <w:b/>
          <w:sz w:val="18"/>
          <w:szCs w:val="18"/>
        </w:rPr>
      </w:pPr>
      <w:r w:rsidRPr="00292C23">
        <w:rPr>
          <w:rFonts w:asciiTheme="majorHAnsi" w:hAnsiTheme="majorHAnsi" w:cs="Calibri Light"/>
          <w:b/>
          <w:sz w:val="18"/>
          <w:szCs w:val="18"/>
        </w:rPr>
        <w:t>Leslie Iltgen</w:t>
      </w:r>
      <w:r w:rsidRPr="00292C23">
        <w:rPr>
          <w:rFonts w:asciiTheme="majorHAnsi" w:hAnsiTheme="majorHAnsi" w:cs="Calibri Light"/>
          <w:b/>
          <w:sz w:val="18"/>
          <w:szCs w:val="18"/>
        </w:rPr>
        <w:tab/>
      </w:r>
      <w:r w:rsidRPr="00292C23">
        <w:rPr>
          <w:rFonts w:asciiTheme="majorHAnsi" w:hAnsiTheme="majorHAnsi" w:cs="Calibri Light"/>
          <w:sz w:val="18"/>
          <w:szCs w:val="18"/>
        </w:rPr>
        <w:tab/>
      </w:r>
      <w:r w:rsidRPr="00292C23">
        <w:rPr>
          <w:rFonts w:asciiTheme="majorHAnsi" w:hAnsiTheme="majorHAnsi" w:cs="Calibri Light"/>
          <w:b/>
          <w:sz w:val="18"/>
          <w:szCs w:val="18"/>
        </w:rPr>
        <w:t>Lars Witteck</w:t>
      </w:r>
    </w:p>
    <w:p w14:paraId="7287741A"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sidRPr="00292C23">
        <w:rPr>
          <w:rFonts w:asciiTheme="majorHAnsi" w:hAnsiTheme="majorHAnsi" w:cs="Calibri Light"/>
          <w:sz w:val="18"/>
          <w:szCs w:val="18"/>
        </w:rPr>
        <w:t>Phone:</w:t>
      </w:r>
      <w:r w:rsidRPr="00292C23">
        <w:rPr>
          <w:rFonts w:asciiTheme="majorHAnsi" w:hAnsiTheme="majorHAnsi" w:cs="Calibri Light"/>
          <w:sz w:val="18"/>
          <w:szCs w:val="18"/>
        </w:rPr>
        <w:tab/>
        <w:t>+49 211 797 - 1631</w:t>
      </w:r>
      <w:r w:rsidRPr="00292C23">
        <w:rPr>
          <w:rFonts w:asciiTheme="majorHAnsi" w:hAnsiTheme="majorHAnsi" w:cs="Calibri Light"/>
          <w:sz w:val="18"/>
          <w:szCs w:val="18"/>
        </w:rPr>
        <w:tab/>
        <w:t>Phone:</w:t>
      </w:r>
      <w:r w:rsidRPr="00292C23">
        <w:rPr>
          <w:rFonts w:asciiTheme="majorHAnsi" w:hAnsiTheme="majorHAnsi" w:cs="Calibri Light"/>
          <w:sz w:val="18"/>
          <w:szCs w:val="18"/>
        </w:rPr>
        <w:tab/>
        <w:t>+49 211 797 - 2606</w:t>
      </w:r>
    </w:p>
    <w:p w14:paraId="517DF62A"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sidRPr="00292C23">
        <w:rPr>
          <w:rFonts w:asciiTheme="majorHAnsi" w:hAnsiTheme="majorHAnsi" w:cs="Calibri Light"/>
          <w:sz w:val="18"/>
          <w:szCs w:val="18"/>
        </w:rPr>
        <w:t xml:space="preserve">Email: </w:t>
      </w:r>
      <w:r w:rsidRPr="00292C23">
        <w:rPr>
          <w:rFonts w:asciiTheme="majorHAnsi" w:hAnsiTheme="majorHAnsi" w:cs="Calibri Light"/>
          <w:sz w:val="18"/>
          <w:szCs w:val="18"/>
        </w:rPr>
        <w:tab/>
      </w:r>
      <w:hyperlink r:id="rId16" w:history="1">
        <w:r w:rsidRPr="00292C23">
          <w:rPr>
            <w:rFonts w:asciiTheme="majorHAnsi" w:hAnsiTheme="majorHAnsi" w:cs="Calibri Light"/>
            <w:color w:val="0000FF"/>
            <w:sz w:val="18"/>
            <w:szCs w:val="18"/>
            <w:u w:val="single"/>
          </w:rPr>
          <w:t>leslie.iltgen@henkel.com</w:t>
        </w:r>
      </w:hyperlink>
      <w:r w:rsidRPr="00292C23">
        <w:rPr>
          <w:rFonts w:asciiTheme="majorHAnsi" w:hAnsiTheme="majorHAnsi" w:cs="Calibri Light"/>
          <w:sz w:val="18"/>
          <w:szCs w:val="18"/>
        </w:rPr>
        <w:tab/>
        <w:t>Email:</w:t>
      </w:r>
      <w:r w:rsidRPr="00292C23">
        <w:rPr>
          <w:rFonts w:asciiTheme="majorHAnsi" w:hAnsiTheme="majorHAnsi" w:cs="Calibri Light"/>
          <w:sz w:val="18"/>
          <w:szCs w:val="18"/>
        </w:rPr>
        <w:tab/>
      </w:r>
      <w:hyperlink r:id="rId17" w:history="1">
        <w:r w:rsidRPr="00292C23">
          <w:rPr>
            <w:rFonts w:asciiTheme="majorHAnsi" w:hAnsiTheme="majorHAnsi" w:cs="Calibri Light"/>
            <w:color w:val="0000FF"/>
            <w:sz w:val="18"/>
            <w:szCs w:val="18"/>
            <w:u w:val="single"/>
          </w:rPr>
          <w:t>lars.witteck@henkel.com</w:t>
        </w:r>
      </w:hyperlink>
    </w:p>
    <w:p w14:paraId="685998AD" w14:textId="77777777" w:rsidR="00292C23" w:rsidRPr="00292C23" w:rsidRDefault="00292C23" w:rsidP="00292C23">
      <w:pPr>
        <w:tabs>
          <w:tab w:val="left" w:pos="1080"/>
          <w:tab w:val="left" w:pos="4500"/>
        </w:tabs>
        <w:spacing w:line="264" w:lineRule="auto"/>
        <w:rPr>
          <w:rFonts w:asciiTheme="majorHAnsi" w:hAnsiTheme="majorHAnsi" w:cs="Calibri Light"/>
          <w:sz w:val="16"/>
          <w:szCs w:val="16"/>
        </w:rPr>
      </w:pPr>
    </w:p>
    <w:p w14:paraId="50430282" w14:textId="77777777" w:rsidR="00292C23" w:rsidRPr="00292C23" w:rsidRDefault="00292C23" w:rsidP="00292C23">
      <w:pPr>
        <w:tabs>
          <w:tab w:val="left" w:pos="1080"/>
          <w:tab w:val="left" w:pos="4500"/>
        </w:tabs>
        <w:spacing w:line="264" w:lineRule="auto"/>
        <w:rPr>
          <w:rFonts w:asciiTheme="majorHAnsi" w:hAnsiTheme="majorHAnsi" w:cs="Calibri Light"/>
          <w:sz w:val="18"/>
          <w:szCs w:val="18"/>
        </w:rPr>
      </w:pPr>
      <w:r w:rsidRPr="00292C23">
        <w:rPr>
          <w:rFonts w:asciiTheme="majorHAnsi" w:hAnsiTheme="majorHAnsi" w:cs="Calibri Light"/>
          <w:b/>
          <w:sz w:val="18"/>
          <w:szCs w:val="18"/>
        </w:rPr>
        <w:t>Dr. Dennis Starke</w:t>
      </w:r>
      <w:r w:rsidRPr="00292C23">
        <w:rPr>
          <w:rFonts w:asciiTheme="majorHAnsi" w:hAnsiTheme="majorHAnsi" w:cs="Calibri Light"/>
          <w:b/>
          <w:sz w:val="18"/>
          <w:szCs w:val="18"/>
        </w:rPr>
        <w:tab/>
        <w:t xml:space="preserve">Wulf </w:t>
      </w:r>
      <w:proofErr w:type="spellStart"/>
      <w:r w:rsidRPr="00292C23">
        <w:rPr>
          <w:rFonts w:asciiTheme="majorHAnsi" w:hAnsiTheme="majorHAnsi" w:cs="Calibri Light"/>
          <w:b/>
          <w:sz w:val="18"/>
          <w:szCs w:val="18"/>
        </w:rPr>
        <w:t>Klüppelholz</w:t>
      </w:r>
      <w:proofErr w:type="spellEnd"/>
    </w:p>
    <w:p w14:paraId="35C41104"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sidRPr="00292C23">
        <w:rPr>
          <w:rFonts w:asciiTheme="majorHAnsi" w:hAnsiTheme="majorHAnsi" w:cs="Calibri Light"/>
          <w:sz w:val="18"/>
          <w:szCs w:val="18"/>
        </w:rPr>
        <w:t>Phone:</w:t>
      </w:r>
      <w:r w:rsidRPr="00292C23">
        <w:rPr>
          <w:rFonts w:asciiTheme="majorHAnsi" w:hAnsiTheme="majorHAnsi" w:cs="Calibri Light"/>
          <w:sz w:val="18"/>
          <w:szCs w:val="18"/>
        </w:rPr>
        <w:tab/>
        <w:t>+49 211 797 - 5601</w:t>
      </w:r>
      <w:r w:rsidRPr="00292C23">
        <w:rPr>
          <w:rFonts w:asciiTheme="majorHAnsi" w:hAnsiTheme="majorHAnsi" w:cs="Calibri Light"/>
          <w:sz w:val="18"/>
          <w:szCs w:val="18"/>
        </w:rPr>
        <w:tab/>
        <w:t>Phone:</w:t>
      </w:r>
      <w:r w:rsidRPr="00292C23">
        <w:rPr>
          <w:rFonts w:asciiTheme="majorHAnsi" w:hAnsiTheme="majorHAnsi" w:cs="Calibri Light"/>
          <w:sz w:val="18"/>
          <w:szCs w:val="18"/>
        </w:rPr>
        <w:tab/>
        <w:t>+49 211 797 - 1875</w:t>
      </w:r>
    </w:p>
    <w:p w14:paraId="3DCD8D7C" w14:textId="77777777" w:rsidR="00292C23" w:rsidRPr="00292C23" w:rsidRDefault="00292C23" w:rsidP="00292C23">
      <w:pPr>
        <w:tabs>
          <w:tab w:val="left" w:pos="709"/>
          <w:tab w:val="left" w:pos="4500"/>
          <w:tab w:val="left" w:pos="5245"/>
        </w:tabs>
        <w:spacing w:line="264" w:lineRule="auto"/>
        <w:rPr>
          <w:rFonts w:asciiTheme="majorHAnsi" w:hAnsiTheme="majorHAnsi" w:cs="Calibri Light"/>
          <w:sz w:val="18"/>
          <w:szCs w:val="18"/>
        </w:rPr>
      </w:pPr>
      <w:r w:rsidRPr="00292C23">
        <w:rPr>
          <w:rFonts w:asciiTheme="majorHAnsi" w:hAnsiTheme="majorHAnsi" w:cs="Calibri Light"/>
          <w:sz w:val="18"/>
          <w:szCs w:val="18"/>
        </w:rPr>
        <w:t xml:space="preserve">Email: </w:t>
      </w:r>
      <w:r w:rsidRPr="00292C23">
        <w:rPr>
          <w:rFonts w:asciiTheme="majorHAnsi" w:hAnsiTheme="majorHAnsi" w:cs="Calibri Light"/>
          <w:sz w:val="18"/>
          <w:szCs w:val="18"/>
        </w:rPr>
        <w:tab/>
      </w:r>
      <w:hyperlink r:id="rId18" w:history="1">
        <w:r w:rsidRPr="00292C23">
          <w:rPr>
            <w:rFonts w:asciiTheme="majorHAnsi" w:hAnsiTheme="majorHAnsi" w:cs="Calibri Light"/>
            <w:color w:val="0000FF"/>
            <w:sz w:val="18"/>
            <w:szCs w:val="18"/>
            <w:u w:val="single"/>
          </w:rPr>
          <w:t>dennis.starke@henkel.com</w:t>
        </w:r>
      </w:hyperlink>
      <w:r w:rsidRPr="00292C23">
        <w:rPr>
          <w:rFonts w:asciiTheme="majorHAnsi" w:hAnsiTheme="majorHAnsi" w:cs="Calibri Light"/>
          <w:sz w:val="18"/>
          <w:szCs w:val="18"/>
        </w:rPr>
        <w:tab/>
        <w:t>Email:</w:t>
      </w:r>
      <w:r w:rsidRPr="00292C23">
        <w:rPr>
          <w:rFonts w:asciiTheme="majorHAnsi" w:hAnsiTheme="majorHAnsi" w:cs="Calibri Light"/>
          <w:sz w:val="18"/>
          <w:szCs w:val="18"/>
        </w:rPr>
        <w:tab/>
      </w:r>
      <w:hyperlink r:id="rId19" w:history="1">
        <w:r w:rsidRPr="00292C23">
          <w:rPr>
            <w:rFonts w:asciiTheme="majorHAnsi" w:hAnsiTheme="majorHAnsi" w:cs="Calibri Light"/>
            <w:color w:val="0000FF"/>
            <w:sz w:val="18"/>
            <w:szCs w:val="18"/>
            <w:u w:val="single"/>
          </w:rPr>
          <w:t>wulf.klueppelholz@henkel.com</w:t>
        </w:r>
      </w:hyperlink>
    </w:p>
    <w:p w14:paraId="11B9AF62" w14:textId="77777777" w:rsidR="00292C23" w:rsidRPr="00292C23" w:rsidRDefault="00292C23" w:rsidP="00292C23">
      <w:pPr>
        <w:tabs>
          <w:tab w:val="left" w:pos="1080"/>
          <w:tab w:val="left" w:pos="4500"/>
        </w:tabs>
        <w:spacing w:line="264" w:lineRule="auto"/>
        <w:rPr>
          <w:rFonts w:asciiTheme="majorHAnsi" w:hAnsiTheme="majorHAnsi" w:cs="Calibri Light"/>
          <w:sz w:val="16"/>
          <w:szCs w:val="16"/>
        </w:rPr>
      </w:pPr>
    </w:p>
    <w:p w14:paraId="1B89F435" w14:textId="63F1A584" w:rsidR="00292C23" w:rsidRPr="00292C23" w:rsidRDefault="00292C23" w:rsidP="00292C23">
      <w:pPr>
        <w:tabs>
          <w:tab w:val="left" w:pos="709"/>
          <w:tab w:val="left" w:pos="4500"/>
          <w:tab w:val="left" w:pos="5245"/>
        </w:tabs>
        <w:spacing w:line="264" w:lineRule="auto"/>
        <w:rPr>
          <w:rFonts w:asciiTheme="majorHAnsi" w:eastAsia="PMingLiU" w:hAnsiTheme="majorHAnsi" w:cs="Calibri Light"/>
          <w:b/>
          <w:bCs/>
          <w:sz w:val="18"/>
          <w:szCs w:val="18"/>
        </w:rPr>
      </w:pPr>
      <w:r w:rsidRPr="00292C23">
        <w:rPr>
          <w:rFonts w:asciiTheme="majorHAnsi" w:eastAsia="PMingLiU" w:hAnsiTheme="majorHAnsi" w:cs="Calibri Light"/>
          <w:b/>
          <w:bCs/>
          <w:sz w:val="18"/>
          <w:szCs w:val="18"/>
        </w:rPr>
        <w:t xml:space="preserve">Dr. Sascha </w:t>
      </w:r>
      <w:proofErr w:type="spellStart"/>
      <w:r w:rsidRPr="00292C23">
        <w:rPr>
          <w:rFonts w:asciiTheme="majorHAnsi" w:eastAsia="PMingLiU" w:hAnsiTheme="majorHAnsi" w:cs="Calibri Light"/>
          <w:b/>
          <w:bCs/>
          <w:sz w:val="18"/>
          <w:szCs w:val="18"/>
        </w:rPr>
        <w:t>Kieback</w:t>
      </w:r>
      <w:proofErr w:type="spellEnd"/>
      <w:r w:rsidRPr="00292C23">
        <w:tab/>
      </w:r>
      <w:r>
        <w:rPr>
          <w:rFonts w:asciiTheme="majorHAnsi" w:eastAsia="PMingLiU" w:hAnsiTheme="majorHAnsi" w:cs="Calibri Light"/>
          <w:b/>
          <w:bCs/>
          <w:sz w:val="18"/>
          <w:szCs w:val="18"/>
        </w:rPr>
        <w:t>Hanna Philipps</w:t>
      </w:r>
    </w:p>
    <w:p w14:paraId="166A522C" w14:textId="196B8B93" w:rsidR="00292C23" w:rsidRPr="00292C23" w:rsidRDefault="00292C23" w:rsidP="00292C23">
      <w:pPr>
        <w:tabs>
          <w:tab w:val="left" w:pos="709"/>
          <w:tab w:val="left" w:pos="4500"/>
          <w:tab w:val="left" w:pos="5245"/>
        </w:tabs>
        <w:spacing w:line="264" w:lineRule="auto"/>
        <w:rPr>
          <w:rFonts w:asciiTheme="majorHAnsi" w:eastAsia="PMingLiU" w:hAnsiTheme="majorHAnsi" w:cs="Calibri Light"/>
          <w:sz w:val="18"/>
          <w:szCs w:val="18"/>
        </w:rPr>
      </w:pPr>
      <w:r w:rsidRPr="00292C23">
        <w:rPr>
          <w:rFonts w:asciiTheme="majorHAnsi" w:hAnsiTheme="majorHAnsi" w:cs="Calibri Light"/>
          <w:sz w:val="18"/>
        </w:rPr>
        <w:t>Phone</w:t>
      </w:r>
      <w:proofErr w:type="gramStart"/>
      <w:r w:rsidRPr="00292C23">
        <w:rPr>
          <w:rFonts w:asciiTheme="majorHAnsi" w:hAnsiTheme="majorHAnsi" w:cs="Calibri Light"/>
          <w:sz w:val="18"/>
        </w:rPr>
        <w:t xml:space="preserve">: </w:t>
      </w:r>
      <w:r w:rsidRPr="00292C23">
        <w:tab/>
      </w:r>
      <w:r w:rsidRPr="00292C23">
        <w:rPr>
          <w:rFonts w:asciiTheme="majorHAnsi" w:hAnsiTheme="majorHAnsi" w:cs="Calibri Light"/>
          <w:sz w:val="18"/>
        </w:rPr>
        <w:t>+</w:t>
      </w:r>
      <w:proofErr w:type="gramEnd"/>
      <w:r w:rsidRPr="00292C23">
        <w:rPr>
          <w:rFonts w:asciiTheme="majorHAnsi" w:hAnsiTheme="majorHAnsi" w:cs="Calibri Light"/>
          <w:sz w:val="18"/>
        </w:rPr>
        <w:t>49 211 797 - 1810</w:t>
      </w:r>
      <w:r w:rsidRPr="00292C23">
        <w:tab/>
      </w:r>
      <w:r w:rsidRPr="00292C23">
        <w:rPr>
          <w:rFonts w:asciiTheme="majorHAnsi" w:hAnsiTheme="majorHAnsi" w:cs="Calibri Light"/>
          <w:sz w:val="18"/>
        </w:rPr>
        <w:t>Phone:</w:t>
      </w:r>
      <w:r w:rsidRPr="00292C23">
        <w:tab/>
      </w:r>
      <w:r w:rsidRPr="00292C23">
        <w:rPr>
          <w:rFonts w:asciiTheme="majorHAnsi" w:hAnsiTheme="majorHAnsi" w:cs="Calibri Light"/>
          <w:sz w:val="18"/>
        </w:rPr>
        <w:t xml:space="preserve">+49 211 797 - </w:t>
      </w:r>
      <w:r>
        <w:rPr>
          <w:rFonts w:asciiTheme="majorHAnsi" w:hAnsiTheme="majorHAnsi" w:cs="Calibri Light"/>
          <w:sz w:val="18"/>
        </w:rPr>
        <w:t>3626</w:t>
      </w:r>
    </w:p>
    <w:p w14:paraId="07DF2F50" w14:textId="54BB1142" w:rsidR="00292C23" w:rsidRDefault="00292C23" w:rsidP="00292C23">
      <w:pPr>
        <w:tabs>
          <w:tab w:val="left" w:pos="709"/>
          <w:tab w:val="left" w:pos="4500"/>
          <w:tab w:val="left" w:pos="5245"/>
        </w:tabs>
        <w:spacing w:line="264" w:lineRule="auto"/>
      </w:pPr>
      <w:r w:rsidRPr="00292C23">
        <w:rPr>
          <w:rFonts w:asciiTheme="majorHAnsi" w:hAnsiTheme="majorHAnsi" w:cs="Calibri Light"/>
          <w:sz w:val="18"/>
        </w:rPr>
        <w:t xml:space="preserve">Email: </w:t>
      </w:r>
      <w:r w:rsidRPr="00292C23">
        <w:tab/>
      </w:r>
      <w:r w:rsidR="00F64EFA">
        <w:rPr>
          <w:rFonts w:asciiTheme="majorHAnsi" w:eastAsia="PMingLiU" w:hAnsiTheme="majorHAnsi" w:cs="Calibri Light"/>
          <w:color w:val="0000FF"/>
          <w:sz w:val="18"/>
          <w:szCs w:val="18"/>
          <w:u w:val="single"/>
        </w:rPr>
        <w:t>sascha.kieback@henkel.com</w:t>
      </w:r>
      <w:r w:rsidRPr="00292C23">
        <w:tab/>
      </w:r>
      <w:r w:rsidRPr="00292C23">
        <w:rPr>
          <w:rFonts w:asciiTheme="majorHAnsi" w:hAnsiTheme="majorHAnsi" w:cs="Calibri Light"/>
          <w:sz w:val="18"/>
        </w:rPr>
        <w:t>Email:</w:t>
      </w:r>
      <w:r w:rsidRPr="00292C23">
        <w:tab/>
      </w:r>
      <w:hyperlink r:id="rId20" w:history="1">
        <w:r w:rsidR="008D764F" w:rsidRPr="00717F2A">
          <w:rPr>
            <w:rStyle w:val="Collegamentoipertestuale"/>
            <w:rFonts w:asciiTheme="majorHAnsi" w:eastAsia="PMingLiU" w:hAnsiTheme="majorHAnsi" w:cs="Calibri Light"/>
          </w:rPr>
          <w:t>hanna.philipps</w:t>
        </w:r>
        <w:r w:rsidR="008D764F" w:rsidRPr="00292C23">
          <w:rPr>
            <w:rStyle w:val="Collegamentoipertestuale"/>
            <w:rFonts w:asciiTheme="majorHAnsi" w:eastAsia="PMingLiU" w:hAnsiTheme="majorHAnsi" w:cs="Calibri Light"/>
          </w:rPr>
          <w:t>@henkel.com</w:t>
        </w:r>
      </w:hyperlink>
    </w:p>
    <w:p w14:paraId="4A7B1502" w14:textId="77777777" w:rsidR="00DC34C4" w:rsidRDefault="00DC34C4" w:rsidP="00292C23">
      <w:pPr>
        <w:tabs>
          <w:tab w:val="left" w:pos="709"/>
          <w:tab w:val="left" w:pos="4500"/>
          <w:tab w:val="left" w:pos="5245"/>
        </w:tabs>
        <w:spacing w:line="264" w:lineRule="auto"/>
      </w:pPr>
    </w:p>
    <w:p w14:paraId="098FF90B" w14:textId="77777777"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sz w:val="18"/>
          <w:szCs w:val="18"/>
        </w:rPr>
      </w:pPr>
      <w:r w:rsidRPr="001F3E04">
        <w:rPr>
          <w:rFonts w:asciiTheme="majorHAnsi" w:eastAsia="PMingLiU" w:hAnsiTheme="majorHAnsi" w:cs="Calibri Light"/>
          <w:b/>
          <w:sz w:val="18"/>
          <w:szCs w:val="18"/>
        </w:rPr>
        <w:t>Jennifer Ott</w:t>
      </w:r>
      <w:r w:rsidRPr="001F3E04">
        <w:rPr>
          <w:rFonts w:asciiTheme="majorHAnsi" w:eastAsia="PMingLiU" w:hAnsiTheme="majorHAnsi" w:cs="Calibri Light"/>
          <w:b/>
          <w:sz w:val="18"/>
          <w:szCs w:val="18"/>
        </w:rPr>
        <w:tab/>
      </w:r>
    </w:p>
    <w:p w14:paraId="7351D5F6" w14:textId="02970C40"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sz w:val="18"/>
          <w:szCs w:val="18"/>
        </w:rPr>
      </w:pPr>
      <w:r w:rsidRPr="001F3E04">
        <w:rPr>
          <w:rFonts w:asciiTheme="majorHAnsi" w:eastAsia="PMingLiU" w:hAnsiTheme="majorHAnsi" w:cs="Calibri Light"/>
          <w:sz w:val="18"/>
          <w:szCs w:val="18"/>
        </w:rPr>
        <w:t>Phone</w:t>
      </w:r>
      <w:proofErr w:type="gramStart"/>
      <w:r w:rsidRPr="001F3E04">
        <w:rPr>
          <w:rFonts w:asciiTheme="majorHAnsi" w:eastAsia="PMingLiU" w:hAnsiTheme="majorHAnsi" w:cs="Calibri Light"/>
          <w:sz w:val="18"/>
          <w:szCs w:val="18"/>
        </w:rPr>
        <w:t xml:space="preserve">: </w:t>
      </w:r>
      <w:r w:rsidRPr="001F3E04">
        <w:rPr>
          <w:rFonts w:asciiTheme="majorHAnsi" w:eastAsia="PMingLiU" w:hAnsiTheme="majorHAnsi" w:cs="Calibri Light"/>
          <w:sz w:val="18"/>
          <w:szCs w:val="18"/>
        </w:rPr>
        <w:tab/>
        <w:t>+</w:t>
      </w:r>
      <w:proofErr w:type="gramEnd"/>
      <w:r w:rsidRPr="001F3E04">
        <w:rPr>
          <w:rFonts w:asciiTheme="majorHAnsi" w:eastAsia="PMingLiU" w:hAnsiTheme="majorHAnsi" w:cs="Calibri Light"/>
          <w:sz w:val="18"/>
          <w:szCs w:val="18"/>
        </w:rPr>
        <w:t>49 211 797 - 2756</w:t>
      </w:r>
      <w:r w:rsidRPr="001F3E04">
        <w:rPr>
          <w:rFonts w:asciiTheme="majorHAnsi" w:eastAsia="PMingLiU" w:hAnsiTheme="majorHAnsi" w:cs="Calibri Light"/>
          <w:sz w:val="18"/>
          <w:szCs w:val="18"/>
        </w:rPr>
        <w:tab/>
      </w:r>
    </w:p>
    <w:p w14:paraId="258A3CB3" w14:textId="63FFC625" w:rsidR="00DC34C4" w:rsidRPr="001F3E04" w:rsidRDefault="00DC34C4" w:rsidP="00DC34C4">
      <w:pPr>
        <w:tabs>
          <w:tab w:val="left" w:pos="709"/>
          <w:tab w:val="left" w:pos="4500"/>
          <w:tab w:val="left" w:pos="5245"/>
        </w:tabs>
        <w:spacing w:line="264" w:lineRule="auto"/>
        <w:rPr>
          <w:rFonts w:asciiTheme="majorHAnsi" w:eastAsia="PMingLiU" w:hAnsiTheme="majorHAnsi" w:cs="Calibri Light"/>
          <w:color w:val="0000FF"/>
          <w:sz w:val="18"/>
          <w:szCs w:val="18"/>
          <w:u w:val="single"/>
        </w:rPr>
      </w:pPr>
      <w:r w:rsidRPr="001F3E04">
        <w:rPr>
          <w:rFonts w:asciiTheme="majorHAnsi" w:eastAsia="PMingLiU" w:hAnsiTheme="majorHAnsi" w:cs="Calibri Light"/>
          <w:sz w:val="18"/>
          <w:szCs w:val="18"/>
        </w:rPr>
        <w:t>E</w:t>
      </w:r>
      <w:r w:rsidR="00C962BE">
        <w:rPr>
          <w:rFonts w:asciiTheme="majorHAnsi" w:eastAsia="PMingLiU" w:hAnsiTheme="majorHAnsi" w:cs="Calibri Light"/>
          <w:sz w:val="18"/>
          <w:szCs w:val="18"/>
        </w:rPr>
        <w:t>m</w:t>
      </w:r>
      <w:r w:rsidRPr="001F3E04">
        <w:rPr>
          <w:rFonts w:asciiTheme="majorHAnsi" w:eastAsia="PMingLiU" w:hAnsiTheme="majorHAnsi" w:cs="Calibri Light"/>
          <w:sz w:val="18"/>
          <w:szCs w:val="18"/>
        </w:rPr>
        <w:t xml:space="preserve">ail: </w:t>
      </w:r>
      <w:r w:rsidRPr="001F3E04">
        <w:rPr>
          <w:rFonts w:asciiTheme="majorHAnsi" w:eastAsia="PMingLiU" w:hAnsiTheme="majorHAnsi" w:cs="Calibri Light"/>
          <w:sz w:val="18"/>
          <w:szCs w:val="18"/>
        </w:rPr>
        <w:tab/>
      </w:r>
      <w:hyperlink r:id="rId21" w:history="1">
        <w:r w:rsidRPr="001F3E04">
          <w:rPr>
            <w:rFonts w:asciiTheme="majorHAnsi" w:eastAsia="PMingLiU" w:hAnsiTheme="majorHAnsi" w:cs="Calibri Light"/>
            <w:color w:val="0000FF"/>
            <w:sz w:val="18"/>
            <w:szCs w:val="18"/>
            <w:u w:val="single"/>
          </w:rPr>
          <w:t>jennifer.ott@henkel.com</w:t>
        </w:r>
      </w:hyperlink>
    </w:p>
    <w:p w14:paraId="1826D4ED" w14:textId="77777777" w:rsidR="00292C23" w:rsidRPr="001F3E04" w:rsidRDefault="00292C23" w:rsidP="00292C23">
      <w:pPr>
        <w:tabs>
          <w:tab w:val="left" w:pos="709"/>
          <w:tab w:val="left" w:pos="4500"/>
          <w:tab w:val="left" w:pos="5245"/>
        </w:tabs>
        <w:spacing w:line="264" w:lineRule="auto"/>
        <w:rPr>
          <w:rFonts w:asciiTheme="majorHAnsi" w:hAnsiTheme="majorHAnsi" w:cs="Calibri Light"/>
          <w:sz w:val="16"/>
          <w:szCs w:val="16"/>
        </w:rPr>
      </w:pPr>
    </w:p>
    <w:p w14:paraId="24C338CE" w14:textId="77777777" w:rsidR="00292C23" w:rsidRPr="001F3E04" w:rsidRDefault="00292C23" w:rsidP="00292C23">
      <w:pPr>
        <w:tabs>
          <w:tab w:val="left" w:pos="1080"/>
          <w:tab w:val="left" w:pos="4500"/>
        </w:tabs>
        <w:spacing w:line="264" w:lineRule="auto"/>
      </w:pPr>
      <w:hyperlink r:id="rId22" w:history="1">
        <w:r w:rsidRPr="001F3E04">
          <w:rPr>
            <w:rFonts w:asciiTheme="majorHAnsi" w:hAnsiTheme="majorHAnsi" w:cs="Calibri Light"/>
            <w:color w:val="0000FF"/>
            <w:sz w:val="18"/>
            <w:szCs w:val="18"/>
            <w:u w:val="single"/>
          </w:rPr>
          <w:t>www.henkel.com/press</w:t>
        </w:r>
      </w:hyperlink>
    </w:p>
    <w:p w14:paraId="23552B25" w14:textId="719090A7" w:rsidR="00A15D78" w:rsidRPr="001F3E04" w:rsidRDefault="00292C23" w:rsidP="00997239">
      <w:pPr>
        <w:tabs>
          <w:tab w:val="left" w:pos="1080"/>
          <w:tab w:val="left" w:pos="4500"/>
        </w:tabs>
        <w:spacing w:line="264" w:lineRule="auto"/>
        <w:rPr>
          <w:rStyle w:val="Collegamentoipertestuale"/>
        </w:rPr>
      </w:pPr>
      <w:hyperlink r:id="rId23" w:history="1">
        <w:r w:rsidRPr="001F3E04">
          <w:rPr>
            <w:rFonts w:asciiTheme="majorHAnsi" w:hAnsiTheme="majorHAnsi" w:cs="Calibri Light"/>
            <w:color w:val="0000FF"/>
            <w:sz w:val="18"/>
            <w:szCs w:val="18"/>
            <w:u w:val="single"/>
          </w:rPr>
          <w:t>www.henkel.com/ir</w:t>
        </w:r>
      </w:hyperlink>
    </w:p>
    <w:sectPr w:rsidR="00A15D78" w:rsidRPr="001F3E04" w:rsidSect="00C65957">
      <w:headerReference w:type="even" r:id="rId24"/>
      <w:footerReference w:type="default" r:id="rId25"/>
      <w:headerReference w:type="first" r:id="rId26"/>
      <w:footerReference w:type="first" r:id="rId27"/>
      <w:pgSz w:w="11907" w:h="16840" w:code="9"/>
      <w:pgMar w:top="1944" w:right="1411" w:bottom="1843" w:left="1411" w:header="1253" w:footer="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ABADF" w14:textId="77777777" w:rsidR="009D550A" w:rsidRDefault="009D550A">
      <w:r>
        <w:separator/>
      </w:r>
    </w:p>
  </w:endnote>
  <w:endnote w:type="continuationSeparator" w:id="0">
    <w:p w14:paraId="48B3F678" w14:textId="77777777" w:rsidR="009D550A" w:rsidRDefault="009D550A">
      <w:r>
        <w:continuationSeparator/>
      </w:r>
    </w:p>
  </w:endnote>
  <w:endnote w:type="continuationNotice" w:id="1">
    <w:p w14:paraId="06C764C1" w14:textId="77777777" w:rsidR="009D550A" w:rsidRDefault="009D550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D10C9" w14:textId="374CEDE3" w:rsidR="00CF6F33" w:rsidRPr="00112A28" w:rsidRDefault="00112A28" w:rsidP="00112A28">
    <w:pPr>
      <w:pStyle w:val="Pidipagina"/>
      <w:tabs>
        <w:tab w:val="clear" w:pos="7083"/>
        <w:tab w:val="clear" w:pos="8640"/>
        <w:tab w:val="right" w:pos="9071"/>
      </w:tabs>
      <w:jc w:val="both"/>
    </w:pPr>
    <w:r w:rsidRPr="00BF6E82">
      <w:t>Henkel AG &amp; Co. KGaA</w:t>
    </w:r>
    <w:r>
      <w:tab/>
    </w:r>
    <w:r w:rsidR="00E810D3">
      <w:t>Page</w:t>
    </w:r>
    <w:r w:rsidR="00EF55E6" w:rsidRPr="00BF6E82">
      <w:t xml:space="preserve"> </w:t>
    </w:r>
    <w:r w:rsidRPr="00BF6E82">
      <w:fldChar w:fldCharType="begin"/>
    </w:r>
    <w:r w:rsidRPr="00BF6E82">
      <w:instrText xml:space="preserve"> PAGE  \* Arabic  \* MERGEFORMAT </w:instrText>
    </w:r>
    <w:r w:rsidRPr="00BF6E82">
      <w:fldChar w:fldCharType="separate"/>
    </w:r>
    <w:r>
      <w:t>2</w:t>
    </w:r>
    <w:r w:rsidRPr="00BF6E82">
      <w:fldChar w:fldCharType="end"/>
    </w:r>
    <w:r w:rsidRPr="00BF6E82">
      <w:t>/</w:t>
    </w:r>
    <w:fldSimple w:instr="NUMPAGES  \* Arabic  \* MERGEFORMAT">
      <w: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A058E" w14:textId="4A77F117" w:rsidR="00CF6F33" w:rsidRPr="00992A11" w:rsidRDefault="00C016CC" w:rsidP="00992A11">
    <w:pPr>
      <w:pStyle w:val="Pidipagina"/>
    </w:pPr>
    <w:r w:rsidRPr="00833869">
      <w:rPr>
        <w:b/>
        <w:bCs w:val="0"/>
        <w:sz w:val="24"/>
      </w:rPr>
      <mc:AlternateContent>
        <mc:Choice Requires="wps">
          <w:drawing>
            <wp:anchor distT="45720" distB="45720" distL="114300" distR="114300" simplePos="0" relativeHeight="251660290" behindDoc="0" locked="0" layoutInCell="1" allowOverlap="1" wp14:anchorId="7668DE83" wp14:editId="302D3BA8">
              <wp:simplePos x="0" y="0"/>
              <wp:positionH relativeFrom="margin">
                <wp:posOffset>0</wp:posOffset>
              </wp:positionH>
              <wp:positionV relativeFrom="paragraph">
                <wp:posOffset>45085</wp:posOffset>
              </wp:positionV>
              <wp:extent cx="5413973" cy="232834"/>
              <wp:effectExtent l="0" t="0" r="0" b="0"/>
              <wp:wrapNone/>
              <wp:docPr id="35485232" name="Textfeld 35485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973" cy="2328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15F460" w14:textId="254BC8C0" w:rsidR="00C016CC" w:rsidRPr="0087235F" w:rsidRDefault="0087235F" w:rsidP="00C016CC">
                          <w:pPr>
                            <w:pStyle w:val="He04Funote"/>
                            <w:rPr>
                              <w:rFonts w:asciiTheme="minorHAnsi" w:hAnsiTheme="minorHAnsi" w:cstheme="minorHAnsi"/>
                              <w:sz w:val="12"/>
                              <w:szCs w:val="12"/>
                              <w:lang w:val="it-IT"/>
                            </w:rPr>
                          </w:pPr>
                          <w:r w:rsidRPr="0087235F">
                            <w:rPr>
                              <w:rFonts w:asciiTheme="minorHAnsi" w:eastAsiaTheme="majorEastAsia" w:hAnsiTheme="minorHAnsi" w:cstheme="minorHAnsi"/>
                              <w:spacing w:val="5"/>
                              <w:kern w:val="28"/>
                              <w:sz w:val="12"/>
                              <w:szCs w:val="12"/>
                              <w:lang w:val="it-IT"/>
                            </w:rPr>
                            <w:t>* Depurato dagli oneri e proventi una tantum e dalle spese di ristrutturazione.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668DE83" id="_x0000_t202" coordsize="21600,21600" o:spt="202" path="m,l,21600r21600,l21600,xe">
              <v:stroke joinstyle="miter"/>
              <v:path gradientshapeok="t" o:connecttype="rect"/>
            </v:shapetype>
            <v:shape id="Textfeld 35485232" o:spid="_x0000_s1026" type="#_x0000_t202" style="position:absolute;left:0;text-align:left;margin-left:0;margin-top:3.55pt;width:426.3pt;height:18.35pt;z-index:25166029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" stroked="f">
              <v:textbox>
                <w:txbxContent>
                  <w:p w14:paraId="3815F460" w14:textId="254BC8C0" w:rsidR="00C016CC" w:rsidRPr="0087235F" w:rsidRDefault="0087235F" w:rsidP="00C016CC">
                    <w:pPr>
                      <w:pStyle w:val="He04Funote"/>
                      <w:rPr>
                        <w:rFonts w:asciiTheme="minorHAnsi" w:hAnsiTheme="minorHAnsi" w:cstheme="minorHAnsi"/>
                        <w:sz w:val="12"/>
                        <w:szCs w:val="12"/>
                        <w:lang w:val="it-IT"/>
                      </w:rPr>
                    </w:pPr>
                    <w:r w:rsidRPr="0087235F">
                      <w:rPr>
                        <w:rFonts w:asciiTheme="minorHAnsi" w:eastAsiaTheme="majorEastAsia" w:hAnsiTheme="minorHAnsi" w:cstheme="minorHAnsi"/>
                        <w:spacing w:val="5"/>
                        <w:kern w:val="28"/>
                        <w:sz w:val="12"/>
                        <w:szCs w:val="12"/>
                        <w:lang w:val="it-IT"/>
                      </w:rPr>
                      <w:t>* Depurato dagli oneri e proventi una tantum e dalle spese di ristrutturazione.</w:t>
                    </w:r>
                  </w:p>
                </w:txbxContent>
              </v:textbox>
              <w10:wrap anchorx="margin"/>
            </v:shape>
          </w:pict>
        </mc:Fallback>
      </mc:AlternateContent>
    </w:r>
    <w:r w:rsidR="006D006A" w:rsidRPr="00E01EC6">
      <w:drawing>
        <wp:anchor distT="0" distB="0" distL="114300" distR="114300" simplePos="0" relativeHeight="251658242" behindDoc="0" locked="0" layoutInCell="1" allowOverlap="1" wp14:anchorId="134B6F6F" wp14:editId="687DE7DE">
          <wp:simplePos x="0" y="0"/>
          <wp:positionH relativeFrom="column">
            <wp:posOffset>0</wp:posOffset>
          </wp:positionH>
          <wp:positionV relativeFrom="paragraph">
            <wp:posOffset>-365833</wp:posOffset>
          </wp:positionV>
          <wp:extent cx="4967544" cy="407963"/>
          <wp:effectExtent l="0" t="0" r="5080" b="0"/>
          <wp:wrapNone/>
          <wp:docPr id="7340495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049568" name=""/>
                  <pic:cNvPicPr/>
                </pic:nvPicPr>
                <pic:blipFill>
                  <a:blip r:embed="rId1">
                    <a:extLst>
                      <a:ext uri="{28A0092B-C50C-407E-A947-70E740481C1C}">
                        <a14:useLocalDpi xmlns:a14="http://schemas.microsoft.com/office/drawing/2010/main" val="0"/>
                      </a:ext>
                    </a:extLst>
                  </a:blip>
                  <a:stretch>
                    <a:fillRect/>
                  </a:stretch>
                </pic:blipFill>
                <pic:spPr>
                  <a:xfrm>
                    <a:off x="0" y="0"/>
                    <a:ext cx="4967544" cy="407963"/>
                  </a:xfrm>
                  <a:prstGeom prst="rect">
                    <a:avLst/>
                  </a:prstGeom>
                </pic:spPr>
              </pic:pic>
            </a:graphicData>
          </a:graphic>
          <wp14:sizeRelH relativeFrom="page">
            <wp14:pctWidth>0</wp14:pctWidth>
          </wp14:sizeRelH>
          <wp14:sizeRelV relativeFrom="page">
            <wp14:pctHeight>0</wp14:pctHeight>
          </wp14:sizeRelV>
        </wp:anchor>
      </w:drawing>
    </w:r>
    <w:r w:rsidR="00E810D3">
      <w:t>Page</w:t>
    </w:r>
    <w:r w:rsidR="00CF6F33" w:rsidRPr="00992A11">
      <w:t xml:space="preserve"> </w:t>
    </w:r>
    <w:r w:rsidR="00CF6F33" w:rsidRPr="00992A11">
      <w:fldChar w:fldCharType="begin"/>
    </w:r>
    <w:r w:rsidR="00CF6F33" w:rsidRPr="00992A11">
      <w:instrText xml:space="preserve"> </w:instrText>
    </w:r>
    <w:r w:rsidR="00262C05" w:rsidRPr="00992A11">
      <w:instrText>PAGE</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r w:rsidR="00CF6F33" w:rsidRPr="00992A11">
      <w:t>/</w:t>
    </w:r>
    <w:r w:rsidR="00CF6F33" w:rsidRPr="00992A11">
      <w:fldChar w:fldCharType="begin"/>
    </w:r>
    <w:r w:rsidR="00CF6F33" w:rsidRPr="00992A11">
      <w:instrText xml:space="preserve"> </w:instrText>
    </w:r>
    <w:r w:rsidR="00262C05" w:rsidRPr="00992A11">
      <w:instrText>NUMPAGES</w:instrText>
    </w:r>
    <w:r w:rsidR="00CF6F33" w:rsidRPr="00992A11">
      <w:instrText xml:space="preserve">  \* Arabic  \* MERGEFORMAT </w:instrText>
    </w:r>
    <w:r w:rsidR="00CF6F33" w:rsidRPr="00992A11">
      <w:fldChar w:fldCharType="separate"/>
    </w:r>
    <w:r w:rsidR="006A0A3C" w:rsidRPr="00992A11">
      <w:t>1</w:t>
    </w:r>
    <w:r w:rsidR="00CF6F33" w:rsidRPr="00992A1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B3A5E" w14:textId="77777777" w:rsidR="009D550A" w:rsidRDefault="009D550A">
      <w:r>
        <w:separator/>
      </w:r>
    </w:p>
  </w:footnote>
  <w:footnote w:type="continuationSeparator" w:id="0">
    <w:p w14:paraId="5E178BA6" w14:textId="77777777" w:rsidR="009D550A" w:rsidRDefault="009D550A">
      <w:r>
        <w:continuationSeparator/>
      </w:r>
    </w:p>
  </w:footnote>
  <w:footnote w:type="continuationNotice" w:id="1">
    <w:p w14:paraId="09E841D2" w14:textId="77777777" w:rsidR="009D550A" w:rsidRDefault="009D550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ACE39" w14:textId="77777777" w:rsidR="00112A28" w:rsidRDefault="00112A28" w:rsidP="00112A28">
    <w:pPr>
      <w:pStyle w:val="Intestazione"/>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86010" w14:textId="05DAD93D" w:rsidR="00CF6F33" w:rsidRPr="00EB46D9" w:rsidRDefault="0059722C" w:rsidP="00EB46D9">
    <w:pPr>
      <w:pStyle w:val="Intestazione"/>
    </w:pPr>
    <w:r w:rsidRPr="00EB46D9">
      <w:rPr>
        <w:noProof/>
      </w:rPr>
      <w:drawing>
        <wp:anchor distT="0" distB="0" distL="114300" distR="114300" simplePos="0" relativeHeight="251658241" behindDoc="0" locked="1" layoutInCell="1" allowOverlap="1" wp14:anchorId="5559ED3E" wp14:editId="20ECCE45">
          <wp:simplePos x="0" y="0"/>
          <wp:positionH relativeFrom="margin">
            <wp:posOffset>5036820</wp:posOffset>
          </wp:positionH>
          <wp:positionV relativeFrom="margin">
            <wp:posOffset>-1478915</wp:posOffset>
          </wp:positionV>
          <wp:extent cx="1051560" cy="603250"/>
          <wp:effectExtent l="0" t="0" r="0" b="6350"/>
          <wp:wrapNone/>
          <wp:docPr id="1653066876" name="Grafik 16530668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l="4736" t="10539" r="5063" b="12550"/>
                  <a:stretch>
                    <a:fillRect/>
                  </a:stretch>
                </pic:blipFill>
                <pic:spPr bwMode="auto">
                  <a:xfrm>
                    <a:off x="0" y="0"/>
                    <a:ext cx="1051560" cy="603250"/>
                  </a:xfrm>
                  <a:prstGeom prst="rect">
                    <a:avLst/>
                  </a:prstGeom>
                  <a:noFill/>
                </pic:spPr>
              </pic:pic>
            </a:graphicData>
          </a:graphic>
          <wp14:sizeRelH relativeFrom="page">
            <wp14:pctWidth>0</wp14:pctWidth>
          </wp14:sizeRelH>
          <wp14:sizeRelV relativeFrom="page">
            <wp14:pctHeight>0</wp14:pctHeight>
          </wp14:sizeRelV>
        </wp:anchor>
      </w:drawing>
    </w:r>
    <w:r w:rsidRPr="00EB46D9">
      <w:rPr>
        <w:noProof/>
      </w:rPr>
      <mc:AlternateContent>
        <mc:Choice Requires="wpg">
          <w:drawing>
            <wp:anchor distT="0" distB="0" distL="114300" distR="114300" simplePos="0" relativeHeight="251658240" behindDoc="0" locked="0" layoutInCell="1" allowOverlap="1" wp14:anchorId="76D561A9" wp14:editId="7310849B">
              <wp:simplePos x="0" y="0"/>
              <wp:positionH relativeFrom="page">
                <wp:posOffset>180340</wp:posOffset>
              </wp:positionH>
              <wp:positionV relativeFrom="page">
                <wp:posOffset>3780790</wp:posOffset>
              </wp:positionV>
              <wp:extent cx="179705" cy="3780155"/>
              <wp:effectExtent l="0" t="0" r="1905" b="11430"/>
              <wp:wrapNone/>
              <wp:docPr id="2"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705" cy="3780155"/>
                        <a:chOff x="0" y="5954"/>
                        <a:chExt cx="283" cy="5953"/>
                      </a:xfrm>
                    </wpg:grpSpPr>
                    <wps:wsp>
                      <wps:cNvPr id="3" name="Line 17"/>
                      <wps:cNvCnPr>
                        <a:cxnSpLocks noChangeShapeType="1"/>
                      </wps:cNvCnPr>
                      <wps:spPr bwMode="auto">
                        <a:xfrm>
                          <a:off x="0" y="5954"/>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4" name="Line 18"/>
                      <wps:cNvCnPr>
                        <a:cxnSpLocks noChangeShapeType="1"/>
                      </wps:cNvCnPr>
                      <wps:spPr bwMode="auto">
                        <a:xfrm>
                          <a:off x="0" y="8420"/>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s:wsp>
                      <wps:cNvPr id="5" name="Line 19"/>
                      <wps:cNvCnPr>
                        <a:cxnSpLocks noChangeShapeType="1"/>
                      </wps:cNvCnPr>
                      <wps:spPr bwMode="auto">
                        <a:xfrm>
                          <a:off x="0" y="11907"/>
                          <a:ext cx="283"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E1000F"/>
                              </a:solidFill>
                              <a:round/>
                              <a:headEnd/>
                              <a:tailEnd/>
                            </a14:hiddenLine>
                          </a:ext>
                        </a:extLst>
                      </wps:spPr>
                      <wps:bodyPr/>
                    </wps:wsp>
                  </wpg:wgp>
                </a:graphicData>
              </a:graphic>
              <wp14:sizeRelH relativeFrom="page">
                <wp14:pctWidth>0</wp14:pctWidth>
              </wp14:sizeRelH>
              <wp14:sizeRelV relativeFrom="page">
                <wp14:pctHeight>0</wp14:pctHeight>
              </wp14:sizeRelV>
            </wp:anchor>
          </w:drawing>
        </mc:Choice>
        <mc:Fallback>
          <w:pict>
            <v:group w14:anchorId="1F182FBB" id="Group 16" o:spid="_x0000_s1026" style="position:absolute;margin-left:14.2pt;margin-top:297.7pt;width:14.15pt;height:297.65pt;z-index:251658240;mso-position-horizontal-relative:page;mso-position-vertical-relative:page" coordorigin=",5954" coordsize="283,5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">
              <v:line id="Line 17" o:spid="_x0000_s1027" style="position:absolute;visibility:visible;mso-wrap-style:square" from="0,5954" to="283,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" stroked="f" strokecolor="#e1000f" strokeweight=".5pt"/>
              <v:line id="Line 18" o:spid="_x0000_s1028" style="position:absolute;visibility:visible;mso-wrap-style:square" from="0,8420" to="283,84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" stroked="f" strokecolor="#e1000f" strokeweight=".5pt"/>
              <v:line id="Line 19" o:spid="_x0000_s1029" style="position:absolute;visibility:visible;mso-wrap-style:square" from="0,11907" to="283,11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" stroked="f" strokecolor="#e1000f" strokeweight=".5pt"/>
              <w10:wrap anchorx="page" anchory="page"/>
            </v:group>
          </w:pict>
        </mc:Fallback>
      </mc:AlternateContent>
    </w:r>
    <w:r w:rsidR="005E3FBB">
      <w:rPr>
        <w:noProof/>
      </w:rPr>
      <w:t>News</w:t>
    </w:r>
    <w:r w:rsidR="005E3FBB" w:rsidRPr="00EB46D9">
      <w:t xml:space="preserve"> </w:t>
    </w:r>
    <w:r w:rsidR="00B422EC" w:rsidRPr="00EB46D9">
      <w:t>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865"/>
    <w:multiLevelType w:val="hybridMultilevel"/>
    <w:tmpl w:val="4A063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F4270"/>
    <w:multiLevelType w:val="hybridMultilevel"/>
    <w:tmpl w:val="12EC31FA"/>
    <w:lvl w:ilvl="0" w:tplc="785A8864">
      <w:start w:val="1"/>
      <w:numFmt w:val="bullet"/>
      <w:pStyle w:val="NumBullet"/>
      <w:lvlText w:val="•"/>
      <w:lvlJc w:val="left"/>
      <w:pPr>
        <w:tabs>
          <w:tab w:val="num" w:pos="567"/>
        </w:tabs>
        <w:ind w:left="567" w:hanging="567"/>
      </w:pPr>
      <w:rPr>
        <w:rFonts w:ascii="Times New Roman" w:hAnsi="Times New Roman" w:cs="Times New Roman" w:hint="default"/>
        <w:color w:val="E1000F"/>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10B585C"/>
    <w:multiLevelType w:val="hybridMultilevel"/>
    <w:tmpl w:val="70D4F3A4"/>
    <w:lvl w:ilvl="0" w:tplc="68061C8C">
      <w:start w:val="1"/>
      <w:numFmt w:val="bullet"/>
      <w:lvlText w:val=""/>
      <w:lvlJc w:val="left"/>
      <w:pPr>
        <w:ind w:left="1004" w:hanging="360"/>
      </w:pPr>
      <w:rPr>
        <w:rFonts w:ascii="Wingdings" w:hAnsi="Wingdings" w:hint="default"/>
        <w:sz w:val="24"/>
        <w:szCs w:val="24"/>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36B87E38"/>
    <w:multiLevelType w:val="multilevel"/>
    <w:tmpl w:val="188AE3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B6752"/>
    <w:multiLevelType w:val="hybridMultilevel"/>
    <w:tmpl w:val="1DAEF754"/>
    <w:lvl w:ilvl="0" w:tplc="36002C28">
      <w:start w:val="1"/>
      <w:numFmt w:val="bullet"/>
      <w:lvlText w:val=""/>
      <w:lvlJc w:val="left"/>
      <w:pPr>
        <w:ind w:left="360" w:hanging="360"/>
      </w:pPr>
      <w:rPr>
        <w:rFonts w:ascii="Wingdings" w:hAnsi="Wingdings" w:hint="default"/>
        <w:color w:val="E1000F"/>
        <w:sz w:val="24"/>
        <w:szCs w:val="24"/>
      </w:rPr>
    </w:lvl>
    <w:lvl w:ilvl="1" w:tplc="645A6B9C">
      <w:numFmt w:val="bullet"/>
      <w:lvlText w:val="-"/>
      <w:lvlJc w:val="left"/>
      <w:pPr>
        <w:ind w:left="1080" w:hanging="360"/>
      </w:pPr>
      <w:rPr>
        <w:rFonts w:ascii="Arial" w:hAnsi="Arial" w:hint="default"/>
        <w:color w:val="FF0000"/>
      </w:rPr>
    </w:lvl>
    <w:lvl w:ilvl="2" w:tplc="04070005" w:tentative="1">
      <w:start w:val="1"/>
      <w:numFmt w:val="bullet"/>
      <w:lvlText w:val=""/>
      <w:lvlJc w:val="left"/>
      <w:pPr>
        <w:ind w:left="1800" w:hanging="360"/>
      </w:pPr>
      <w:rPr>
        <w:rFonts w:ascii="Wingdings" w:hAnsi="Wingdings" w:cs="Wingdings" w:hint="default"/>
      </w:rPr>
    </w:lvl>
    <w:lvl w:ilvl="3" w:tplc="04070001" w:tentative="1">
      <w:start w:val="1"/>
      <w:numFmt w:val="bullet"/>
      <w:lvlText w:val=""/>
      <w:lvlJc w:val="left"/>
      <w:pPr>
        <w:ind w:left="2520" w:hanging="360"/>
      </w:pPr>
      <w:rPr>
        <w:rFonts w:ascii="Symbol" w:hAnsi="Symbol" w:cs="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cs="Wingdings" w:hint="default"/>
      </w:rPr>
    </w:lvl>
    <w:lvl w:ilvl="6" w:tplc="04070001" w:tentative="1">
      <w:start w:val="1"/>
      <w:numFmt w:val="bullet"/>
      <w:lvlText w:val=""/>
      <w:lvlJc w:val="left"/>
      <w:pPr>
        <w:ind w:left="4680" w:hanging="360"/>
      </w:pPr>
      <w:rPr>
        <w:rFonts w:ascii="Symbol" w:hAnsi="Symbol" w:cs="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cs="Wingdings" w:hint="default"/>
      </w:rPr>
    </w:lvl>
  </w:abstractNum>
  <w:abstractNum w:abstractNumId="5" w15:restartNumberingAfterBreak="0">
    <w:nsid w:val="40C5131F"/>
    <w:multiLevelType w:val="hybridMultilevel"/>
    <w:tmpl w:val="8F8421BE"/>
    <w:lvl w:ilvl="0" w:tplc="04070005">
      <w:start w:val="1"/>
      <w:numFmt w:val="bullet"/>
      <w:lvlText w:val=""/>
      <w:lvlJc w:val="left"/>
      <w:pPr>
        <w:ind w:left="1004" w:hanging="360"/>
      </w:pPr>
      <w:rPr>
        <w:rFonts w:ascii="Wingdings" w:hAnsi="Wingdings"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6" w15:restartNumberingAfterBreak="0">
    <w:nsid w:val="549B0C97"/>
    <w:multiLevelType w:val="hybridMultilevel"/>
    <w:tmpl w:val="DCD2F366"/>
    <w:lvl w:ilvl="0" w:tplc="53A0857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BB6FB3"/>
    <w:multiLevelType w:val="hybridMultilevel"/>
    <w:tmpl w:val="FD7E88F4"/>
    <w:lvl w:ilvl="0" w:tplc="A86EF76C">
      <w:start w:val="1"/>
      <w:numFmt w:val="bullet"/>
      <w:lvlText w:val=""/>
      <w:lvlJc w:val="left"/>
      <w:pPr>
        <w:ind w:left="720" w:hanging="360"/>
      </w:pPr>
      <w:rPr>
        <w:rFonts w:ascii="Wingdings" w:hAnsi="Wingdings" w:hint="default"/>
        <w:color w:val="E1000F"/>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89532E"/>
    <w:multiLevelType w:val="hybridMultilevel"/>
    <w:tmpl w:val="357663A0"/>
    <w:lvl w:ilvl="0" w:tplc="5FB28F00">
      <w:start w:val="1"/>
      <w:numFmt w:val="bullet"/>
      <w:lvlText w:val=""/>
      <w:lvlJc w:val="left"/>
      <w:pPr>
        <w:ind w:left="786" w:hanging="360"/>
      </w:pPr>
      <w:rPr>
        <w:rFonts w:ascii="Wingdings" w:hAnsi="Wingdings" w:hint="default"/>
        <w:sz w:val="24"/>
        <w:szCs w:val="24"/>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71322993">
    <w:abstractNumId w:val="1"/>
  </w:num>
  <w:num w:numId="2" w16cid:durableId="165293174">
    <w:abstractNumId w:val="0"/>
  </w:num>
  <w:num w:numId="3" w16cid:durableId="1508134485">
    <w:abstractNumId w:val="8"/>
  </w:num>
  <w:num w:numId="4" w16cid:durableId="1234970366">
    <w:abstractNumId w:val="5"/>
  </w:num>
  <w:num w:numId="5" w16cid:durableId="1008554684">
    <w:abstractNumId w:val="2"/>
  </w:num>
  <w:num w:numId="6" w16cid:durableId="933825870">
    <w:abstractNumId w:val="6"/>
  </w:num>
  <w:num w:numId="7" w16cid:durableId="912852597">
    <w:abstractNumId w:val="4"/>
  </w:num>
  <w:num w:numId="8" w16cid:durableId="1625698526">
    <w:abstractNumId w:val="7"/>
  </w:num>
  <w:num w:numId="9" w16cid:durableId="12217902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WAFVersion" w:val="5.0"/>
  </w:docVars>
  <w:rsids>
    <w:rsidRoot w:val="0033451C"/>
    <w:rsid w:val="00000839"/>
    <w:rsid w:val="00002AA4"/>
    <w:rsid w:val="00005267"/>
    <w:rsid w:val="00005415"/>
    <w:rsid w:val="00006346"/>
    <w:rsid w:val="000069EB"/>
    <w:rsid w:val="00006A45"/>
    <w:rsid w:val="00007410"/>
    <w:rsid w:val="00011DDB"/>
    <w:rsid w:val="00012047"/>
    <w:rsid w:val="00013644"/>
    <w:rsid w:val="00014FC1"/>
    <w:rsid w:val="00016137"/>
    <w:rsid w:val="00017389"/>
    <w:rsid w:val="00020DC3"/>
    <w:rsid w:val="00021C67"/>
    <w:rsid w:val="00024147"/>
    <w:rsid w:val="00024483"/>
    <w:rsid w:val="000256A9"/>
    <w:rsid w:val="00026EEE"/>
    <w:rsid w:val="000301F0"/>
    <w:rsid w:val="00030557"/>
    <w:rsid w:val="00030701"/>
    <w:rsid w:val="00030F51"/>
    <w:rsid w:val="000311F4"/>
    <w:rsid w:val="000343EB"/>
    <w:rsid w:val="00035A84"/>
    <w:rsid w:val="0003650E"/>
    <w:rsid w:val="00037396"/>
    <w:rsid w:val="000378F9"/>
    <w:rsid w:val="00037D04"/>
    <w:rsid w:val="00040816"/>
    <w:rsid w:val="00040CC9"/>
    <w:rsid w:val="00041F81"/>
    <w:rsid w:val="000425ED"/>
    <w:rsid w:val="00045A1D"/>
    <w:rsid w:val="00045CCB"/>
    <w:rsid w:val="000471D0"/>
    <w:rsid w:val="000510FC"/>
    <w:rsid w:val="00051555"/>
    <w:rsid w:val="000517E2"/>
    <w:rsid w:val="00051E86"/>
    <w:rsid w:val="00054AFE"/>
    <w:rsid w:val="0005544E"/>
    <w:rsid w:val="00055CE4"/>
    <w:rsid w:val="000575F9"/>
    <w:rsid w:val="000618FC"/>
    <w:rsid w:val="00062741"/>
    <w:rsid w:val="0006442E"/>
    <w:rsid w:val="00065466"/>
    <w:rsid w:val="000665F3"/>
    <w:rsid w:val="00066A9C"/>
    <w:rsid w:val="00067071"/>
    <w:rsid w:val="00067F67"/>
    <w:rsid w:val="00070652"/>
    <w:rsid w:val="00070757"/>
    <w:rsid w:val="00071284"/>
    <w:rsid w:val="0007275A"/>
    <w:rsid w:val="00073AED"/>
    <w:rsid w:val="000751A7"/>
    <w:rsid w:val="000759DC"/>
    <w:rsid w:val="0007746E"/>
    <w:rsid w:val="00077AF9"/>
    <w:rsid w:val="00080D10"/>
    <w:rsid w:val="00081241"/>
    <w:rsid w:val="00081692"/>
    <w:rsid w:val="000818B6"/>
    <w:rsid w:val="00081EF8"/>
    <w:rsid w:val="00082417"/>
    <w:rsid w:val="0008357F"/>
    <w:rsid w:val="00083A35"/>
    <w:rsid w:val="00083A61"/>
    <w:rsid w:val="00083DAB"/>
    <w:rsid w:val="0008406B"/>
    <w:rsid w:val="00084918"/>
    <w:rsid w:val="00085A1A"/>
    <w:rsid w:val="00090DB6"/>
    <w:rsid w:val="00090E73"/>
    <w:rsid w:val="00091F11"/>
    <w:rsid w:val="00092511"/>
    <w:rsid w:val="00093255"/>
    <w:rsid w:val="00094235"/>
    <w:rsid w:val="00096AD4"/>
    <w:rsid w:val="000979FE"/>
    <w:rsid w:val="000A0598"/>
    <w:rsid w:val="000A05E0"/>
    <w:rsid w:val="000A06FB"/>
    <w:rsid w:val="000A31D3"/>
    <w:rsid w:val="000A50CF"/>
    <w:rsid w:val="000A511E"/>
    <w:rsid w:val="000A64B3"/>
    <w:rsid w:val="000A6C25"/>
    <w:rsid w:val="000B005C"/>
    <w:rsid w:val="000B10DE"/>
    <w:rsid w:val="000B2E86"/>
    <w:rsid w:val="000B576C"/>
    <w:rsid w:val="000B5D2F"/>
    <w:rsid w:val="000B5E32"/>
    <w:rsid w:val="000B6244"/>
    <w:rsid w:val="000B695A"/>
    <w:rsid w:val="000B6EF1"/>
    <w:rsid w:val="000B72A8"/>
    <w:rsid w:val="000C0715"/>
    <w:rsid w:val="000C1254"/>
    <w:rsid w:val="000C210A"/>
    <w:rsid w:val="000C27E5"/>
    <w:rsid w:val="000C30D6"/>
    <w:rsid w:val="000C47D1"/>
    <w:rsid w:val="000C50A1"/>
    <w:rsid w:val="000C56DD"/>
    <w:rsid w:val="000C63F4"/>
    <w:rsid w:val="000D11CB"/>
    <w:rsid w:val="000D14C4"/>
    <w:rsid w:val="000D1672"/>
    <w:rsid w:val="000D178A"/>
    <w:rsid w:val="000D18CE"/>
    <w:rsid w:val="000D40C6"/>
    <w:rsid w:val="000D6C67"/>
    <w:rsid w:val="000E0CAB"/>
    <w:rsid w:val="000E1B84"/>
    <w:rsid w:val="000E21E4"/>
    <w:rsid w:val="000E2F62"/>
    <w:rsid w:val="000E38ED"/>
    <w:rsid w:val="000E45C7"/>
    <w:rsid w:val="000E67D5"/>
    <w:rsid w:val="000E755E"/>
    <w:rsid w:val="000E7F24"/>
    <w:rsid w:val="000F03BE"/>
    <w:rsid w:val="000F10AC"/>
    <w:rsid w:val="000F1757"/>
    <w:rsid w:val="000F225B"/>
    <w:rsid w:val="000F333E"/>
    <w:rsid w:val="000F3949"/>
    <w:rsid w:val="000F41BC"/>
    <w:rsid w:val="000F48E9"/>
    <w:rsid w:val="000F4DAE"/>
    <w:rsid w:val="000F7ADB"/>
    <w:rsid w:val="000F7D43"/>
    <w:rsid w:val="000F7FAF"/>
    <w:rsid w:val="00100D8B"/>
    <w:rsid w:val="00102045"/>
    <w:rsid w:val="00102264"/>
    <w:rsid w:val="00103537"/>
    <w:rsid w:val="0010421C"/>
    <w:rsid w:val="0010465B"/>
    <w:rsid w:val="001050D7"/>
    <w:rsid w:val="0010570F"/>
    <w:rsid w:val="00105975"/>
    <w:rsid w:val="00110090"/>
    <w:rsid w:val="00110407"/>
    <w:rsid w:val="0011116D"/>
    <w:rsid w:val="00111386"/>
    <w:rsid w:val="001118DF"/>
    <w:rsid w:val="00111F4D"/>
    <w:rsid w:val="001125B2"/>
    <w:rsid w:val="00112A28"/>
    <w:rsid w:val="00113571"/>
    <w:rsid w:val="00114DDF"/>
    <w:rsid w:val="00114FAA"/>
    <w:rsid w:val="00115230"/>
    <w:rsid w:val="00115AE1"/>
    <w:rsid w:val="00115B5F"/>
    <w:rsid w:val="001162B4"/>
    <w:rsid w:val="00116DF3"/>
    <w:rsid w:val="00122B90"/>
    <w:rsid w:val="00122CBC"/>
    <w:rsid w:val="0012414B"/>
    <w:rsid w:val="001244F8"/>
    <w:rsid w:val="001246AB"/>
    <w:rsid w:val="00124FA3"/>
    <w:rsid w:val="001255F8"/>
    <w:rsid w:val="00126AF1"/>
    <w:rsid w:val="00126C65"/>
    <w:rsid w:val="00126D4A"/>
    <w:rsid w:val="0012714C"/>
    <w:rsid w:val="001274FA"/>
    <w:rsid w:val="00131762"/>
    <w:rsid w:val="001318EB"/>
    <w:rsid w:val="00132DA9"/>
    <w:rsid w:val="0013305B"/>
    <w:rsid w:val="00133B99"/>
    <w:rsid w:val="0013569C"/>
    <w:rsid w:val="00135939"/>
    <w:rsid w:val="001369E3"/>
    <w:rsid w:val="001375DD"/>
    <w:rsid w:val="00142EFB"/>
    <w:rsid w:val="001438BF"/>
    <w:rsid w:val="001443BD"/>
    <w:rsid w:val="00144A87"/>
    <w:rsid w:val="00145B62"/>
    <w:rsid w:val="00146193"/>
    <w:rsid w:val="00147E09"/>
    <w:rsid w:val="001519D2"/>
    <w:rsid w:val="00152022"/>
    <w:rsid w:val="00152026"/>
    <w:rsid w:val="00152392"/>
    <w:rsid w:val="00152A41"/>
    <w:rsid w:val="001544C3"/>
    <w:rsid w:val="00154D75"/>
    <w:rsid w:val="00156ED6"/>
    <w:rsid w:val="001577E9"/>
    <w:rsid w:val="00157A59"/>
    <w:rsid w:val="00157F37"/>
    <w:rsid w:val="0016138C"/>
    <w:rsid w:val="00162D60"/>
    <w:rsid w:val="001640D5"/>
    <w:rsid w:val="00164499"/>
    <w:rsid w:val="001653D7"/>
    <w:rsid w:val="001659FB"/>
    <w:rsid w:val="00171763"/>
    <w:rsid w:val="00171D3F"/>
    <w:rsid w:val="00172151"/>
    <w:rsid w:val="00172C99"/>
    <w:rsid w:val="001731CE"/>
    <w:rsid w:val="00173E0D"/>
    <w:rsid w:val="001742EE"/>
    <w:rsid w:val="00175C72"/>
    <w:rsid w:val="00177D1E"/>
    <w:rsid w:val="00180F93"/>
    <w:rsid w:val="00181B06"/>
    <w:rsid w:val="0018672E"/>
    <w:rsid w:val="001928FC"/>
    <w:rsid w:val="00193BD5"/>
    <w:rsid w:val="00194571"/>
    <w:rsid w:val="00196308"/>
    <w:rsid w:val="0019782F"/>
    <w:rsid w:val="00197E9B"/>
    <w:rsid w:val="001A1185"/>
    <w:rsid w:val="001A3D77"/>
    <w:rsid w:val="001A4A02"/>
    <w:rsid w:val="001B30F7"/>
    <w:rsid w:val="001B31F0"/>
    <w:rsid w:val="001B4862"/>
    <w:rsid w:val="001B5147"/>
    <w:rsid w:val="001B65FF"/>
    <w:rsid w:val="001B710A"/>
    <w:rsid w:val="001B771D"/>
    <w:rsid w:val="001B7C20"/>
    <w:rsid w:val="001C0890"/>
    <w:rsid w:val="001C0B32"/>
    <w:rsid w:val="001C2D66"/>
    <w:rsid w:val="001C36F7"/>
    <w:rsid w:val="001C43A5"/>
    <w:rsid w:val="001C4BE1"/>
    <w:rsid w:val="001C5338"/>
    <w:rsid w:val="001C5847"/>
    <w:rsid w:val="001C7F21"/>
    <w:rsid w:val="001D1497"/>
    <w:rsid w:val="001D5534"/>
    <w:rsid w:val="001D63D9"/>
    <w:rsid w:val="001D6F0E"/>
    <w:rsid w:val="001D7ADF"/>
    <w:rsid w:val="001E0F71"/>
    <w:rsid w:val="001E1575"/>
    <w:rsid w:val="001E160D"/>
    <w:rsid w:val="001E17FB"/>
    <w:rsid w:val="001E255E"/>
    <w:rsid w:val="001E2B9B"/>
    <w:rsid w:val="001E2C06"/>
    <w:rsid w:val="001E35BA"/>
    <w:rsid w:val="001E3A31"/>
    <w:rsid w:val="001E4393"/>
    <w:rsid w:val="001E4690"/>
    <w:rsid w:val="001E49D3"/>
    <w:rsid w:val="001E4CCB"/>
    <w:rsid w:val="001E51A6"/>
    <w:rsid w:val="001E6D05"/>
    <w:rsid w:val="001E73E8"/>
    <w:rsid w:val="001E7C28"/>
    <w:rsid w:val="001F0C14"/>
    <w:rsid w:val="001F0F3B"/>
    <w:rsid w:val="001F11A1"/>
    <w:rsid w:val="001F1AB5"/>
    <w:rsid w:val="001F1BDF"/>
    <w:rsid w:val="001F1D6D"/>
    <w:rsid w:val="001F20A0"/>
    <w:rsid w:val="001F35F8"/>
    <w:rsid w:val="001F39FC"/>
    <w:rsid w:val="001F3E04"/>
    <w:rsid w:val="001F4AC3"/>
    <w:rsid w:val="001F4CAC"/>
    <w:rsid w:val="001F52E0"/>
    <w:rsid w:val="001F590C"/>
    <w:rsid w:val="001F7110"/>
    <w:rsid w:val="001F7185"/>
    <w:rsid w:val="001F773D"/>
    <w:rsid w:val="001F7E96"/>
    <w:rsid w:val="002005F5"/>
    <w:rsid w:val="0020202E"/>
    <w:rsid w:val="00202284"/>
    <w:rsid w:val="0020528D"/>
    <w:rsid w:val="0020543B"/>
    <w:rsid w:val="00205A66"/>
    <w:rsid w:val="002063CF"/>
    <w:rsid w:val="00206613"/>
    <w:rsid w:val="0020756B"/>
    <w:rsid w:val="00207E75"/>
    <w:rsid w:val="00210D86"/>
    <w:rsid w:val="0021158F"/>
    <w:rsid w:val="00211BA0"/>
    <w:rsid w:val="00212488"/>
    <w:rsid w:val="002129A6"/>
    <w:rsid w:val="002151DB"/>
    <w:rsid w:val="00220628"/>
    <w:rsid w:val="00221A45"/>
    <w:rsid w:val="00221BA0"/>
    <w:rsid w:val="00224CB4"/>
    <w:rsid w:val="002260C7"/>
    <w:rsid w:val="002304D2"/>
    <w:rsid w:val="002310E3"/>
    <w:rsid w:val="00232594"/>
    <w:rsid w:val="002338C1"/>
    <w:rsid w:val="00233D04"/>
    <w:rsid w:val="00234ABD"/>
    <w:rsid w:val="00236491"/>
    <w:rsid w:val="00236C3B"/>
    <w:rsid w:val="00236E2A"/>
    <w:rsid w:val="00237F62"/>
    <w:rsid w:val="00240D96"/>
    <w:rsid w:val="00241E10"/>
    <w:rsid w:val="00242C71"/>
    <w:rsid w:val="0024586A"/>
    <w:rsid w:val="0024601F"/>
    <w:rsid w:val="002464E3"/>
    <w:rsid w:val="0024732C"/>
    <w:rsid w:val="002502E1"/>
    <w:rsid w:val="00250C98"/>
    <w:rsid w:val="00250F80"/>
    <w:rsid w:val="0025124F"/>
    <w:rsid w:val="002518A2"/>
    <w:rsid w:val="002528B3"/>
    <w:rsid w:val="00253854"/>
    <w:rsid w:val="0025551F"/>
    <w:rsid w:val="00255F8C"/>
    <w:rsid w:val="00256174"/>
    <w:rsid w:val="002566B2"/>
    <w:rsid w:val="002569B9"/>
    <w:rsid w:val="00256F0C"/>
    <w:rsid w:val="00257231"/>
    <w:rsid w:val="00260318"/>
    <w:rsid w:val="00261C23"/>
    <w:rsid w:val="00262C05"/>
    <w:rsid w:val="002715AF"/>
    <w:rsid w:val="002717F0"/>
    <w:rsid w:val="0027214F"/>
    <w:rsid w:val="0027301C"/>
    <w:rsid w:val="00273099"/>
    <w:rsid w:val="00281D14"/>
    <w:rsid w:val="00282C13"/>
    <w:rsid w:val="002833D8"/>
    <w:rsid w:val="002836D7"/>
    <w:rsid w:val="00284538"/>
    <w:rsid w:val="00285669"/>
    <w:rsid w:val="002858F6"/>
    <w:rsid w:val="00286BF6"/>
    <w:rsid w:val="00286D3E"/>
    <w:rsid w:val="002903B7"/>
    <w:rsid w:val="002919AD"/>
    <w:rsid w:val="00292C23"/>
    <w:rsid w:val="00293E0F"/>
    <w:rsid w:val="00295E54"/>
    <w:rsid w:val="002962D7"/>
    <w:rsid w:val="00296C33"/>
    <w:rsid w:val="002A0D7B"/>
    <w:rsid w:val="002A0DF7"/>
    <w:rsid w:val="002A268C"/>
    <w:rsid w:val="002A2975"/>
    <w:rsid w:val="002A460D"/>
    <w:rsid w:val="002A505B"/>
    <w:rsid w:val="002A5EE9"/>
    <w:rsid w:val="002A60E0"/>
    <w:rsid w:val="002A69D0"/>
    <w:rsid w:val="002A72F8"/>
    <w:rsid w:val="002B1AA8"/>
    <w:rsid w:val="002B1E87"/>
    <w:rsid w:val="002B4583"/>
    <w:rsid w:val="002B687A"/>
    <w:rsid w:val="002C1344"/>
    <w:rsid w:val="002C252E"/>
    <w:rsid w:val="002C3A2A"/>
    <w:rsid w:val="002C458A"/>
    <w:rsid w:val="002C6093"/>
    <w:rsid w:val="002C6552"/>
    <w:rsid w:val="002C672A"/>
    <w:rsid w:val="002C6773"/>
    <w:rsid w:val="002C6F51"/>
    <w:rsid w:val="002C73EC"/>
    <w:rsid w:val="002D0FE0"/>
    <w:rsid w:val="002D269A"/>
    <w:rsid w:val="002D2A3D"/>
    <w:rsid w:val="002D3E72"/>
    <w:rsid w:val="002D3EAC"/>
    <w:rsid w:val="002D46A9"/>
    <w:rsid w:val="002D5D1D"/>
    <w:rsid w:val="002D6EFD"/>
    <w:rsid w:val="002D74CF"/>
    <w:rsid w:val="002D7B8C"/>
    <w:rsid w:val="002E0A45"/>
    <w:rsid w:val="002E0B17"/>
    <w:rsid w:val="002E26B4"/>
    <w:rsid w:val="002E31C0"/>
    <w:rsid w:val="002E3A73"/>
    <w:rsid w:val="002E4FFB"/>
    <w:rsid w:val="002E63A7"/>
    <w:rsid w:val="002E650E"/>
    <w:rsid w:val="002E6E2F"/>
    <w:rsid w:val="002E7DED"/>
    <w:rsid w:val="002F0334"/>
    <w:rsid w:val="002F2A7B"/>
    <w:rsid w:val="002F4AB2"/>
    <w:rsid w:val="002F4F67"/>
    <w:rsid w:val="002F5944"/>
    <w:rsid w:val="002F7BC2"/>
    <w:rsid w:val="002F7E11"/>
    <w:rsid w:val="003002BA"/>
    <w:rsid w:val="0030037C"/>
    <w:rsid w:val="003008B9"/>
    <w:rsid w:val="00302BC5"/>
    <w:rsid w:val="00304087"/>
    <w:rsid w:val="003053DC"/>
    <w:rsid w:val="003054B0"/>
    <w:rsid w:val="003057B1"/>
    <w:rsid w:val="003062AD"/>
    <w:rsid w:val="00310ACD"/>
    <w:rsid w:val="00312C23"/>
    <w:rsid w:val="0031379F"/>
    <w:rsid w:val="00313A9C"/>
    <w:rsid w:val="0031621E"/>
    <w:rsid w:val="00316A16"/>
    <w:rsid w:val="00316B30"/>
    <w:rsid w:val="00320228"/>
    <w:rsid w:val="00320372"/>
    <w:rsid w:val="00320A26"/>
    <w:rsid w:val="00320BBE"/>
    <w:rsid w:val="003212F3"/>
    <w:rsid w:val="00321344"/>
    <w:rsid w:val="00321622"/>
    <w:rsid w:val="00321788"/>
    <w:rsid w:val="003221D5"/>
    <w:rsid w:val="00323D57"/>
    <w:rsid w:val="00323FA3"/>
    <w:rsid w:val="00325064"/>
    <w:rsid w:val="00325EC9"/>
    <w:rsid w:val="00326735"/>
    <w:rsid w:val="003279C6"/>
    <w:rsid w:val="0032B295"/>
    <w:rsid w:val="00331A3E"/>
    <w:rsid w:val="0033451C"/>
    <w:rsid w:val="00334724"/>
    <w:rsid w:val="00335660"/>
    <w:rsid w:val="00335FBD"/>
    <w:rsid w:val="0033649A"/>
    <w:rsid w:val="00336854"/>
    <w:rsid w:val="0033769B"/>
    <w:rsid w:val="00337A89"/>
    <w:rsid w:val="0034015C"/>
    <w:rsid w:val="00341409"/>
    <w:rsid w:val="00341CAE"/>
    <w:rsid w:val="003442F4"/>
    <w:rsid w:val="00344546"/>
    <w:rsid w:val="003455CF"/>
    <w:rsid w:val="0034716E"/>
    <w:rsid w:val="00350CB4"/>
    <w:rsid w:val="00353705"/>
    <w:rsid w:val="00355536"/>
    <w:rsid w:val="003562E8"/>
    <w:rsid w:val="00357F94"/>
    <w:rsid w:val="003614D7"/>
    <w:rsid w:val="0036357D"/>
    <w:rsid w:val="00363637"/>
    <w:rsid w:val="003649BC"/>
    <w:rsid w:val="00364F7E"/>
    <w:rsid w:val="00365BE1"/>
    <w:rsid w:val="00365E44"/>
    <w:rsid w:val="003662B1"/>
    <w:rsid w:val="003663FD"/>
    <w:rsid w:val="003667AD"/>
    <w:rsid w:val="00367AA1"/>
    <w:rsid w:val="00370A5B"/>
    <w:rsid w:val="00372497"/>
    <w:rsid w:val="00372E36"/>
    <w:rsid w:val="00373C15"/>
    <w:rsid w:val="00373D53"/>
    <w:rsid w:val="00375653"/>
    <w:rsid w:val="00375DFA"/>
    <w:rsid w:val="00375F7D"/>
    <w:rsid w:val="003767D3"/>
    <w:rsid w:val="00376EE9"/>
    <w:rsid w:val="00376FFC"/>
    <w:rsid w:val="00377CBB"/>
    <w:rsid w:val="00382CCB"/>
    <w:rsid w:val="00382DA3"/>
    <w:rsid w:val="00384F62"/>
    <w:rsid w:val="00385438"/>
    <w:rsid w:val="003858E5"/>
    <w:rsid w:val="003877B6"/>
    <w:rsid w:val="00391539"/>
    <w:rsid w:val="003921B7"/>
    <w:rsid w:val="00392D73"/>
    <w:rsid w:val="00393887"/>
    <w:rsid w:val="00393F1B"/>
    <w:rsid w:val="00394C6B"/>
    <w:rsid w:val="0039610B"/>
    <w:rsid w:val="00396442"/>
    <w:rsid w:val="003967E1"/>
    <w:rsid w:val="00397C2B"/>
    <w:rsid w:val="003A11DF"/>
    <w:rsid w:val="003A290F"/>
    <w:rsid w:val="003A4AAA"/>
    <w:rsid w:val="003A4B10"/>
    <w:rsid w:val="003A4E2E"/>
    <w:rsid w:val="003A4E62"/>
    <w:rsid w:val="003A5A6A"/>
    <w:rsid w:val="003A775E"/>
    <w:rsid w:val="003B02F2"/>
    <w:rsid w:val="003B0BD0"/>
    <w:rsid w:val="003B0CDD"/>
    <w:rsid w:val="003B1069"/>
    <w:rsid w:val="003B1F2E"/>
    <w:rsid w:val="003B38CC"/>
    <w:rsid w:val="003B390A"/>
    <w:rsid w:val="003B3D53"/>
    <w:rsid w:val="003B4E3A"/>
    <w:rsid w:val="003B60C3"/>
    <w:rsid w:val="003B6373"/>
    <w:rsid w:val="003B79E1"/>
    <w:rsid w:val="003C0E8C"/>
    <w:rsid w:val="003C15DE"/>
    <w:rsid w:val="003C2096"/>
    <w:rsid w:val="003C2889"/>
    <w:rsid w:val="003C2AB0"/>
    <w:rsid w:val="003C34C9"/>
    <w:rsid w:val="003C4EB2"/>
    <w:rsid w:val="003C5801"/>
    <w:rsid w:val="003C5E05"/>
    <w:rsid w:val="003C63D0"/>
    <w:rsid w:val="003C7959"/>
    <w:rsid w:val="003D0055"/>
    <w:rsid w:val="003D3968"/>
    <w:rsid w:val="003D42AF"/>
    <w:rsid w:val="003D4899"/>
    <w:rsid w:val="003D4AD2"/>
    <w:rsid w:val="003D53D7"/>
    <w:rsid w:val="003D5E11"/>
    <w:rsid w:val="003D73C0"/>
    <w:rsid w:val="003E031D"/>
    <w:rsid w:val="003E0583"/>
    <w:rsid w:val="003E1833"/>
    <w:rsid w:val="003E4062"/>
    <w:rsid w:val="003E6DA3"/>
    <w:rsid w:val="003E7305"/>
    <w:rsid w:val="003F0C1C"/>
    <w:rsid w:val="003F1AF3"/>
    <w:rsid w:val="003F25E4"/>
    <w:rsid w:val="003F4804"/>
    <w:rsid w:val="003F4AAA"/>
    <w:rsid w:val="003F4D8D"/>
    <w:rsid w:val="003F4E93"/>
    <w:rsid w:val="003F5708"/>
    <w:rsid w:val="003F66A4"/>
    <w:rsid w:val="00401508"/>
    <w:rsid w:val="00401688"/>
    <w:rsid w:val="004024D9"/>
    <w:rsid w:val="0040257E"/>
    <w:rsid w:val="0040386D"/>
    <w:rsid w:val="00404188"/>
    <w:rsid w:val="00406435"/>
    <w:rsid w:val="004066F9"/>
    <w:rsid w:val="00406CBE"/>
    <w:rsid w:val="004073DC"/>
    <w:rsid w:val="004137C0"/>
    <w:rsid w:val="004138F3"/>
    <w:rsid w:val="00420F5B"/>
    <w:rsid w:val="00421F20"/>
    <w:rsid w:val="0042238F"/>
    <w:rsid w:val="00423B63"/>
    <w:rsid w:val="00427BEA"/>
    <w:rsid w:val="00430120"/>
    <w:rsid w:val="004313E7"/>
    <w:rsid w:val="00432542"/>
    <w:rsid w:val="004339B2"/>
    <w:rsid w:val="00437F32"/>
    <w:rsid w:val="00440E7A"/>
    <w:rsid w:val="004433D5"/>
    <w:rsid w:val="0044344E"/>
    <w:rsid w:val="00444A70"/>
    <w:rsid w:val="0044763B"/>
    <w:rsid w:val="00452696"/>
    <w:rsid w:val="00452726"/>
    <w:rsid w:val="00453F32"/>
    <w:rsid w:val="00454DAA"/>
    <w:rsid w:val="0045535C"/>
    <w:rsid w:val="00456765"/>
    <w:rsid w:val="00456A53"/>
    <w:rsid w:val="00456F1E"/>
    <w:rsid w:val="0046213C"/>
    <w:rsid w:val="00462518"/>
    <w:rsid w:val="0046266D"/>
    <w:rsid w:val="004629B3"/>
    <w:rsid w:val="0046376E"/>
    <w:rsid w:val="00463B50"/>
    <w:rsid w:val="00464251"/>
    <w:rsid w:val="00464860"/>
    <w:rsid w:val="0046587C"/>
    <w:rsid w:val="0046690F"/>
    <w:rsid w:val="004677F8"/>
    <w:rsid w:val="00467CC0"/>
    <w:rsid w:val="00471116"/>
    <w:rsid w:val="00472FEC"/>
    <w:rsid w:val="00473A2A"/>
    <w:rsid w:val="00473B89"/>
    <w:rsid w:val="004747D0"/>
    <w:rsid w:val="00476830"/>
    <w:rsid w:val="004770F6"/>
    <w:rsid w:val="004812D2"/>
    <w:rsid w:val="00483B28"/>
    <w:rsid w:val="00484218"/>
    <w:rsid w:val="004858E1"/>
    <w:rsid w:val="00485EF2"/>
    <w:rsid w:val="004864A1"/>
    <w:rsid w:val="0048769E"/>
    <w:rsid w:val="00487A1F"/>
    <w:rsid w:val="00490A03"/>
    <w:rsid w:val="00490B0D"/>
    <w:rsid w:val="00490E5D"/>
    <w:rsid w:val="00492B0A"/>
    <w:rsid w:val="00492D88"/>
    <w:rsid w:val="00493327"/>
    <w:rsid w:val="0049382E"/>
    <w:rsid w:val="0049391A"/>
    <w:rsid w:val="00494DBE"/>
    <w:rsid w:val="00495CE6"/>
    <w:rsid w:val="00497D5E"/>
    <w:rsid w:val="00497EB9"/>
    <w:rsid w:val="004A144D"/>
    <w:rsid w:val="004A1D27"/>
    <w:rsid w:val="004A2176"/>
    <w:rsid w:val="004A2703"/>
    <w:rsid w:val="004A323C"/>
    <w:rsid w:val="004A4D16"/>
    <w:rsid w:val="004B0801"/>
    <w:rsid w:val="004B1117"/>
    <w:rsid w:val="004B1A6B"/>
    <w:rsid w:val="004B1FC8"/>
    <w:rsid w:val="004B339A"/>
    <w:rsid w:val="004B39DA"/>
    <w:rsid w:val="004B54E8"/>
    <w:rsid w:val="004B7595"/>
    <w:rsid w:val="004B773C"/>
    <w:rsid w:val="004C0138"/>
    <w:rsid w:val="004C0686"/>
    <w:rsid w:val="004C12E8"/>
    <w:rsid w:val="004C130C"/>
    <w:rsid w:val="004C1389"/>
    <w:rsid w:val="004C1578"/>
    <w:rsid w:val="004C174B"/>
    <w:rsid w:val="004C33BA"/>
    <w:rsid w:val="004C47EA"/>
    <w:rsid w:val="004C4FEB"/>
    <w:rsid w:val="004C6570"/>
    <w:rsid w:val="004C678C"/>
    <w:rsid w:val="004C6B79"/>
    <w:rsid w:val="004C7345"/>
    <w:rsid w:val="004D059B"/>
    <w:rsid w:val="004D09F9"/>
    <w:rsid w:val="004D0E64"/>
    <w:rsid w:val="004D144F"/>
    <w:rsid w:val="004D1DBD"/>
    <w:rsid w:val="004D304E"/>
    <w:rsid w:val="004D4543"/>
    <w:rsid w:val="004D48A8"/>
    <w:rsid w:val="004D4CB6"/>
    <w:rsid w:val="004D4DCB"/>
    <w:rsid w:val="004E0907"/>
    <w:rsid w:val="004E20CF"/>
    <w:rsid w:val="004E2324"/>
    <w:rsid w:val="004E28C9"/>
    <w:rsid w:val="004E3341"/>
    <w:rsid w:val="004E3406"/>
    <w:rsid w:val="004E5124"/>
    <w:rsid w:val="004E7BE2"/>
    <w:rsid w:val="004E7E3A"/>
    <w:rsid w:val="004F10C1"/>
    <w:rsid w:val="004F1A34"/>
    <w:rsid w:val="004F1C5E"/>
    <w:rsid w:val="004F3032"/>
    <w:rsid w:val="004F3E47"/>
    <w:rsid w:val="004F4CC8"/>
    <w:rsid w:val="004F4F5A"/>
    <w:rsid w:val="004F51FF"/>
    <w:rsid w:val="004F5AD9"/>
    <w:rsid w:val="0050159C"/>
    <w:rsid w:val="005022B7"/>
    <w:rsid w:val="00502E62"/>
    <w:rsid w:val="005044C2"/>
    <w:rsid w:val="00506B8A"/>
    <w:rsid w:val="005110D3"/>
    <w:rsid w:val="00511161"/>
    <w:rsid w:val="00512222"/>
    <w:rsid w:val="0051413C"/>
    <w:rsid w:val="00515F4A"/>
    <w:rsid w:val="0051693C"/>
    <w:rsid w:val="00520A65"/>
    <w:rsid w:val="005218B8"/>
    <w:rsid w:val="00521B13"/>
    <w:rsid w:val="0052212B"/>
    <w:rsid w:val="005221A8"/>
    <w:rsid w:val="005230C7"/>
    <w:rsid w:val="0052474F"/>
    <w:rsid w:val="0052625A"/>
    <w:rsid w:val="005266EA"/>
    <w:rsid w:val="00527072"/>
    <w:rsid w:val="005272FE"/>
    <w:rsid w:val="0053001D"/>
    <w:rsid w:val="00530E38"/>
    <w:rsid w:val="00533B0D"/>
    <w:rsid w:val="00534B46"/>
    <w:rsid w:val="00535018"/>
    <w:rsid w:val="005355DB"/>
    <w:rsid w:val="00535866"/>
    <w:rsid w:val="00536CBD"/>
    <w:rsid w:val="00540358"/>
    <w:rsid w:val="00540A05"/>
    <w:rsid w:val="00540D47"/>
    <w:rsid w:val="00540E25"/>
    <w:rsid w:val="005428D7"/>
    <w:rsid w:val="00542D43"/>
    <w:rsid w:val="00545516"/>
    <w:rsid w:val="005463C3"/>
    <w:rsid w:val="005465A3"/>
    <w:rsid w:val="005468E3"/>
    <w:rsid w:val="00547C7C"/>
    <w:rsid w:val="005506D5"/>
    <w:rsid w:val="00550864"/>
    <w:rsid w:val="00551D6C"/>
    <w:rsid w:val="00553580"/>
    <w:rsid w:val="005550A8"/>
    <w:rsid w:val="0055571E"/>
    <w:rsid w:val="005565E8"/>
    <w:rsid w:val="00556F67"/>
    <w:rsid w:val="00557849"/>
    <w:rsid w:val="00563009"/>
    <w:rsid w:val="005635B7"/>
    <w:rsid w:val="005652E8"/>
    <w:rsid w:val="0056772E"/>
    <w:rsid w:val="00567A17"/>
    <w:rsid w:val="005735E2"/>
    <w:rsid w:val="0057384B"/>
    <w:rsid w:val="0057392C"/>
    <w:rsid w:val="0057446D"/>
    <w:rsid w:val="0057667C"/>
    <w:rsid w:val="00576BDA"/>
    <w:rsid w:val="00577DB4"/>
    <w:rsid w:val="005826DA"/>
    <w:rsid w:val="00582943"/>
    <w:rsid w:val="00582D0E"/>
    <w:rsid w:val="00582E09"/>
    <w:rsid w:val="005833F0"/>
    <w:rsid w:val="005835F4"/>
    <w:rsid w:val="00585A6D"/>
    <w:rsid w:val="00586280"/>
    <w:rsid w:val="00586584"/>
    <w:rsid w:val="005865FC"/>
    <w:rsid w:val="00586913"/>
    <w:rsid w:val="005869CE"/>
    <w:rsid w:val="00586CAF"/>
    <w:rsid w:val="005873E9"/>
    <w:rsid w:val="00587A90"/>
    <w:rsid w:val="00591180"/>
    <w:rsid w:val="00592E9F"/>
    <w:rsid w:val="00595286"/>
    <w:rsid w:val="0059722C"/>
    <w:rsid w:val="005977A6"/>
    <w:rsid w:val="00597D07"/>
    <w:rsid w:val="00597DD6"/>
    <w:rsid w:val="005A16E6"/>
    <w:rsid w:val="005A1746"/>
    <w:rsid w:val="005A30D7"/>
    <w:rsid w:val="005A3846"/>
    <w:rsid w:val="005A678F"/>
    <w:rsid w:val="005A7DE8"/>
    <w:rsid w:val="005A7E97"/>
    <w:rsid w:val="005B2CD2"/>
    <w:rsid w:val="005B632A"/>
    <w:rsid w:val="005B6788"/>
    <w:rsid w:val="005B6A58"/>
    <w:rsid w:val="005C4C2F"/>
    <w:rsid w:val="005C5A83"/>
    <w:rsid w:val="005C7112"/>
    <w:rsid w:val="005D0155"/>
    <w:rsid w:val="005D0561"/>
    <w:rsid w:val="005D0AD9"/>
    <w:rsid w:val="005D1A67"/>
    <w:rsid w:val="005D1F10"/>
    <w:rsid w:val="005D22F6"/>
    <w:rsid w:val="005D4647"/>
    <w:rsid w:val="005D4737"/>
    <w:rsid w:val="005D5EDE"/>
    <w:rsid w:val="005D6774"/>
    <w:rsid w:val="005D68AA"/>
    <w:rsid w:val="005D6BD1"/>
    <w:rsid w:val="005E060E"/>
    <w:rsid w:val="005E0C30"/>
    <w:rsid w:val="005E1DCB"/>
    <w:rsid w:val="005E2A31"/>
    <w:rsid w:val="005E33E0"/>
    <w:rsid w:val="005E3FBB"/>
    <w:rsid w:val="005E51FC"/>
    <w:rsid w:val="005E66B4"/>
    <w:rsid w:val="005E69D9"/>
    <w:rsid w:val="005E6CB1"/>
    <w:rsid w:val="005E7116"/>
    <w:rsid w:val="005E7971"/>
    <w:rsid w:val="005F17D1"/>
    <w:rsid w:val="005F23BC"/>
    <w:rsid w:val="005F2643"/>
    <w:rsid w:val="005F27F4"/>
    <w:rsid w:val="005F297C"/>
    <w:rsid w:val="005F3239"/>
    <w:rsid w:val="005F39BF"/>
    <w:rsid w:val="005F566C"/>
    <w:rsid w:val="005F5D54"/>
    <w:rsid w:val="005F5F4D"/>
    <w:rsid w:val="005F6567"/>
    <w:rsid w:val="005F676D"/>
    <w:rsid w:val="005F6A21"/>
    <w:rsid w:val="005F6D24"/>
    <w:rsid w:val="005F750F"/>
    <w:rsid w:val="005F7A8A"/>
    <w:rsid w:val="00600998"/>
    <w:rsid w:val="00600ACF"/>
    <w:rsid w:val="00601252"/>
    <w:rsid w:val="006019EB"/>
    <w:rsid w:val="00601CC1"/>
    <w:rsid w:val="006022D0"/>
    <w:rsid w:val="00605DFE"/>
    <w:rsid w:val="00607094"/>
    <w:rsid w:val="00607256"/>
    <w:rsid w:val="00607621"/>
    <w:rsid w:val="0060790C"/>
    <w:rsid w:val="0060791E"/>
    <w:rsid w:val="00611B7B"/>
    <w:rsid w:val="00611F08"/>
    <w:rsid w:val="00611FB2"/>
    <w:rsid w:val="00613BF1"/>
    <w:rsid w:val="006144B1"/>
    <w:rsid w:val="0061561D"/>
    <w:rsid w:val="00615A5C"/>
    <w:rsid w:val="00616C7F"/>
    <w:rsid w:val="006177FF"/>
    <w:rsid w:val="0062077F"/>
    <w:rsid w:val="00621BC7"/>
    <w:rsid w:val="00622033"/>
    <w:rsid w:val="0062460B"/>
    <w:rsid w:val="00630644"/>
    <w:rsid w:val="006333AB"/>
    <w:rsid w:val="006335F1"/>
    <w:rsid w:val="006336FD"/>
    <w:rsid w:val="00633B49"/>
    <w:rsid w:val="006345B6"/>
    <w:rsid w:val="006345CD"/>
    <w:rsid w:val="00635616"/>
    <w:rsid w:val="00635712"/>
    <w:rsid w:val="00635984"/>
    <w:rsid w:val="00635F41"/>
    <w:rsid w:val="006368FF"/>
    <w:rsid w:val="00636D95"/>
    <w:rsid w:val="006377D4"/>
    <w:rsid w:val="00640135"/>
    <w:rsid w:val="006402FF"/>
    <w:rsid w:val="0064107F"/>
    <w:rsid w:val="00643372"/>
    <w:rsid w:val="00643D8A"/>
    <w:rsid w:val="00645A5C"/>
    <w:rsid w:val="006460E5"/>
    <w:rsid w:val="00647A78"/>
    <w:rsid w:val="00647AB9"/>
    <w:rsid w:val="00647C4B"/>
    <w:rsid w:val="006504AF"/>
    <w:rsid w:val="00650894"/>
    <w:rsid w:val="0065112B"/>
    <w:rsid w:val="00652091"/>
    <w:rsid w:val="00652229"/>
    <w:rsid w:val="00652793"/>
    <w:rsid w:val="006528DE"/>
    <w:rsid w:val="006541A1"/>
    <w:rsid w:val="00657789"/>
    <w:rsid w:val="00660320"/>
    <w:rsid w:val="0066187E"/>
    <w:rsid w:val="00662375"/>
    <w:rsid w:val="006626CA"/>
    <w:rsid w:val="00663487"/>
    <w:rsid w:val="006701CD"/>
    <w:rsid w:val="00672382"/>
    <w:rsid w:val="006733BB"/>
    <w:rsid w:val="0067607A"/>
    <w:rsid w:val="006763B5"/>
    <w:rsid w:val="00676E80"/>
    <w:rsid w:val="006775C2"/>
    <w:rsid w:val="00681257"/>
    <w:rsid w:val="00681C3E"/>
    <w:rsid w:val="00681D37"/>
    <w:rsid w:val="00682191"/>
    <w:rsid w:val="006822E9"/>
    <w:rsid w:val="00682643"/>
    <w:rsid w:val="00682EB9"/>
    <w:rsid w:val="00682F1E"/>
    <w:rsid w:val="0068378C"/>
    <w:rsid w:val="006839D3"/>
    <w:rsid w:val="0068441A"/>
    <w:rsid w:val="0068699A"/>
    <w:rsid w:val="00690B19"/>
    <w:rsid w:val="00691675"/>
    <w:rsid w:val="006929DA"/>
    <w:rsid w:val="006938EE"/>
    <w:rsid w:val="00694195"/>
    <w:rsid w:val="0069650C"/>
    <w:rsid w:val="006A0A3C"/>
    <w:rsid w:val="006A1ED8"/>
    <w:rsid w:val="006A3D5B"/>
    <w:rsid w:val="006A442A"/>
    <w:rsid w:val="006A59E9"/>
    <w:rsid w:val="006A5AB1"/>
    <w:rsid w:val="006A6F2B"/>
    <w:rsid w:val="006A75B8"/>
    <w:rsid w:val="006A79F0"/>
    <w:rsid w:val="006B048F"/>
    <w:rsid w:val="006B359D"/>
    <w:rsid w:val="006B40A5"/>
    <w:rsid w:val="006B47EE"/>
    <w:rsid w:val="006B499F"/>
    <w:rsid w:val="006B54C6"/>
    <w:rsid w:val="006B617F"/>
    <w:rsid w:val="006B78E0"/>
    <w:rsid w:val="006C187E"/>
    <w:rsid w:val="006C1FB8"/>
    <w:rsid w:val="006C2BB0"/>
    <w:rsid w:val="006C33BE"/>
    <w:rsid w:val="006C4B3D"/>
    <w:rsid w:val="006C53D0"/>
    <w:rsid w:val="006C5B53"/>
    <w:rsid w:val="006C7E78"/>
    <w:rsid w:val="006D006A"/>
    <w:rsid w:val="006D064D"/>
    <w:rsid w:val="006D098F"/>
    <w:rsid w:val="006D127F"/>
    <w:rsid w:val="006D20E3"/>
    <w:rsid w:val="006D2218"/>
    <w:rsid w:val="006D33E1"/>
    <w:rsid w:val="006D4996"/>
    <w:rsid w:val="006D4D0C"/>
    <w:rsid w:val="006D510B"/>
    <w:rsid w:val="006D535B"/>
    <w:rsid w:val="006D54AB"/>
    <w:rsid w:val="006D58E5"/>
    <w:rsid w:val="006E1084"/>
    <w:rsid w:val="006E1097"/>
    <w:rsid w:val="006E10B2"/>
    <w:rsid w:val="006E1A70"/>
    <w:rsid w:val="006E1FA9"/>
    <w:rsid w:val="006E2D24"/>
    <w:rsid w:val="006E3006"/>
    <w:rsid w:val="006E3AFC"/>
    <w:rsid w:val="006E4458"/>
    <w:rsid w:val="006E4F02"/>
    <w:rsid w:val="006E5032"/>
    <w:rsid w:val="006E5BDA"/>
    <w:rsid w:val="006E7AC9"/>
    <w:rsid w:val="006F0FC7"/>
    <w:rsid w:val="006F39A9"/>
    <w:rsid w:val="006F3D9D"/>
    <w:rsid w:val="006F524E"/>
    <w:rsid w:val="006F5D57"/>
    <w:rsid w:val="006F643F"/>
    <w:rsid w:val="006F670F"/>
    <w:rsid w:val="006F77F3"/>
    <w:rsid w:val="0070063C"/>
    <w:rsid w:val="00700D69"/>
    <w:rsid w:val="0070243F"/>
    <w:rsid w:val="00702921"/>
    <w:rsid w:val="00703272"/>
    <w:rsid w:val="0070362C"/>
    <w:rsid w:val="00703652"/>
    <w:rsid w:val="00704020"/>
    <w:rsid w:val="00704044"/>
    <w:rsid w:val="00705B35"/>
    <w:rsid w:val="00705BBE"/>
    <w:rsid w:val="00706C6E"/>
    <w:rsid w:val="0070733C"/>
    <w:rsid w:val="007102D5"/>
    <w:rsid w:val="00710C5D"/>
    <w:rsid w:val="00712C06"/>
    <w:rsid w:val="0071348C"/>
    <w:rsid w:val="00717273"/>
    <w:rsid w:val="00720FD4"/>
    <w:rsid w:val="00721DFD"/>
    <w:rsid w:val="00721EEF"/>
    <w:rsid w:val="00722A02"/>
    <w:rsid w:val="00723A21"/>
    <w:rsid w:val="00723B91"/>
    <w:rsid w:val="00723C6D"/>
    <w:rsid w:val="00724550"/>
    <w:rsid w:val="00724AF2"/>
    <w:rsid w:val="00724E51"/>
    <w:rsid w:val="0072502E"/>
    <w:rsid w:val="00730624"/>
    <w:rsid w:val="0073096C"/>
    <w:rsid w:val="0073100D"/>
    <w:rsid w:val="00731368"/>
    <w:rsid w:val="00733429"/>
    <w:rsid w:val="00733A46"/>
    <w:rsid w:val="00733BB0"/>
    <w:rsid w:val="00735E2D"/>
    <w:rsid w:val="00736F2C"/>
    <w:rsid w:val="007371B2"/>
    <w:rsid w:val="00740F23"/>
    <w:rsid w:val="007419C8"/>
    <w:rsid w:val="00742398"/>
    <w:rsid w:val="007432A9"/>
    <w:rsid w:val="00745C0B"/>
    <w:rsid w:val="00746050"/>
    <w:rsid w:val="00746118"/>
    <w:rsid w:val="00746C7F"/>
    <w:rsid w:val="007507B5"/>
    <w:rsid w:val="0075091D"/>
    <w:rsid w:val="00750EC4"/>
    <w:rsid w:val="00751831"/>
    <w:rsid w:val="0075201B"/>
    <w:rsid w:val="00753A24"/>
    <w:rsid w:val="00754294"/>
    <w:rsid w:val="0075430D"/>
    <w:rsid w:val="00754FF6"/>
    <w:rsid w:val="0075779F"/>
    <w:rsid w:val="00757FC5"/>
    <w:rsid w:val="0076106F"/>
    <w:rsid w:val="00761D97"/>
    <w:rsid w:val="0076354B"/>
    <w:rsid w:val="00764668"/>
    <w:rsid w:val="007658F3"/>
    <w:rsid w:val="00765D0E"/>
    <w:rsid w:val="00765E3B"/>
    <w:rsid w:val="00766EA2"/>
    <w:rsid w:val="00767034"/>
    <w:rsid w:val="00772188"/>
    <w:rsid w:val="0077222A"/>
    <w:rsid w:val="00773909"/>
    <w:rsid w:val="0077433B"/>
    <w:rsid w:val="00774E1E"/>
    <w:rsid w:val="0077544E"/>
    <w:rsid w:val="00776743"/>
    <w:rsid w:val="00776D7F"/>
    <w:rsid w:val="00777F5C"/>
    <w:rsid w:val="007813D0"/>
    <w:rsid w:val="007845AC"/>
    <w:rsid w:val="00785993"/>
    <w:rsid w:val="00785A0D"/>
    <w:rsid w:val="007863BF"/>
    <w:rsid w:val="007866E2"/>
    <w:rsid w:val="00786BA3"/>
    <w:rsid w:val="00790993"/>
    <w:rsid w:val="0079202F"/>
    <w:rsid w:val="0079203E"/>
    <w:rsid w:val="007934C3"/>
    <w:rsid w:val="00793FDA"/>
    <w:rsid w:val="00794903"/>
    <w:rsid w:val="00795486"/>
    <w:rsid w:val="00795638"/>
    <w:rsid w:val="00795AF2"/>
    <w:rsid w:val="00795E4F"/>
    <w:rsid w:val="007A0287"/>
    <w:rsid w:val="007A09FC"/>
    <w:rsid w:val="007A2AAD"/>
    <w:rsid w:val="007A2FB6"/>
    <w:rsid w:val="007A3017"/>
    <w:rsid w:val="007A4432"/>
    <w:rsid w:val="007A59E9"/>
    <w:rsid w:val="007A784E"/>
    <w:rsid w:val="007A7E31"/>
    <w:rsid w:val="007B02A0"/>
    <w:rsid w:val="007B278C"/>
    <w:rsid w:val="007B2C2C"/>
    <w:rsid w:val="007B2DAD"/>
    <w:rsid w:val="007B3774"/>
    <w:rsid w:val="007B4939"/>
    <w:rsid w:val="007B499C"/>
    <w:rsid w:val="007B4D4B"/>
    <w:rsid w:val="007B58C6"/>
    <w:rsid w:val="007B76D8"/>
    <w:rsid w:val="007C0646"/>
    <w:rsid w:val="007C0ED6"/>
    <w:rsid w:val="007C1ACD"/>
    <w:rsid w:val="007C1E5E"/>
    <w:rsid w:val="007C1E9D"/>
    <w:rsid w:val="007C3AE3"/>
    <w:rsid w:val="007C6C51"/>
    <w:rsid w:val="007D0000"/>
    <w:rsid w:val="007D2A02"/>
    <w:rsid w:val="007D39AD"/>
    <w:rsid w:val="007D5EA2"/>
    <w:rsid w:val="007D6144"/>
    <w:rsid w:val="007D617A"/>
    <w:rsid w:val="007D62A4"/>
    <w:rsid w:val="007D6CE5"/>
    <w:rsid w:val="007E0917"/>
    <w:rsid w:val="007E136B"/>
    <w:rsid w:val="007E1736"/>
    <w:rsid w:val="007E25DD"/>
    <w:rsid w:val="007E2887"/>
    <w:rsid w:val="007E3318"/>
    <w:rsid w:val="007E6EA1"/>
    <w:rsid w:val="007F0F16"/>
    <w:rsid w:val="007F0F63"/>
    <w:rsid w:val="007F2B1E"/>
    <w:rsid w:val="007F4590"/>
    <w:rsid w:val="007F62B4"/>
    <w:rsid w:val="007F7C05"/>
    <w:rsid w:val="007F7DF9"/>
    <w:rsid w:val="00800FD6"/>
    <w:rsid w:val="00801517"/>
    <w:rsid w:val="008019C0"/>
    <w:rsid w:val="008028AF"/>
    <w:rsid w:val="008028DE"/>
    <w:rsid w:val="00804966"/>
    <w:rsid w:val="0080510A"/>
    <w:rsid w:val="0080596A"/>
    <w:rsid w:val="00805CBF"/>
    <w:rsid w:val="00807195"/>
    <w:rsid w:val="0081040D"/>
    <w:rsid w:val="00810AC4"/>
    <w:rsid w:val="0081218E"/>
    <w:rsid w:val="0081228B"/>
    <w:rsid w:val="00813492"/>
    <w:rsid w:val="00814DE2"/>
    <w:rsid w:val="00815599"/>
    <w:rsid w:val="00815D34"/>
    <w:rsid w:val="008177EE"/>
    <w:rsid w:val="00817895"/>
    <w:rsid w:val="00817AE8"/>
    <w:rsid w:val="00817DE8"/>
    <w:rsid w:val="008229F5"/>
    <w:rsid w:val="00824293"/>
    <w:rsid w:val="008259DE"/>
    <w:rsid w:val="0082699A"/>
    <w:rsid w:val="00827F2A"/>
    <w:rsid w:val="00832633"/>
    <w:rsid w:val="0083342C"/>
    <w:rsid w:val="00833869"/>
    <w:rsid w:val="00833CEB"/>
    <w:rsid w:val="0083662B"/>
    <w:rsid w:val="008372D2"/>
    <w:rsid w:val="008377BC"/>
    <w:rsid w:val="00841179"/>
    <w:rsid w:val="00841353"/>
    <w:rsid w:val="00844C17"/>
    <w:rsid w:val="008450BB"/>
    <w:rsid w:val="00846017"/>
    <w:rsid w:val="008464F2"/>
    <w:rsid w:val="00847726"/>
    <w:rsid w:val="00851033"/>
    <w:rsid w:val="00851A55"/>
    <w:rsid w:val="00851CB1"/>
    <w:rsid w:val="00852511"/>
    <w:rsid w:val="0085252F"/>
    <w:rsid w:val="008530DF"/>
    <w:rsid w:val="00853FD6"/>
    <w:rsid w:val="00855F22"/>
    <w:rsid w:val="00855FD0"/>
    <w:rsid w:val="008564C4"/>
    <w:rsid w:val="0085658E"/>
    <w:rsid w:val="008568E6"/>
    <w:rsid w:val="00857408"/>
    <w:rsid w:val="008578A9"/>
    <w:rsid w:val="00860338"/>
    <w:rsid w:val="0086072A"/>
    <w:rsid w:val="0086088F"/>
    <w:rsid w:val="008614F1"/>
    <w:rsid w:val="008639B3"/>
    <w:rsid w:val="00863C1A"/>
    <w:rsid w:val="00863F9D"/>
    <w:rsid w:val="0086470F"/>
    <w:rsid w:val="00865882"/>
    <w:rsid w:val="00866CDD"/>
    <w:rsid w:val="0087082E"/>
    <w:rsid w:val="008712FE"/>
    <w:rsid w:val="0087142D"/>
    <w:rsid w:val="0087235F"/>
    <w:rsid w:val="00872928"/>
    <w:rsid w:val="00872DA6"/>
    <w:rsid w:val="00873416"/>
    <w:rsid w:val="0087393A"/>
    <w:rsid w:val="00873956"/>
    <w:rsid w:val="0087538C"/>
    <w:rsid w:val="00875495"/>
    <w:rsid w:val="00875A71"/>
    <w:rsid w:val="00875CB0"/>
    <w:rsid w:val="008762E7"/>
    <w:rsid w:val="008770CC"/>
    <w:rsid w:val="00877800"/>
    <w:rsid w:val="00877C32"/>
    <w:rsid w:val="00880580"/>
    <w:rsid w:val="0088094B"/>
    <w:rsid w:val="00880E72"/>
    <w:rsid w:val="0088176E"/>
    <w:rsid w:val="008825EE"/>
    <w:rsid w:val="00882DE4"/>
    <w:rsid w:val="0088313E"/>
    <w:rsid w:val="008849B2"/>
    <w:rsid w:val="0088596E"/>
    <w:rsid w:val="00885D26"/>
    <w:rsid w:val="00886C54"/>
    <w:rsid w:val="008870ED"/>
    <w:rsid w:val="008877FC"/>
    <w:rsid w:val="00892132"/>
    <w:rsid w:val="008947FF"/>
    <w:rsid w:val="0089796A"/>
    <w:rsid w:val="0089799B"/>
    <w:rsid w:val="008979FA"/>
    <w:rsid w:val="008A2375"/>
    <w:rsid w:val="008A54B6"/>
    <w:rsid w:val="008A7DEB"/>
    <w:rsid w:val="008B00CA"/>
    <w:rsid w:val="008B1B65"/>
    <w:rsid w:val="008B2185"/>
    <w:rsid w:val="008B3182"/>
    <w:rsid w:val="008B3557"/>
    <w:rsid w:val="008B39E0"/>
    <w:rsid w:val="008B4302"/>
    <w:rsid w:val="008B605A"/>
    <w:rsid w:val="008B6086"/>
    <w:rsid w:val="008B760D"/>
    <w:rsid w:val="008C093B"/>
    <w:rsid w:val="008C0E76"/>
    <w:rsid w:val="008C2665"/>
    <w:rsid w:val="008C287D"/>
    <w:rsid w:val="008C6041"/>
    <w:rsid w:val="008C74E3"/>
    <w:rsid w:val="008D0936"/>
    <w:rsid w:val="008D403B"/>
    <w:rsid w:val="008D4707"/>
    <w:rsid w:val="008D6DD7"/>
    <w:rsid w:val="008D764F"/>
    <w:rsid w:val="008D76C5"/>
    <w:rsid w:val="008E0A04"/>
    <w:rsid w:val="008E0AFA"/>
    <w:rsid w:val="008E28BD"/>
    <w:rsid w:val="008E2C6D"/>
    <w:rsid w:val="008E4F56"/>
    <w:rsid w:val="008E6661"/>
    <w:rsid w:val="008E75D3"/>
    <w:rsid w:val="008F02E9"/>
    <w:rsid w:val="008F076A"/>
    <w:rsid w:val="008F0CE4"/>
    <w:rsid w:val="008F125E"/>
    <w:rsid w:val="008F1CC5"/>
    <w:rsid w:val="008F205D"/>
    <w:rsid w:val="008F2444"/>
    <w:rsid w:val="008F2B54"/>
    <w:rsid w:val="008F2CC5"/>
    <w:rsid w:val="008F4C1E"/>
    <w:rsid w:val="008F4D2F"/>
    <w:rsid w:val="008F510A"/>
    <w:rsid w:val="008F55A2"/>
    <w:rsid w:val="00900235"/>
    <w:rsid w:val="00900D3C"/>
    <w:rsid w:val="00904FAA"/>
    <w:rsid w:val="00906292"/>
    <w:rsid w:val="0091352F"/>
    <w:rsid w:val="00914B5B"/>
    <w:rsid w:val="009152B8"/>
    <w:rsid w:val="00917162"/>
    <w:rsid w:val="009172B9"/>
    <w:rsid w:val="009178AA"/>
    <w:rsid w:val="00920430"/>
    <w:rsid w:val="00920544"/>
    <w:rsid w:val="00921C0C"/>
    <w:rsid w:val="00923001"/>
    <w:rsid w:val="0092358D"/>
    <w:rsid w:val="009238BF"/>
    <w:rsid w:val="009251CC"/>
    <w:rsid w:val="0092680D"/>
    <w:rsid w:val="0092714E"/>
    <w:rsid w:val="00927661"/>
    <w:rsid w:val="00931E24"/>
    <w:rsid w:val="009324F0"/>
    <w:rsid w:val="00933130"/>
    <w:rsid w:val="0093478F"/>
    <w:rsid w:val="00936826"/>
    <w:rsid w:val="00940B3D"/>
    <w:rsid w:val="00942002"/>
    <w:rsid w:val="00942359"/>
    <w:rsid w:val="0094623A"/>
    <w:rsid w:val="00946FC5"/>
    <w:rsid w:val="00947885"/>
    <w:rsid w:val="009504AB"/>
    <w:rsid w:val="00951212"/>
    <w:rsid w:val="00951818"/>
    <w:rsid w:val="00952168"/>
    <w:rsid w:val="009527FE"/>
    <w:rsid w:val="009529B2"/>
    <w:rsid w:val="009535A6"/>
    <w:rsid w:val="009538D0"/>
    <w:rsid w:val="0095421F"/>
    <w:rsid w:val="009555CA"/>
    <w:rsid w:val="00955D69"/>
    <w:rsid w:val="00957D2C"/>
    <w:rsid w:val="00960319"/>
    <w:rsid w:val="00960539"/>
    <w:rsid w:val="009605B1"/>
    <w:rsid w:val="00960CBC"/>
    <w:rsid w:val="00962591"/>
    <w:rsid w:val="00962AD4"/>
    <w:rsid w:val="00963A06"/>
    <w:rsid w:val="00965192"/>
    <w:rsid w:val="00967DD4"/>
    <w:rsid w:val="009700B1"/>
    <w:rsid w:val="00970ECF"/>
    <w:rsid w:val="00971261"/>
    <w:rsid w:val="00971FD4"/>
    <w:rsid w:val="009722CB"/>
    <w:rsid w:val="009739A0"/>
    <w:rsid w:val="00974EE4"/>
    <w:rsid w:val="00974F84"/>
    <w:rsid w:val="00975D5B"/>
    <w:rsid w:val="00976216"/>
    <w:rsid w:val="009767C7"/>
    <w:rsid w:val="00977D30"/>
    <w:rsid w:val="00980E69"/>
    <w:rsid w:val="0098334C"/>
    <w:rsid w:val="00984643"/>
    <w:rsid w:val="0098576C"/>
    <w:rsid w:val="0098579A"/>
    <w:rsid w:val="00991475"/>
    <w:rsid w:val="009918DD"/>
    <w:rsid w:val="0099195A"/>
    <w:rsid w:val="00991BD2"/>
    <w:rsid w:val="00992407"/>
    <w:rsid w:val="00992A11"/>
    <w:rsid w:val="00994681"/>
    <w:rsid w:val="0099486A"/>
    <w:rsid w:val="00994EFB"/>
    <w:rsid w:val="009954D8"/>
    <w:rsid w:val="00997239"/>
    <w:rsid w:val="009A0B33"/>
    <w:rsid w:val="009A0E26"/>
    <w:rsid w:val="009A16EC"/>
    <w:rsid w:val="009A22C2"/>
    <w:rsid w:val="009A743E"/>
    <w:rsid w:val="009A79B8"/>
    <w:rsid w:val="009A7CF6"/>
    <w:rsid w:val="009A7F82"/>
    <w:rsid w:val="009B10F6"/>
    <w:rsid w:val="009B11ED"/>
    <w:rsid w:val="009B1B55"/>
    <w:rsid w:val="009B29B7"/>
    <w:rsid w:val="009B2D03"/>
    <w:rsid w:val="009B3199"/>
    <w:rsid w:val="009B3B37"/>
    <w:rsid w:val="009B63F4"/>
    <w:rsid w:val="009B7D1F"/>
    <w:rsid w:val="009C088E"/>
    <w:rsid w:val="009C17DC"/>
    <w:rsid w:val="009C292D"/>
    <w:rsid w:val="009C37AB"/>
    <w:rsid w:val="009C4C7A"/>
    <w:rsid w:val="009C4D35"/>
    <w:rsid w:val="009C5E51"/>
    <w:rsid w:val="009C6158"/>
    <w:rsid w:val="009C75A2"/>
    <w:rsid w:val="009C7B68"/>
    <w:rsid w:val="009D1522"/>
    <w:rsid w:val="009D51F0"/>
    <w:rsid w:val="009D550A"/>
    <w:rsid w:val="009D61DC"/>
    <w:rsid w:val="009D7252"/>
    <w:rsid w:val="009D7652"/>
    <w:rsid w:val="009E1FF6"/>
    <w:rsid w:val="009E3CAF"/>
    <w:rsid w:val="009E3E5E"/>
    <w:rsid w:val="009E3F48"/>
    <w:rsid w:val="009E53A5"/>
    <w:rsid w:val="009E5EB4"/>
    <w:rsid w:val="009E7B37"/>
    <w:rsid w:val="009E7BCC"/>
    <w:rsid w:val="009F4451"/>
    <w:rsid w:val="009F563C"/>
    <w:rsid w:val="009F610E"/>
    <w:rsid w:val="00A00DA9"/>
    <w:rsid w:val="00A00F7E"/>
    <w:rsid w:val="00A044D6"/>
    <w:rsid w:val="00A04ADB"/>
    <w:rsid w:val="00A04D8F"/>
    <w:rsid w:val="00A04F89"/>
    <w:rsid w:val="00A05F11"/>
    <w:rsid w:val="00A11E0F"/>
    <w:rsid w:val="00A12378"/>
    <w:rsid w:val="00A141E9"/>
    <w:rsid w:val="00A148CB"/>
    <w:rsid w:val="00A15B6B"/>
    <w:rsid w:val="00A15D78"/>
    <w:rsid w:val="00A15EBE"/>
    <w:rsid w:val="00A17F5B"/>
    <w:rsid w:val="00A216E5"/>
    <w:rsid w:val="00A24617"/>
    <w:rsid w:val="00A25165"/>
    <w:rsid w:val="00A25F5B"/>
    <w:rsid w:val="00A26744"/>
    <w:rsid w:val="00A26CB6"/>
    <w:rsid w:val="00A27073"/>
    <w:rsid w:val="00A2751B"/>
    <w:rsid w:val="00A30A00"/>
    <w:rsid w:val="00A316D9"/>
    <w:rsid w:val="00A32F82"/>
    <w:rsid w:val="00A32F8B"/>
    <w:rsid w:val="00A34F9F"/>
    <w:rsid w:val="00A36481"/>
    <w:rsid w:val="00A36675"/>
    <w:rsid w:val="00A3756F"/>
    <w:rsid w:val="00A37BF5"/>
    <w:rsid w:val="00A42D6F"/>
    <w:rsid w:val="00A43870"/>
    <w:rsid w:val="00A4474B"/>
    <w:rsid w:val="00A45A62"/>
    <w:rsid w:val="00A462DC"/>
    <w:rsid w:val="00A4657C"/>
    <w:rsid w:val="00A51DB8"/>
    <w:rsid w:val="00A52E0B"/>
    <w:rsid w:val="00A52FA1"/>
    <w:rsid w:val="00A540B0"/>
    <w:rsid w:val="00A54AC5"/>
    <w:rsid w:val="00A54C2A"/>
    <w:rsid w:val="00A54D12"/>
    <w:rsid w:val="00A55DC3"/>
    <w:rsid w:val="00A56D41"/>
    <w:rsid w:val="00A56DEC"/>
    <w:rsid w:val="00A60529"/>
    <w:rsid w:val="00A60899"/>
    <w:rsid w:val="00A608D3"/>
    <w:rsid w:val="00A60F91"/>
    <w:rsid w:val="00A61353"/>
    <w:rsid w:val="00A61481"/>
    <w:rsid w:val="00A616F1"/>
    <w:rsid w:val="00A61A48"/>
    <w:rsid w:val="00A629D6"/>
    <w:rsid w:val="00A63035"/>
    <w:rsid w:val="00A637C9"/>
    <w:rsid w:val="00A66DB1"/>
    <w:rsid w:val="00A67A92"/>
    <w:rsid w:val="00A70DC6"/>
    <w:rsid w:val="00A7315C"/>
    <w:rsid w:val="00A7420B"/>
    <w:rsid w:val="00A743B1"/>
    <w:rsid w:val="00A74FDC"/>
    <w:rsid w:val="00A77192"/>
    <w:rsid w:val="00A8089F"/>
    <w:rsid w:val="00A811D8"/>
    <w:rsid w:val="00A81C0A"/>
    <w:rsid w:val="00A820BE"/>
    <w:rsid w:val="00A842D5"/>
    <w:rsid w:val="00A87870"/>
    <w:rsid w:val="00A903F3"/>
    <w:rsid w:val="00A90F18"/>
    <w:rsid w:val="00A90FFB"/>
    <w:rsid w:val="00A9149D"/>
    <w:rsid w:val="00A91A70"/>
    <w:rsid w:val="00A92FCD"/>
    <w:rsid w:val="00A9302F"/>
    <w:rsid w:val="00A957F6"/>
    <w:rsid w:val="00A959CF"/>
    <w:rsid w:val="00A9635E"/>
    <w:rsid w:val="00A97316"/>
    <w:rsid w:val="00A97BD8"/>
    <w:rsid w:val="00AA010B"/>
    <w:rsid w:val="00AA0D54"/>
    <w:rsid w:val="00AA1B85"/>
    <w:rsid w:val="00AA3290"/>
    <w:rsid w:val="00AA46F0"/>
    <w:rsid w:val="00AA6481"/>
    <w:rsid w:val="00AA7270"/>
    <w:rsid w:val="00AB08B8"/>
    <w:rsid w:val="00AB0C08"/>
    <w:rsid w:val="00AB12AC"/>
    <w:rsid w:val="00AB1CB6"/>
    <w:rsid w:val="00AB1D9A"/>
    <w:rsid w:val="00AB4A1F"/>
    <w:rsid w:val="00AB5C61"/>
    <w:rsid w:val="00AB7EAC"/>
    <w:rsid w:val="00AC02F8"/>
    <w:rsid w:val="00AC22DB"/>
    <w:rsid w:val="00AC304D"/>
    <w:rsid w:val="00AC3204"/>
    <w:rsid w:val="00AC3540"/>
    <w:rsid w:val="00AC3D15"/>
    <w:rsid w:val="00AC5055"/>
    <w:rsid w:val="00AC5315"/>
    <w:rsid w:val="00AC7623"/>
    <w:rsid w:val="00AC7D60"/>
    <w:rsid w:val="00AD0A8D"/>
    <w:rsid w:val="00AD0C22"/>
    <w:rsid w:val="00AD1AD7"/>
    <w:rsid w:val="00AD1AE2"/>
    <w:rsid w:val="00AD3290"/>
    <w:rsid w:val="00AD442C"/>
    <w:rsid w:val="00AD44FE"/>
    <w:rsid w:val="00AD5A37"/>
    <w:rsid w:val="00AD6B50"/>
    <w:rsid w:val="00AE05A4"/>
    <w:rsid w:val="00AE177E"/>
    <w:rsid w:val="00AE25FC"/>
    <w:rsid w:val="00AE380A"/>
    <w:rsid w:val="00AE400C"/>
    <w:rsid w:val="00AE49F1"/>
    <w:rsid w:val="00AE4A1C"/>
    <w:rsid w:val="00AE4B7A"/>
    <w:rsid w:val="00AE5532"/>
    <w:rsid w:val="00AE58C4"/>
    <w:rsid w:val="00AE74D8"/>
    <w:rsid w:val="00AF0B6F"/>
    <w:rsid w:val="00AF0F75"/>
    <w:rsid w:val="00AF1D69"/>
    <w:rsid w:val="00AF23A8"/>
    <w:rsid w:val="00AF30D0"/>
    <w:rsid w:val="00AF41FA"/>
    <w:rsid w:val="00AF4720"/>
    <w:rsid w:val="00AF4796"/>
    <w:rsid w:val="00AF71EB"/>
    <w:rsid w:val="00AF73E4"/>
    <w:rsid w:val="00B00988"/>
    <w:rsid w:val="00B01405"/>
    <w:rsid w:val="00B027BA"/>
    <w:rsid w:val="00B052E8"/>
    <w:rsid w:val="00B05CCA"/>
    <w:rsid w:val="00B05ECC"/>
    <w:rsid w:val="00B06DC3"/>
    <w:rsid w:val="00B07F73"/>
    <w:rsid w:val="00B100C9"/>
    <w:rsid w:val="00B11099"/>
    <w:rsid w:val="00B1114C"/>
    <w:rsid w:val="00B116B7"/>
    <w:rsid w:val="00B14271"/>
    <w:rsid w:val="00B14B30"/>
    <w:rsid w:val="00B16270"/>
    <w:rsid w:val="00B20182"/>
    <w:rsid w:val="00B20E4B"/>
    <w:rsid w:val="00B22578"/>
    <w:rsid w:val="00B2292F"/>
    <w:rsid w:val="00B23C16"/>
    <w:rsid w:val="00B23C52"/>
    <w:rsid w:val="00B249DB"/>
    <w:rsid w:val="00B24E86"/>
    <w:rsid w:val="00B259E1"/>
    <w:rsid w:val="00B25E27"/>
    <w:rsid w:val="00B2685D"/>
    <w:rsid w:val="00B26D1E"/>
    <w:rsid w:val="00B26EE8"/>
    <w:rsid w:val="00B30351"/>
    <w:rsid w:val="00B312F1"/>
    <w:rsid w:val="00B33837"/>
    <w:rsid w:val="00B33C2A"/>
    <w:rsid w:val="00B349F7"/>
    <w:rsid w:val="00B34A14"/>
    <w:rsid w:val="00B35967"/>
    <w:rsid w:val="00B35CBA"/>
    <w:rsid w:val="00B363D9"/>
    <w:rsid w:val="00B416D1"/>
    <w:rsid w:val="00B422EC"/>
    <w:rsid w:val="00B44875"/>
    <w:rsid w:val="00B44C07"/>
    <w:rsid w:val="00B46320"/>
    <w:rsid w:val="00B4657A"/>
    <w:rsid w:val="00B47F0A"/>
    <w:rsid w:val="00B50B6B"/>
    <w:rsid w:val="00B51D75"/>
    <w:rsid w:val="00B53016"/>
    <w:rsid w:val="00B54329"/>
    <w:rsid w:val="00B54885"/>
    <w:rsid w:val="00B54BFF"/>
    <w:rsid w:val="00B554C9"/>
    <w:rsid w:val="00B56AD9"/>
    <w:rsid w:val="00B5714F"/>
    <w:rsid w:val="00B57158"/>
    <w:rsid w:val="00B5778D"/>
    <w:rsid w:val="00B60827"/>
    <w:rsid w:val="00B61117"/>
    <w:rsid w:val="00B6121F"/>
    <w:rsid w:val="00B614C0"/>
    <w:rsid w:val="00B61EBB"/>
    <w:rsid w:val="00B634AB"/>
    <w:rsid w:val="00B63624"/>
    <w:rsid w:val="00B671E3"/>
    <w:rsid w:val="00B7037B"/>
    <w:rsid w:val="00B719F6"/>
    <w:rsid w:val="00B726D4"/>
    <w:rsid w:val="00B72969"/>
    <w:rsid w:val="00B73A2D"/>
    <w:rsid w:val="00B758FD"/>
    <w:rsid w:val="00B76807"/>
    <w:rsid w:val="00B769E6"/>
    <w:rsid w:val="00B77D24"/>
    <w:rsid w:val="00B8214F"/>
    <w:rsid w:val="00B82B43"/>
    <w:rsid w:val="00B82B48"/>
    <w:rsid w:val="00B84956"/>
    <w:rsid w:val="00B84F2C"/>
    <w:rsid w:val="00B85133"/>
    <w:rsid w:val="00B8643A"/>
    <w:rsid w:val="00B86A4F"/>
    <w:rsid w:val="00B873D9"/>
    <w:rsid w:val="00B91786"/>
    <w:rsid w:val="00B93035"/>
    <w:rsid w:val="00B93D17"/>
    <w:rsid w:val="00B940EB"/>
    <w:rsid w:val="00B9431C"/>
    <w:rsid w:val="00B95798"/>
    <w:rsid w:val="00B958E8"/>
    <w:rsid w:val="00B97E4A"/>
    <w:rsid w:val="00BA09B2"/>
    <w:rsid w:val="00BA0F35"/>
    <w:rsid w:val="00BA397D"/>
    <w:rsid w:val="00BA465D"/>
    <w:rsid w:val="00BA52C0"/>
    <w:rsid w:val="00BA5B46"/>
    <w:rsid w:val="00BA621C"/>
    <w:rsid w:val="00BA63D4"/>
    <w:rsid w:val="00BA6BC0"/>
    <w:rsid w:val="00BB2D73"/>
    <w:rsid w:val="00BB400D"/>
    <w:rsid w:val="00BB45BA"/>
    <w:rsid w:val="00BB48B2"/>
    <w:rsid w:val="00BB4A3A"/>
    <w:rsid w:val="00BB5D0B"/>
    <w:rsid w:val="00BB629C"/>
    <w:rsid w:val="00BC0995"/>
    <w:rsid w:val="00BC1761"/>
    <w:rsid w:val="00BC19ED"/>
    <w:rsid w:val="00BC25A8"/>
    <w:rsid w:val="00BC513A"/>
    <w:rsid w:val="00BC585F"/>
    <w:rsid w:val="00BC6C56"/>
    <w:rsid w:val="00BC6DE2"/>
    <w:rsid w:val="00BC6E62"/>
    <w:rsid w:val="00BC782A"/>
    <w:rsid w:val="00BD010D"/>
    <w:rsid w:val="00BD013A"/>
    <w:rsid w:val="00BD2510"/>
    <w:rsid w:val="00BD3A53"/>
    <w:rsid w:val="00BD4640"/>
    <w:rsid w:val="00BD4ECD"/>
    <w:rsid w:val="00BD5A19"/>
    <w:rsid w:val="00BD6539"/>
    <w:rsid w:val="00BD656A"/>
    <w:rsid w:val="00BD6D1B"/>
    <w:rsid w:val="00BE2403"/>
    <w:rsid w:val="00BE2D0A"/>
    <w:rsid w:val="00BE369E"/>
    <w:rsid w:val="00BE47D4"/>
    <w:rsid w:val="00BE536C"/>
    <w:rsid w:val="00BE66DB"/>
    <w:rsid w:val="00BE793A"/>
    <w:rsid w:val="00BE7A0B"/>
    <w:rsid w:val="00BF114D"/>
    <w:rsid w:val="00BF1B93"/>
    <w:rsid w:val="00BF2B82"/>
    <w:rsid w:val="00BF2CEB"/>
    <w:rsid w:val="00BF432A"/>
    <w:rsid w:val="00BF66DA"/>
    <w:rsid w:val="00BF6E82"/>
    <w:rsid w:val="00C016CC"/>
    <w:rsid w:val="00C0361D"/>
    <w:rsid w:val="00C041A4"/>
    <w:rsid w:val="00C060C7"/>
    <w:rsid w:val="00C06DCC"/>
    <w:rsid w:val="00C07F92"/>
    <w:rsid w:val="00C10EA4"/>
    <w:rsid w:val="00C111D8"/>
    <w:rsid w:val="00C11D25"/>
    <w:rsid w:val="00C13217"/>
    <w:rsid w:val="00C15BEC"/>
    <w:rsid w:val="00C15DB5"/>
    <w:rsid w:val="00C208E2"/>
    <w:rsid w:val="00C213CF"/>
    <w:rsid w:val="00C21874"/>
    <w:rsid w:val="00C21897"/>
    <w:rsid w:val="00C2288E"/>
    <w:rsid w:val="00C22B54"/>
    <w:rsid w:val="00C22CEA"/>
    <w:rsid w:val="00C22F1F"/>
    <w:rsid w:val="00C24279"/>
    <w:rsid w:val="00C249E3"/>
    <w:rsid w:val="00C24C17"/>
    <w:rsid w:val="00C27C4A"/>
    <w:rsid w:val="00C31595"/>
    <w:rsid w:val="00C31B25"/>
    <w:rsid w:val="00C3309D"/>
    <w:rsid w:val="00C3411D"/>
    <w:rsid w:val="00C34357"/>
    <w:rsid w:val="00C34829"/>
    <w:rsid w:val="00C363B8"/>
    <w:rsid w:val="00C3758F"/>
    <w:rsid w:val="00C40B88"/>
    <w:rsid w:val="00C43DDD"/>
    <w:rsid w:val="00C44489"/>
    <w:rsid w:val="00C44FC2"/>
    <w:rsid w:val="00C47D87"/>
    <w:rsid w:val="00C47FCD"/>
    <w:rsid w:val="00C50FA6"/>
    <w:rsid w:val="00C51DE1"/>
    <w:rsid w:val="00C53430"/>
    <w:rsid w:val="00C5376E"/>
    <w:rsid w:val="00C549AA"/>
    <w:rsid w:val="00C554C1"/>
    <w:rsid w:val="00C558F2"/>
    <w:rsid w:val="00C55AEE"/>
    <w:rsid w:val="00C5701B"/>
    <w:rsid w:val="00C6069A"/>
    <w:rsid w:val="00C61501"/>
    <w:rsid w:val="00C61BDC"/>
    <w:rsid w:val="00C64D40"/>
    <w:rsid w:val="00C65957"/>
    <w:rsid w:val="00C66065"/>
    <w:rsid w:val="00C66218"/>
    <w:rsid w:val="00C677C9"/>
    <w:rsid w:val="00C70B76"/>
    <w:rsid w:val="00C70DBC"/>
    <w:rsid w:val="00C70FB7"/>
    <w:rsid w:val="00C71E80"/>
    <w:rsid w:val="00C75DCE"/>
    <w:rsid w:val="00C76008"/>
    <w:rsid w:val="00C7750A"/>
    <w:rsid w:val="00C808A6"/>
    <w:rsid w:val="00C827EE"/>
    <w:rsid w:val="00C83BA4"/>
    <w:rsid w:val="00C84AC6"/>
    <w:rsid w:val="00C855DB"/>
    <w:rsid w:val="00C855F3"/>
    <w:rsid w:val="00C86270"/>
    <w:rsid w:val="00C87338"/>
    <w:rsid w:val="00C90C20"/>
    <w:rsid w:val="00C9109C"/>
    <w:rsid w:val="00C9362C"/>
    <w:rsid w:val="00C948CF"/>
    <w:rsid w:val="00C95322"/>
    <w:rsid w:val="00C95798"/>
    <w:rsid w:val="00C95A74"/>
    <w:rsid w:val="00C962BE"/>
    <w:rsid w:val="00C96FD6"/>
    <w:rsid w:val="00C97091"/>
    <w:rsid w:val="00C97260"/>
    <w:rsid w:val="00C97391"/>
    <w:rsid w:val="00CA14A5"/>
    <w:rsid w:val="00CA14DA"/>
    <w:rsid w:val="00CA1AB8"/>
    <w:rsid w:val="00CA2001"/>
    <w:rsid w:val="00CA2B10"/>
    <w:rsid w:val="00CA3F11"/>
    <w:rsid w:val="00CA5256"/>
    <w:rsid w:val="00CA5564"/>
    <w:rsid w:val="00CB078E"/>
    <w:rsid w:val="00CB3782"/>
    <w:rsid w:val="00CB4D20"/>
    <w:rsid w:val="00CB5B6C"/>
    <w:rsid w:val="00CB60EF"/>
    <w:rsid w:val="00CB74E3"/>
    <w:rsid w:val="00CC052E"/>
    <w:rsid w:val="00CC06E5"/>
    <w:rsid w:val="00CC0B14"/>
    <w:rsid w:val="00CC5B9C"/>
    <w:rsid w:val="00CC7C09"/>
    <w:rsid w:val="00CD02DF"/>
    <w:rsid w:val="00CD10A5"/>
    <w:rsid w:val="00CD16BE"/>
    <w:rsid w:val="00CD179F"/>
    <w:rsid w:val="00CD1F32"/>
    <w:rsid w:val="00CD223C"/>
    <w:rsid w:val="00CD2268"/>
    <w:rsid w:val="00CD4616"/>
    <w:rsid w:val="00CD50DC"/>
    <w:rsid w:val="00CD56AF"/>
    <w:rsid w:val="00CD5FFA"/>
    <w:rsid w:val="00CD608B"/>
    <w:rsid w:val="00CD61BB"/>
    <w:rsid w:val="00CE32F0"/>
    <w:rsid w:val="00CE33D5"/>
    <w:rsid w:val="00CE4712"/>
    <w:rsid w:val="00CE6073"/>
    <w:rsid w:val="00CE761C"/>
    <w:rsid w:val="00CF2B65"/>
    <w:rsid w:val="00CF5D37"/>
    <w:rsid w:val="00CF6353"/>
    <w:rsid w:val="00CF6F33"/>
    <w:rsid w:val="00D02248"/>
    <w:rsid w:val="00D04429"/>
    <w:rsid w:val="00D04B47"/>
    <w:rsid w:val="00D04E37"/>
    <w:rsid w:val="00D063B8"/>
    <w:rsid w:val="00D06825"/>
    <w:rsid w:val="00D0702E"/>
    <w:rsid w:val="00D07467"/>
    <w:rsid w:val="00D076E6"/>
    <w:rsid w:val="00D1044F"/>
    <w:rsid w:val="00D106BD"/>
    <w:rsid w:val="00D14E64"/>
    <w:rsid w:val="00D17185"/>
    <w:rsid w:val="00D17852"/>
    <w:rsid w:val="00D17D02"/>
    <w:rsid w:val="00D17E3B"/>
    <w:rsid w:val="00D22A9A"/>
    <w:rsid w:val="00D2306F"/>
    <w:rsid w:val="00D23C09"/>
    <w:rsid w:val="00D23CED"/>
    <w:rsid w:val="00D241D1"/>
    <w:rsid w:val="00D24BD2"/>
    <w:rsid w:val="00D24F2C"/>
    <w:rsid w:val="00D254F7"/>
    <w:rsid w:val="00D2573D"/>
    <w:rsid w:val="00D260A2"/>
    <w:rsid w:val="00D27EC0"/>
    <w:rsid w:val="00D30CC6"/>
    <w:rsid w:val="00D30DA4"/>
    <w:rsid w:val="00D31722"/>
    <w:rsid w:val="00D3260C"/>
    <w:rsid w:val="00D3391A"/>
    <w:rsid w:val="00D33DB5"/>
    <w:rsid w:val="00D34995"/>
    <w:rsid w:val="00D35790"/>
    <w:rsid w:val="00D359FC"/>
    <w:rsid w:val="00D41276"/>
    <w:rsid w:val="00D41971"/>
    <w:rsid w:val="00D442D5"/>
    <w:rsid w:val="00D45043"/>
    <w:rsid w:val="00D46CCF"/>
    <w:rsid w:val="00D51576"/>
    <w:rsid w:val="00D519AF"/>
    <w:rsid w:val="00D532A9"/>
    <w:rsid w:val="00D5437A"/>
    <w:rsid w:val="00D5611E"/>
    <w:rsid w:val="00D5653B"/>
    <w:rsid w:val="00D56C30"/>
    <w:rsid w:val="00D5726D"/>
    <w:rsid w:val="00D572AC"/>
    <w:rsid w:val="00D6071F"/>
    <w:rsid w:val="00D6087E"/>
    <w:rsid w:val="00D61D6E"/>
    <w:rsid w:val="00D62580"/>
    <w:rsid w:val="00D62EF1"/>
    <w:rsid w:val="00D6309D"/>
    <w:rsid w:val="00D644CA"/>
    <w:rsid w:val="00D64961"/>
    <w:rsid w:val="00D64EA0"/>
    <w:rsid w:val="00D66FC2"/>
    <w:rsid w:val="00D7044E"/>
    <w:rsid w:val="00D704A8"/>
    <w:rsid w:val="00D76C7E"/>
    <w:rsid w:val="00D771DE"/>
    <w:rsid w:val="00D7776D"/>
    <w:rsid w:val="00D77ADC"/>
    <w:rsid w:val="00D81AEF"/>
    <w:rsid w:val="00D82A42"/>
    <w:rsid w:val="00D834F1"/>
    <w:rsid w:val="00D83609"/>
    <w:rsid w:val="00D83AA6"/>
    <w:rsid w:val="00D85C0D"/>
    <w:rsid w:val="00D866CB"/>
    <w:rsid w:val="00D86909"/>
    <w:rsid w:val="00D87A9A"/>
    <w:rsid w:val="00D87E39"/>
    <w:rsid w:val="00D90625"/>
    <w:rsid w:val="00D909F8"/>
    <w:rsid w:val="00D9152C"/>
    <w:rsid w:val="00D92179"/>
    <w:rsid w:val="00D922C6"/>
    <w:rsid w:val="00D9293F"/>
    <w:rsid w:val="00D92C6A"/>
    <w:rsid w:val="00D92DE7"/>
    <w:rsid w:val="00D93598"/>
    <w:rsid w:val="00D93B82"/>
    <w:rsid w:val="00D93FDD"/>
    <w:rsid w:val="00D94253"/>
    <w:rsid w:val="00D942F8"/>
    <w:rsid w:val="00D96FA9"/>
    <w:rsid w:val="00D97A5B"/>
    <w:rsid w:val="00D97AF7"/>
    <w:rsid w:val="00D97D9B"/>
    <w:rsid w:val="00DA1E18"/>
    <w:rsid w:val="00DA2009"/>
    <w:rsid w:val="00DA3F5E"/>
    <w:rsid w:val="00DA585A"/>
    <w:rsid w:val="00DA6DF7"/>
    <w:rsid w:val="00DA7741"/>
    <w:rsid w:val="00DA7769"/>
    <w:rsid w:val="00DB01C3"/>
    <w:rsid w:val="00DB05B1"/>
    <w:rsid w:val="00DB2594"/>
    <w:rsid w:val="00DB2823"/>
    <w:rsid w:val="00DB2D74"/>
    <w:rsid w:val="00DB3786"/>
    <w:rsid w:val="00DB59E8"/>
    <w:rsid w:val="00DB5A79"/>
    <w:rsid w:val="00DB638B"/>
    <w:rsid w:val="00DC2465"/>
    <w:rsid w:val="00DC34C4"/>
    <w:rsid w:val="00DC4BCA"/>
    <w:rsid w:val="00DC5E2C"/>
    <w:rsid w:val="00DC7D48"/>
    <w:rsid w:val="00DD0253"/>
    <w:rsid w:val="00DD145A"/>
    <w:rsid w:val="00DD512E"/>
    <w:rsid w:val="00DD5EC8"/>
    <w:rsid w:val="00DD5FF5"/>
    <w:rsid w:val="00DD61D4"/>
    <w:rsid w:val="00DD7BEC"/>
    <w:rsid w:val="00DE083E"/>
    <w:rsid w:val="00DE0C22"/>
    <w:rsid w:val="00DE1177"/>
    <w:rsid w:val="00DE2CEA"/>
    <w:rsid w:val="00DE3CFE"/>
    <w:rsid w:val="00DE4DB3"/>
    <w:rsid w:val="00DE4F86"/>
    <w:rsid w:val="00DE5576"/>
    <w:rsid w:val="00DE567C"/>
    <w:rsid w:val="00DE6154"/>
    <w:rsid w:val="00DE634D"/>
    <w:rsid w:val="00DE6A3C"/>
    <w:rsid w:val="00DE74F4"/>
    <w:rsid w:val="00DE7C8B"/>
    <w:rsid w:val="00DE7F97"/>
    <w:rsid w:val="00DF0AAF"/>
    <w:rsid w:val="00DF1010"/>
    <w:rsid w:val="00DF2244"/>
    <w:rsid w:val="00DF334D"/>
    <w:rsid w:val="00DF53D9"/>
    <w:rsid w:val="00DF5AEA"/>
    <w:rsid w:val="00DF5D49"/>
    <w:rsid w:val="00DF63F6"/>
    <w:rsid w:val="00DF7992"/>
    <w:rsid w:val="00DF7BD0"/>
    <w:rsid w:val="00E00C8E"/>
    <w:rsid w:val="00E0219D"/>
    <w:rsid w:val="00E0276A"/>
    <w:rsid w:val="00E0374B"/>
    <w:rsid w:val="00E0392F"/>
    <w:rsid w:val="00E0632F"/>
    <w:rsid w:val="00E06C36"/>
    <w:rsid w:val="00E071A9"/>
    <w:rsid w:val="00E07D26"/>
    <w:rsid w:val="00E10047"/>
    <w:rsid w:val="00E10B28"/>
    <w:rsid w:val="00E117FD"/>
    <w:rsid w:val="00E13747"/>
    <w:rsid w:val="00E14758"/>
    <w:rsid w:val="00E16BDE"/>
    <w:rsid w:val="00E21088"/>
    <w:rsid w:val="00E21F5D"/>
    <w:rsid w:val="00E22B1C"/>
    <w:rsid w:val="00E23C5E"/>
    <w:rsid w:val="00E23E29"/>
    <w:rsid w:val="00E24632"/>
    <w:rsid w:val="00E24A05"/>
    <w:rsid w:val="00E25155"/>
    <w:rsid w:val="00E25AEA"/>
    <w:rsid w:val="00E27C2C"/>
    <w:rsid w:val="00E30D26"/>
    <w:rsid w:val="00E30DEF"/>
    <w:rsid w:val="00E30ED2"/>
    <w:rsid w:val="00E31276"/>
    <w:rsid w:val="00E3155D"/>
    <w:rsid w:val="00E32102"/>
    <w:rsid w:val="00E34666"/>
    <w:rsid w:val="00E349A2"/>
    <w:rsid w:val="00E36A66"/>
    <w:rsid w:val="00E37F70"/>
    <w:rsid w:val="00E41377"/>
    <w:rsid w:val="00E41985"/>
    <w:rsid w:val="00E42B89"/>
    <w:rsid w:val="00E430B8"/>
    <w:rsid w:val="00E446C1"/>
    <w:rsid w:val="00E46BCD"/>
    <w:rsid w:val="00E51CCC"/>
    <w:rsid w:val="00E52079"/>
    <w:rsid w:val="00E52FC7"/>
    <w:rsid w:val="00E545D7"/>
    <w:rsid w:val="00E547FE"/>
    <w:rsid w:val="00E54960"/>
    <w:rsid w:val="00E55447"/>
    <w:rsid w:val="00E55927"/>
    <w:rsid w:val="00E5669C"/>
    <w:rsid w:val="00E570D4"/>
    <w:rsid w:val="00E57483"/>
    <w:rsid w:val="00E60ECA"/>
    <w:rsid w:val="00E613AB"/>
    <w:rsid w:val="00E637B6"/>
    <w:rsid w:val="00E6487C"/>
    <w:rsid w:val="00E654A9"/>
    <w:rsid w:val="00E658DC"/>
    <w:rsid w:val="00E663B6"/>
    <w:rsid w:val="00E66B13"/>
    <w:rsid w:val="00E66BBE"/>
    <w:rsid w:val="00E6780D"/>
    <w:rsid w:val="00E71DFE"/>
    <w:rsid w:val="00E728D3"/>
    <w:rsid w:val="00E72BDE"/>
    <w:rsid w:val="00E73083"/>
    <w:rsid w:val="00E758B9"/>
    <w:rsid w:val="00E76025"/>
    <w:rsid w:val="00E76B45"/>
    <w:rsid w:val="00E77C00"/>
    <w:rsid w:val="00E810D3"/>
    <w:rsid w:val="00E812A3"/>
    <w:rsid w:val="00E82FE5"/>
    <w:rsid w:val="00E83724"/>
    <w:rsid w:val="00E83A6D"/>
    <w:rsid w:val="00E84236"/>
    <w:rsid w:val="00E84C02"/>
    <w:rsid w:val="00E850F0"/>
    <w:rsid w:val="00E85569"/>
    <w:rsid w:val="00E856AF"/>
    <w:rsid w:val="00E859D9"/>
    <w:rsid w:val="00E8607C"/>
    <w:rsid w:val="00E86B83"/>
    <w:rsid w:val="00E86D6E"/>
    <w:rsid w:val="00E878FB"/>
    <w:rsid w:val="00E87976"/>
    <w:rsid w:val="00E87C64"/>
    <w:rsid w:val="00E912E1"/>
    <w:rsid w:val="00E919C3"/>
    <w:rsid w:val="00E92278"/>
    <w:rsid w:val="00E93A01"/>
    <w:rsid w:val="00E93F8E"/>
    <w:rsid w:val="00E93FF8"/>
    <w:rsid w:val="00E948D8"/>
    <w:rsid w:val="00E94EB6"/>
    <w:rsid w:val="00E94F16"/>
    <w:rsid w:val="00E950CA"/>
    <w:rsid w:val="00E95CA8"/>
    <w:rsid w:val="00E96643"/>
    <w:rsid w:val="00E96CE0"/>
    <w:rsid w:val="00E96EAF"/>
    <w:rsid w:val="00E97448"/>
    <w:rsid w:val="00EA044C"/>
    <w:rsid w:val="00EA1752"/>
    <w:rsid w:val="00EA1911"/>
    <w:rsid w:val="00EA1D90"/>
    <w:rsid w:val="00EA371E"/>
    <w:rsid w:val="00EA539B"/>
    <w:rsid w:val="00EA5996"/>
    <w:rsid w:val="00EA5A89"/>
    <w:rsid w:val="00EA5BDB"/>
    <w:rsid w:val="00EA63FA"/>
    <w:rsid w:val="00EA7720"/>
    <w:rsid w:val="00EB0A73"/>
    <w:rsid w:val="00EB0B55"/>
    <w:rsid w:val="00EB254F"/>
    <w:rsid w:val="00EB3A98"/>
    <w:rsid w:val="00EB46D9"/>
    <w:rsid w:val="00EB6EF6"/>
    <w:rsid w:val="00EC0199"/>
    <w:rsid w:val="00EC0E64"/>
    <w:rsid w:val="00EC142D"/>
    <w:rsid w:val="00EC1E16"/>
    <w:rsid w:val="00EC2DD1"/>
    <w:rsid w:val="00EC4A19"/>
    <w:rsid w:val="00EC4BA5"/>
    <w:rsid w:val="00EC52DA"/>
    <w:rsid w:val="00EC6F28"/>
    <w:rsid w:val="00EC7220"/>
    <w:rsid w:val="00ED0024"/>
    <w:rsid w:val="00ED0EA0"/>
    <w:rsid w:val="00ED0F85"/>
    <w:rsid w:val="00ED1B01"/>
    <w:rsid w:val="00ED2B5C"/>
    <w:rsid w:val="00ED3269"/>
    <w:rsid w:val="00ED3A18"/>
    <w:rsid w:val="00ED3AB7"/>
    <w:rsid w:val="00ED3C57"/>
    <w:rsid w:val="00EE1A8C"/>
    <w:rsid w:val="00EE3FED"/>
    <w:rsid w:val="00EE4643"/>
    <w:rsid w:val="00EE529F"/>
    <w:rsid w:val="00EE65B6"/>
    <w:rsid w:val="00EE7C86"/>
    <w:rsid w:val="00EF1330"/>
    <w:rsid w:val="00EF15FF"/>
    <w:rsid w:val="00EF2D80"/>
    <w:rsid w:val="00EF31D8"/>
    <w:rsid w:val="00EF55E6"/>
    <w:rsid w:val="00EF5707"/>
    <w:rsid w:val="00EF588D"/>
    <w:rsid w:val="00EF66B1"/>
    <w:rsid w:val="00EF67D3"/>
    <w:rsid w:val="00EF6F1F"/>
    <w:rsid w:val="00EF70EC"/>
    <w:rsid w:val="00EF7111"/>
    <w:rsid w:val="00EF7833"/>
    <w:rsid w:val="00EF7D1A"/>
    <w:rsid w:val="00F02350"/>
    <w:rsid w:val="00F02759"/>
    <w:rsid w:val="00F03B49"/>
    <w:rsid w:val="00F0448F"/>
    <w:rsid w:val="00F0716C"/>
    <w:rsid w:val="00F105AE"/>
    <w:rsid w:val="00F108A8"/>
    <w:rsid w:val="00F131E4"/>
    <w:rsid w:val="00F13319"/>
    <w:rsid w:val="00F14353"/>
    <w:rsid w:val="00F1567C"/>
    <w:rsid w:val="00F1628B"/>
    <w:rsid w:val="00F16990"/>
    <w:rsid w:val="00F22E81"/>
    <w:rsid w:val="00F250ED"/>
    <w:rsid w:val="00F26F5F"/>
    <w:rsid w:val="00F270E9"/>
    <w:rsid w:val="00F27440"/>
    <w:rsid w:val="00F275C0"/>
    <w:rsid w:val="00F3011D"/>
    <w:rsid w:val="00F30443"/>
    <w:rsid w:val="00F3048B"/>
    <w:rsid w:val="00F317B5"/>
    <w:rsid w:val="00F33348"/>
    <w:rsid w:val="00F346B6"/>
    <w:rsid w:val="00F34AB1"/>
    <w:rsid w:val="00F36145"/>
    <w:rsid w:val="00F36227"/>
    <w:rsid w:val="00F37BDD"/>
    <w:rsid w:val="00F40716"/>
    <w:rsid w:val="00F41503"/>
    <w:rsid w:val="00F417D4"/>
    <w:rsid w:val="00F41D5C"/>
    <w:rsid w:val="00F432CF"/>
    <w:rsid w:val="00F437FD"/>
    <w:rsid w:val="00F43B69"/>
    <w:rsid w:val="00F4479A"/>
    <w:rsid w:val="00F44D82"/>
    <w:rsid w:val="00F45589"/>
    <w:rsid w:val="00F460F3"/>
    <w:rsid w:val="00F46207"/>
    <w:rsid w:val="00F466C8"/>
    <w:rsid w:val="00F46706"/>
    <w:rsid w:val="00F469A9"/>
    <w:rsid w:val="00F46B50"/>
    <w:rsid w:val="00F47C20"/>
    <w:rsid w:val="00F50B46"/>
    <w:rsid w:val="00F50D1F"/>
    <w:rsid w:val="00F51545"/>
    <w:rsid w:val="00F521DE"/>
    <w:rsid w:val="00F52654"/>
    <w:rsid w:val="00F541D4"/>
    <w:rsid w:val="00F553CE"/>
    <w:rsid w:val="00F56043"/>
    <w:rsid w:val="00F5664E"/>
    <w:rsid w:val="00F56BD8"/>
    <w:rsid w:val="00F56E86"/>
    <w:rsid w:val="00F56FA9"/>
    <w:rsid w:val="00F604D0"/>
    <w:rsid w:val="00F6171A"/>
    <w:rsid w:val="00F619BA"/>
    <w:rsid w:val="00F62306"/>
    <w:rsid w:val="00F6351F"/>
    <w:rsid w:val="00F635FC"/>
    <w:rsid w:val="00F63D03"/>
    <w:rsid w:val="00F64EFA"/>
    <w:rsid w:val="00F653FF"/>
    <w:rsid w:val="00F65E2F"/>
    <w:rsid w:val="00F67385"/>
    <w:rsid w:val="00F67DF1"/>
    <w:rsid w:val="00F7054E"/>
    <w:rsid w:val="00F70E9F"/>
    <w:rsid w:val="00F7137C"/>
    <w:rsid w:val="00F72A09"/>
    <w:rsid w:val="00F74E67"/>
    <w:rsid w:val="00F76734"/>
    <w:rsid w:val="00F76814"/>
    <w:rsid w:val="00F77A5F"/>
    <w:rsid w:val="00F8309B"/>
    <w:rsid w:val="00F833C9"/>
    <w:rsid w:val="00F836C8"/>
    <w:rsid w:val="00F84847"/>
    <w:rsid w:val="00F85198"/>
    <w:rsid w:val="00F90064"/>
    <w:rsid w:val="00F90BF7"/>
    <w:rsid w:val="00F94217"/>
    <w:rsid w:val="00F9586C"/>
    <w:rsid w:val="00F96AFD"/>
    <w:rsid w:val="00F96F4C"/>
    <w:rsid w:val="00FA07F4"/>
    <w:rsid w:val="00FA1398"/>
    <w:rsid w:val="00FA1515"/>
    <w:rsid w:val="00FA2053"/>
    <w:rsid w:val="00FA2E19"/>
    <w:rsid w:val="00FA397B"/>
    <w:rsid w:val="00FA3BE7"/>
    <w:rsid w:val="00FA4373"/>
    <w:rsid w:val="00FA4BA0"/>
    <w:rsid w:val="00FA697F"/>
    <w:rsid w:val="00FA6F4C"/>
    <w:rsid w:val="00FA7354"/>
    <w:rsid w:val="00FA7DE3"/>
    <w:rsid w:val="00FB0147"/>
    <w:rsid w:val="00FB0C8D"/>
    <w:rsid w:val="00FB0F92"/>
    <w:rsid w:val="00FB2FB3"/>
    <w:rsid w:val="00FB3846"/>
    <w:rsid w:val="00FB398A"/>
    <w:rsid w:val="00FB4BF5"/>
    <w:rsid w:val="00FB5059"/>
    <w:rsid w:val="00FB5521"/>
    <w:rsid w:val="00FB610D"/>
    <w:rsid w:val="00FB626E"/>
    <w:rsid w:val="00FB6CA8"/>
    <w:rsid w:val="00FB7437"/>
    <w:rsid w:val="00FC1E4C"/>
    <w:rsid w:val="00FC4477"/>
    <w:rsid w:val="00FC46FB"/>
    <w:rsid w:val="00FC4DD1"/>
    <w:rsid w:val="00FC7B66"/>
    <w:rsid w:val="00FD0D94"/>
    <w:rsid w:val="00FD106C"/>
    <w:rsid w:val="00FD1E33"/>
    <w:rsid w:val="00FD2BD3"/>
    <w:rsid w:val="00FD2DE3"/>
    <w:rsid w:val="00FD3DEF"/>
    <w:rsid w:val="00FD4CCA"/>
    <w:rsid w:val="00FD58B1"/>
    <w:rsid w:val="00FE00EA"/>
    <w:rsid w:val="00FE04BA"/>
    <w:rsid w:val="00FE234B"/>
    <w:rsid w:val="00FE2A9E"/>
    <w:rsid w:val="00FE34B3"/>
    <w:rsid w:val="00FE46B7"/>
    <w:rsid w:val="00FE4CEC"/>
    <w:rsid w:val="00FE683A"/>
    <w:rsid w:val="00FF0420"/>
    <w:rsid w:val="00FF398E"/>
    <w:rsid w:val="00FF41B8"/>
    <w:rsid w:val="00FF47C1"/>
    <w:rsid w:val="00FF4F5A"/>
    <w:rsid w:val="00FF5237"/>
    <w:rsid w:val="00FF5629"/>
    <w:rsid w:val="00FF5B79"/>
    <w:rsid w:val="00FF689D"/>
    <w:rsid w:val="06763376"/>
    <w:rsid w:val="06D79157"/>
    <w:rsid w:val="0DD79F36"/>
    <w:rsid w:val="11E43BAB"/>
    <w:rsid w:val="121534C5"/>
    <w:rsid w:val="161E678D"/>
    <w:rsid w:val="19090967"/>
    <w:rsid w:val="1B3C24C5"/>
    <w:rsid w:val="210B7837"/>
    <w:rsid w:val="23B4E6BE"/>
    <w:rsid w:val="24F18C83"/>
    <w:rsid w:val="25653D02"/>
    <w:rsid w:val="27AA7305"/>
    <w:rsid w:val="3310C0BE"/>
    <w:rsid w:val="38EF0D05"/>
    <w:rsid w:val="39A07357"/>
    <w:rsid w:val="42088138"/>
    <w:rsid w:val="511D528A"/>
    <w:rsid w:val="588ADAF6"/>
    <w:rsid w:val="5CE173DD"/>
    <w:rsid w:val="66EB6E8A"/>
    <w:rsid w:val="69981A89"/>
    <w:rsid w:val="7629CDD5"/>
    <w:rsid w:val="772E53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B409AA"/>
  <w15:chartTrackingRefBased/>
  <w15:docId w15:val="{D8A9B98D-733D-4FF4-9BF4-D50BB21B0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Segoe UI" w:eastAsia="Times New Roman" w:hAnsi="Segoe UI" w:cs="Times New Roman"/>
        <w:sz w:val="18"/>
        <w:szCs w:val="24"/>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Samp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1" w:qFormat="1"/>
    <w:lsdException w:name="Medium Shading 2 Accent 1" w:uiPriority="60"/>
    <w:lsdException w:name="Medium List 1 Accent 1" w:uiPriority="61"/>
    <w:lsdException w:name="Revision" w:semiHidden="1" w:uiPriority="62" w:unhideWhenUsed="1"/>
    <w:lsdException w:name="List Paragraph" w:uiPriority="1"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99"/>
    <w:lsdException w:name="Medium Grid 1 Accent 2" w:uiPriority="34"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semiHidden="1" w:uiPriority="61" w:unhideWhenUsed="1"/>
    <w:lsdException w:name="TOC Heading" w:semiHidden="1" w:uiPriority="62" w:unhideWhenUsed="1" w:qFormat="1"/>
    <w:lsdException w:name="Plain Table 1" w:uiPriority="63"/>
    <w:lsdException w:name="Plain Table 2" w:uiPriority="64"/>
    <w:lsdException w:name="Plain Table 3" w:uiPriority="65" w:qFormat="1"/>
    <w:lsdException w:name="Plain Table 4" w:uiPriority="66" w:qFormat="1"/>
    <w:lsdException w:name="Plain Table 5" w:uiPriority="67" w:qFormat="1"/>
    <w:lsdException w:name="Grid Table Light" w:uiPriority="68" w:qFormat="1"/>
    <w:lsdException w:name="Grid Table 1 Light" w:uiPriority="69" w:qFormat="1"/>
    <w:lsdException w:name="Grid Table 2" w:uiPriority="70"/>
    <w:lsdException w:name="Grid Table 3" w:uiPriority="71"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1"/>
    <w:lsdException w:name="Grid Table 7 Colorful Accent 1" w:uiPriority="42"/>
    <w:lsdException w:name="Grid Table 1 Light Accent 2" w:uiPriority="43"/>
    <w:lsdException w:name="Grid Table 2 Accent 2" w:uiPriority="44"/>
    <w:lsdException w:name="Grid Table 3 Accent 2" w:uiPriority="45"/>
    <w:lsdException w:name="Grid Table 4 Accent 2" w:uiPriority="40"/>
    <w:lsdException w:name="Grid Table 5 Dark Accent 2" w:uiPriority="46"/>
    <w:lsdException w:name="Grid Table 6 Colorful Accent 2" w:uiPriority="47"/>
    <w:lsdException w:name="Grid Table 7 Colorful Accent 2" w:uiPriority="48"/>
    <w:lsdException w:name="Grid Table 1 Light Accent 3" w:uiPriority="49"/>
    <w:lsdException w:name="Grid Table 2 Accent 3" w:uiPriority="50"/>
    <w:lsdException w:name="Grid Table 3 Accent 3" w:uiPriority="51"/>
    <w:lsdException w:name="Grid Table 4 Accent 3" w:uiPriority="52"/>
    <w:lsdException w:name="Grid Table 5 Dark Accent 3" w:uiPriority="46"/>
    <w:lsdException w:name="Grid Table 6 Colorful Accent 3" w:uiPriority="47"/>
    <w:lsdException w:name="Grid Table 7 Colorful Accent 3" w:uiPriority="48"/>
    <w:lsdException w:name="Grid Table 1 Light Accent 4" w:uiPriority="49"/>
    <w:lsdException w:name="Grid Table 2 Accent 4" w:uiPriority="50"/>
    <w:lsdException w:name="Grid Table 3 Accent 4" w:uiPriority="51"/>
    <w:lsdException w:name="Grid Table 4 Accent 4" w:uiPriority="52"/>
    <w:lsdException w:name="Grid Table 5 Dark Accent 4" w:uiPriority="46"/>
    <w:lsdException w:name="Grid Table 6 Colorful Accent 4" w:uiPriority="47"/>
    <w:lsdException w:name="Grid Table 7 Colorful Accent 4" w:uiPriority="48"/>
    <w:lsdException w:name="Grid Table 1 Light Accent 5" w:uiPriority="49"/>
    <w:lsdException w:name="Grid Table 2 Accent 5" w:uiPriority="50"/>
    <w:lsdException w:name="Grid Table 3 Accent 5" w:uiPriority="51"/>
    <w:lsdException w:name="Grid Table 4 Accent 5" w:uiPriority="52"/>
    <w:lsdException w:name="Grid Table 5 Dark Accent 5" w:uiPriority="46"/>
    <w:lsdException w:name="Grid Table 6 Colorful Accent 5" w:uiPriority="47"/>
    <w:lsdException w:name="Grid Table 7 Colorful Accent 5" w:uiPriority="48"/>
    <w:lsdException w:name="Grid Table 1 Light Accent 6" w:uiPriority="49"/>
    <w:lsdException w:name="Grid Table 2 Accent 6" w:uiPriority="50"/>
    <w:lsdException w:name="Grid Table 3 Accent 6" w:uiPriority="51"/>
    <w:lsdException w:name="Grid Table 4 Accent 6" w:uiPriority="52"/>
    <w:lsdException w:name="Grid Table 5 Dark Accent 6" w:uiPriority="46"/>
    <w:lsdException w:name="Grid Table 6 Colorful Accent 6" w:uiPriority="47"/>
    <w:lsdException w:name="Grid Table 7 Colorful Accent 6" w:uiPriority="48"/>
    <w:lsdException w:name="List Table 1 Light" w:uiPriority="49"/>
    <w:lsdException w:name="List Table 2" w:uiPriority="50"/>
    <w:lsdException w:name="List Table 3" w:uiPriority="51"/>
    <w:lsdException w:name="List Table 4" w:uiPriority="52"/>
    <w:lsdException w:name="List Table 5 Dark" w:uiPriority="46"/>
    <w:lsdException w:name="List Table 6 Colorful" w:uiPriority="47"/>
    <w:lsdException w:name="List Table 7 Colorful" w:uiPriority="48"/>
    <w:lsdException w:name="List Table 1 Light Accent 1" w:uiPriority="49"/>
    <w:lsdException w:name="List Table 2 Accent 1" w:uiPriority="50"/>
    <w:lsdException w:name="List Table 3 Accent 1" w:uiPriority="51"/>
    <w:lsdException w:name="List Table 4 Accent 1" w:uiPriority="52"/>
    <w:lsdException w:name="List Table 5 Dark Accent 1" w:uiPriority="46"/>
    <w:lsdException w:name="List Table 6 Colorful Accent 1" w:uiPriority="47"/>
    <w:lsdException w:name="List Table 7 Colorful Accent 1" w:uiPriority="48"/>
    <w:lsdException w:name="List Table 1 Light Accent 2" w:uiPriority="49"/>
    <w:lsdException w:name="List Table 2 Accent 2" w:uiPriority="50"/>
    <w:lsdException w:name="List Table 3 Accent 2" w:uiPriority="51"/>
    <w:lsdException w:name="List Table 4 Accent 2" w:uiPriority="52"/>
    <w:lsdException w:name="List Table 5 Dark Accent 2" w:uiPriority="46"/>
    <w:lsdException w:name="List Table 6 Colorful Accent 2" w:uiPriority="47"/>
    <w:lsdException w:name="List Table 7 Colorful Accent 2" w:uiPriority="48"/>
    <w:lsdException w:name="List Table 1 Light Accent 3" w:uiPriority="49"/>
    <w:lsdException w:name="List Table 2 Accent 3" w:uiPriority="50"/>
    <w:lsdException w:name="List Table 3 Accent 3" w:uiPriority="51"/>
    <w:lsdException w:name="List Table 4 Accent 3" w:uiPriority="52"/>
    <w:lsdException w:name="List Table 5 Dark Accent 3" w:uiPriority="46"/>
    <w:lsdException w:name="List Table 6 Colorful Accent 3" w:uiPriority="47"/>
    <w:lsdException w:name="List Table 7 Colorful Accent 3" w:uiPriority="48"/>
    <w:lsdException w:name="List Table 1 Light Accent 4" w:uiPriority="49"/>
    <w:lsdException w:name="List Table 2 Accent 4" w:uiPriority="50"/>
    <w:lsdException w:name="List Table 3 Accent 4" w:uiPriority="51"/>
    <w:lsdException w:name="List Table 4 Accent 4" w:uiPriority="52"/>
    <w:lsdException w:name="List Table 5 Dark Accent 4" w:uiPriority="46"/>
    <w:lsdException w:name="List Table 6 Colorful Accent 4" w:uiPriority="47"/>
    <w:lsdException w:name="List Table 7 Colorful Accent 4" w:uiPriority="48"/>
    <w:lsdException w:name="List Table 1 Light Accent 5" w:uiPriority="49"/>
    <w:lsdException w:name="List Table 2 Accent 5" w:uiPriority="50"/>
    <w:lsdException w:name="List Table 3 Accent 5" w:uiPriority="51"/>
    <w:lsdException w:name="List Table 4 Accent 5" w:uiPriority="52"/>
    <w:lsdException w:name="List Table 5 Dark Accent 5" w:uiPriority="46"/>
    <w:lsdException w:name="List Table 6 Colorful Accent 5" w:uiPriority="47"/>
    <w:lsdException w:name="List Table 7 Colorful Accent 5" w:uiPriority="48"/>
    <w:lsdException w:name="List Table 1 Light Accent 6" w:uiPriority="49"/>
    <w:lsdException w:name="List Table 2 Accent 6" w:uiPriority="50"/>
    <w:lsdException w:name="List Table 3 Accent 6" w:uiPriority="51"/>
    <w:lsdException w:name="List Table 4 Accent 6" w:uiPriority="52"/>
    <w:lsdException w:name="List Table 5 Dark Accent 6" w:uiPriority="46"/>
    <w:lsdException w:name="List Table 6 Colorful Accent 6" w:uiPriority="47"/>
    <w:lsdException w:name="List Table 7 Colorful Accent 6" w:uiPriority="48"/>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A2975"/>
    <w:pPr>
      <w:spacing w:line="276" w:lineRule="auto"/>
      <w:jc w:val="both"/>
    </w:pPr>
    <w:rPr>
      <w:sz w:val="22"/>
    </w:rPr>
  </w:style>
  <w:style w:type="paragraph" w:styleId="Titolo1">
    <w:name w:val="heading 1"/>
    <w:basedOn w:val="Normale"/>
    <w:next w:val="Normale"/>
    <w:link w:val="Titolo1Carattere"/>
    <w:uiPriority w:val="99"/>
    <w:qFormat/>
    <w:rsid w:val="00097261"/>
    <w:pPr>
      <w:keepNext/>
      <w:spacing w:line="420" w:lineRule="atLeast"/>
      <w:outlineLvl w:val="0"/>
    </w:pPr>
    <w:rPr>
      <w:rFonts w:cs="Arial"/>
      <w:b/>
      <w:bCs/>
      <w:kern w:val="32"/>
      <w:sz w:val="36"/>
      <w:szCs w:val="32"/>
    </w:rPr>
  </w:style>
  <w:style w:type="paragraph" w:styleId="Titolo2">
    <w:name w:val="heading 2"/>
    <w:basedOn w:val="Normale"/>
    <w:next w:val="Normale"/>
    <w:qFormat/>
    <w:rsid w:val="003F46B0"/>
    <w:pPr>
      <w:keepNext/>
      <w:outlineLvl w:val="1"/>
    </w:pPr>
    <w:rPr>
      <w:rFonts w:cs="Arial"/>
      <w:bCs/>
      <w:iCs/>
      <w:color w:val="E1000F"/>
      <w:szCs w:val="28"/>
    </w:rPr>
  </w:style>
  <w:style w:type="paragraph" w:styleId="Titolo3">
    <w:name w:val="heading 3"/>
    <w:basedOn w:val="Titolo2"/>
    <w:next w:val="Normale"/>
    <w:qFormat/>
    <w:rsid w:val="006F1596"/>
    <w:pPr>
      <w:outlineLvl w:val="2"/>
    </w:pPr>
    <w:rPr>
      <w:color w:val="auto"/>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rsid w:val="00C3758F"/>
    <w:pPr>
      <w:tabs>
        <w:tab w:val="left" w:pos="2607"/>
        <w:tab w:val="center" w:pos="4320"/>
        <w:tab w:val="right" w:pos="9356"/>
      </w:tabs>
      <w:spacing w:before="1440" w:line="100" w:lineRule="atLeast"/>
      <w:jc w:val="right"/>
    </w:pPr>
    <w:rPr>
      <w:rFonts w:cs="Segoe UI"/>
      <w:b/>
      <w:bCs/>
      <w:color w:val="3E3C3C"/>
      <w:sz w:val="40"/>
      <w:szCs w:val="40"/>
    </w:rPr>
  </w:style>
  <w:style w:type="paragraph" w:styleId="Pidipagina">
    <w:name w:val="footer"/>
    <w:basedOn w:val="Normale"/>
    <w:link w:val="PidipaginaCarattere"/>
    <w:uiPriority w:val="99"/>
    <w:rsid w:val="00992A11"/>
    <w:pPr>
      <w:tabs>
        <w:tab w:val="right" w:pos="7083"/>
        <w:tab w:val="right" w:pos="8640"/>
      </w:tabs>
      <w:spacing w:line="180" w:lineRule="atLeast"/>
      <w:jc w:val="right"/>
    </w:pPr>
    <w:rPr>
      <w:bCs/>
      <w:noProof/>
      <w:sz w:val="12"/>
    </w:rPr>
  </w:style>
  <w:style w:type="paragraph" w:customStyle="1" w:styleId="Intro">
    <w:name w:val="Intro"/>
    <w:basedOn w:val="Normale"/>
    <w:rsid w:val="006F1596"/>
    <w:pPr>
      <w:spacing w:after="300"/>
    </w:pPr>
    <w:rPr>
      <w:color w:val="415055"/>
      <w:sz w:val="24"/>
    </w:rPr>
  </w:style>
  <w:style w:type="paragraph" w:customStyle="1" w:styleId="NumBullet">
    <w:name w:val="Num_Bullet"/>
    <w:basedOn w:val="Normale"/>
    <w:rsid w:val="00576BC8"/>
    <w:pPr>
      <w:numPr>
        <w:numId w:val="1"/>
      </w:numPr>
      <w:tabs>
        <w:tab w:val="clear" w:pos="567"/>
        <w:tab w:val="left" w:pos="357"/>
      </w:tabs>
      <w:ind w:left="357" w:hanging="357"/>
    </w:pPr>
  </w:style>
  <w:style w:type="paragraph" w:customStyle="1" w:styleId="Page1Name">
    <w:name w:val="Page1_Name"/>
    <w:basedOn w:val="Normale"/>
    <w:rsid w:val="004F237B"/>
    <w:pPr>
      <w:spacing w:after="420" w:line="360" w:lineRule="atLeast"/>
    </w:pPr>
    <w:rPr>
      <w:b/>
      <w:sz w:val="30"/>
    </w:rPr>
  </w:style>
  <w:style w:type="paragraph" w:customStyle="1" w:styleId="Page1Title">
    <w:name w:val="Page1_Title"/>
    <w:basedOn w:val="Normale"/>
    <w:rsid w:val="004F237B"/>
    <w:pPr>
      <w:spacing w:line="228" w:lineRule="auto"/>
    </w:pPr>
    <w:rPr>
      <w:color w:val="E1000F"/>
      <w:sz w:val="90"/>
    </w:rPr>
  </w:style>
  <w:style w:type="paragraph" w:customStyle="1" w:styleId="Page1Author">
    <w:name w:val="Page1_Author"/>
    <w:basedOn w:val="Page1Name"/>
    <w:rsid w:val="004F237B"/>
    <w:pPr>
      <w:spacing w:before="240" w:after="0"/>
    </w:pPr>
    <w:rPr>
      <w:b w:val="0"/>
      <w:bCs/>
    </w:rPr>
  </w:style>
  <w:style w:type="table" w:styleId="Grigliatabella">
    <w:name w:val="Table Grid"/>
    <w:basedOn w:val="Tabellanormale"/>
    <w:rsid w:val="004F237B"/>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Normale"/>
    <w:link w:val="InfoZchn"/>
    <w:rsid w:val="00EE59A4"/>
    <w:pPr>
      <w:spacing w:line="240" w:lineRule="atLeast"/>
    </w:pPr>
    <w:rPr>
      <w:sz w:val="13"/>
    </w:rPr>
  </w:style>
  <w:style w:type="character" w:customStyle="1" w:styleId="InfoZchn">
    <w:name w:val="Info Zchn"/>
    <w:link w:val="Info"/>
    <w:rsid w:val="003F6218"/>
    <w:rPr>
      <w:rFonts w:ascii="Arial" w:hAnsi="Arial"/>
      <w:sz w:val="13"/>
      <w:szCs w:val="24"/>
      <w:lang w:val="de-DE" w:eastAsia="en-US" w:bidi="ar-SA"/>
    </w:rPr>
  </w:style>
  <w:style w:type="paragraph" w:customStyle="1" w:styleId="Standard12pt">
    <w:name w:val="Standard_12pt"/>
    <w:basedOn w:val="Normale"/>
    <w:rsid w:val="0048435F"/>
    <w:pPr>
      <w:spacing w:line="300" w:lineRule="atLeast"/>
    </w:pPr>
    <w:rPr>
      <w:sz w:val="24"/>
    </w:rPr>
  </w:style>
  <w:style w:type="character" w:customStyle="1" w:styleId="Titolo1Carattere">
    <w:name w:val="Titolo 1 Carattere"/>
    <w:link w:val="Titolo1"/>
    <w:uiPriority w:val="99"/>
    <w:locked/>
    <w:rsid w:val="00B422EC"/>
    <w:rPr>
      <w:rFonts w:ascii="Arial" w:hAnsi="Arial" w:cs="Arial"/>
      <w:b/>
      <w:bCs/>
      <w:kern w:val="32"/>
      <w:sz w:val="36"/>
      <w:szCs w:val="32"/>
      <w:lang w:val="de-DE"/>
    </w:rPr>
  </w:style>
  <w:style w:type="character" w:styleId="Collegamentoipertestuale">
    <w:name w:val="Hyperlink"/>
    <w:rsid w:val="00336854"/>
    <w:rPr>
      <w:rFonts w:ascii="Segoe UI" w:hAnsi="Segoe UI"/>
      <w:color w:val="0000FF"/>
      <w:sz w:val="18"/>
      <w:szCs w:val="18"/>
      <w:u w:val="single"/>
    </w:rPr>
  </w:style>
  <w:style w:type="paragraph" w:customStyle="1" w:styleId="MittleresRaster1-Akzent21">
    <w:name w:val="Mittleres Raster 1 - Akzent 21"/>
    <w:basedOn w:val="Normale"/>
    <w:uiPriority w:val="34"/>
    <w:qFormat/>
    <w:rsid w:val="00B422EC"/>
    <w:pPr>
      <w:ind w:left="720"/>
    </w:pPr>
  </w:style>
  <w:style w:type="paragraph" w:styleId="Testofumetto">
    <w:name w:val="Balloon Text"/>
    <w:basedOn w:val="Normale"/>
    <w:link w:val="TestofumettoCarattere"/>
    <w:rsid w:val="00336854"/>
    <w:pPr>
      <w:spacing w:line="240" w:lineRule="auto"/>
    </w:pPr>
    <w:rPr>
      <w:sz w:val="18"/>
      <w:szCs w:val="18"/>
    </w:rPr>
  </w:style>
  <w:style w:type="character" w:customStyle="1" w:styleId="TestofumettoCarattere">
    <w:name w:val="Testo fumetto Carattere"/>
    <w:link w:val="Testofumetto"/>
    <w:rsid w:val="00336854"/>
    <w:rPr>
      <w:rFonts w:ascii="Segoe UI" w:hAnsi="Segoe UI"/>
      <w:sz w:val="18"/>
      <w:szCs w:val="18"/>
      <w:lang w:val="de-DE"/>
    </w:rPr>
  </w:style>
  <w:style w:type="paragraph" w:customStyle="1" w:styleId="MittlereListe2-Akzent21">
    <w:name w:val="Mittlere Liste 2 - Akzent 21"/>
    <w:hidden/>
    <w:uiPriority w:val="99"/>
    <w:semiHidden/>
    <w:rsid w:val="002E0B17"/>
    <w:rPr>
      <w:rFonts w:ascii="Arial" w:hAnsi="Arial"/>
      <w:lang w:val="de-DE"/>
    </w:rPr>
  </w:style>
  <w:style w:type="character" w:customStyle="1" w:styleId="PidipaginaCarattere">
    <w:name w:val="Piè di pagina Carattere"/>
    <w:link w:val="Pidipagina"/>
    <w:uiPriority w:val="99"/>
    <w:rsid w:val="00992A11"/>
    <w:rPr>
      <w:rFonts w:ascii="Segoe UI" w:hAnsi="Segoe UI"/>
      <w:bCs/>
      <w:noProof/>
      <w:sz w:val="12"/>
      <w:szCs w:val="24"/>
      <w:lang w:val="de-DE"/>
    </w:rPr>
  </w:style>
  <w:style w:type="character" w:styleId="Menzionenonrisolta">
    <w:name w:val="Unresolved Mention"/>
    <w:uiPriority w:val="99"/>
    <w:semiHidden/>
    <w:unhideWhenUsed/>
    <w:rsid w:val="000C210A"/>
    <w:rPr>
      <w:color w:val="605E5C"/>
      <w:shd w:val="clear" w:color="auto" w:fill="E1DFDD"/>
    </w:rPr>
  </w:style>
  <w:style w:type="paragraph" w:customStyle="1" w:styleId="Style12ptJustifiedLinespacing15lines">
    <w:name w:val="Style 12 pt Justified Line spacing:  1.5 lines"/>
    <w:basedOn w:val="Normale"/>
    <w:rsid w:val="00974F84"/>
    <w:rPr>
      <w:szCs w:val="20"/>
    </w:rPr>
  </w:style>
  <w:style w:type="paragraph" w:customStyle="1" w:styleId="Style12ptJustifiedLinespacing15lines1">
    <w:name w:val="Style 12 pt Justified Line spacing:  1.5 lines1"/>
    <w:basedOn w:val="Normale"/>
    <w:rsid w:val="00974F84"/>
    <w:pPr>
      <w:spacing w:before="120"/>
    </w:pPr>
    <w:rPr>
      <w:szCs w:val="20"/>
    </w:rPr>
  </w:style>
  <w:style w:type="character" w:customStyle="1" w:styleId="Headline">
    <w:name w:val="Headline"/>
    <w:basedOn w:val="Carpredefinitoparagrafo"/>
    <w:rsid w:val="00A3756F"/>
    <w:rPr>
      <w:b/>
      <w:bCs/>
      <w:sz w:val="32"/>
    </w:rPr>
  </w:style>
  <w:style w:type="paragraph" w:customStyle="1" w:styleId="MonthDayYear">
    <w:name w:val="Month Day Year"/>
    <w:basedOn w:val="Normale"/>
    <w:rsid w:val="00643D8A"/>
    <w:pPr>
      <w:spacing w:before="120"/>
      <w:ind w:right="-1"/>
      <w:jc w:val="right"/>
    </w:pPr>
    <w:rPr>
      <w:szCs w:val="20"/>
    </w:rPr>
  </w:style>
  <w:style w:type="paragraph" w:customStyle="1" w:styleId="Topline">
    <w:name w:val="Topline"/>
    <w:basedOn w:val="Normale"/>
    <w:qFormat/>
    <w:rsid w:val="00472FEC"/>
    <w:pPr>
      <w:spacing w:before="560" w:after="560"/>
    </w:pPr>
    <w:rPr>
      <w:rFonts w:cs="Segoe UI"/>
      <w:szCs w:val="22"/>
    </w:rPr>
  </w:style>
  <w:style w:type="character" w:customStyle="1" w:styleId="AboutandContactBody">
    <w:name w:val="About and Contact Body"/>
    <w:basedOn w:val="Carpredefinitoparagrafo"/>
    <w:rsid w:val="00336854"/>
    <w:rPr>
      <w:rFonts w:ascii="Segoe UI" w:hAnsi="Segoe UI"/>
      <w:sz w:val="18"/>
    </w:rPr>
  </w:style>
  <w:style w:type="character" w:customStyle="1" w:styleId="AboutandContactHeadline">
    <w:name w:val="About and Contact Headline"/>
    <w:basedOn w:val="Carpredefinitoparagrafo"/>
    <w:rsid w:val="00336854"/>
    <w:rPr>
      <w:rFonts w:ascii="Segoe UI" w:hAnsi="Segoe UI"/>
      <w:b/>
      <w:bCs/>
      <w:sz w:val="18"/>
    </w:rPr>
  </w:style>
  <w:style w:type="paragraph" w:styleId="Paragrafoelenco">
    <w:name w:val="List Paragraph"/>
    <w:basedOn w:val="Normale"/>
    <w:uiPriority w:val="1"/>
    <w:qFormat/>
    <w:rsid w:val="00635616"/>
    <w:pPr>
      <w:ind w:left="720"/>
      <w:contextualSpacing/>
    </w:pPr>
  </w:style>
  <w:style w:type="character" w:styleId="Rimandocommento">
    <w:name w:val="annotation reference"/>
    <w:rsid w:val="00846017"/>
    <w:rPr>
      <w:sz w:val="16"/>
      <w:szCs w:val="16"/>
    </w:rPr>
  </w:style>
  <w:style w:type="paragraph" w:styleId="Testocommento">
    <w:name w:val="annotation text"/>
    <w:basedOn w:val="Normale"/>
    <w:link w:val="TestocommentoCarattere"/>
    <w:rsid w:val="00846017"/>
    <w:pPr>
      <w:spacing w:line="260" w:lineRule="atLeast"/>
      <w:jc w:val="left"/>
    </w:pPr>
    <w:rPr>
      <w:rFonts w:ascii="Arial" w:hAnsi="Arial"/>
      <w:sz w:val="20"/>
      <w:szCs w:val="20"/>
      <w:lang w:val="de-DE"/>
    </w:rPr>
  </w:style>
  <w:style w:type="character" w:customStyle="1" w:styleId="TestocommentoCarattere">
    <w:name w:val="Testo commento Carattere"/>
    <w:basedOn w:val="Carpredefinitoparagrafo"/>
    <w:link w:val="Testocommento"/>
    <w:rsid w:val="00846017"/>
    <w:rPr>
      <w:rFonts w:ascii="Arial" w:hAnsi="Arial"/>
      <w:sz w:val="20"/>
      <w:szCs w:val="20"/>
      <w:lang w:val="de-DE"/>
    </w:rPr>
  </w:style>
  <w:style w:type="paragraph" w:styleId="Soggettocommento">
    <w:name w:val="annotation subject"/>
    <w:basedOn w:val="Testocommento"/>
    <w:next w:val="Testocommento"/>
    <w:link w:val="SoggettocommentoCarattere"/>
    <w:rsid w:val="0020528D"/>
    <w:pPr>
      <w:spacing w:line="240" w:lineRule="auto"/>
      <w:jc w:val="both"/>
    </w:pPr>
    <w:rPr>
      <w:rFonts w:ascii="Segoe UI" w:hAnsi="Segoe UI"/>
      <w:b/>
      <w:bCs/>
      <w:lang w:val="en-US"/>
    </w:rPr>
  </w:style>
  <w:style w:type="character" w:customStyle="1" w:styleId="SoggettocommentoCarattere">
    <w:name w:val="Soggetto commento Carattere"/>
    <w:basedOn w:val="TestocommentoCarattere"/>
    <w:link w:val="Soggettocommento"/>
    <w:rsid w:val="0020528D"/>
    <w:rPr>
      <w:rFonts w:ascii="Arial" w:hAnsi="Arial"/>
      <w:b/>
      <w:bCs/>
      <w:sz w:val="20"/>
      <w:szCs w:val="20"/>
      <w:lang w:val="de-DE"/>
    </w:rPr>
  </w:style>
  <w:style w:type="paragraph" w:styleId="Revisione">
    <w:name w:val="Revision"/>
    <w:hidden/>
    <w:uiPriority w:val="62"/>
    <w:unhideWhenUsed/>
    <w:rsid w:val="006E2D24"/>
    <w:rPr>
      <w:sz w:val="22"/>
    </w:rPr>
  </w:style>
  <w:style w:type="paragraph" w:customStyle="1" w:styleId="He04Funote">
    <w:name w:val="_He_04_Fußnote"/>
    <w:next w:val="Normale"/>
    <w:qFormat/>
    <w:rsid w:val="00A90F18"/>
    <w:pPr>
      <w:tabs>
        <w:tab w:val="left" w:pos="85"/>
      </w:tabs>
      <w:spacing w:line="256" w:lineRule="auto"/>
      <w:ind w:left="85" w:hanging="85"/>
    </w:pPr>
    <w:rPr>
      <w:rFonts w:eastAsiaTheme="minorHAnsi" w:cstheme="minorBidi"/>
      <w:sz w:val="15"/>
      <w:szCs w:val="22"/>
      <w:lang w:val="de-DE"/>
      <w14:numForm w14:val="lining"/>
    </w:rPr>
  </w:style>
  <w:style w:type="character" w:styleId="Rimandonotaapidipagina">
    <w:name w:val="footnote reference"/>
    <w:basedOn w:val="Carpredefinitoparagrafo"/>
    <w:uiPriority w:val="99"/>
    <w:unhideWhenUsed/>
    <w:rsid w:val="00A90F18"/>
    <w:rPr>
      <w:vertAlign w:val="superscript"/>
    </w:rPr>
  </w:style>
  <w:style w:type="paragraph" w:customStyle="1" w:styleId="He05Fett">
    <w:name w:val="_He_05_Fett"/>
    <w:next w:val="Normale"/>
    <w:link w:val="He05FettZchn"/>
    <w:qFormat/>
    <w:rsid w:val="00A92FCD"/>
    <w:pPr>
      <w:spacing w:after="160" w:line="259" w:lineRule="auto"/>
    </w:pPr>
    <w:rPr>
      <w:rFonts w:eastAsiaTheme="minorHAnsi" w:cstheme="minorBidi"/>
      <w:b/>
      <w:szCs w:val="22"/>
      <w:lang w:val="de-DE"/>
    </w:rPr>
  </w:style>
  <w:style w:type="character" w:customStyle="1" w:styleId="He05FettZchn">
    <w:name w:val="_He_05_Fett Zchn"/>
    <w:basedOn w:val="Carpredefinitoparagrafo"/>
    <w:link w:val="He05Fett"/>
    <w:rsid w:val="00A92FCD"/>
    <w:rPr>
      <w:rFonts w:eastAsiaTheme="minorHAnsi" w:cstheme="minorBidi"/>
      <w:b/>
      <w:szCs w:val="22"/>
      <w:lang w:val="de-DE"/>
    </w:rPr>
  </w:style>
  <w:style w:type="paragraph" w:customStyle="1" w:styleId="He01Flietext">
    <w:name w:val="_He_01_Fließtext"/>
    <w:qFormat/>
    <w:rsid w:val="00FE683A"/>
    <w:pPr>
      <w:tabs>
        <w:tab w:val="left" w:pos="284"/>
      </w:tabs>
      <w:spacing w:after="160" w:line="259" w:lineRule="auto"/>
      <w:jc w:val="both"/>
    </w:pPr>
    <w:rPr>
      <w:rFonts w:eastAsiaTheme="minorHAnsi" w:cstheme="minorBidi"/>
      <w:szCs w:val="22"/>
      <w:lang w:val="de-DE"/>
    </w:rPr>
  </w:style>
  <w:style w:type="paragraph" w:styleId="NormaleWeb">
    <w:name w:val="Normal (Web)"/>
    <w:basedOn w:val="Normale"/>
    <w:uiPriority w:val="99"/>
    <w:unhideWhenUsed/>
    <w:rsid w:val="002566B2"/>
    <w:pPr>
      <w:spacing w:before="100" w:beforeAutospacing="1" w:after="100" w:afterAutospacing="1" w:line="240" w:lineRule="auto"/>
      <w:jc w:val="left"/>
    </w:pPr>
    <w:rPr>
      <w:rFonts w:ascii="Times New Roman" w:hAnsi="Times New Roman"/>
      <w:sz w:val="24"/>
      <w:lang w:val="de-DE" w:eastAsia="de-DE"/>
    </w:rPr>
  </w:style>
  <w:style w:type="paragraph" w:styleId="Testonotaapidipagina">
    <w:name w:val="footnote text"/>
    <w:basedOn w:val="Normale"/>
    <w:link w:val="TestonotaapidipaginaCarattere"/>
    <w:uiPriority w:val="99"/>
    <w:unhideWhenUsed/>
    <w:rsid w:val="00C76008"/>
    <w:pPr>
      <w:spacing w:line="240" w:lineRule="auto"/>
      <w:jc w:val="left"/>
    </w:pPr>
    <w:rPr>
      <w:rFonts w:eastAsiaTheme="minorHAnsi" w:cstheme="minorBidi"/>
      <w:szCs w:val="20"/>
      <w:lang w:val="de-DE"/>
    </w:rPr>
  </w:style>
  <w:style w:type="character" w:customStyle="1" w:styleId="TestonotaapidipaginaCarattere">
    <w:name w:val="Testo nota a piè di pagina Carattere"/>
    <w:basedOn w:val="Carpredefinitoparagrafo"/>
    <w:link w:val="Testonotaapidipagina"/>
    <w:uiPriority w:val="99"/>
    <w:rsid w:val="00C76008"/>
    <w:rPr>
      <w:rFonts w:eastAsiaTheme="minorHAnsi" w:cstheme="minorBidi"/>
      <w:sz w:val="22"/>
      <w:szCs w:val="2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768271">
      <w:bodyDiv w:val="1"/>
      <w:marLeft w:val="0"/>
      <w:marRight w:val="0"/>
      <w:marTop w:val="0"/>
      <w:marBottom w:val="0"/>
      <w:divBdr>
        <w:top w:val="none" w:sz="0" w:space="0" w:color="auto"/>
        <w:left w:val="none" w:sz="0" w:space="0" w:color="auto"/>
        <w:bottom w:val="none" w:sz="0" w:space="0" w:color="auto"/>
        <w:right w:val="none" w:sz="0" w:space="0" w:color="auto"/>
      </w:divBdr>
    </w:div>
    <w:div w:id="215901274">
      <w:bodyDiv w:val="1"/>
      <w:marLeft w:val="0"/>
      <w:marRight w:val="0"/>
      <w:marTop w:val="0"/>
      <w:marBottom w:val="0"/>
      <w:divBdr>
        <w:top w:val="none" w:sz="0" w:space="0" w:color="auto"/>
        <w:left w:val="none" w:sz="0" w:space="0" w:color="auto"/>
        <w:bottom w:val="none" w:sz="0" w:space="0" w:color="auto"/>
        <w:right w:val="none" w:sz="0" w:space="0" w:color="auto"/>
      </w:divBdr>
    </w:div>
    <w:div w:id="331758879">
      <w:bodyDiv w:val="1"/>
      <w:marLeft w:val="0"/>
      <w:marRight w:val="0"/>
      <w:marTop w:val="0"/>
      <w:marBottom w:val="0"/>
      <w:divBdr>
        <w:top w:val="none" w:sz="0" w:space="0" w:color="auto"/>
        <w:left w:val="none" w:sz="0" w:space="0" w:color="auto"/>
        <w:bottom w:val="none" w:sz="0" w:space="0" w:color="auto"/>
        <w:right w:val="none" w:sz="0" w:space="0" w:color="auto"/>
      </w:divBdr>
    </w:div>
    <w:div w:id="545877286">
      <w:bodyDiv w:val="1"/>
      <w:marLeft w:val="0"/>
      <w:marRight w:val="0"/>
      <w:marTop w:val="0"/>
      <w:marBottom w:val="0"/>
      <w:divBdr>
        <w:top w:val="none" w:sz="0" w:space="0" w:color="auto"/>
        <w:left w:val="none" w:sz="0" w:space="0" w:color="auto"/>
        <w:bottom w:val="none" w:sz="0" w:space="0" w:color="auto"/>
        <w:right w:val="none" w:sz="0" w:space="0" w:color="auto"/>
      </w:divBdr>
    </w:div>
    <w:div w:id="830367474">
      <w:bodyDiv w:val="1"/>
      <w:marLeft w:val="0"/>
      <w:marRight w:val="0"/>
      <w:marTop w:val="0"/>
      <w:marBottom w:val="0"/>
      <w:divBdr>
        <w:top w:val="none" w:sz="0" w:space="0" w:color="auto"/>
        <w:left w:val="none" w:sz="0" w:space="0" w:color="auto"/>
        <w:bottom w:val="none" w:sz="0" w:space="0" w:color="auto"/>
        <w:right w:val="none" w:sz="0" w:space="0" w:color="auto"/>
      </w:divBdr>
    </w:div>
    <w:div w:id="1303580746">
      <w:bodyDiv w:val="1"/>
      <w:marLeft w:val="0"/>
      <w:marRight w:val="0"/>
      <w:marTop w:val="0"/>
      <w:marBottom w:val="0"/>
      <w:divBdr>
        <w:top w:val="none" w:sz="0" w:space="0" w:color="auto"/>
        <w:left w:val="none" w:sz="0" w:space="0" w:color="auto"/>
        <w:bottom w:val="none" w:sz="0" w:space="0" w:color="auto"/>
        <w:right w:val="none" w:sz="0" w:space="0" w:color="auto"/>
      </w:divBdr>
    </w:div>
    <w:div w:id="1370689247">
      <w:bodyDiv w:val="1"/>
      <w:marLeft w:val="0"/>
      <w:marRight w:val="0"/>
      <w:marTop w:val="0"/>
      <w:marBottom w:val="0"/>
      <w:divBdr>
        <w:top w:val="none" w:sz="0" w:space="0" w:color="auto"/>
        <w:left w:val="none" w:sz="0" w:space="0" w:color="auto"/>
        <w:bottom w:val="none" w:sz="0" w:space="0" w:color="auto"/>
        <w:right w:val="none" w:sz="0" w:space="0" w:color="auto"/>
      </w:divBdr>
    </w:div>
    <w:div w:id="1374620896">
      <w:bodyDiv w:val="1"/>
      <w:marLeft w:val="0"/>
      <w:marRight w:val="0"/>
      <w:marTop w:val="0"/>
      <w:marBottom w:val="0"/>
      <w:divBdr>
        <w:top w:val="none" w:sz="0" w:space="0" w:color="auto"/>
        <w:left w:val="none" w:sz="0" w:space="0" w:color="auto"/>
        <w:bottom w:val="none" w:sz="0" w:space="0" w:color="auto"/>
        <w:right w:val="none" w:sz="0" w:space="0" w:color="auto"/>
      </w:divBdr>
    </w:div>
    <w:div w:id="1483084704">
      <w:bodyDiv w:val="1"/>
      <w:marLeft w:val="0"/>
      <w:marRight w:val="0"/>
      <w:marTop w:val="0"/>
      <w:marBottom w:val="0"/>
      <w:divBdr>
        <w:top w:val="none" w:sz="0" w:space="0" w:color="auto"/>
        <w:left w:val="none" w:sz="0" w:space="0" w:color="auto"/>
        <w:bottom w:val="none" w:sz="0" w:space="0" w:color="auto"/>
        <w:right w:val="none" w:sz="0" w:space="0" w:color="auto"/>
      </w:divBdr>
    </w:div>
    <w:div w:id="1546261199">
      <w:bodyDiv w:val="1"/>
      <w:marLeft w:val="0"/>
      <w:marRight w:val="0"/>
      <w:marTop w:val="0"/>
      <w:marBottom w:val="0"/>
      <w:divBdr>
        <w:top w:val="none" w:sz="0" w:space="0" w:color="auto"/>
        <w:left w:val="none" w:sz="0" w:space="0" w:color="auto"/>
        <w:bottom w:val="none" w:sz="0" w:space="0" w:color="auto"/>
        <w:right w:val="none" w:sz="0" w:space="0" w:color="auto"/>
      </w:divBdr>
    </w:div>
    <w:div w:id="1641376655">
      <w:bodyDiv w:val="1"/>
      <w:marLeft w:val="0"/>
      <w:marRight w:val="0"/>
      <w:marTop w:val="0"/>
      <w:marBottom w:val="0"/>
      <w:divBdr>
        <w:top w:val="none" w:sz="0" w:space="0" w:color="auto"/>
        <w:left w:val="none" w:sz="0" w:space="0" w:color="auto"/>
        <w:bottom w:val="none" w:sz="0" w:space="0" w:color="auto"/>
        <w:right w:val="none" w:sz="0" w:space="0" w:color="auto"/>
      </w:divBdr>
    </w:div>
    <w:div w:id="2013604992">
      <w:bodyDiv w:val="1"/>
      <w:marLeft w:val="0"/>
      <w:marRight w:val="0"/>
      <w:marTop w:val="0"/>
      <w:marBottom w:val="0"/>
      <w:divBdr>
        <w:top w:val="none" w:sz="0" w:space="0" w:color="auto"/>
        <w:left w:val="none" w:sz="0" w:space="0" w:color="auto"/>
        <w:bottom w:val="none" w:sz="0" w:space="0" w:color="auto"/>
        <w:right w:val="none" w:sz="0" w:space="0" w:color="auto"/>
      </w:divBdr>
      <w:divsChild>
        <w:div w:id="237326346">
          <w:marLeft w:val="0"/>
          <w:marRight w:val="0"/>
          <w:marTop w:val="0"/>
          <w:marBottom w:val="0"/>
          <w:divBdr>
            <w:top w:val="none" w:sz="0" w:space="0" w:color="auto"/>
            <w:left w:val="none" w:sz="0" w:space="0" w:color="auto"/>
            <w:bottom w:val="none" w:sz="0" w:space="0" w:color="auto"/>
            <w:right w:val="none" w:sz="0" w:space="0" w:color="auto"/>
          </w:divBdr>
        </w:div>
        <w:div w:id="331104911">
          <w:marLeft w:val="0"/>
          <w:marRight w:val="0"/>
          <w:marTop w:val="0"/>
          <w:marBottom w:val="0"/>
          <w:divBdr>
            <w:top w:val="none" w:sz="0" w:space="0" w:color="auto"/>
            <w:left w:val="none" w:sz="0" w:space="0" w:color="auto"/>
            <w:bottom w:val="none" w:sz="0" w:space="0" w:color="auto"/>
            <w:right w:val="none" w:sz="0" w:space="0" w:color="auto"/>
          </w:divBdr>
        </w:div>
        <w:div w:id="430466892">
          <w:marLeft w:val="0"/>
          <w:marRight w:val="0"/>
          <w:marTop w:val="0"/>
          <w:marBottom w:val="0"/>
          <w:divBdr>
            <w:top w:val="none" w:sz="0" w:space="0" w:color="auto"/>
            <w:left w:val="none" w:sz="0" w:space="0" w:color="auto"/>
            <w:bottom w:val="none" w:sz="0" w:space="0" w:color="auto"/>
            <w:right w:val="none" w:sz="0" w:space="0" w:color="auto"/>
          </w:divBdr>
        </w:div>
        <w:div w:id="881399477">
          <w:marLeft w:val="0"/>
          <w:marRight w:val="0"/>
          <w:marTop w:val="0"/>
          <w:marBottom w:val="0"/>
          <w:divBdr>
            <w:top w:val="none" w:sz="0" w:space="0" w:color="auto"/>
            <w:left w:val="none" w:sz="0" w:space="0" w:color="auto"/>
            <w:bottom w:val="none" w:sz="0" w:space="0" w:color="auto"/>
            <w:right w:val="none" w:sz="0" w:space="0" w:color="auto"/>
          </w:divBdr>
        </w:div>
        <w:div w:id="1927032988">
          <w:marLeft w:val="0"/>
          <w:marRight w:val="0"/>
          <w:marTop w:val="0"/>
          <w:marBottom w:val="0"/>
          <w:divBdr>
            <w:top w:val="none" w:sz="0" w:space="0" w:color="auto"/>
            <w:left w:val="none" w:sz="0" w:space="0" w:color="auto"/>
            <w:bottom w:val="none" w:sz="0" w:space="0" w:color="auto"/>
            <w:right w:val="none" w:sz="0" w:space="0" w:color="auto"/>
          </w:divBdr>
        </w:div>
        <w:div w:id="20090892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henkelgroup-my.sharepoint.com/personal/elena_fina_henkel_com/_layouts/15/Doc.aspx?sourcedoc=%7B33ADD3DD-AD5D-451F-9B78-D8497F20E137%7D&amp;file=Henkel%20News%20Release_H1_2026_EN.docx&amp;action=default&amp;mobileredirect=true" TargetMode="External"/><Relationship Id="rId18" Type="http://schemas.openxmlformats.org/officeDocument/2006/relationships/hyperlink" Target="mailto:dennis.starke@henkel.com"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mailto:jennifer.ott@henkel.com" TargetMode="External"/><Relationship Id="rId7" Type="http://schemas.openxmlformats.org/officeDocument/2006/relationships/styles" Target="styles.xml"/><Relationship Id="rId12" Type="http://schemas.openxmlformats.org/officeDocument/2006/relationships/hyperlink" Target="https://henkelgroup-my.sharepoint.com/personal/elena_fina_henkel_com/_layouts/15/Doc.aspx?sourcedoc=%7B33ADD3DD-AD5D-451F-9B78-D8497F20E137%7D&amp;file=Henkel%20News%20Release_H1_2026_EN.docx&amp;action=default&amp;mobileredirect=true" TargetMode="External"/><Relationship Id="rId17" Type="http://schemas.openxmlformats.org/officeDocument/2006/relationships/hyperlink" Target="mailto:lars.witteck@henkel.com"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leslie.iltgen@henkel.com" TargetMode="External"/><Relationship Id="rId20" Type="http://schemas.openxmlformats.org/officeDocument/2006/relationships/hyperlink" Target="mailto:hanna.philipps@henke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yperlink" Target="http://www.henkel.com" TargetMode="External"/><Relationship Id="rId23" Type="http://schemas.openxmlformats.org/officeDocument/2006/relationships/hyperlink" Target="http://www.henkel.com/ir" TargetMode="External"/><Relationship Id="rId28"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wulf.klueppelholz@henkel.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henkelgroup-my.sharepoint.com/personal/elena_fina_henkel_com/_layouts/15/Doc.aspx?sourcedoc=%7B33ADD3DD-AD5D-451F-9B78-D8497F20E137%7D&amp;file=Henkel%20News%20Release_H1_2026_EN.docx&amp;action=default&amp;mobileredirect=true" TargetMode="External"/><Relationship Id="rId22" Type="http://schemas.openxmlformats.org/officeDocument/2006/relationships/hyperlink" Target="http://www.henkel.com/press" TargetMode="External"/><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rohng\AppData\Local\Temp\Temp1_Completed.zip\Completed\segoe-Henkel-press-release-template-2020-english.dotx" TargetMode="External"/></Relationships>
</file>

<file path=word/theme/theme1.xml><?xml version="1.0" encoding="utf-8"?>
<a:theme xmlns:a="http://schemas.openxmlformats.org/drawingml/2006/main" name="Henkel Theme">
  <a:themeElements>
    <a:clrScheme name="Custom 4">
      <a:dk1>
        <a:srgbClr val="000000"/>
      </a:dk1>
      <a:lt1>
        <a:srgbClr val="FFFFFF"/>
      </a:lt1>
      <a:dk2>
        <a:srgbClr val="E1000F"/>
      </a:dk2>
      <a:lt2>
        <a:srgbClr val="E6E7E7"/>
      </a:lt2>
      <a:accent1>
        <a:srgbClr val="5F6973"/>
      </a:accent1>
      <a:accent2>
        <a:srgbClr val="AFB4B9"/>
      </a:accent2>
      <a:accent3>
        <a:srgbClr val="00AA75"/>
      </a:accent3>
      <a:accent4>
        <a:srgbClr val="004C79"/>
      </a:accent4>
      <a:accent5>
        <a:srgbClr val="9A141B"/>
      </a:accent5>
      <a:accent6>
        <a:srgbClr val="FFDB23"/>
      </a:accent6>
      <a:hlink>
        <a:srgbClr val="0563C1"/>
      </a:hlink>
      <a:folHlink>
        <a:srgbClr val="954F72"/>
      </a:folHlink>
    </a:clrScheme>
    <a:fontScheme name="Henkel Template">
      <a:majorFont>
        <a:latin typeface="Segoe UI"/>
        <a:ea typeface=""/>
        <a:cs typeface=""/>
      </a:majorFont>
      <a:minorFont>
        <a:latin typeface="Segoe U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rgbClr val="ED1C24"/>
        </a:solidFill>
        <a:ln>
          <a:noFill/>
        </a:ln>
        <a:extLst>
          <a:ext uri="{91240B29-F687-4F45-9708-019B960494DF}">
            <a14:hiddenLine xmlns:a14="http://schemas.microsoft.com/office/drawing/2010/main" w="9525">
              <a:solidFill>
                <a:srgbClr val="000000"/>
              </a:solidFill>
              <a:round/>
              <a:headEnd/>
              <a:tailEnd/>
            </a14:hiddenLine>
          </a:ext>
        </a:extLst>
      </a:spPr>
      <a:bodyPr rot="0" vert="horz" wrap="square" lIns="91440" tIns="45720" rIns="91440" bIns="45720" anchor="t" anchorCtr="0" upright="1">
        <a:noAutofit/>
      </a:bodyPr>
      <a:lstStyle/>
    </a:spDef>
    <a:lnDef>
      <a:spPr bwMode="auto">
        <a:xfrm>
          <a:off x="0" y="0"/>
          <a:ext cx="1" cy="1"/>
        </a:xfrm>
        <a:custGeom>
          <a:avLst/>
          <a:gdLst/>
          <a:ahLst/>
          <a:cxnLst/>
          <a:rect l="0" t="0" r="0" b="0"/>
          <a:pathLst/>
        </a:custGeom>
        <a:solidFill>
          <a:schemeClr val="bg1"/>
        </a:solidFill>
        <a:ln w="9525" cap="flat" cmpd="sng" algn="ctr">
          <a:solidFill>
            <a:schemeClr val="tx1"/>
          </a:solidFill>
          <a:prstDash val="solid"/>
          <a:round/>
          <a:headEnd type="none" w="med" len="med"/>
          <a:tailEnd type="none" w="med" len="med"/>
        </a:ln>
        <a:effectLst/>
        <a:extLst>
          <a:ext uri="{AF507438-7753-43E0-B8FC-AC1667EBCBE1}">
            <a14:hiddenEffects xmlns:a14="http://schemas.microsoft.com/office/drawing/2010/main">
              <a:effectLst>
                <a:outerShdw dist="35921" dir="2700000" algn="ctr" rotWithShape="0">
                  <a:schemeClr val="bg2"/>
                </a:outerShdw>
              </a:effectLst>
            </a14:hiddenEffects>
          </a:ext>
        </a:extLst>
      </a:spPr>
      <a:bodyPr vert="horz" wrap="none" lIns="90000" tIns="46800" rIns="90000" bIns="46800" numCol="1" anchor="ctr" anchorCtr="0" compatLnSpc="1">
        <a:prstTxWarp prst="textNoShape">
          <a:avLst/>
        </a:prstTxWarp>
      </a:bodyPr>
      <a:lstStyle>
        <a:defPPr marL="0" marR="0" indent="0" algn="ctr" defTabSz="914400" rtl="0" eaLnBrk="1" fontAlgn="base" latinLnBrk="0" hangingPunct="1">
          <a:lnSpc>
            <a:spcPct val="105000"/>
          </a:lnSpc>
          <a:spcBef>
            <a:spcPct val="0"/>
          </a:spcBef>
          <a:spcAft>
            <a:spcPct val="0"/>
          </a:spcAft>
          <a:buClr>
            <a:schemeClr val="tx2"/>
          </a:buClr>
          <a:buSzPct val="120000"/>
          <a:buFontTx/>
          <a:buNone/>
          <a:tabLst/>
          <a:defRPr kumimoji="0" lang="de-DE" sz="2000" b="0" i="0" u="none" strike="noStrike" cap="none" normalizeH="0" baseline="0" smtClean="0">
            <a:ln>
              <a:noFill/>
            </a:ln>
            <a:solidFill>
              <a:schemeClr val="tx1"/>
            </a:solidFill>
            <a:effectLst/>
            <a:latin typeface="Arial" charset="0"/>
            <a:cs typeface="Arial" charset="0"/>
          </a:defRPr>
        </a:defPPr>
      </a:lstStyle>
    </a:lnDef>
  </a:objectDefaults>
  <a:extraClrSchemeLst>
    <a:extraClrScheme>
      <a:clrScheme name="Standarddesign 1">
        <a:dk1>
          <a:srgbClr val="000000"/>
        </a:dk1>
        <a:lt1>
          <a:srgbClr val="FFFFFF"/>
        </a:lt1>
        <a:dk2>
          <a:srgbClr val="E1000F"/>
        </a:dk2>
        <a:lt2>
          <a:srgbClr val="CDD2D2"/>
        </a:lt2>
        <a:accent1>
          <a:srgbClr val="AFB4B9"/>
        </a:accent1>
        <a:accent2>
          <a:srgbClr val="828C96"/>
        </a:accent2>
        <a:accent3>
          <a:srgbClr val="FFFFFF"/>
        </a:accent3>
        <a:accent4>
          <a:srgbClr val="000000"/>
        </a:accent4>
        <a:accent5>
          <a:srgbClr val="D4D6D9"/>
        </a:accent5>
        <a:accent6>
          <a:srgbClr val="757E87"/>
        </a:accent6>
        <a:hlink>
          <a:srgbClr val="5F6973"/>
        </a:hlink>
        <a:folHlink>
          <a:srgbClr val="0078C8"/>
        </a:folHlink>
      </a:clrScheme>
      <a:clrMap bg1="lt1" tx1="dk1" bg2="lt2" tx2="dk2" accent1="accent1" accent2="accent2" accent3="accent3" accent4="accent4" accent5="accent5" accent6="accent6" hlink="hlink" folHlink="folHlink"/>
    </a:extraClrScheme>
  </a:extraClrSchemeLst>
  <a:custClrLst>
    <a:custClr name="Henkel Red">
      <a:srgbClr val="E1000F"/>
    </a:custClr>
    <a:custClr name="White">
      <a:srgbClr val="FFFFFF"/>
    </a:custClr>
    <a:custClr name="Black">
      <a:srgbClr val="000000"/>
    </a:custClr>
    <a:custClr name="Grey 1">
      <a:srgbClr val="5F6973"/>
    </a:custClr>
    <a:custClr name="Grey 2">
      <a:srgbClr val="AFB4B9"/>
    </a:custClr>
    <a:custClr name="Grey 3">
      <a:srgbClr val="E6E7E7"/>
    </a:custClr>
    <a:custClr name="Green">
      <a:srgbClr val="00AA75"/>
    </a:custClr>
    <a:custClr name="Blue">
      <a:srgbClr val="004C79"/>
    </a:custClr>
    <a:custClr name="Accent Dark Red">
      <a:srgbClr val="9A141B"/>
    </a:custClr>
    <a:custClr name="Accent Yellow 1">
      <a:srgbClr val="FFDB23"/>
    </a:custClr>
    <a:custClr name="Accent Yellow 2">
      <a:srgbClr val="FCF092"/>
    </a:custClr>
    <a:custClr name="Accent Green">
      <a:srgbClr val="A7DC92"/>
    </a:custClr>
    <a:custClr name="Accent Blue 1">
      <a:srgbClr val="55CAD3"/>
    </a:custClr>
    <a:custClr name="Accent Blue 2">
      <a:srgbClr val="0078C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923908787E94CBDC839863F2DE2A1" ma:contentTypeVersion="21" ma:contentTypeDescription="Create a new document." ma:contentTypeScope="" ma:versionID="97697d01dcfeb8d838bd9a241ab8516e">
  <xsd:schema xmlns:xsd="http://www.w3.org/2001/XMLSchema" xmlns:xs="http://www.w3.org/2001/XMLSchema" xmlns:p="http://schemas.microsoft.com/office/2006/metadata/properties" xmlns:ns2="b83455a2-3eff-41a9-b0ca-e6a97a362aea" xmlns:ns3="c205cc2e-211e-4b61-9cb4-e8f2b9401052" xmlns:ns4="ef406d6b-70e0-427c-b08d-4edfc77771aa" targetNamespace="http://schemas.microsoft.com/office/2006/metadata/properties" ma:root="true" ma:fieldsID="c2f84d62c564344af03991bc2388728b" ns2:_="" ns3:_="" ns4:_="">
    <xsd:import namespace="b83455a2-3eff-41a9-b0ca-e6a97a362aea"/>
    <xsd:import namespace="c205cc2e-211e-4b61-9cb4-e8f2b9401052"/>
    <xsd:import namespace="ef406d6b-70e0-427c-b08d-4edfc77771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455a2-3eff-41a9-b0ca-e6a97a362a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2f792e8-4dad-42c1-ad63-44982727bf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205cc2e-211e-4b61-9cb4-e8f2b940105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406d6b-70e0-427c-b08d-4edfc77771a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953cb4ad-07a8-49a1-b4f0-fc8f58e85a2e}" ma:internalName="TaxCatchAll" ma:showField="CatchAllData" ma:web="c205cc2e-211e-4b61-9cb4-e8f2b94010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406d6b-70e0-427c-b08d-4edfc77771aa" xsi:nil="true"/>
    <lcf76f155ced4ddcb4097134ff3c332f xmlns="b83455a2-3eff-41a9-b0ca-e6a97a362aea">
      <Terms xmlns="http://schemas.microsoft.com/office/infopath/2007/PartnerControls"/>
    </lcf76f155ced4ddcb4097134ff3c332f>
  </documentManagement>
</p:properties>
</file>

<file path=customXml/item4.xml><?xml version="1.0" encoding="utf-8"?>
<?mso-contentType ?>
<SharedContentType xmlns="Microsoft.SharePoint.Taxonomy.ContentTypeSync" SourceId="72f792e8-4dad-42c1-ad63-44982727bf4d" ContentTypeId="0x01" PreviousValue="fals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AE4BE-3FB7-409E-885B-6118921DC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455a2-3eff-41a9-b0ca-e6a97a362aea"/>
    <ds:schemaRef ds:uri="c205cc2e-211e-4b61-9cb4-e8f2b9401052"/>
    <ds:schemaRef ds:uri="ef406d6b-70e0-427c-b08d-4edfc7777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226D13-73FC-4A7A-93C2-AC11939BB4A9}">
  <ds:schemaRefs>
    <ds:schemaRef ds:uri="http://schemas.microsoft.com/sharepoint/v3/contenttype/forms"/>
  </ds:schemaRefs>
</ds:datastoreItem>
</file>

<file path=customXml/itemProps3.xml><?xml version="1.0" encoding="utf-8"?>
<ds:datastoreItem xmlns:ds="http://schemas.openxmlformats.org/officeDocument/2006/customXml" ds:itemID="{F3245D12-BDB4-413F-ABB3-2AF0CF323A38}">
  <ds:schemaRefs>
    <ds:schemaRef ds:uri="http://schemas.microsoft.com/office/2006/metadata/properties"/>
    <ds:schemaRef ds:uri="http://schemas.microsoft.com/office/infopath/2007/PartnerControls"/>
    <ds:schemaRef ds:uri="ef406d6b-70e0-427c-b08d-4edfc77771aa"/>
    <ds:schemaRef ds:uri="b83455a2-3eff-41a9-b0ca-e6a97a362aea"/>
  </ds:schemaRefs>
</ds:datastoreItem>
</file>

<file path=customXml/itemProps4.xml><?xml version="1.0" encoding="utf-8"?>
<ds:datastoreItem xmlns:ds="http://schemas.openxmlformats.org/officeDocument/2006/customXml" ds:itemID="{70E590B4-7A0D-4F62-ACD8-2A023F14A264}">
  <ds:schemaRefs>
    <ds:schemaRef ds:uri="Microsoft.SharePoint.Taxonomy.ContentTypeSync"/>
  </ds:schemaRefs>
</ds:datastoreItem>
</file>

<file path=customXml/itemProps5.xml><?xml version="1.0" encoding="utf-8"?>
<ds:datastoreItem xmlns:ds="http://schemas.openxmlformats.org/officeDocument/2006/customXml" ds:itemID="{E5F5E823-FD9A-4CF5-8C4B-A2151B3E8DB5}">
  <ds:schemaRefs>
    <ds:schemaRef ds:uri="http://schemas.openxmlformats.org/officeDocument/2006/bibliography"/>
  </ds:schemaRefs>
</ds:datastoreItem>
</file>

<file path=docMetadata/LabelInfo.xml><?xml version="1.0" encoding="utf-8"?>
<clbl:labelList xmlns:clbl="http://schemas.microsoft.com/office/2020/mipLabelMetadata">
  <clbl:label id="{e8701075-0d9e-4ea1-991d-5a0d110a5d29}" enabled="0" method="" siteId="{e8701075-0d9e-4ea1-991d-5a0d110a5d29}" removed="1"/>
</clbl:labelList>
</file>

<file path=docProps/app.xml><?xml version="1.0" encoding="utf-8"?>
<Properties xmlns="http://schemas.openxmlformats.org/officeDocument/2006/extended-properties" xmlns:vt="http://schemas.openxmlformats.org/officeDocument/2006/docPropsVTypes">
  <Template>segoe-Henkel-press-release-template-2020-english.dotx</Template>
  <TotalTime>0</TotalTime>
  <Pages>7</Pages>
  <Words>3300</Words>
  <Characters>18814</Characters>
  <Application>Microsoft Office Word</Application>
  <DocSecurity>0</DocSecurity>
  <Lines>156</Lines>
  <Paragraphs>44</Paragraphs>
  <ScaleCrop>false</ScaleCrop>
  <HeadingPairs>
    <vt:vector size="2" baseType="variant">
      <vt:variant>
        <vt:lpstr>Titel</vt:lpstr>
      </vt:variant>
      <vt:variant>
        <vt:i4>1</vt:i4>
      </vt:variant>
    </vt:vector>
  </HeadingPairs>
  <TitlesOfParts>
    <vt:vector size="1" baseType="lpstr">
      <vt:lpstr>Pressemitteilung</vt:lpstr>
    </vt:vector>
  </TitlesOfParts>
  <Company>Henkel AG &amp; Co. KGaA</Company>
  <LinksUpToDate>false</LinksUpToDate>
  <CharactersWithSpaces>22070</CharactersWithSpaces>
  <SharedDoc>false</SharedDoc>
  <HLinks>
    <vt:vector size="66" baseType="variant">
      <vt:variant>
        <vt:i4>6946937</vt:i4>
      </vt:variant>
      <vt:variant>
        <vt:i4>30</vt:i4>
      </vt:variant>
      <vt:variant>
        <vt:i4>0</vt:i4>
      </vt:variant>
      <vt:variant>
        <vt:i4>5</vt:i4>
      </vt:variant>
      <vt:variant>
        <vt:lpwstr>http://www.henkel.de/ir</vt:lpwstr>
      </vt:variant>
      <vt:variant>
        <vt:lpwstr/>
      </vt:variant>
      <vt:variant>
        <vt:i4>6619256</vt:i4>
      </vt:variant>
      <vt:variant>
        <vt:i4>27</vt:i4>
      </vt:variant>
      <vt:variant>
        <vt:i4>0</vt:i4>
      </vt:variant>
      <vt:variant>
        <vt:i4>5</vt:i4>
      </vt:variant>
      <vt:variant>
        <vt:lpwstr>http://www.henkel.de/presse</vt:lpwstr>
      </vt:variant>
      <vt:variant>
        <vt:lpwstr/>
      </vt:variant>
      <vt:variant>
        <vt:i4>2228305</vt:i4>
      </vt:variant>
      <vt:variant>
        <vt:i4>24</vt:i4>
      </vt:variant>
      <vt:variant>
        <vt:i4>0</vt:i4>
      </vt:variant>
      <vt:variant>
        <vt:i4>5</vt:i4>
      </vt:variant>
      <vt:variant>
        <vt:lpwstr>mailto:linda.gehring@henkel.com</vt:lpwstr>
      </vt:variant>
      <vt:variant>
        <vt:lpwstr/>
      </vt:variant>
      <vt:variant>
        <vt:i4>7208970</vt:i4>
      </vt:variant>
      <vt:variant>
        <vt:i4>21</vt:i4>
      </vt:variant>
      <vt:variant>
        <vt:i4>0</vt:i4>
      </vt:variant>
      <vt:variant>
        <vt:i4>5</vt:i4>
      </vt:variant>
      <vt:variant>
        <vt:lpwstr>mailto:dennis.starke@henkel.com</vt:lpwstr>
      </vt:variant>
      <vt:variant>
        <vt:lpwstr/>
      </vt:variant>
      <vt:variant>
        <vt:i4>2687054</vt:i4>
      </vt:variant>
      <vt:variant>
        <vt:i4>18</vt:i4>
      </vt:variant>
      <vt:variant>
        <vt:i4>0</vt:i4>
      </vt:variant>
      <vt:variant>
        <vt:i4>5</vt:i4>
      </vt:variant>
      <vt:variant>
        <vt:lpwstr>mailto:hanna.philipps@henkel.com</vt:lpwstr>
      </vt:variant>
      <vt:variant>
        <vt:lpwstr/>
      </vt:variant>
      <vt:variant>
        <vt:i4>1835116</vt:i4>
      </vt:variant>
      <vt:variant>
        <vt:i4>15</vt:i4>
      </vt:variant>
      <vt:variant>
        <vt:i4>0</vt:i4>
      </vt:variant>
      <vt:variant>
        <vt:i4>5</vt:i4>
      </vt:variant>
      <vt:variant>
        <vt:lpwstr>mailto:jennifer.ott@henkel.com</vt:lpwstr>
      </vt:variant>
      <vt:variant>
        <vt:lpwstr/>
      </vt:variant>
      <vt:variant>
        <vt:i4>7667735</vt:i4>
      </vt:variant>
      <vt:variant>
        <vt:i4>12</vt:i4>
      </vt:variant>
      <vt:variant>
        <vt:i4>0</vt:i4>
      </vt:variant>
      <vt:variant>
        <vt:i4>5</vt:i4>
      </vt:variant>
      <vt:variant>
        <vt:lpwstr>mailto:wulf.klueppelholz@henkel.com</vt:lpwstr>
      </vt:variant>
      <vt:variant>
        <vt:lpwstr/>
      </vt:variant>
      <vt:variant>
        <vt:i4>7602201</vt:i4>
      </vt:variant>
      <vt:variant>
        <vt:i4>9</vt:i4>
      </vt:variant>
      <vt:variant>
        <vt:i4>0</vt:i4>
      </vt:variant>
      <vt:variant>
        <vt:i4>5</vt:i4>
      </vt:variant>
      <vt:variant>
        <vt:lpwstr>mailto:manuel.boesing@henkel.com</vt:lpwstr>
      </vt:variant>
      <vt:variant>
        <vt:lpwstr/>
      </vt:variant>
      <vt:variant>
        <vt:i4>119</vt:i4>
      </vt:variant>
      <vt:variant>
        <vt:i4>6</vt:i4>
      </vt:variant>
      <vt:variant>
        <vt:i4>0</vt:i4>
      </vt:variant>
      <vt:variant>
        <vt:i4>5</vt:i4>
      </vt:variant>
      <vt:variant>
        <vt:lpwstr>mailto:lars.witteck@henkel.com</vt:lpwstr>
      </vt:variant>
      <vt:variant>
        <vt:lpwstr/>
      </vt:variant>
      <vt:variant>
        <vt:i4>786533</vt:i4>
      </vt:variant>
      <vt:variant>
        <vt:i4>3</vt:i4>
      </vt:variant>
      <vt:variant>
        <vt:i4>0</vt:i4>
      </vt:variant>
      <vt:variant>
        <vt:i4>5</vt:i4>
      </vt:variant>
      <vt:variant>
        <vt:lpwstr>mailto:lars.korinth@henkel.com</vt:lpwstr>
      </vt:variant>
      <vt:variant>
        <vt:lpwstr/>
      </vt:variant>
      <vt:variant>
        <vt:i4>196694</vt:i4>
      </vt:variant>
      <vt:variant>
        <vt:i4>0</vt:i4>
      </vt:variant>
      <vt:variant>
        <vt:i4>0</vt:i4>
      </vt:variant>
      <vt:variant>
        <vt:i4>5</vt:i4>
      </vt:variant>
      <vt:variant>
        <vt:lpwstr>http://www.henkel.de/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Henkel</dc:creator>
  <cp:keywords/>
  <dc:description/>
  <cp:lastModifiedBy>Elena Fina</cp:lastModifiedBy>
  <cp:revision>25</cp:revision>
  <cp:lastPrinted>2026-02-11T08:17:00Z</cp:lastPrinted>
  <dcterms:created xsi:type="dcterms:W3CDTF">2026-08-06T08:36:00Z</dcterms:created>
  <dcterms:modified xsi:type="dcterms:W3CDTF">2026-08-06T09:29:00Z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0x010100242923908787E94CBDC839863F2DE2A1</vt:lpwstr>
  </property>
  <property fmtid="{D5CDD505-2E9C-101B-9397-08002B2CF9AE}" pid="3" name="MediaServiceImageTags">
    <vt:lpwstr/>
  </property>
</Properties>
</file>