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7C4F" w14:textId="7E24D0C0" w:rsidR="00B422EC" w:rsidRPr="003A582E" w:rsidRDefault="425ED5EA" w:rsidP="4C31A228">
      <w:pPr>
        <w:pStyle w:val="MonthDayYear"/>
        <w:tabs>
          <w:tab w:val="left" w:pos="2469"/>
          <w:tab w:val="right" w:pos="9086"/>
        </w:tabs>
        <w:rPr>
          <w:lang w:val="pl-PL"/>
        </w:rPr>
      </w:pPr>
      <w:r w:rsidRPr="003A582E">
        <w:rPr>
          <w:lang w:val="pl-PL"/>
        </w:rPr>
        <w:t>6</w:t>
      </w:r>
      <w:r w:rsidR="0C954BD5" w:rsidRPr="003A582E">
        <w:rPr>
          <w:lang w:val="pl-PL"/>
        </w:rPr>
        <w:t xml:space="preserve"> </w:t>
      </w:r>
      <w:r w:rsidR="684ADD0A" w:rsidRPr="003A582E">
        <w:rPr>
          <w:lang w:val="pl-PL"/>
        </w:rPr>
        <w:t>sierpni</w:t>
      </w:r>
      <w:r w:rsidR="0C954BD5" w:rsidRPr="003A582E">
        <w:rPr>
          <w:lang w:val="pl-PL"/>
        </w:rPr>
        <w:t>a</w:t>
      </w:r>
      <w:r w:rsidR="1634A0FF" w:rsidRPr="003A582E">
        <w:rPr>
          <w:lang w:val="pl-PL"/>
        </w:rPr>
        <w:t xml:space="preserve"> </w:t>
      </w:r>
      <w:r w:rsidR="71233382" w:rsidRPr="003A582E">
        <w:rPr>
          <w:lang w:val="pl-PL"/>
        </w:rPr>
        <w:t>20</w:t>
      </w:r>
      <w:r w:rsidR="17F4AB47" w:rsidRPr="003A582E">
        <w:rPr>
          <w:lang w:val="pl-PL"/>
        </w:rPr>
        <w:t>2</w:t>
      </w:r>
      <w:r w:rsidRPr="003A582E">
        <w:rPr>
          <w:lang w:val="pl-PL"/>
        </w:rPr>
        <w:t>6</w:t>
      </w:r>
      <w:r w:rsidR="47EEF81F" w:rsidRPr="003A582E">
        <w:rPr>
          <w:lang w:val="pl-PL"/>
        </w:rPr>
        <w:t xml:space="preserve"> r.</w:t>
      </w:r>
    </w:p>
    <w:p w14:paraId="1672CD0C" w14:textId="77777777" w:rsidR="00A146FE" w:rsidRPr="003A582E" w:rsidRDefault="00A146FE" w:rsidP="005855C9">
      <w:pPr>
        <w:pStyle w:val="MonthDayYear"/>
        <w:tabs>
          <w:tab w:val="left" w:pos="2469"/>
          <w:tab w:val="right" w:pos="9086"/>
        </w:tabs>
        <w:jc w:val="left"/>
        <w:rPr>
          <w:lang w:val="pl-PL"/>
        </w:rPr>
      </w:pPr>
    </w:p>
    <w:p w14:paraId="15F5C171" w14:textId="2390806E" w:rsidR="7170976B" w:rsidRPr="003A582E" w:rsidRDefault="7170976B">
      <w:pPr>
        <w:rPr>
          <w:lang w:val="pl-PL"/>
        </w:rPr>
      </w:pPr>
      <w:r w:rsidRPr="003A582E">
        <w:rPr>
          <w:rStyle w:val="Headline"/>
          <w:b w:val="0"/>
          <w:bCs w:val="0"/>
          <w:sz w:val="22"/>
          <w:szCs w:val="22"/>
          <w:lang w:val="pl-PL"/>
        </w:rPr>
        <w:t>Henkel konsekwentnie realizuje strategię wzrostu: inwestycje w marki, innowacje oraz fuzje i przejęcia</w:t>
      </w:r>
      <w:r w:rsidR="00C837BA">
        <w:rPr>
          <w:rStyle w:val="Headline"/>
          <w:b w:val="0"/>
          <w:bCs w:val="0"/>
          <w:sz w:val="22"/>
          <w:szCs w:val="22"/>
          <w:lang w:val="pl-PL"/>
        </w:rPr>
        <w:br/>
      </w:r>
    </w:p>
    <w:p w14:paraId="63B4591D" w14:textId="3DB69452" w:rsidR="7170976B" w:rsidRDefault="7170976B">
      <w:pPr>
        <w:rPr>
          <w:rStyle w:val="Headline"/>
          <w:lang w:val="pl-PL"/>
        </w:rPr>
      </w:pPr>
      <w:r w:rsidRPr="003A582E">
        <w:rPr>
          <w:rStyle w:val="Headline"/>
          <w:lang w:val="pl-PL"/>
        </w:rPr>
        <w:t>Henkel odnotował dobre wyniki sprzedaży i zysków w pierwszym półroczu oraz podwyższył prognozę wzrostu przychodów na 2026 rok</w:t>
      </w:r>
    </w:p>
    <w:p w14:paraId="57C997AC" w14:textId="77777777" w:rsidR="005F6722" w:rsidRPr="003A582E" w:rsidRDefault="005F6722">
      <w:pPr>
        <w:rPr>
          <w:lang w:val="pl-PL"/>
        </w:rPr>
      </w:pPr>
    </w:p>
    <w:p w14:paraId="6841A0DB" w14:textId="382BF9ED" w:rsidR="01F74B6E" w:rsidRPr="003A582E" w:rsidRDefault="01F74B6E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Sprzedaż Grupy w pierwszym półroczu wzrosła na poziomie organicznym o 3,2 proc., osiągając 10,3 mld euro.</w:t>
      </w:r>
    </w:p>
    <w:p w14:paraId="23D20C90" w14:textId="3E885101" w:rsidR="01F74B6E" w:rsidRPr="003A582E" w:rsidRDefault="01F74B6E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Silny wzrost wspierany jest przez dodatnią dynamikę cen i wolumenów we wszystkich jednostkach biznesowych</w:t>
      </w:r>
    </w:p>
    <w:p w14:paraId="01F9F676" w14:textId="17DBF774" w:rsidR="01F74B6E" w:rsidRPr="003A582E" w:rsidRDefault="01F74B6E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Zysk operacyjny (EBIT)* wzrósł do 1 620 mln euro (+0,3 proc.)</w:t>
      </w:r>
    </w:p>
    <w:p w14:paraId="0DA98FCF" w14:textId="044704CB" w:rsidR="1326F8F7" w:rsidRPr="003A582E" w:rsidRDefault="1326F8F7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Wysoka marża EBIT na poziomie 15,7 proc. (+10 punktów bazowych), osiągnięta dzięki dobrym wynikom obu jednostek biznesowych, potwierdza siłę działalności Grupy</w:t>
      </w:r>
    </w:p>
    <w:p w14:paraId="458A5E7D" w14:textId="63C67066" w:rsidR="1326F8F7" w:rsidRPr="003A582E" w:rsidRDefault="1326F8F7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Zysk na akcję uprzywilejowaną (EPS)*</w:t>
      </w:r>
      <w:r w:rsidR="003A582E">
        <w:rPr>
          <w:rStyle w:val="Odwoanieprzypisudolnego"/>
          <w:rFonts w:ascii="Segoe UI" w:eastAsia="Segoe UI" w:hAnsi="Segoe UI" w:cs="Segoe UI"/>
          <w:b/>
          <w:bCs/>
        </w:rPr>
        <w:footnoteReference w:id="2"/>
      </w:r>
      <w:r w:rsidRPr="003A582E">
        <w:rPr>
          <w:rFonts w:ascii="Segoe UI" w:eastAsia="Segoe UI" w:hAnsi="Segoe UI" w:cs="Segoe UI"/>
          <w:b/>
          <w:bCs/>
        </w:rPr>
        <w:t xml:space="preserve"> wzrósł do 2,86 euro, co oznacza wzrost o 7,1 proc. przy stałych kursach walut</w:t>
      </w:r>
    </w:p>
    <w:p w14:paraId="3648F1EE" w14:textId="246C57DE" w:rsidR="318575F2" w:rsidRPr="003A582E" w:rsidRDefault="318575F2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 xml:space="preserve">W pierwszym półroczu strategia wzrostu poprzez fuzje i przejęcia (M&amp;A) została skutecznie zrealizowana, a jej pierwsze pozytywne efekty </w:t>
      </w:r>
      <w:r w:rsidR="75B0548C" w:rsidRPr="003A582E">
        <w:rPr>
          <w:rFonts w:ascii="Segoe UI" w:eastAsia="Segoe UI" w:hAnsi="Segoe UI" w:cs="Segoe UI"/>
          <w:b/>
          <w:bCs/>
        </w:rPr>
        <w:t>w postaci wzrostu sprzedaży i wyników finansowych</w:t>
      </w:r>
      <w:r w:rsidRPr="003A582E">
        <w:rPr>
          <w:rFonts w:ascii="Segoe UI" w:eastAsia="Segoe UI" w:hAnsi="Segoe UI" w:cs="Segoe UI"/>
          <w:b/>
          <w:bCs/>
        </w:rPr>
        <w:t xml:space="preserve"> były widoczne już w 2026 roku</w:t>
      </w:r>
    </w:p>
    <w:p w14:paraId="5580C910" w14:textId="0F77DE44" w:rsidR="4F4BDDC1" w:rsidRPr="003A582E" w:rsidRDefault="4F4BDDC1" w:rsidP="005F6722">
      <w:pPr>
        <w:pStyle w:val="Akapitzlist"/>
        <w:numPr>
          <w:ilvl w:val="0"/>
          <w:numId w:val="16"/>
        </w:numPr>
        <w:rPr>
          <w:rFonts w:ascii="Segoe UI" w:eastAsia="Segoe UI" w:hAnsi="Segoe UI" w:cs="Segoe UI"/>
          <w:b/>
          <w:bCs/>
        </w:rPr>
      </w:pPr>
      <w:r w:rsidRPr="003A582E">
        <w:rPr>
          <w:rFonts w:ascii="Segoe UI" w:eastAsia="Segoe UI" w:hAnsi="Segoe UI" w:cs="Segoe UI"/>
          <w:b/>
          <w:bCs/>
        </w:rPr>
        <w:t>Prognoza na rok obrotowy 2026:</w:t>
      </w:r>
      <w:r w:rsidR="425ED5EA" w:rsidRPr="003A582E">
        <w:rPr>
          <w:rFonts w:ascii="Segoe UI" w:eastAsia="Segoe UI" w:hAnsi="Segoe UI" w:cs="Segoe UI"/>
          <w:b/>
          <w:bCs/>
        </w:rPr>
        <w:t xml:space="preserve"> </w:t>
      </w:r>
      <w:r w:rsidR="68D85FB4" w:rsidRPr="003A582E">
        <w:rPr>
          <w:rFonts w:ascii="Segoe UI" w:eastAsia="Segoe UI" w:hAnsi="Segoe UI" w:cs="Segoe UI"/>
          <w:b/>
          <w:bCs/>
        </w:rPr>
        <w:t>Podwyższenie oczekiwań dotyczących wzrostu przychodów Grupy oraz jednostki biznesowej Adhesive Technologies</w:t>
      </w:r>
    </w:p>
    <w:p w14:paraId="3B0C7036" w14:textId="692604ED" w:rsidR="00E0002A" w:rsidRDefault="3882B41C" w:rsidP="005F6722">
      <w:pPr>
        <w:pStyle w:val="Akapitzlist"/>
        <w:numPr>
          <w:ilvl w:val="1"/>
          <w:numId w:val="17"/>
        </w:numPr>
        <w:rPr>
          <w:rFonts w:ascii="Segoe UI" w:eastAsia="Segoe UI" w:hAnsi="Segoe UI" w:cs="Segoe UI"/>
          <w:lang w:val="en-US"/>
        </w:rPr>
      </w:pPr>
      <w:r w:rsidRPr="003A582E">
        <w:rPr>
          <w:rFonts w:ascii="Segoe UI" w:eastAsia="Segoe UI" w:hAnsi="Segoe UI" w:cs="Segoe UI"/>
        </w:rPr>
        <w:t xml:space="preserve">Wzrost sprzedaży organicznej: od 1,5 do 3,5 proc. </w:t>
      </w:r>
      <w:r w:rsidRPr="216EED35">
        <w:rPr>
          <w:rFonts w:ascii="Segoe UI" w:eastAsia="Segoe UI" w:hAnsi="Segoe UI" w:cs="Segoe UI"/>
          <w:lang w:val="en-US"/>
        </w:rPr>
        <w:t>(</w:t>
      </w:r>
      <w:proofErr w:type="spellStart"/>
      <w:r w:rsidRPr="216EED35">
        <w:rPr>
          <w:rFonts w:ascii="Segoe UI" w:eastAsia="Segoe UI" w:hAnsi="Segoe UI" w:cs="Segoe UI"/>
          <w:lang w:val="en-US"/>
        </w:rPr>
        <w:t>wcześniej</w:t>
      </w:r>
      <w:proofErr w:type="spellEnd"/>
      <w:r w:rsidRPr="216EED35">
        <w:rPr>
          <w:rFonts w:ascii="Segoe UI" w:eastAsia="Segoe UI" w:hAnsi="Segoe UI" w:cs="Segoe UI"/>
          <w:lang w:val="en-US"/>
        </w:rPr>
        <w:t xml:space="preserve">: od 1,0 </w:t>
      </w:r>
      <w:proofErr w:type="spellStart"/>
      <w:r w:rsidRPr="216EED35">
        <w:rPr>
          <w:rFonts w:ascii="Segoe UI" w:eastAsia="Segoe UI" w:hAnsi="Segoe UI" w:cs="Segoe UI"/>
          <w:lang w:val="en-US"/>
        </w:rPr>
        <w:t>do</w:t>
      </w:r>
      <w:proofErr w:type="spellEnd"/>
      <w:r w:rsidRPr="216EED35">
        <w:rPr>
          <w:rFonts w:ascii="Segoe UI" w:eastAsia="Segoe UI" w:hAnsi="Segoe UI" w:cs="Segoe UI"/>
          <w:lang w:val="en-US"/>
        </w:rPr>
        <w:t xml:space="preserve"> 3,0 proc.)</w:t>
      </w:r>
    </w:p>
    <w:p w14:paraId="13CC2B36" w14:textId="544E274C" w:rsidR="3882B41C" w:rsidRPr="003A582E" w:rsidRDefault="3882B41C" w:rsidP="005F6722">
      <w:pPr>
        <w:pStyle w:val="Akapitzlist"/>
        <w:numPr>
          <w:ilvl w:val="1"/>
          <w:numId w:val="17"/>
        </w:numPr>
        <w:rPr>
          <w:rFonts w:ascii="Segoe UI" w:eastAsia="Segoe UI" w:hAnsi="Segoe UI" w:cs="Segoe UI"/>
        </w:rPr>
      </w:pPr>
      <w:r w:rsidRPr="003A582E">
        <w:rPr>
          <w:rFonts w:ascii="Segoe UI" w:eastAsia="Segoe UI" w:hAnsi="Segoe UI" w:cs="Segoe UI"/>
        </w:rPr>
        <w:t>Skorygowana rentowność sprzedaży: od 14,5 do 16,0 proc.</w:t>
      </w:r>
    </w:p>
    <w:p w14:paraId="44AC3C27" w14:textId="6FCF4087" w:rsidR="00647839" w:rsidRPr="003A582E" w:rsidRDefault="7107433F" w:rsidP="005F6722">
      <w:pPr>
        <w:pStyle w:val="Akapitzlist"/>
        <w:numPr>
          <w:ilvl w:val="1"/>
          <w:numId w:val="17"/>
        </w:numPr>
        <w:rPr>
          <w:rFonts w:ascii="Segoe UI" w:eastAsia="Segoe UI" w:hAnsi="Segoe UI" w:cs="Segoe UI"/>
        </w:rPr>
      </w:pPr>
      <w:r w:rsidRPr="216EED35">
        <w:rPr>
          <w:rFonts w:ascii="Segoe UI" w:eastAsia="Segoe UI" w:hAnsi="Segoe UI" w:cs="Segoe UI"/>
        </w:rPr>
        <w:t>Skorygowany zysk na akcję uprzywilejowaną (EPS): wzrost w przedziale od niskiego do wysokiego jednocyfrowego poziomu procentowego (przy stałych kursach walut)</w:t>
      </w:r>
      <w:r w:rsidR="00E0002A">
        <w:br/>
      </w:r>
    </w:p>
    <w:p w14:paraId="2B2F1C36" w14:textId="251FA4E9" w:rsidR="00E0002A" w:rsidRDefault="4D341CB8" w:rsidP="00E0002A">
      <w:pPr>
        <w:rPr>
          <w:rFonts w:cs="Segoe UI"/>
          <w:lang w:val="pl-PL"/>
        </w:rPr>
      </w:pPr>
      <w:r w:rsidRPr="003A582E">
        <w:rPr>
          <w:rFonts w:cs="Segoe UI"/>
          <w:lang w:val="pl-PL"/>
        </w:rPr>
        <w:lastRenderedPageBreak/>
        <w:t>Henkel odnotował silny wzrost sprzedaży organicznej oraz bardzo dobre wyniki finansowe w pierwszym półroczu 2026 roku, pomimo utrzymującego się wymagającego otoczenia gospodarczego.</w:t>
      </w:r>
    </w:p>
    <w:p w14:paraId="2B31515C" w14:textId="77777777" w:rsidR="005F6722" w:rsidRPr="003A582E" w:rsidRDefault="005F6722" w:rsidP="00E0002A">
      <w:pPr>
        <w:rPr>
          <w:lang w:val="pl-PL"/>
        </w:rPr>
      </w:pPr>
    </w:p>
    <w:p w14:paraId="654B8AE8" w14:textId="17949102" w:rsidR="0096730F" w:rsidRPr="003A582E" w:rsidRDefault="0096730F" w:rsidP="6514E4B7">
      <w:pPr>
        <w:rPr>
          <w:rFonts w:eastAsia="Segoe UI" w:cs="Segoe UI"/>
          <w:szCs w:val="22"/>
          <w:lang w:val="pl-PL"/>
        </w:rPr>
      </w:pPr>
      <w:r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Pr="003A582E">
        <w:rPr>
          <w:rFonts w:eastAsia="Segoe UI" w:cs="Segoe UI"/>
          <w:color w:val="000000" w:themeColor="text1"/>
          <w:szCs w:val="22"/>
          <w:lang w:val="pl-PL"/>
        </w:rPr>
        <w:t xml:space="preserve"> </w:t>
      </w:r>
      <w:r w:rsidRPr="003A582E">
        <w:rPr>
          <w:rFonts w:eastAsia="Segoe UI" w:cs="Segoe UI"/>
          <w:i/>
          <w:iCs/>
          <w:color w:val="000000" w:themeColor="text1"/>
          <w:szCs w:val="22"/>
          <w:lang w:val="pl-PL"/>
        </w:rPr>
        <w:t xml:space="preserve">Wzrost sprzedaży organicznej po raz kolejny był napędzany przez obie jednostki biznesowe, z których każda odnotowała dodatnią dynamikę cen i wolumenów. W jednostce biznesowej Adhesive Technologies </w:t>
      </w:r>
      <w:r w:rsidR="25B33B54" w:rsidRPr="003A582E">
        <w:rPr>
          <w:rFonts w:eastAsia="Segoe UI" w:cs="Segoe UI"/>
          <w:i/>
          <w:iCs/>
          <w:color w:val="000000" w:themeColor="text1"/>
          <w:szCs w:val="22"/>
          <w:lang w:val="pl-PL"/>
        </w:rPr>
        <w:t>(kleje budowlane i konsumenckie oraz kleje i technologie dla przemysłu)</w:t>
      </w:r>
      <w:r w:rsidRPr="003A582E">
        <w:rPr>
          <w:rFonts w:eastAsia="Segoe UI" w:cs="Segoe UI"/>
          <w:i/>
          <w:iCs/>
          <w:color w:val="000000" w:themeColor="text1"/>
          <w:szCs w:val="22"/>
          <w:lang w:val="pl-PL"/>
        </w:rPr>
        <w:t xml:space="preserve"> poprawę wyników sprzedaży i zysków dodatkowo wspierała konsekwentna i sprawna realizacja działań w zakresie polityki cenowej, mających na celu zniwelowanie presji wynikającej ze wzrostu cen surowców</w:t>
      </w:r>
      <w:r w:rsidRPr="003A582E">
        <w:rPr>
          <w:rFonts w:eastAsia="Segoe UI" w:cs="Segoe UI"/>
          <w:color w:val="000000" w:themeColor="text1"/>
          <w:szCs w:val="22"/>
          <w:lang w:val="pl-PL"/>
        </w:rPr>
        <w:t xml:space="preserve"> – powiedział prezes zarządu Henkel Carsten Knobel.</w:t>
      </w:r>
    </w:p>
    <w:p w14:paraId="3251CF6E" w14:textId="5FD8CE01" w:rsidR="00E0002A" w:rsidRPr="003A582E" w:rsidRDefault="00E0002A" w:rsidP="00E0002A">
      <w:pPr>
        <w:rPr>
          <w:rFonts w:cs="Segoe UI"/>
          <w:lang w:val="pl-PL"/>
        </w:rPr>
      </w:pPr>
    </w:p>
    <w:p w14:paraId="25CE112F" w14:textId="527FBFF0" w:rsidR="00E0002A" w:rsidRPr="003A582E" w:rsidRDefault="4D4CB328" w:rsidP="6514E4B7">
      <w:pPr>
        <w:rPr>
          <w:rFonts w:cs="Segoe UI"/>
          <w:i/>
          <w:iCs/>
          <w:lang w:val="pl-PL"/>
        </w:rPr>
      </w:pPr>
      <w:r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Pr="003A582E">
        <w:rPr>
          <w:rFonts w:cs="Segoe UI"/>
          <w:lang w:val="pl-PL"/>
        </w:rPr>
        <w:t xml:space="preserve"> </w:t>
      </w:r>
      <w:r w:rsidRPr="003A582E">
        <w:rPr>
          <w:rFonts w:cs="Segoe UI"/>
          <w:i/>
          <w:iCs/>
          <w:lang w:val="pl-PL"/>
        </w:rPr>
        <w:t xml:space="preserve">W sektorze Consumer Brands (marki konsumenckie) obszar biznesowy Hair (produkty do pielęgnacji włosów) kontynuował bardzo silną ścieżkę wzrostu, a </w:t>
      </w:r>
      <w:r w:rsidR="5221A5C4" w:rsidRPr="003A582E">
        <w:rPr>
          <w:rFonts w:cs="Segoe UI"/>
          <w:i/>
          <w:iCs/>
          <w:lang w:val="pl-PL"/>
        </w:rPr>
        <w:t xml:space="preserve">segment </w:t>
      </w:r>
      <w:r w:rsidRPr="003A582E">
        <w:rPr>
          <w:rFonts w:cs="Segoe UI"/>
          <w:i/>
          <w:iCs/>
          <w:lang w:val="pl-PL"/>
        </w:rPr>
        <w:t xml:space="preserve">Laundry Care (środki piorące) </w:t>
      </w:r>
      <w:r w:rsidR="0018AFAA" w:rsidRPr="003A582E">
        <w:rPr>
          <w:rFonts w:cs="Segoe UI"/>
          <w:i/>
          <w:iCs/>
          <w:lang w:val="pl-PL"/>
        </w:rPr>
        <w:t>ponownie od</w:t>
      </w:r>
      <w:r w:rsidR="00B0573E">
        <w:rPr>
          <w:rFonts w:cs="Segoe UI"/>
          <w:i/>
          <w:iCs/>
          <w:lang w:val="pl-PL"/>
        </w:rPr>
        <w:t>n</w:t>
      </w:r>
      <w:r w:rsidR="0018AFAA" w:rsidRPr="003A582E">
        <w:rPr>
          <w:rFonts w:cs="Segoe UI"/>
          <w:i/>
          <w:iCs/>
          <w:lang w:val="pl-PL"/>
        </w:rPr>
        <w:t>otował wzrost.</w:t>
      </w:r>
    </w:p>
    <w:p w14:paraId="6D760912" w14:textId="77777777" w:rsidR="00E0002A" w:rsidRPr="003A582E" w:rsidRDefault="00E0002A" w:rsidP="00E0002A">
      <w:pPr>
        <w:rPr>
          <w:rFonts w:cs="Segoe UI"/>
          <w:lang w:val="pl-PL"/>
        </w:rPr>
      </w:pPr>
    </w:p>
    <w:p w14:paraId="6446DEF0" w14:textId="316A854B" w:rsidR="00E0002A" w:rsidRPr="003A582E" w:rsidRDefault="0018AFAA" w:rsidP="6514E4B7">
      <w:pPr>
        <w:rPr>
          <w:lang w:val="pl-PL"/>
        </w:rPr>
      </w:pPr>
      <w:r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Pr="003A582E">
        <w:rPr>
          <w:rFonts w:cs="Segoe UI"/>
          <w:lang w:val="pl-PL"/>
        </w:rPr>
        <w:t xml:space="preserve"> </w:t>
      </w:r>
      <w:r w:rsidR="442064BA" w:rsidRPr="003A582E">
        <w:rPr>
          <w:rFonts w:cs="Segoe UI"/>
          <w:i/>
          <w:iCs/>
          <w:lang w:val="pl-PL"/>
        </w:rPr>
        <w:t xml:space="preserve">Konsekwentnie realizujemy naszą strategię z wyraźnym naciskiem na ukierunkowany wzrost, a nasze wyniki pokazują sukces tego podejścia. W pierwszej połowie roku osiągnęliśmy bardzo dobre ogólne wyniki biznesowe, kontynuując przy tym znaczące inwestycje w naszą przyszłość, w tym w nasze marki, technologie i innowacje. Ponadto znacząco przyspieszyliśmy nasze działania w zakresie fuzji i przejęć (M&amp;A). Uzgodniliśmy pięć przejęć o łącznej wartości około 5 mld euro, które znacząco wzmocnią nasze oba sektory biznesowe. Cztery z tych transakcji zostały już sfinalizowane. Oczekuje się, że w nadchodzących latach przejęte działalności zapewnią ponadprzeciętny wzrost w średnim i wysokim jednocyfrowym przedziale procentowym oraz przyczynią się do dodatkowej rocznej sprzedaży na poziomie około 2 mld euro. Stanowi to kolejny </w:t>
      </w:r>
      <w:r w:rsidR="3505D968" w:rsidRPr="003A582E">
        <w:rPr>
          <w:rFonts w:cs="Segoe UI"/>
          <w:i/>
          <w:iCs/>
          <w:lang w:val="pl-PL"/>
        </w:rPr>
        <w:t>ważny krok w konsekwentnej realizacji naszej strategii zrównoważonego wzrostu</w:t>
      </w:r>
      <w:r w:rsidR="00E0002A" w:rsidRPr="003A582E">
        <w:rPr>
          <w:rFonts w:cs="Segoe UI"/>
          <w:lang w:val="pl-PL"/>
        </w:rPr>
        <w:t xml:space="preserve"> </w:t>
      </w:r>
      <w:r w:rsidR="2EB77F1E"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="2EB77F1E" w:rsidRPr="003A582E">
        <w:rPr>
          <w:rFonts w:cs="Segoe UI"/>
          <w:lang w:val="pl-PL"/>
        </w:rPr>
        <w:t xml:space="preserve"> kontynuował Carsten Knobel.</w:t>
      </w:r>
    </w:p>
    <w:p w14:paraId="0DE39081" w14:textId="77777777" w:rsidR="00E0002A" w:rsidRPr="003A582E" w:rsidRDefault="00E0002A" w:rsidP="00E0002A">
      <w:pPr>
        <w:rPr>
          <w:rFonts w:cs="Segoe UI"/>
          <w:lang w:val="pl-PL"/>
        </w:rPr>
      </w:pPr>
    </w:p>
    <w:p w14:paraId="0062A977" w14:textId="030D0C5E" w:rsidR="1481C9FA" w:rsidRPr="003A582E" w:rsidRDefault="2EB77F1E" w:rsidP="6514E4B7">
      <w:pPr>
        <w:rPr>
          <w:rFonts w:cs="Segoe UI"/>
          <w:lang w:val="pl-PL"/>
        </w:rPr>
      </w:pPr>
      <w:r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="4263E357" w:rsidRPr="6514E4B7">
        <w:rPr>
          <w:rFonts w:eastAsia="Segoe UI" w:cs="Segoe UI"/>
          <w:i/>
          <w:iCs/>
          <w:color w:val="000000" w:themeColor="text1"/>
          <w:szCs w:val="22"/>
          <w:lang w:val="pl"/>
        </w:rPr>
        <w:t xml:space="preserve"> W oparciu o nasze silne wyniki w pierwszej połowie roku podwyższyliśmy nasze oczekiwania dotyczące przychodów zarówno dla całej Grupy, jak i sektora biznesowego Adhesive Technologies (kleje budowlane i konsumenckie oraz kleje i technologie dla przemysłu). Na poziomie Grupy oczekujemy obecnie organicznego wzrostu sprzedaży na poziomie od 1,5 do 3,5 procent, w porównaniu z naszą poprzednią prognozą od 1 do 3 procent. Dla sektora Adhesive Technologies (kleje budowlane i konsumenckie oraz kleje i technologie dla przemysłu) podwyższyliśmy nasze oczekiwania dotyczące organicznego wzrostu sprzedaży z poziomu 1 do 3 procent do 2 do 4 procent obecnie. Tym samym widzimy, że Henkel jest na dobrej drodze do zapewnienia zrównoważonego i rentownego wzrostu. </w:t>
      </w:r>
    </w:p>
    <w:p w14:paraId="2F7371AB" w14:textId="77777777" w:rsidR="00E0002A" w:rsidRPr="003A582E" w:rsidRDefault="00E0002A" w:rsidP="00E0002A">
      <w:pPr>
        <w:rPr>
          <w:rFonts w:cs="Segoe UI"/>
          <w:lang w:val="pl-PL"/>
        </w:rPr>
      </w:pPr>
    </w:p>
    <w:p w14:paraId="0159A32D" w14:textId="7BA9C55F" w:rsidR="28F21158" w:rsidRPr="003A582E" w:rsidRDefault="28F21158" w:rsidP="6514E4B7">
      <w:pPr>
        <w:ind w:right="13"/>
        <w:rPr>
          <w:lang w:val="pl-PL"/>
        </w:rPr>
      </w:pPr>
      <w:r w:rsidRPr="003A582E">
        <w:rPr>
          <w:b/>
          <w:bCs/>
          <w:lang w:val="pl-PL"/>
        </w:rPr>
        <w:t>Rozwój sprzedaży i zysków w pierwszej połowie roku obrotowego 2026</w:t>
      </w:r>
    </w:p>
    <w:p w14:paraId="1B10AD54" w14:textId="07868DC3" w:rsidR="00E0002A" w:rsidRPr="003A582E" w:rsidRDefault="6EA262DF" w:rsidP="00F71998">
      <w:pPr>
        <w:widowControl w:val="0"/>
        <w:autoSpaceDE w:val="0"/>
        <w:autoSpaceDN w:val="0"/>
        <w:spacing w:before="163"/>
        <w:ind w:right="13"/>
        <w:rPr>
          <w:lang w:val="pl-PL"/>
        </w:rPr>
      </w:pPr>
      <w:r w:rsidRPr="003A582E">
        <w:rPr>
          <w:rFonts w:eastAsia="Segoe UI" w:cs="Segoe UI"/>
          <w:lang w:val="pl-PL"/>
        </w:rPr>
        <w:t xml:space="preserve">W pierwszym półroczu 2026 roku </w:t>
      </w:r>
      <w:r w:rsidRPr="003A582E">
        <w:rPr>
          <w:rFonts w:eastAsia="Segoe UI" w:cs="Segoe UI"/>
          <w:b/>
          <w:bCs/>
          <w:lang w:val="pl-PL"/>
        </w:rPr>
        <w:t>sprzedaż Grupy</w:t>
      </w:r>
      <w:r w:rsidRPr="003A582E">
        <w:rPr>
          <w:rFonts w:eastAsia="Segoe UI" w:cs="Segoe UI"/>
          <w:lang w:val="pl-PL"/>
        </w:rPr>
        <w:t xml:space="preserve"> Henkel wyniosła 10 348 mln euro, co odpowiada nominalnemu spadkowi o 0,5 proc. (II kwartał: 5 396 mln euro; wzrost o 4,6 proc.). Wpływ różnic kursowych obniżył sprzedaż o 3,9 proc. (II kwartał: 2,6 proc.). Przejęcia i zbycia działalności miały natomiast niewielki pozytywny wpływ na sprzedaż, na poziomie 0,2 proc. (II kwartał: +2,5 proc.). Negatywny wpływ na wyniki miało zbycie segmentu marek własnych w Ameryce Północnej w kwietniu 2025 roku, jednak przejęcia zrealizowane w pierwszym półroczu 2026 roku w obu jednostkach biznesowych</w:t>
      </w:r>
      <w:r w:rsidR="00E0002A" w:rsidRPr="003A582E">
        <w:rPr>
          <w:rFonts w:eastAsia="Segoe UI" w:cs="Segoe UI"/>
          <w:lang w:val="pl-PL"/>
        </w:rPr>
        <w:t xml:space="preserve"> – </w:t>
      </w:r>
      <w:r w:rsidR="6AF32453" w:rsidRPr="003A582E">
        <w:rPr>
          <w:rFonts w:eastAsia="Segoe UI" w:cs="Segoe UI"/>
          <w:lang w:val="pl-PL"/>
        </w:rPr>
        <w:t xml:space="preserve">w szczególności ATP Adhesive Systems i Not </w:t>
      </w:r>
      <w:proofErr w:type="spellStart"/>
      <w:r w:rsidR="6AF32453" w:rsidRPr="003A582E">
        <w:rPr>
          <w:rFonts w:eastAsia="Segoe UI" w:cs="Segoe UI"/>
          <w:lang w:val="pl-PL"/>
        </w:rPr>
        <w:t>Your</w:t>
      </w:r>
      <w:proofErr w:type="spellEnd"/>
      <w:r w:rsidR="6AF32453" w:rsidRPr="003A582E">
        <w:rPr>
          <w:rFonts w:eastAsia="Segoe UI" w:cs="Segoe UI"/>
          <w:lang w:val="pl-PL"/>
        </w:rPr>
        <w:t xml:space="preserve"> </w:t>
      </w:r>
      <w:proofErr w:type="spellStart"/>
      <w:r w:rsidR="6AF32453" w:rsidRPr="003A582E">
        <w:rPr>
          <w:rFonts w:eastAsia="Segoe UI" w:cs="Segoe UI"/>
          <w:lang w:val="pl-PL"/>
        </w:rPr>
        <w:t>Mother's</w:t>
      </w:r>
      <w:proofErr w:type="spellEnd"/>
      <w:r w:rsidR="00E0002A" w:rsidRPr="003A582E">
        <w:rPr>
          <w:rFonts w:eastAsia="Segoe UI" w:cs="Segoe UI"/>
          <w:lang w:val="pl-PL"/>
        </w:rPr>
        <w:t xml:space="preserve"> – </w:t>
      </w:r>
      <w:r w:rsidR="39A035A1" w:rsidRPr="003A582E">
        <w:rPr>
          <w:rFonts w:eastAsia="Segoe UI" w:cs="Segoe UI"/>
          <w:lang w:val="pl-PL"/>
        </w:rPr>
        <w:t>miały pozytywny wpływ na wyniki. W ujęciu organicznym, tj. po wyeliminowaniu wpływu różnic kursowych oraz transakcji przejęć i zbycia, Henkel odnotował silny wzrost sprzedaży na poziomie 3,2 proc. (II kwartał: +4,7 proc.).</w:t>
      </w:r>
    </w:p>
    <w:p w14:paraId="69D63F89" w14:textId="77777777" w:rsidR="00E0002A" w:rsidRPr="003A582E" w:rsidRDefault="00E0002A" w:rsidP="00F71998">
      <w:pPr>
        <w:widowControl w:val="0"/>
        <w:autoSpaceDE w:val="0"/>
        <w:autoSpaceDN w:val="0"/>
        <w:spacing w:before="45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6C567697" w14:textId="39C80711" w:rsidR="5FA03EE8" w:rsidRPr="003A582E" w:rsidRDefault="5FA03EE8" w:rsidP="6514E4B7">
      <w:pPr>
        <w:widowControl w:val="0"/>
        <w:ind w:right="13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Sektor biznesowy Adhesive Technologies</w:t>
      </w:r>
      <w:r w:rsidRPr="003A582E">
        <w:rPr>
          <w:rFonts w:eastAsia="Segoe UI" w:cs="Segoe UI"/>
          <w:lang w:val="pl-PL"/>
        </w:rPr>
        <w:t xml:space="preserve"> (kleje budowlane i konsumenckie oraz kleje i technologie dla przemysłu) osiągnął bardzo silny organiczny wzrost sprzedaży na poziomie 4,5 procent (Q2: +7,4 procent) w pierwszej połowie 2026 roku, napędzany głównie przez obszar biznesowy Mobility &amp; Electronics (produkty dla branży mobilności i branży elektronicznej). </w:t>
      </w:r>
      <w:r w:rsidRPr="003A582E">
        <w:rPr>
          <w:rFonts w:eastAsia="Segoe UI" w:cs="Segoe UI"/>
          <w:b/>
          <w:bCs/>
          <w:lang w:val="pl-PL"/>
        </w:rPr>
        <w:t>Sektor biznesowy Consumer Brands</w:t>
      </w:r>
      <w:r w:rsidRPr="003A582E">
        <w:rPr>
          <w:rFonts w:eastAsia="Segoe UI" w:cs="Segoe UI"/>
          <w:lang w:val="pl-PL"/>
        </w:rPr>
        <w:t xml:space="preserve"> (marki konsumenckie) również odnotował pozytywny rozwój, z dobrym organicznym wzrostem sprzedaży o 1,7 procent (Q2: +1,6 procent), napędzanym w szczególności bardzo silnym wzrostem w obszarze biznesowym </w:t>
      </w:r>
      <w:r w:rsidRPr="003A582E">
        <w:rPr>
          <w:rFonts w:eastAsia="Segoe UI" w:cs="Segoe UI"/>
          <w:b/>
          <w:bCs/>
          <w:lang w:val="pl-PL"/>
        </w:rPr>
        <w:t>Hair</w:t>
      </w:r>
      <w:r w:rsidRPr="003A582E">
        <w:rPr>
          <w:rFonts w:eastAsia="Segoe UI" w:cs="Segoe UI"/>
          <w:lang w:val="pl-PL"/>
        </w:rPr>
        <w:t xml:space="preserve"> (produkty do pielęgnacji włosów).</w:t>
      </w:r>
    </w:p>
    <w:p w14:paraId="5A9FB7D0" w14:textId="1A2FE0A1" w:rsidR="00E0002A" w:rsidRPr="003A582E" w:rsidRDefault="61FBEC1B" w:rsidP="6514E4B7">
      <w:pPr>
        <w:widowControl w:val="0"/>
        <w:autoSpaceDE w:val="0"/>
        <w:autoSpaceDN w:val="0"/>
        <w:spacing w:before="84"/>
        <w:ind w:right="13"/>
        <w:rPr>
          <w:rFonts w:eastAsia="Segoe UI" w:cs="Segoe UI"/>
          <w:lang w:val="pl-PL"/>
        </w:rPr>
      </w:pPr>
      <w:r w:rsidRPr="003A582E">
        <w:rPr>
          <w:rFonts w:eastAsia="Segoe UI" w:cs="Segoe UI"/>
          <w:lang w:val="pl-PL"/>
        </w:rPr>
        <w:t xml:space="preserve">W regionie </w:t>
      </w:r>
      <w:r w:rsidRPr="003A582E">
        <w:rPr>
          <w:rFonts w:eastAsia="Segoe UI" w:cs="Segoe UI"/>
          <w:b/>
          <w:bCs/>
          <w:lang w:val="pl-PL"/>
        </w:rPr>
        <w:t>Europy</w:t>
      </w:r>
      <w:r w:rsidRPr="003A582E">
        <w:rPr>
          <w:rFonts w:eastAsia="Segoe UI" w:cs="Segoe UI"/>
          <w:lang w:val="pl-PL"/>
        </w:rPr>
        <w:t xml:space="preserve"> sprzedaż organiczna spadła o 1,5 proc.</w:t>
      </w:r>
      <w:r w:rsidR="00E0002A" w:rsidRPr="003A582E">
        <w:rPr>
          <w:rFonts w:eastAsia="Segoe UI" w:cs="Segoe UI"/>
          <w:lang w:val="pl-PL"/>
        </w:rPr>
        <w:t xml:space="preserve"> (Q2: +0.4 p</w:t>
      </w:r>
      <w:r w:rsidR="2489D980" w:rsidRPr="003A582E">
        <w:rPr>
          <w:rFonts w:eastAsia="Segoe UI" w:cs="Segoe UI"/>
          <w:lang w:val="pl-PL"/>
        </w:rPr>
        <w:t>rocent</w:t>
      </w:r>
      <w:r w:rsidR="00E0002A" w:rsidRPr="003A582E">
        <w:rPr>
          <w:rFonts w:eastAsia="Segoe UI" w:cs="Segoe UI"/>
          <w:lang w:val="pl-PL"/>
        </w:rPr>
        <w:t xml:space="preserve">). </w:t>
      </w:r>
      <w:r w:rsidR="0BE0DA58" w:rsidRPr="003A582E">
        <w:rPr>
          <w:rFonts w:eastAsia="Segoe UI" w:cs="Segoe UI"/>
          <w:lang w:val="pl-PL"/>
        </w:rPr>
        <w:t xml:space="preserve">Z kolei w </w:t>
      </w:r>
      <w:r w:rsidR="0BE0DA58" w:rsidRPr="003A582E">
        <w:rPr>
          <w:rFonts w:eastAsia="Segoe UI" w:cs="Segoe UI"/>
          <w:b/>
          <w:bCs/>
          <w:lang w:val="pl-PL"/>
        </w:rPr>
        <w:t>Ameryce Północnej</w:t>
      </w:r>
      <w:r w:rsidR="0BE0DA58" w:rsidRPr="003A582E">
        <w:rPr>
          <w:rFonts w:eastAsia="Segoe UI" w:cs="Segoe UI"/>
          <w:lang w:val="pl-PL"/>
        </w:rPr>
        <w:t xml:space="preserve"> odnotowano dobry wzrost sprzedaży organicznej na poziomie 2,4 proc. </w:t>
      </w:r>
      <w:r w:rsidR="00E0002A" w:rsidRPr="003A582E">
        <w:rPr>
          <w:rFonts w:eastAsia="Segoe UI" w:cs="Segoe UI"/>
          <w:lang w:val="pl-PL"/>
        </w:rPr>
        <w:t>(Q2: +3.9 p</w:t>
      </w:r>
      <w:r w:rsidR="10E939BB" w:rsidRPr="003A582E">
        <w:rPr>
          <w:rFonts w:eastAsia="Segoe UI" w:cs="Segoe UI"/>
          <w:lang w:val="pl-PL"/>
        </w:rPr>
        <w:t>rocent</w:t>
      </w:r>
      <w:r w:rsidR="00E0002A" w:rsidRPr="003A582E">
        <w:rPr>
          <w:rFonts w:eastAsia="Segoe UI" w:cs="Segoe UI"/>
          <w:lang w:val="pl-PL"/>
        </w:rPr>
        <w:t xml:space="preserve">). </w:t>
      </w:r>
      <w:r w:rsidR="66EE5BC1" w:rsidRPr="003A582E">
        <w:rPr>
          <w:rFonts w:eastAsia="Segoe UI" w:cs="Segoe UI"/>
          <w:lang w:val="pl-PL"/>
        </w:rPr>
        <w:t xml:space="preserve">Regiony </w:t>
      </w:r>
      <w:r w:rsidR="66EE5BC1" w:rsidRPr="003A582E">
        <w:rPr>
          <w:rFonts w:eastAsia="Segoe UI" w:cs="Segoe UI"/>
          <w:b/>
          <w:bCs/>
          <w:lang w:val="pl-PL"/>
        </w:rPr>
        <w:t>IMEA</w:t>
      </w:r>
      <w:r w:rsidR="66EE5BC1" w:rsidRPr="003A582E">
        <w:rPr>
          <w:rFonts w:eastAsia="Segoe UI" w:cs="Segoe UI"/>
          <w:lang w:val="pl-PL"/>
        </w:rPr>
        <w:t xml:space="preserve"> oraz </w:t>
      </w:r>
      <w:r w:rsidR="66EE5BC1" w:rsidRPr="003A582E">
        <w:rPr>
          <w:rFonts w:eastAsia="Segoe UI" w:cs="Segoe UI"/>
          <w:b/>
          <w:bCs/>
          <w:lang w:val="pl-PL"/>
        </w:rPr>
        <w:t>Azji i Pacyfiku</w:t>
      </w:r>
      <w:r w:rsidR="66EE5BC1" w:rsidRPr="003A582E">
        <w:rPr>
          <w:rFonts w:eastAsia="Segoe UI" w:cs="Segoe UI"/>
          <w:lang w:val="pl-PL"/>
        </w:rPr>
        <w:t xml:space="preserve"> osiągnęły dwucyfrowy wzrost sprzedaży organicznej – odpowiednio o 14,9 proc. </w:t>
      </w:r>
      <w:r w:rsidR="00E0002A" w:rsidRPr="6514E4B7">
        <w:rPr>
          <w:rFonts w:eastAsia="Segoe UI" w:cs="Segoe UI"/>
        </w:rPr>
        <w:t xml:space="preserve">(Q2: +17.4 </w:t>
      </w:r>
      <w:proofErr w:type="spellStart"/>
      <w:r w:rsidR="00E0002A" w:rsidRPr="6514E4B7">
        <w:rPr>
          <w:rFonts w:eastAsia="Segoe UI" w:cs="Segoe UI"/>
        </w:rPr>
        <w:t>p</w:t>
      </w:r>
      <w:r w:rsidR="7ADAF419" w:rsidRPr="6514E4B7">
        <w:rPr>
          <w:rFonts w:eastAsia="Segoe UI" w:cs="Segoe UI"/>
        </w:rPr>
        <w:t>rocent</w:t>
      </w:r>
      <w:proofErr w:type="spellEnd"/>
      <w:r w:rsidR="00E0002A" w:rsidRPr="6514E4B7">
        <w:rPr>
          <w:rFonts w:eastAsia="Segoe UI" w:cs="Segoe UI"/>
        </w:rPr>
        <w:t xml:space="preserve">) </w:t>
      </w:r>
      <w:proofErr w:type="spellStart"/>
      <w:r w:rsidR="24DEE738" w:rsidRPr="6514E4B7">
        <w:rPr>
          <w:rFonts w:eastAsia="Segoe UI" w:cs="Segoe UI"/>
        </w:rPr>
        <w:t>oraz</w:t>
      </w:r>
      <w:proofErr w:type="spellEnd"/>
      <w:r w:rsidR="24DEE738" w:rsidRPr="6514E4B7">
        <w:rPr>
          <w:rFonts w:eastAsia="Segoe UI" w:cs="Segoe UI"/>
        </w:rPr>
        <w:t xml:space="preserve"> 10,3 proc.</w:t>
      </w:r>
      <w:r w:rsidR="00E0002A" w:rsidRPr="6514E4B7">
        <w:rPr>
          <w:rFonts w:eastAsia="Segoe UI" w:cs="Segoe UI"/>
        </w:rPr>
        <w:t xml:space="preserve"> (Q2: +10.3 </w:t>
      </w:r>
      <w:proofErr w:type="spellStart"/>
      <w:r w:rsidR="00E0002A" w:rsidRPr="6514E4B7">
        <w:rPr>
          <w:rFonts w:eastAsia="Segoe UI" w:cs="Segoe UI"/>
        </w:rPr>
        <w:t>p</w:t>
      </w:r>
      <w:r w:rsidR="33B8106A" w:rsidRPr="6514E4B7">
        <w:rPr>
          <w:rFonts w:eastAsia="Segoe UI" w:cs="Segoe UI"/>
        </w:rPr>
        <w:t>ro</w:t>
      </w:r>
      <w:r w:rsidR="00E0002A" w:rsidRPr="6514E4B7">
        <w:rPr>
          <w:rFonts w:eastAsia="Segoe UI" w:cs="Segoe UI"/>
        </w:rPr>
        <w:t>cent</w:t>
      </w:r>
      <w:proofErr w:type="spellEnd"/>
      <w:r w:rsidR="00E0002A" w:rsidRPr="6514E4B7">
        <w:rPr>
          <w:rFonts w:eastAsia="Segoe UI" w:cs="Segoe UI"/>
        </w:rPr>
        <w:t xml:space="preserve">). </w:t>
      </w:r>
      <w:r w:rsidR="19A80B50" w:rsidRPr="003A582E">
        <w:rPr>
          <w:rFonts w:eastAsia="Segoe UI" w:cs="Segoe UI"/>
          <w:lang w:val="pl-PL"/>
        </w:rPr>
        <w:t xml:space="preserve">Natomiast w regionie </w:t>
      </w:r>
      <w:r w:rsidR="19A80B50" w:rsidRPr="003A582E">
        <w:rPr>
          <w:rFonts w:eastAsia="Segoe UI" w:cs="Segoe UI"/>
          <w:b/>
          <w:bCs/>
          <w:lang w:val="pl-PL"/>
        </w:rPr>
        <w:t>Ameryki Łacińskiej</w:t>
      </w:r>
      <w:r w:rsidR="19A80B50" w:rsidRPr="003A582E">
        <w:rPr>
          <w:rFonts w:eastAsia="Segoe UI" w:cs="Segoe UI"/>
          <w:lang w:val="pl-PL"/>
        </w:rPr>
        <w:t xml:space="preserve"> odnotowano niewielki spadek sprzedaży organicznej o 1,3 proc.</w:t>
      </w:r>
      <w:r w:rsidR="00E0002A" w:rsidRPr="003A582E">
        <w:rPr>
          <w:rFonts w:eastAsia="Segoe UI" w:cs="Segoe UI"/>
          <w:lang w:val="pl-PL"/>
        </w:rPr>
        <w:t xml:space="preserve"> (Q2: +0.5 p</w:t>
      </w:r>
      <w:r w:rsidR="6978088B" w:rsidRPr="003A582E">
        <w:rPr>
          <w:rFonts w:eastAsia="Segoe UI" w:cs="Segoe UI"/>
          <w:lang w:val="pl-PL"/>
        </w:rPr>
        <w:t>rocent</w:t>
      </w:r>
      <w:r w:rsidR="00E0002A" w:rsidRPr="003A582E">
        <w:rPr>
          <w:rFonts w:eastAsia="Segoe UI" w:cs="Segoe UI"/>
          <w:lang w:val="pl-PL"/>
        </w:rPr>
        <w:t>).</w:t>
      </w:r>
    </w:p>
    <w:p w14:paraId="3C5B99A7" w14:textId="77777777" w:rsidR="00E0002A" w:rsidRPr="003A582E" w:rsidRDefault="00E0002A" w:rsidP="00F71998">
      <w:pPr>
        <w:widowControl w:val="0"/>
        <w:autoSpaceDE w:val="0"/>
        <w:autoSpaceDN w:val="0"/>
        <w:spacing w:before="44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21227582" w14:textId="65DE5171" w:rsidR="00E0002A" w:rsidRPr="003A582E" w:rsidRDefault="6B5ECDA8" w:rsidP="6514E4B7">
      <w:pPr>
        <w:widowControl w:val="0"/>
        <w:autoSpaceDE w:val="0"/>
        <w:autoSpaceDN w:val="0"/>
        <w:ind w:right="13"/>
        <w:rPr>
          <w:rFonts w:eastAsia="Segoe UI" w:cs="Segoe UI"/>
          <w:lang w:val="pl-PL"/>
        </w:rPr>
      </w:pPr>
      <w:r w:rsidRPr="003A582E">
        <w:rPr>
          <w:rFonts w:eastAsia="Segoe UI" w:cs="Segoe UI"/>
          <w:b/>
          <w:bCs/>
          <w:lang w:val="pl-PL"/>
        </w:rPr>
        <w:t>Skorygowany zysk operacyjny (skorygowany EBIT)</w:t>
      </w:r>
      <w:r w:rsidRPr="003A582E">
        <w:rPr>
          <w:rFonts w:eastAsia="Segoe UI" w:cs="Segoe UI"/>
          <w:lang w:val="pl-PL"/>
        </w:rPr>
        <w:t xml:space="preserve"> wyniósł 1 620 mln euro, nieznacznie powyżej poziomu z analogicznego okresu poprzedniego roku, który wyniósł 1 614 mln euro</w:t>
      </w:r>
      <w:r w:rsidR="00E0002A" w:rsidRPr="003A582E">
        <w:rPr>
          <w:rFonts w:eastAsia="Segoe UI" w:cs="Segoe UI"/>
          <w:lang w:val="pl-PL"/>
        </w:rPr>
        <w:t>.</w:t>
      </w:r>
    </w:p>
    <w:p w14:paraId="4202CDE6" w14:textId="77777777" w:rsidR="00E0002A" w:rsidRPr="003A582E" w:rsidRDefault="00E0002A" w:rsidP="00F71998">
      <w:pPr>
        <w:widowControl w:val="0"/>
        <w:autoSpaceDE w:val="0"/>
        <w:autoSpaceDN w:val="0"/>
        <w:spacing w:before="43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5C13E4E6" w14:textId="0414C72B" w:rsidR="0EDAC79D" w:rsidRPr="003A582E" w:rsidRDefault="0EDAC79D" w:rsidP="6514E4B7">
      <w:pPr>
        <w:widowControl w:val="0"/>
        <w:spacing w:before="45" w:line="240" w:lineRule="auto"/>
        <w:ind w:right="13"/>
        <w:jc w:val="left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Skorygowana rentowność sprzedaży (skorygowana marża EBIT)</w:t>
      </w:r>
      <w:r w:rsidRPr="003A582E">
        <w:rPr>
          <w:rFonts w:eastAsia="Segoe UI" w:cs="Segoe UI"/>
          <w:lang w:val="pl-PL"/>
        </w:rPr>
        <w:t xml:space="preserve"> Grupy Henkel również wzrosła do 15,7 procent (rok poprzedni: 15,5 procent).</w:t>
      </w:r>
    </w:p>
    <w:p w14:paraId="2BFD8BD5" w14:textId="486F9035" w:rsidR="00E0002A" w:rsidRPr="003A582E" w:rsidRDefault="00E0002A" w:rsidP="6514E4B7">
      <w:pPr>
        <w:widowControl w:val="0"/>
        <w:autoSpaceDE w:val="0"/>
        <w:autoSpaceDN w:val="0"/>
        <w:spacing w:before="88" w:line="240" w:lineRule="auto"/>
        <w:ind w:right="13"/>
        <w:jc w:val="left"/>
        <w:rPr>
          <w:rFonts w:eastAsia="Segoe UI" w:cs="Segoe UI"/>
          <w:lang w:val="pl-PL"/>
        </w:rPr>
      </w:pPr>
    </w:p>
    <w:p w14:paraId="4C2F121C" w14:textId="3C4D0042" w:rsidR="0EDAC79D" w:rsidRPr="003A582E" w:rsidRDefault="0EDAC79D" w:rsidP="6514E4B7">
      <w:pPr>
        <w:widowControl w:val="0"/>
        <w:spacing w:line="292" w:lineRule="exact"/>
        <w:ind w:right="13"/>
        <w:jc w:val="left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Skorygowany zysk na akcję uprzywilejowaną</w:t>
      </w:r>
      <w:r w:rsidRPr="003A582E">
        <w:rPr>
          <w:rFonts w:eastAsia="Segoe UI" w:cs="Segoe UI"/>
          <w:lang w:val="pl-PL"/>
        </w:rPr>
        <w:t xml:space="preserve"> wzrósł o 1,8 procent do 2,86 euro (rok </w:t>
      </w:r>
      <w:r w:rsidRPr="003A582E">
        <w:rPr>
          <w:rFonts w:eastAsia="Segoe UI" w:cs="Segoe UI"/>
          <w:lang w:val="pl-PL"/>
        </w:rPr>
        <w:lastRenderedPageBreak/>
        <w:t>poprzedni: 2,81 euro). Przy stałych kursach wymiany skorygowany zysk na akcję uprzywilejowaną wzrósł o 7,1 procent.</w:t>
      </w:r>
    </w:p>
    <w:p w14:paraId="2F1C3858" w14:textId="10D6F78F" w:rsidR="00E0002A" w:rsidRPr="003A582E" w:rsidRDefault="00E0002A" w:rsidP="6514E4B7">
      <w:pPr>
        <w:widowControl w:val="0"/>
        <w:autoSpaceDE w:val="0"/>
        <w:autoSpaceDN w:val="0"/>
        <w:spacing w:before="88" w:line="240" w:lineRule="auto"/>
        <w:ind w:right="13"/>
        <w:jc w:val="left"/>
        <w:rPr>
          <w:rFonts w:eastAsia="Segoe UI" w:cs="Segoe UI"/>
          <w:lang w:val="pl-PL"/>
        </w:rPr>
      </w:pPr>
    </w:p>
    <w:p w14:paraId="7FA036E0" w14:textId="6E96A0B6" w:rsidR="0EDAC79D" w:rsidRPr="003A582E" w:rsidRDefault="0EDAC79D" w:rsidP="6514E4B7">
      <w:pPr>
        <w:widowControl w:val="0"/>
        <w:spacing w:before="45" w:line="240" w:lineRule="auto"/>
        <w:ind w:right="13"/>
        <w:jc w:val="left"/>
        <w:rPr>
          <w:lang w:val="pl-PL"/>
        </w:rPr>
      </w:pPr>
      <w:r w:rsidRPr="003A582E">
        <w:rPr>
          <w:rFonts w:eastAsia="Segoe UI" w:cs="Segoe UI"/>
          <w:b/>
          <w:bCs/>
          <w:szCs w:val="22"/>
          <w:lang w:val="pl-PL"/>
        </w:rPr>
        <w:t>Wskaźnik kapitału obrotowego netto</w:t>
      </w:r>
      <w:r w:rsidRPr="003A582E">
        <w:rPr>
          <w:rFonts w:eastAsia="Segoe UI" w:cs="Segoe UI"/>
          <w:szCs w:val="22"/>
          <w:lang w:val="pl-PL"/>
        </w:rPr>
        <w:t xml:space="preserve"> w stosunku do sprzedaży w drugim kwartale wzrósł z </w:t>
      </w:r>
      <w:r w:rsidRPr="003A582E">
        <w:rPr>
          <w:rFonts w:eastAsia="Segoe UI" w:cs="Segoe UI"/>
          <w:b/>
          <w:bCs/>
          <w:szCs w:val="22"/>
          <w:lang w:val="pl-PL"/>
        </w:rPr>
        <w:t>6,0 procent do 7,0 procent</w:t>
      </w:r>
      <w:r w:rsidRPr="003A582E">
        <w:rPr>
          <w:rFonts w:eastAsia="Segoe UI" w:cs="Segoe UI"/>
          <w:szCs w:val="22"/>
          <w:lang w:val="pl-PL"/>
        </w:rPr>
        <w:t xml:space="preserve"> w porównaniu z analogicznym okresem poprzedniego roku, częściowo na skutek przejęć.</w:t>
      </w:r>
    </w:p>
    <w:p w14:paraId="219DDFD8" w14:textId="77777777" w:rsidR="00E0002A" w:rsidRPr="003A582E" w:rsidRDefault="00E0002A" w:rsidP="00F71998">
      <w:pPr>
        <w:widowControl w:val="0"/>
        <w:autoSpaceDE w:val="0"/>
        <w:autoSpaceDN w:val="0"/>
        <w:spacing w:before="86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2E1BC779" w14:textId="6E2E98C0" w:rsidR="0EDAC79D" w:rsidRPr="003A582E" w:rsidRDefault="0EDAC79D" w:rsidP="6514E4B7">
      <w:pPr>
        <w:widowControl w:val="0"/>
        <w:ind w:right="13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Wolne przepływy pieniężne</w:t>
      </w:r>
      <w:r w:rsidRPr="003A582E">
        <w:rPr>
          <w:rFonts w:eastAsia="Segoe UI" w:cs="Segoe UI"/>
          <w:lang w:val="pl-PL"/>
        </w:rPr>
        <w:t xml:space="preserve"> wzrosły do </w:t>
      </w:r>
      <w:r w:rsidRPr="003A582E">
        <w:rPr>
          <w:rFonts w:eastAsia="Segoe UI" w:cs="Segoe UI"/>
          <w:b/>
          <w:bCs/>
          <w:lang w:val="pl-PL"/>
        </w:rPr>
        <w:t>612 mln euro</w:t>
      </w:r>
      <w:r w:rsidRPr="003A582E">
        <w:rPr>
          <w:rFonts w:eastAsia="Segoe UI" w:cs="Segoe UI"/>
          <w:lang w:val="pl-PL"/>
        </w:rPr>
        <w:t xml:space="preserve"> (pierwsza połowa 2025 roku: </w:t>
      </w:r>
      <w:r w:rsidRPr="003A582E">
        <w:rPr>
          <w:rFonts w:eastAsia="Segoe UI" w:cs="Segoe UI"/>
          <w:b/>
          <w:bCs/>
          <w:lang w:val="pl-PL"/>
        </w:rPr>
        <w:t>485 mln euro</w:t>
      </w:r>
      <w:r w:rsidRPr="003A582E">
        <w:rPr>
          <w:rFonts w:eastAsia="Segoe UI" w:cs="Segoe UI"/>
          <w:lang w:val="pl-PL"/>
        </w:rPr>
        <w:t>), głównie dzięki wyższym przepływom pieniężnym z działalności operacyjnej.</w:t>
      </w:r>
    </w:p>
    <w:p w14:paraId="023F7077" w14:textId="77777777" w:rsidR="00E0002A" w:rsidRPr="003A582E" w:rsidRDefault="00E0002A" w:rsidP="00F71998">
      <w:pPr>
        <w:widowControl w:val="0"/>
        <w:autoSpaceDE w:val="0"/>
        <w:autoSpaceDN w:val="0"/>
        <w:spacing w:before="45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79A81B55" w14:textId="7D3612A7" w:rsidR="65D18D45" w:rsidRPr="003A582E" w:rsidRDefault="65D18D45" w:rsidP="6514E4B7">
      <w:pPr>
        <w:widowControl w:val="0"/>
        <w:ind w:right="13"/>
        <w:rPr>
          <w:lang w:val="pl-PL"/>
        </w:rPr>
      </w:pPr>
      <w:r w:rsidRPr="003A582E">
        <w:rPr>
          <w:rFonts w:eastAsia="Segoe UI" w:cs="Segoe UI"/>
          <w:lang w:val="pl-PL"/>
        </w:rPr>
        <w:t xml:space="preserve">Na dzień 30 czerwca 2026 roku </w:t>
      </w:r>
      <w:r w:rsidRPr="003A582E">
        <w:rPr>
          <w:rFonts w:eastAsia="Segoe UI" w:cs="Segoe UI"/>
          <w:b/>
          <w:bCs/>
          <w:lang w:val="pl-PL"/>
        </w:rPr>
        <w:t>pozycja finansowa netto</w:t>
      </w:r>
      <w:r w:rsidRPr="003A582E">
        <w:rPr>
          <w:rFonts w:eastAsia="Segoe UI" w:cs="Segoe UI"/>
          <w:lang w:val="pl-PL"/>
        </w:rPr>
        <w:t xml:space="preserve"> wyniosła -1 855 mln euro (31 grudnia 2025 roku: 109 mln euro), odzwierciedlając przede wszystkim wypływy środków pieniężnych związane z niedawno sfinalizowanymi przejęciami oraz programem skupu akcji własnych.</w:t>
      </w:r>
    </w:p>
    <w:p w14:paraId="25F154D0" w14:textId="77777777" w:rsidR="00E0002A" w:rsidRPr="003A582E" w:rsidRDefault="00E0002A" w:rsidP="00F71998">
      <w:pPr>
        <w:widowControl w:val="0"/>
        <w:autoSpaceDE w:val="0"/>
        <w:autoSpaceDN w:val="0"/>
        <w:spacing w:before="43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1C762F18" w14:textId="57A3BC53" w:rsidR="37A175F9" w:rsidRPr="003A582E" w:rsidRDefault="37A175F9" w:rsidP="6514E4B7">
      <w:pPr>
        <w:widowControl w:val="0"/>
        <w:spacing w:line="240" w:lineRule="auto"/>
        <w:ind w:right="13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Rozwój sektorów biznesowych w pierwszej połowie roku obrotowego 2026</w:t>
      </w:r>
    </w:p>
    <w:p w14:paraId="481EF8C0" w14:textId="2DD3783B" w:rsidR="51F79E5F" w:rsidRPr="003A582E" w:rsidRDefault="51F79E5F" w:rsidP="6514E4B7">
      <w:pPr>
        <w:widowControl w:val="0"/>
        <w:spacing w:before="165"/>
        <w:ind w:right="13"/>
        <w:rPr>
          <w:lang w:val="pl-PL"/>
        </w:rPr>
      </w:pPr>
      <w:r w:rsidRPr="003A582E">
        <w:rPr>
          <w:rFonts w:eastAsia="Segoe UI" w:cs="Segoe UI"/>
          <w:b/>
          <w:bCs/>
          <w:lang w:val="pl-PL"/>
        </w:rPr>
        <w:t>Sprzedaż</w:t>
      </w:r>
      <w:r w:rsidRPr="003A582E">
        <w:rPr>
          <w:rFonts w:eastAsia="Segoe UI" w:cs="Segoe UI"/>
          <w:lang w:val="pl-PL"/>
        </w:rPr>
        <w:t xml:space="preserve"> w sektorze biznesowym </w:t>
      </w:r>
      <w:r w:rsidRPr="003A582E">
        <w:rPr>
          <w:rFonts w:eastAsia="Segoe UI" w:cs="Segoe UI"/>
          <w:b/>
          <w:bCs/>
          <w:lang w:val="pl-PL"/>
        </w:rPr>
        <w:t>Adhesive Technologies</w:t>
      </w:r>
      <w:r w:rsidRPr="003A582E">
        <w:rPr>
          <w:rFonts w:eastAsia="Segoe UI" w:cs="Segoe UI"/>
          <w:lang w:val="pl-PL"/>
        </w:rPr>
        <w:t xml:space="preserve"> (kleje budowlane i konsumenckie oraz kleje i technologie dla przemysłu) wzrosła nominalnie o 2,2 procent do 5 534 mln euro w pierwszej połowie 2026 roku (Q2: 2 908 mln euro, +7,6 procent). W ujęciu organicznym sektor Adhesive Technologies osiągnął bardzo silny wzrost sprzedaży na poziomie 4,5 procent (Q2: +7,4 procent). Wzrost ten był napędzany zarówno pozytywnym rozwojem cen, jak i wolumenu.</w:t>
      </w:r>
    </w:p>
    <w:p w14:paraId="3884616E" w14:textId="77777777" w:rsidR="00E0002A" w:rsidRPr="003A582E" w:rsidRDefault="00E0002A" w:rsidP="00F71998">
      <w:pPr>
        <w:widowControl w:val="0"/>
        <w:autoSpaceDE w:val="0"/>
        <w:autoSpaceDN w:val="0"/>
        <w:spacing w:before="43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73701E06" w14:textId="66EC3B85" w:rsidR="513B0339" w:rsidRPr="003A582E" w:rsidRDefault="513B0339" w:rsidP="6514E4B7">
      <w:pPr>
        <w:widowControl w:val="0"/>
        <w:spacing w:before="1"/>
        <w:ind w:right="13"/>
        <w:rPr>
          <w:lang w:val="pl-PL"/>
        </w:rPr>
      </w:pPr>
      <w:r w:rsidRPr="003A582E">
        <w:rPr>
          <w:rFonts w:eastAsia="Segoe UI" w:cs="Segoe UI"/>
          <w:lang w:val="pl-PL"/>
        </w:rPr>
        <w:t xml:space="preserve">Spośród poszczególnych obszarów biznesowych organiczny wzrost sprzedaży sektora Adhesive Technologies (kleje budowlane i konsumenckie oraz kleje i technologie dla przemysłu) w pierwszej połowie roku był napędzany przede wszystkim przez znaczący organiczny wzrost sprzedaży o 7,8 procent w obszarze </w:t>
      </w:r>
      <w:r w:rsidRPr="003A582E">
        <w:rPr>
          <w:rFonts w:eastAsia="Segoe UI" w:cs="Segoe UI"/>
          <w:b/>
          <w:bCs/>
          <w:lang w:val="pl-PL"/>
        </w:rPr>
        <w:t>Mobility &amp; Electronics</w:t>
      </w:r>
      <w:r w:rsidRPr="003A582E">
        <w:rPr>
          <w:rFonts w:eastAsia="Segoe UI" w:cs="Segoe UI"/>
          <w:lang w:val="pl-PL"/>
        </w:rPr>
        <w:t xml:space="preserve"> (produkty dla branży mobilności i branży elektronicznej) (Q2: +8,8 procent). Wzrost ten był wspierany dwucyfrowym organicznym wzrostem sprzedaży w działalności Electronics (elektronika) oraz znaczącym organicznym wzrostem sprzedaży w działalności Industrial (przemysł). Z kolei działalność Automotive (motoryzacja) odnotowała spadek w pierwszej połowie roku, jednak w drugim kwartale nastąpiła poprawa i osiągnęła ona dobry organiczny wzrost sprzedaży. Obszar biznesowy </w:t>
      </w:r>
      <w:r w:rsidRPr="003A582E">
        <w:rPr>
          <w:rFonts w:eastAsia="Segoe UI" w:cs="Segoe UI"/>
          <w:b/>
          <w:bCs/>
          <w:lang w:val="pl-PL"/>
        </w:rPr>
        <w:t xml:space="preserve">Packaging &amp; Consumer Goods </w:t>
      </w:r>
      <w:r w:rsidRPr="003A582E">
        <w:rPr>
          <w:rFonts w:eastAsia="Segoe UI" w:cs="Segoe UI"/>
          <w:lang w:val="pl-PL"/>
        </w:rPr>
        <w:t xml:space="preserve">(produkty dla branży opakowań i towarów konsumpcyjnych) odnotował bardzo silny organiczny wzrost sprzedaży na poziomie 4,7 procent, napędzany silnym wzrostem w działalności Packaging (opakowania) oraz bardzo silnym organicznym wzrostem sprzedaży w działalności Consumer Goods (towary konsumpcyjne) (Q2: +9,1 procent). Na ten wynik wpłynęły również wcześniejsze zakupy klientów, realizowane w odpowiedzi na niepewność geopolityczną. Obszar biznesowy </w:t>
      </w:r>
      <w:r w:rsidRPr="003A582E">
        <w:rPr>
          <w:rFonts w:eastAsia="Segoe UI" w:cs="Segoe UI"/>
          <w:b/>
          <w:bCs/>
          <w:lang w:val="pl-PL"/>
        </w:rPr>
        <w:lastRenderedPageBreak/>
        <w:t>Craftsmen, Construction &amp; Professional</w:t>
      </w:r>
      <w:r w:rsidRPr="003A582E">
        <w:rPr>
          <w:rFonts w:eastAsia="Segoe UI" w:cs="Segoe UI"/>
          <w:lang w:val="pl-PL"/>
        </w:rPr>
        <w:t xml:space="preserve"> (produkty dla branży rzemieślniczej, budowlanej i klientów profesjonalnych) osiągnął organiczny wzrost sprzedaży na poziomie 1,0 procent (Q2: +4,4 procent). Wzrost ten był napędzany przede wszystkim silnym organicznym wzrostem sprzedaży w działalności General Manufacturing &amp; Maintenance (produkcja ogólna i utrzymanie), podczas gdy działalność Consumer &amp; Construction (produkty dla konsumentów i branży budowlanej) odnotowała nieznacznie ujemny organiczny rozwój sprzedaży.</w:t>
      </w:r>
    </w:p>
    <w:p w14:paraId="7EF19776" w14:textId="77777777" w:rsidR="00E0002A" w:rsidRPr="003A582E" w:rsidRDefault="00E0002A" w:rsidP="00F71998">
      <w:pPr>
        <w:widowControl w:val="0"/>
        <w:autoSpaceDE w:val="0"/>
        <w:autoSpaceDN w:val="0"/>
        <w:spacing w:before="43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709F7177" w14:textId="10A2C2F0" w:rsidR="11B1A0A0" w:rsidRPr="003A582E" w:rsidRDefault="11B1A0A0" w:rsidP="6514E4B7">
      <w:pPr>
        <w:widowControl w:val="0"/>
        <w:spacing w:before="1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b/>
          <w:bCs/>
          <w:szCs w:val="22"/>
          <w:lang w:val="pl-PL"/>
        </w:rPr>
        <w:t>Skorygowany zysk operacyjny</w:t>
      </w:r>
      <w:r w:rsidRPr="003A582E">
        <w:rPr>
          <w:rFonts w:eastAsia="Segoe UI" w:cs="Segoe UI"/>
          <w:szCs w:val="22"/>
          <w:lang w:val="pl-PL"/>
        </w:rPr>
        <w:t xml:space="preserve"> wyniósł 982 mln euro i był wyższy niż w ubiegłym roku, pomimo negatywnego wpływu różnic kursowych. </w:t>
      </w:r>
      <w:r w:rsidRPr="003A582E">
        <w:rPr>
          <w:rFonts w:eastAsia="Segoe UI" w:cs="Segoe UI"/>
          <w:b/>
          <w:bCs/>
          <w:szCs w:val="22"/>
          <w:lang w:val="pl-PL"/>
        </w:rPr>
        <w:t>Skorygowana rentowność sprzedaży</w:t>
      </w:r>
      <w:r w:rsidRPr="003A582E">
        <w:rPr>
          <w:rFonts w:eastAsia="Segoe UI" w:cs="Segoe UI"/>
          <w:szCs w:val="22"/>
          <w:lang w:val="pl-PL"/>
        </w:rPr>
        <w:t xml:space="preserve"> wzrosła do 17,7 procent w porównaniu do 17,2 procent w analogicznym okresie poprzedniego roku. </w:t>
      </w:r>
      <w:r w:rsidR="43265F5F" w:rsidRPr="003A582E">
        <w:rPr>
          <w:rFonts w:eastAsia="Segoe UI" w:cs="Segoe UI"/>
          <w:szCs w:val="22"/>
          <w:lang w:val="pl-PL"/>
        </w:rPr>
        <w:t>Korzystny wpływ miały tutaj efekty skali wynikające ze wzrostu wolumenu oraz korzystny miks biznesowy.</w:t>
      </w:r>
    </w:p>
    <w:p w14:paraId="35A1578B" w14:textId="77777777" w:rsidR="00E0002A" w:rsidRPr="003A582E" w:rsidRDefault="00E0002A" w:rsidP="6514E4B7">
      <w:pPr>
        <w:widowControl w:val="0"/>
        <w:autoSpaceDE w:val="0"/>
        <w:autoSpaceDN w:val="0"/>
        <w:spacing w:before="43" w:line="240" w:lineRule="auto"/>
        <w:ind w:right="13"/>
        <w:jc w:val="left"/>
        <w:rPr>
          <w:rFonts w:eastAsia="Segoe UI" w:cs="Segoe UI"/>
          <w:highlight w:val="yellow"/>
          <w:lang w:val="pl-PL"/>
        </w:rPr>
      </w:pPr>
    </w:p>
    <w:p w14:paraId="52CD8CA3" w14:textId="09E155E0" w:rsidR="68233030" w:rsidRPr="003A582E" w:rsidRDefault="68233030" w:rsidP="6514E4B7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t xml:space="preserve">Sektor biznesowy </w:t>
      </w:r>
      <w:r w:rsidRPr="003A582E">
        <w:rPr>
          <w:rFonts w:eastAsia="Segoe UI" w:cs="Segoe UI"/>
          <w:b/>
          <w:bCs/>
          <w:szCs w:val="22"/>
          <w:lang w:val="pl-PL"/>
        </w:rPr>
        <w:t>Consumer Brands</w:t>
      </w:r>
      <w:r w:rsidRPr="003A582E">
        <w:rPr>
          <w:rFonts w:eastAsia="Segoe UI" w:cs="Segoe UI"/>
          <w:szCs w:val="22"/>
          <w:lang w:val="pl-PL"/>
        </w:rPr>
        <w:t xml:space="preserve"> (marki konsumenckie) </w:t>
      </w:r>
      <w:r w:rsidR="39570A90" w:rsidRPr="003A582E">
        <w:rPr>
          <w:rFonts w:eastAsia="Segoe UI" w:cs="Segoe UI"/>
          <w:szCs w:val="22"/>
          <w:lang w:val="pl-PL"/>
        </w:rPr>
        <w:t xml:space="preserve">w pierwszej połowie 2026 roku </w:t>
      </w:r>
      <w:r w:rsidRPr="003A582E">
        <w:rPr>
          <w:rFonts w:eastAsia="Segoe UI" w:cs="Segoe UI"/>
          <w:szCs w:val="22"/>
          <w:lang w:val="pl-PL"/>
        </w:rPr>
        <w:t xml:space="preserve">wygenerował </w:t>
      </w:r>
      <w:r w:rsidRPr="003A582E">
        <w:rPr>
          <w:rFonts w:eastAsia="Segoe UI" w:cs="Segoe UI"/>
          <w:b/>
          <w:bCs/>
          <w:szCs w:val="22"/>
          <w:lang w:val="pl-PL"/>
        </w:rPr>
        <w:t>sprzedaż</w:t>
      </w:r>
      <w:r w:rsidRPr="003A582E">
        <w:rPr>
          <w:rFonts w:eastAsia="Segoe UI" w:cs="Segoe UI"/>
          <w:szCs w:val="22"/>
          <w:lang w:val="pl-PL"/>
        </w:rPr>
        <w:t xml:space="preserve"> na poziomie 4 733 mln euro, co o</w:t>
      </w:r>
      <w:r w:rsidR="7012ABDF" w:rsidRPr="003A582E">
        <w:rPr>
          <w:rFonts w:eastAsia="Segoe UI" w:cs="Segoe UI"/>
          <w:szCs w:val="22"/>
          <w:lang w:val="pl-PL"/>
        </w:rPr>
        <w:t>dpowiada nominalnemu spadkowi</w:t>
      </w:r>
      <w:r w:rsidRPr="003A582E">
        <w:rPr>
          <w:rFonts w:eastAsia="Segoe UI" w:cs="Segoe UI"/>
          <w:szCs w:val="22"/>
          <w:lang w:val="pl-PL"/>
        </w:rPr>
        <w:t xml:space="preserve"> o -3,5 procent w porównaniu z analogicznym okresem poprzedniego roku (Q2: 2 448 mln euro, +1,1 procent). W </w:t>
      </w:r>
      <w:r w:rsidRPr="003A582E">
        <w:rPr>
          <w:rFonts w:eastAsia="Segoe UI" w:cs="Segoe UI"/>
          <w:b/>
          <w:bCs/>
          <w:szCs w:val="22"/>
          <w:lang w:val="pl-PL"/>
        </w:rPr>
        <w:t>ujęciu organicznym</w:t>
      </w:r>
      <w:r w:rsidRPr="003A582E">
        <w:rPr>
          <w:rFonts w:eastAsia="Segoe UI" w:cs="Segoe UI"/>
          <w:szCs w:val="22"/>
          <w:lang w:val="pl-PL"/>
        </w:rPr>
        <w:t xml:space="preserve"> sprzedaż wzrosła o 1,7 procent (Q2: +1,6 procent), </w:t>
      </w:r>
      <w:r w:rsidR="1FB1B6F0" w:rsidRPr="003A582E">
        <w:rPr>
          <w:rFonts w:eastAsia="Segoe UI" w:cs="Segoe UI"/>
          <w:szCs w:val="22"/>
          <w:lang w:val="pl-PL"/>
        </w:rPr>
        <w:t>przy czym sektor biznesowy odnotował w tym czasie pozytywny rozwój zarówno pod kątem cen, jak i wolumenu w zestawieniu z pierwszą połową 2025 roku.</w:t>
      </w:r>
    </w:p>
    <w:p w14:paraId="12A80626" w14:textId="06C13C97" w:rsidR="6514E4B7" w:rsidRPr="003A582E" w:rsidRDefault="6514E4B7" w:rsidP="6514E4B7">
      <w:pPr>
        <w:widowControl w:val="0"/>
        <w:ind w:right="13"/>
        <w:rPr>
          <w:rFonts w:eastAsia="Segoe UI" w:cs="Segoe UI"/>
          <w:lang w:val="pl-PL"/>
        </w:rPr>
      </w:pPr>
    </w:p>
    <w:p w14:paraId="6ECD63AB" w14:textId="092257B6" w:rsidR="6EBE4DA0" w:rsidRPr="003A582E" w:rsidRDefault="6EBE4DA0" w:rsidP="6514E4B7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t xml:space="preserve">W pierwszej połowie roku obszar biznesowy </w:t>
      </w:r>
      <w:r w:rsidRPr="003A582E">
        <w:rPr>
          <w:rFonts w:eastAsia="Segoe UI" w:cs="Segoe UI"/>
          <w:b/>
          <w:bCs/>
          <w:szCs w:val="22"/>
          <w:lang w:val="pl-PL"/>
        </w:rPr>
        <w:t>Laundry &amp; Home Care</w:t>
      </w:r>
      <w:r w:rsidRPr="003A582E">
        <w:rPr>
          <w:rFonts w:eastAsia="Segoe UI" w:cs="Segoe UI"/>
          <w:szCs w:val="22"/>
          <w:lang w:val="pl-PL"/>
        </w:rPr>
        <w:t xml:space="preserve"> (środki piorące i środki czystości) odnotował pozytywny organiczny rozwój sprzedaży na poziomie 0,7 procent (Q2: +1,3 procent). Działalność Laundry Care (środki piorące) osiągnęła pozytywny organiczny wzrost sprzedaży, napędzany znaczącym wzrostem sprzedaży w kategorii Fabric Care (pielęgnacja tkanin) oraz pozytywnym wzrostem w kategorii Fabric Finisher (płyny do płukania tkanin). </w:t>
      </w:r>
      <w:r w:rsidR="7482A49F" w:rsidRPr="003A582E">
        <w:rPr>
          <w:rFonts w:eastAsia="Segoe UI" w:cs="Segoe UI"/>
          <w:szCs w:val="22"/>
          <w:lang w:val="pl-PL"/>
        </w:rPr>
        <w:t xml:space="preserve">Z </w:t>
      </w:r>
      <w:r w:rsidR="0003733F" w:rsidRPr="003A582E">
        <w:rPr>
          <w:rFonts w:eastAsia="Segoe UI" w:cs="Segoe UI"/>
          <w:szCs w:val="22"/>
          <w:lang w:val="pl-PL"/>
        </w:rPr>
        <w:t>kolei kategoria</w:t>
      </w:r>
      <w:r w:rsidRPr="003A582E">
        <w:rPr>
          <w:rFonts w:eastAsia="Segoe UI" w:cs="Segoe UI"/>
          <w:szCs w:val="22"/>
          <w:lang w:val="pl-PL"/>
        </w:rPr>
        <w:t xml:space="preserve"> </w:t>
      </w:r>
      <w:proofErr w:type="spellStart"/>
      <w:r w:rsidRPr="003A582E">
        <w:rPr>
          <w:rFonts w:eastAsia="Segoe UI" w:cs="Segoe UI"/>
          <w:szCs w:val="22"/>
          <w:lang w:val="pl-PL"/>
        </w:rPr>
        <w:t>Fabric</w:t>
      </w:r>
      <w:proofErr w:type="spellEnd"/>
      <w:r w:rsidRPr="003A582E">
        <w:rPr>
          <w:rFonts w:eastAsia="Segoe UI" w:cs="Segoe UI"/>
          <w:szCs w:val="22"/>
          <w:lang w:val="pl-PL"/>
        </w:rPr>
        <w:t xml:space="preserve"> </w:t>
      </w:r>
      <w:proofErr w:type="spellStart"/>
      <w:r w:rsidRPr="003A582E">
        <w:rPr>
          <w:rFonts w:eastAsia="Segoe UI" w:cs="Segoe UI"/>
          <w:szCs w:val="22"/>
          <w:lang w:val="pl-PL"/>
        </w:rPr>
        <w:t>Cleaning</w:t>
      </w:r>
      <w:proofErr w:type="spellEnd"/>
      <w:r w:rsidRPr="003A582E">
        <w:rPr>
          <w:rFonts w:eastAsia="Segoe UI" w:cs="Segoe UI"/>
          <w:szCs w:val="22"/>
          <w:lang w:val="pl-PL"/>
        </w:rPr>
        <w:t xml:space="preserve"> (środki do czyszczenia tkanin) odnotowała niewielki spadek. Działalność Home Care (środki czystości) osiągnęła dobry organiczny wzrost sprzedaży, napędzany w szczególności dwucyfrowym wzrostem w kategorii Hand Dishwashing (ręczne zmywanie naczyń). Obszar biznesowy </w:t>
      </w:r>
      <w:r w:rsidRPr="003A582E">
        <w:rPr>
          <w:rFonts w:eastAsia="Segoe UI" w:cs="Segoe UI"/>
          <w:b/>
          <w:bCs/>
          <w:szCs w:val="22"/>
          <w:lang w:val="pl-PL"/>
        </w:rPr>
        <w:t>Hair</w:t>
      </w:r>
      <w:r w:rsidRPr="003A582E">
        <w:rPr>
          <w:rFonts w:eastAsia="Segoe UI" w:cs="Segoe UI"/>
          <w:szCs w:val="22"/>
          <w:lang w:val="pl-PL"/>
        </w:rPr>
        <w:t xml:space="preserve"> (produkty do pielęgnacji włosów) osiągnął bardzo silny organiczny wzrost sprzedaży na poziomie 4,2 procent (Q2: +3,3 procent) </w:t>
      </w:r>
      <w:r w:rsidR="07975A42" w:rsidRPr="003A582E">
        <w:rPr>
          <w:rFonts w:eastAsia="Segoe UI" w:cs="Segoe UI"/>
          <w:szCs w:val="22"/>
          <w:lang w:val="pl-PL"/>
        </w:rPr>
        <w:t xml:space="preserve">będąc głównym motorem wzrostu całego sektora biznesowego Consumer Brands. Na ten pozytywny wynik złożyła się zarówno działalność Consumer (konsumencka) z silnym wzrostem organicznym, jak i działalność Professional (profesjonalna), która odnotowała bardzo silny wzrost. W ramach działalności konsumenckiej do wzrostu przyczyniły się wszystkie kategorie, a największy udział miały w nim kategorie Hair Colorants (środki do koloryzacji włosów) i Hair Styling (produkty do stylizacji włosów). Z kolei obszar biznesowy </w:t>
      </w:r>
      <w:r w:rsidR="07975A42" w:rsidRPr="003A582E">
        <w:rPr>
          <w:rFonts w:eastAsia="Segoe UI" w:cs="Segoe UI"/>
          <w:b/>
          <w:bCs/>
          <w:szCs w:val="22"/>
          <w:lang w:val="pl-PL"/>
        </w:rPr>
        <w:t xml:space="preserve">Other Consumer Businesses </w:t>
      </w:r>
      <w:r w:rsidR="07975A42" w:rsidRPr="003A582E">
        <w:rPr>
          <w:rFonts w:eastAsia="Segoe UI" w:cs="Segoe UI"/>
          <w:szCs w:val="22"/>
          <w:lang w:val="pl-PL"/>
        </w:rPr>
        <w:lastRenderedPageBreak/>
        <w:t xml:space="preserve">(pozostałe obszary biznesowe Consumer Brands) odnotował negatywny rozwój organicznej sprzedaży na poziomie -2,1 procent </w:t>
      </w:r>
      <w:r w:rsidRPr="003A582E">
        <w:rPr>
          <w:rFonts w:eastAsia="Segoe UI" w:cs="Segoe UI"/>
          <w:szCs w:val="22"/>
          <w:lang w:val="pl-PL"/>
        </w:rPr>
        <w:t xml:space="preserve">(Q2: -4,6 procent) w pierwszej połowie roku, głównie z powodu rozwoju działalności Body Care (produkty do pielęgnacji ciała) w regionie Europy. Region Ameryki Północnej odnotował natomiast dobry organiczny wzrost sprzedaży. </w:t>
      </w:r>
      <w:r w:rsidRPr="003A582E">
        <w:rPr>
          <w:rFonts w:eastAsia="Segoe UI" w:cs="Segoe UI"/>
          <w:b/>
          <w:bCs/>
          <w:szCs w:val="22"/>
          <w:lang w:val="pl-PL"/>
        </w:rPr>
        <w:t>Skorygowany zysk operacyjny</w:t>
      </w:r>
      <w:r w:rsidRPr="003A582E">
        <w:rPr>
          <w:rFonts w:eastAsia="Segoe UI" w:cs="Segoe UI"/>
          <w:szCs w:val="22"/>
          <w:lang w:val="pl-PL"/>
        </w:rPr>
        <w:t xml:space="preserve"> wyniósł 724 mln euro </w:t>
      </w:r>
      <w:r w:rsidR="79E1B313" w:rsidRPr="003A582E">
        <w:rPr>
          <w:rFonts w:eastAsia="Segoe UI" w:cs="Segoe UI"/>
          <w:szCs w:val="22"/>
          <w:lang w:val="pl-PL"/>
        </w:rPr>
        <w:t xml:space="preserve">i był nieco niższy niż w poprzednim roku, głównie na skutek zbycia segmentu marek </w:t>
      </w:r>
      <w:r w:rsidR="007A782F">
        <w:rPr>
          <w:rFonts w:eastAsia="Segoe UI" w:cs="Segoe UI"/>
          <w:szCs w:val="22"/>
          <w:lang w:val="pl-PL"/>
        </w:rPr>
        <w:t>własnych</w:t>
      </w:r>
      <w:r w:rsidR="79E1B313" w:rsidRPr="003A582E">
        <w:rPr>
          <w:rFonts w:eastAsia="Segoe UI" w:cs="Segoe UI"/>
          <w:szCs w:val="22"/>
          <w:lang w:val="pl-PL"/>
        </w:rPr>
        <w:t xml:space="preserve"> w Ameryce Północnej w kwietniu 2025 roku oraz negatywnego wpływu kursów walut.</w:t>
      </w:r>
      <w:r w:rsidRPr="003A582E">
        <w:rPr>
          <w:rFonts w:eastAsia="Segoe UI" w:cs="Segoe UI"/>
          <w:szCs w:val="22"/>
          <w:lang w:val="pl-PL"/>
        </w:rPr>
        <w:t xml:space="preserve"> W przeciwieństwie do tego </w:t>
      </w:r>
      <w:r w:rsidRPr="003A582E">
        <w:rPr>
          <w:rFonts w:eastAsia="Segoe UI" w:cs="Segoe UI"/>
          <w:b/>
          <w:bCs/>
          <w:szCs w:val="22"/>
          <w:lang w:val="pl-PL"/>
        </w:rPr>
        <w:t>skorygowana rentowność sprzedaży</w:t>
      </w:r>
      <w:r w:rsidRPr="003A582E">
        <w:rPr>
          <w:rFonts w:eastAsia="Segoe UI" w:cs="Segoe UI"/>
          <w:szCs w:val="22"/>
          <w:lang w:val="pl-PL"/>
        </w:rPr>
        <w:t xml:space="preserve"> pozostała niezmieniona na poziomie 15,3 procent w porównaniu z analogicznym okresem poprzedniego roku.</w:t>
      </w:r>
    </w:p>
    <w:p w14:paraId="2BAE0019" w14:textId="77777777" w:rsidR="00AE089D" w:rsidRPr="003A582E" w:rsidRDefault="00AE089D" w:rsidP="00F71998">
      <w:pPr>
        <w:ind w:right="13"/>
        <w:rPr>
          <w:lang w:val="pl-PL"/>
        </w:rPr>
      </w:pPr>
    </w:p>
    <w:p w14:paraId="4DCEAA0E" w14:textId="1943A971" w:rsidR="00E0002A" w:rsidRPr="003A582E" w:rsidRDefault="3B6F4AFE" w:rsidP="6514E4B7">
      <w:pPr>
        <w:widowControl w:val="0"/>
        <w:autoSpaceDE w:val="0"/>
        <w:autoSpaceDN w:val="0"/>
        <w:spacing w:before="164" w:line="240" w:lineRule="auto"/>
        <w:ind w:right="13"/>
        <w:rPr>
          <w:rFonts w:eastAsia="Segoe UI" w:cs="Segoe UI"/>
          <w:b/>
          <w:bCs/>
          <w:szCs w:val="22"/>
          <w:lang w:val="pl-PL"/>
        </w:rPr>
      </w:pPr>
      <w:r w:rsidRPr="003A582E">
        <w:rPr>
          <w:rFonts w:eastAsia="Segoe UI" w:cs="Segoe UI"/>
          <w:b/>
          <w:bCs/>
          <w:szCs w:val="22"/>
          <w:lang w:val="pl-PL"/>
        </w:rPr>
        <w:t>Skuteczna</w:t>
      </w:r>
      <w:r w:rsidR="1CB26F1B" w:rsidRPr="003A582E">
        <w:rPr>
          <w:rFonts w:eastAsia="Segoe UI" w:cs="Segoe UI"/>
          <w:b/>
          <w:bCs/>
          <w:szCs w:val="22"/>
          <w:lang w:val="pl-PL"/>
        </w:rPr>
        <w:t xml:space="preserve"> realizacja strategii wzrostu M&amp;A w pierwszej połowie roku</w:t>
      </w:r>
    </w:p>
    <w:p w14:paraId="32B1DBE0" w14:textId="4608E716" w:rsidR="00E0002A" w:rsidRPr="003A582E" w:rsidRDefault="2F1C453F" w:rsidP="0003733F">
      <w:pPr>
        <w:widowControl w:val="0"/>
        <w:autoSpaceDE w:val="0"/>
        <w:autoSpaceDN w:val="0"/>
        <w:spacing w:before="164"/>
        <w:ind w:right="13"/>
        <w:rPr>
          <w:lang w:val="pl-PL"/>
        </w:rPr>
      </w:pPr>
      <w:r w:rsidRPr="003A582E">
        <w:rPr>
          <w:rFonts w:eastAsia="Segoe UI" w:cs="Segoe UI"/>
          <w:szCs w:val="22"/>
          <w:lang w:val="pl-PL"/>
        </w:rPr>
        <w:t xml:space="preserve">W pierwszej połowie 2026 roku Henkel poczynił również znaczące postępy w realizacji swojej strategii wzrostu M&amp;A (fuzje i przejęcia), stanowiącej integralną część ogólnej strategii wzrostu firmy, w obu sektorach biznesowych.  </w:t>
      </w:r>
      <w:r w:rsidR="1CB26F1B" w:rsidRPr="003A582E">
        <w:rPr>
          <w:rFonts w:eastAsia="Segoe UI" w:cs="Segoe UI"/>
          <w:szCs w:val="22"/>
          <w:lang w:val="pl-PL"/>
        </w:rPr>
        <w:t xml:space="preserve">Wraz z niedawno ogłoszonymi przejęciami Henkel inwestuje łącznie 5 mld euro i rozszerza swoją działalność o łączną roczną sprzedaż na poziomie około 1,6 mld euro. Do tej pory Henkel pomyślnie sfinalizował cztery z pięciu transakcji: Wetherby Laroc i ATP Adhesive Systems w sektorze biznesowym Adhesive Technologies (kleje budowlane i konsumenckie oraz kleje i technologie dla przemysłu), a także Not Your Mother’s oraz </w:t>
      </w:r>
      <w:r w:rsidR="1D0BF76F" w:rsidRPr="003A582E">
        <w:rPr>
          <w:rFonts w:eastAsia="Segoe UI" w:cs="Segoe UI"/>
          <w:szCs w:val="22"/>
          <w:lang w:val="pl-PL"/>
        </w:rPr>
        <w:t>ostatnio</w:t>
      </w:r>
      <w:r w:rsidR="1CB26F1B" w:rsidRPr="003A582E">
        <w:rPr>
          <w:rFonts w:eastAsia="Segoe UI" w:cs="Segoe UI"/>
          <w:szCs w:val="22"/>
          <w:lang w:val="pl-PL"/>
        </w:rPr>
        <w:t xml:space="preserve"> OLAPLEX w sektorze Consumer Brands (marki konsumenckie). Oczekuje się, że przejęcie Grupy Stahl w działalności klejów zostanie sfinalizowane w drugiej połowie roku obrotowego 2026.</w:t>
      </w:r>
    </w:p>
    <w:p w14:paraId="7F5AECAE" w14:textId="27429470" w:rsidR="00E0002A" w:rsidRPr="003A582E" w:rsidRDefault="00E0002A" w:rsidP="6514E4B7">
      <w:pPr>
        <w:widowControl w:val="0"/>
        <w:autoSpaceDE w:val="0"/>
        <w:autoSpaceDN w:val="0"/>
        <w:spacing w:before="164"/>
        <w:ind w:right="13"/>
        <w:rPr>
          <w:rFonts w:eastAsia="Segoe UI" w:cs="Segoe UI"/>
          <w:szCs w:val="22"/>
          <w:lang w:val="pl-PL"/>
        </w:rPr>
      </w:pPr>
    </w:p>
    <w:p w14:paraId="6C4CDF63" w14:textId="48DD845A" w:rsidR="00E0002A" w:rsidRPr="003A582E" w:rsidRDefault="1F369A44" w:rsidP="6514E4B7">
      <w:pPr>
        <w:widowControl w:val="0"/>
        <w:autoSpaceDE w:val="0"/>
        <w:autoSpaceDN w:val="0"/>
        <w:ind w:right="13"/>
        <w:rPr>
          <w:rFonts w:eastAsia="Segoe UI" w:cs="Segoe UI"/>
          <w:lang w:val="pl-PL"/>
        </w:rPr>
      </w:pPr>
      <w:r w:rsidRPr="003A582E">
        <w:rPr>
          <w:rFonts w:eastAsia="Segoe UI" w:cs="Segoe UI"/>
          <w:szCs w:val="22"/>
          <w:lang w:val="pl-PL"/>
        </w:rPr>
        <w:t xml:space="preserve">Poprzez przejęcie marki premium do pielęgnacji włosów </w:t>
      </w:r>
      <w:r w:rsidRPr="003A582E">
        <w:rPr>
          <w:rFonts w:eastAsia="Segoe UI" w:cs="Segoe UI"/>
          <w:b/>
          <w:bCs/>
          <w:szCs w:val="22"/>
          <w:lang w:val="pl-PL"/>
        </w:rPr>
        <w:t>OLAPLEX</w:t>
      </w:r>
      <w:r w:rsidRPr="003A582E">
        <w:rPr>
          <w:rFonts w:eastAsia="Segoe UI" w:cs="Segoe UI"/>
          <w:szCs w:val="22"/>
          <w:lang w:val="pl-PL"/>
        </w:rPr>
        <w:t xml:space="preserve">, generującej roczną sprzedaż na poziomie około 370 mln euro, Henkel </w:t>
      </w:r>
      <w:r w:rsidR="390BFB8F" w:rsidRPr="003A582E">
        <w:rPr>
          <w:rFonts w:eastAsia="Segoe UI" w:cs="Segoe UI"/>
          <w:szCs w:val="22"/>
          <w:lang w:val="pl-PL"/>
        </w:rPr>
        <w:t>jeszcze mocniej ugruntowuje swoją globalną pozycję w segmencie produktów do pielęgnacji włosów premium</w:t>
      </w:r>
      <w:r w:rsidRPr="003A582E">
        <w:rPr>
          <w:rFonts w:eastAsia="Segoe UI" w:cs="Segoe UI"/>
          <w:szCs w:val="22"/>
          <w:lang w:val="pl-PL"/>
        </w:rPr>
        <w:t xml:space="preserve"> i awansował obecnie na drugą pozycję na świecie w branży profesjonalnych produktów do pielęgnacji włosów. Rynek premium produktów do pielęgnacji włosów jest bardzo atrakcyjny, </w:t>
      </w:r>
      <w:r w:rsidR="40467B94" w:rsidRPr="003A582E">
        <w:rPr>
          <w:rFonts w:eastAsia="Segoe UI" w:cs="Segoe UI"/>
          <w:szCs w:val="22"/>
          <w:lang w:val="pl-PL"/>
        </w:rPr>
        <w:t>z oczekiwanym skumulowanym rocznym wskaźnikiem wzrostu</w:t>
      </w:r>
      <w:r w:rsidRPr="003A582E">
        <w:rPr>
          <w:rFonts w:eastAsia="Segoe UI" w:cs="Segoe UI"/>
          <w:szCs w:val="22"/>
          <w:lang w:val="pl-PL"/>
        </w:rPr>
        <w:t xml:space="preserve"> (CAGR) na poziomie około 5 procent w kolejnych latach.</w:t>
      </w:r>
      <w:r w:rsidR="5701E35D" w:rsidRPr="003A582E">
        <w:rPr>
          <w:rFonts w:eastAsia="Segoe UI" w:cs="Segoe UI"/>
          <w:szCs w:val="22"/>
          <w:lang w:val="pl-PL"/>
        </w:rPr>
        <w:t xml:space="preserve"> OLAPLEX to uznana marka premium w segmencie pielęgnacji włosów, oferująca portfolio wysokiej jakości produktów opartych na badaniach naukowych i potwierdzonej skuteczności. </w:t>
      </w:r>
      <w:r w:rsidRPr="003A582E">
        <w:rPr>
          <w:rFonts w:eastAsia="Segoe UI" w:cs="Segoe UI"/>
          <w:szCs w:val="22"/>
          <w:lang w:val="pl-PL"/>
        </w:rPr>
        <w:t xml:space="preserve">Dzięki finalizacji tej transakcji Henkel dodatkowo wzmacnia swoją globalną obecność w kategorii Hair Care (pielęgnacja włosów), która stanowi kluczową kategorię w sektorze biznesowym Consumer Brands (marki konsumenckie). Henkel jest przekonany, że będzie w stanie znacząco rozwinąć tę działalność poprzez wykorzystanie możliwości sprzedaży krzyżowej (cross-selling) oraz wzmocnienie zarówno kanałów sprzedaży </w:t>
      </w:r>
      <w:r w:rsidRPr="003A582E">
        <w:rPr>
          <w:rFonts w:eastAsia="Segoe UI" w:cs="Segoe UI"/>
          <w:szCs w:val="22"/>
          <w:lang w:val="pl-PL"/>
        </w:rPr>
        <w:lastRenderedPageBreak/>
        <w:t xml:space="preserve">specjalistycznej, jak i salonów fryzjerskich jako kanałów dystrybucji. Ponadto przejęcie to oferuje atrakcyjne możliwości w zakresie innowacji i technologii. </w:t>
      </w:r>
    </w:p>
    <w:p w14:paraId="5C22CFF3" w14:textId="77777777" w:rsidR="00E0002A" w:rsidRPr="003A582E" w:rsidRDefault="00E0002A" w:rsidP="00F71998">
      <w:pPr>
        <w:widowControl w:val="0"/>
        <w:autoSpaceDE w:val="0"/>
        <w:autoSpaceDN w:val="0"/>
        <w:spacing w:before="44" w:line="240" w:lineRule="auto"/>
        <w:ind w:right="13"/>
        <w:jc w:val="left"/>
        <w:rPr>
          <w:rFonts w:eastAsia="Segoe UI" w:cs="Segoe UI"/>
          <w:szCs w:val="22"/>
          <w:lang w:val="pl-PL"/>
        </w:rPr>
      </w:pPr>
    </w:p>
    <w:p w14:paraId="1C09AC94" w14:textId="5A90880F" w:rsidR="2BD3C370" w:rsidRPr="003A582E" w:rsidRDefault="2BD3C370" w:rsidP="6514E4B7">
      <w:pPr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t xml:space="preserve">Poprzez przejęcie spółki </w:t>
      </w:r>
      <w:r w:rsidRPr="003A582E">
        <w:rPr>
          <w:rFonts w:eastAsia="Segoe UI" w:cs="Segoe UI"/>
          <w:b/>
          <w:bCs/>
          <w:szCs w:val="22"/>
          <w:lang w:val="pl-PL"/>
        </w:rPr>
        <w:t>ATP Adhesive Systems</w:t>
      </w:r>
      <w:r w:rsidRPr="003A582E">
        <w:rPr>
          <w:rFonts w:eastAsia="Segoe UI" w:cs="Segoe UI"/>
          <w:szCs w:val="22"/>
          <w:lang w:val="pl-PL"/>
        </w:rPr>
        <w:t>, generującej roczną sprzedaż na poziomie około 270 mln euro, Henkel rozszerza swoje portfolio poza technologie w formie płynnej i tworzy nową platformę wzrostu w segmencie wysokowydajnych taśm specjalistycznych na bazie wody. Jest to bardzo atrakcyjny rynek, który ma rosnąć w tempie około 7 procent rocznie. Taśmy specjalistyczne na bazie wody zdobywają udziały rynkowe jako bardziej zrównoważona alternatywa dla rozwiązań na bazie rozpuszczalników. Mogą zmniejszyć emisje lotnych związków organicznych (VOC) o nawet 90 procent oraz obniżyć ślad węglow</w:t>
      </w:r>
      <w:r w:rsidR="204DF2D9" w:rsidRPr="003A582E">
        <w:rPr>
          <w:rFonts w:eastAsia="Segoe UI" w:cs="Segoe UI"/>
          <w:szCs w:val="22"/>
          <w:lang w:val="pl-PL"/>
        </w:rPr>
        <w:t>y</w:t>
      </w:r>
      <w:r w:rsidRPr="003A582E">
        <w:rPr>
          <w:rFonts w:eastAsia="Segoe UI" w:cs="Segoe UI"/>
          <w:szCs w:val="22"/>
          <w:lang w:val="pl-PL"/>
        </w:rPr>
        <w:t xml:space="preserve"> o nawet 60 procent. </w:t>
      </w:r>
      <w:r w:rsidR="2EAA6EF7" w:rsidRPr="003A582E">
        <w:rPr>
          <w:rFonts w:eastAsia="Segoe UI" w:cs="Segoe UI"/>
          <w:szCs w:val="22"/>
          <w:lang w:val="pl-PL"/>
        </w:rPr>
        <w:t xml:space="preserve">Specjalistyczne taśmy ATP wykorzystywane są przykładowo w przemyśle motoryzacyjnym w zaawansowanych systemach wspomagania kierowcy. </w:t>
      </w:r>
      <w:r w:rsidRPr="003A582E">
        <w:rPr>
          <w:rFonts w:eastAsia="Segoe UI" w:cs="Segoe UI"/>
          <w:szCs w:val="22"/>
          <w:lang w:val="pl-PL"/>
        </w:rPr>
        <w:t>Przejęcie to wzmacnia również możliwości Henkla</w:t>
      </w:r>
      <w:r w:rsidR="04B2C91F" w:rsidRPr="003A582E">
        <w:rPr>
          <w:rFonts w:eastAsia="Segoe UI" w:cs="Segoe UI"/>
          <w:szCs w:val="22"/>
          <w:lang w:val="pl-PL"/>
        </w:rPr>
        <w:t xml:space="preserve"> w zakresie innowacji</w:t>
      </w:r>
      <w:r w:rsidRPr="003A582E">
        <w:rPr>
          <w:rFonts w:eastAsia="Segoe UI" w:cs="Segoe UI"/>
          <w:szCs w:val="22"/>
          <w:lang w:val="pl-PL"/>
        </w:rPr>
        <w:t>, tworzy atrakcyjne możliwości sprzedaży krzyżowej (cross-selling) oraz dodatkowo wzmacnia pozycję Henkla na rynku zrównoważonych rozwiązań klejowych.</w:t>
      </w:r>
    </w:p>
    <w:p w14:paraId="4578A42D" w14:textId="03BFC9E9" w:rsidR="6514E4B7" w:rsidRPr="003A582E" w:rsidRDefault="6514E4B7" w:rsidP="6514E4B7">
      <w:pPr>
        <w:ind w:right="13"/>
        <w:rPr>
          <w:rFonts w:eastAsia="Segoe UI" w:cs="Segoe UI"/>
          <w:szCs w:val="22"/>
          <w:lang w:val="pl-PL"/>
        </w:rPr>
      </w:pPr>
    </w:p>
    <w:p w14:paraId="60BEE687" w14:textId="77777777" w:rsidR="005F6722" w:rsidRDefault="00DF3CED" w:rsidP="005F6722">
      <w:pPr>
        <w:widowControl w:val="0"/>
        <w:ind w:right="13"/>
        <w:rPr>
          <w:rFonts w:eastAsia="Segoe UI" w:cs="Segoe UI"/>
          <w:szCs w:val="22"/>
          <w:lang w:val="pl-PL"/>
        </w:rPr>
      </w:pPr>
      <w:r>
        <w:rPr>
          <w:rFonts w:eastAsia="Segoe UI" w:cs="Segoe UI"/>
          <w:szCs w:val="22"/>
          <w:lang w:val="pl-PL"/>
        </w:rPr>
        <w:t xml:space="preserve">Henkel </w:t>
      </w:r>
      <w:r w:rsidR="29C768BB" w:rsidRPr="003A582E">
        <w:rPr>
          <w:rFonts w:eastAsia="Segoe UI" w:cs="Segoe UI"/>
          <w:szCs w:val="22"/>
          <w:lang w:val="pl-PL"/>
        </w:rPr>
        <w:t>oczekuje, że niedawne przejęcia przyniosą pierwsze pozytywne wpływy na sprzedaż i zyski już w obecnym roku obrotowym. W 2026 roku przejęte działalności powinny przyczynić się do sprzedaży na poziomie około</w:t>
      </w:r>
      <w:r w:rsidR="0065E9F0" w:rsidRPr="003A582E">
        <w:rPr>
          <w:rFonts w:eastAsia="Segoe UI" w:cs="Segoe UI"/>
          <w:szCs w:val="22"/>
          <w:lang w:val="pl-PL"/>
        </w:rPr>
        <w:t xml:space="preserve"> 700 mln euro</w:t>
      </w:r>
      <w:r w:rsidR="003A582E">
        <w:rPr>
          <w:rStyle w:val="Odwoanieprzypisudolnego"/>
          <w:rFonts w:eastAsia="Segoe UI" w:cs="Segoe UI"/>
          <w:szCs w:val="22"/>
          <w:lang w:val="pl-PL"/>
        </w:rPr>
        <w:footnoteReference w:id="3"/>
      </w:r>
      <w:r w:rsidR="0065E9F0" w:rsidRPr="003A582E">
        <w:rPr>
          <w:rFonts w:eastAsia="Segoe UI" w:cs="Segoe UI"/>
          <w:szCs w:val="22"/>
          <w:lang w:val="pl-PL"/>
        </w:rPr>
        <w:t xml:space="preserve">. </w:t>
      </w:r>
      <w:r w:rsidR="0F73CDB5" w:rsidRPr="003A582E">
        <w:rPr>
          <w:rFonts w:eastAsia="Segoe UI" w:cs="Segoe UI"/>
          <w:szCs w:val="22"/>
          <w:lang w:val="pl-PL"/>
        </w:rPr>
        <w:t>W kolejnych latach</w:t>
      </w:r>
      <w:r w:rsidR="0065E9F0" w:rsidRPr="003A582E">
        <w:rPr>
          <w:rFonts w:eastAsia="Segoe UI" w:cs="Segoe UI"/>
          <w:szCs w:val="22"/>
          <w:lang w:val="pl-PL"/>
        </w:rPr>
        <w:t xml:space="preserve"> oczekuje się, że pięć przejęć zapewni ponadprzeciętny wzrost w przedziale procentowym od średniego do wysokiego jednocyfrowego, a ich łączna sprzedaż ma wzrosnąć do około 2 mld euro do 2030 roku. </w:t>
      </w:r>
      <w:r w:rsidR="39E39F8D" w:rsidRPr="003A582E">
        <w:rPr>
          <w:rFonts w:eastAsia="Segoe UI" w:cs="Segoe UI"/>
          <w:szCs w:val="22"/>
          <w:lang w:val="pl-PL"/>
        </w:rPr>
        <w:t>Z perspektywy zyskowności Henkel oczekuje, że przejęcia przyczynią się do wzrostu skorygowanego zysku na akcję uprzywilejowaną o co najmniej 10 procent do 2030 roku.</w:t>
      </w:r>
    </w:p>
    <w:p w14:paraId="29EEA0A7" w14:textId="77777777" w:rsidR="0003733F" w:rsidRDefault="0003733F" w:rsidP="005F6722">
      <w:pPr>
        <w:widowControl w:val="0"/>
        <w:ind w:right="13"/>
        <w:rPr>
          <w:lang w:val="pl-PL"/>
        </w:rPr>
      </w:pPr>
    </w:p>
    <w:p w14:paraId="431E17FF" w14:textId="05A331EC" w:rsidR="00E0002A" w:rsidRPr="003A582E" w:rsidRDefault="39E39F8D" w:rsidP="005F6722">
      <w:pPr>
        <w:widowControl w:val="0"/>
        <w:ind w:right="13"/>
        <w:rPr>
          <w:lang w:val="pl-PL"/>
        </w:rPr>
      </w:pPr>
      <w:r w:rsidRPr="003A582E">
        <w:rPr>
          <w:rFonts w:eastAsia="Segoe UI" w:cs="Segoe UI"/>
          <w:b/>
          <w:bCs/>
          <w:szCs w:val="22"/>
          <w:lang w:val="pl-PL"/>
        </w:rPr>
        <w:t>Prognoza na rok obrotowy 2026: podwyższone oczekiwania dotyczące przychodów dla Grupy i sektora Adhesive Technologies</w:t>
      </w:r>
    </w:p>
    <w:p w14:paraId="1C3C1814" w14:textId="2BD21783" w:rsidR="00E0002A" w:rsidRPr="003A582E" w:rsidRDefault="1B094055" w:rsidP="0003733F">
      <w:pPr>
        <w:widowControl w:val="0"/>
        <w:autoSpaceDE w:val="0"/>
        <w:autoSpaceDN w:val="0"/>
        <w:spacing w:before="79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t>Na podstawie silnych wyników osiągniętych w pierwszej połowie roku Henkel pod</w:t>
      </w:r>
      <w:r w:rsidR="055B60F5" w:rsidRPr="003A582E">
        <w:rPr>
          <w:rFonts w:eastAsia="Segoe UI" w:cs="Segoe UI"/>
          <w:szCs w:val="22"/>
          <w:lang w:val="pl-PL"/>
        </w:rPr>
        <w:t>wyższy</w:t>
      </w:r>
      <w:r w:rsidRPr="003A582E">
        <w:rPr>
          <w:rFonts w:eastAsia="Segoe UI" w:cs="Segoe UI"/>
          <w:szCs w:val="22"/>
          <w:lang w:val="pl-PL"/>
        </w:rPr>
        <w:t>ł swoje oczekiwania co do wzrostu przychodów zarówno dla Grupy, jak i dla sektora biznesowego Adhesive Technologies (kleje budowlane i konsumenckie oraz kleje i technologie dla przemysłu), natomiast oczekiwania dotyczące skorygowanej marży EBIT oraz wzrostu skorygowanego zysku na akcję uprzywilejowaną (EPS) przy stałych kursach wymiany pozostają niezmienione.</w:t>
      </w:r>
    </w:p>
    <w:p w14:paraId="53BBE415" w14:textId="7B02F9DE" w:rsidR="00E0002A" w:rsidRPr="003A582E" w:rsidRDefault="00E0002A" w:rsidP="0003733F">
      <w:pPr>
        <w:widowControl w:val="0"/>
        <w:autoSpaceDE w:val="0"/>
        <w:autoSpaceDN w:val="0"/>
        <w:spacing w:before="79"/>
        <w:ind w:right="13"/>
        <w:rPr>
          <w:rFonts w:eastAsia="Segoe UI" w:cs="Segoe UI"/>
          <w:lang w:val="pl-PL"/>
        </w:rPr>
      </w:pPr>
    </w:p>
    <w:p w14:paraId="2DAB3FB5" w14:textId="74DA3928" w:rsidR="70DFE41F" w:rsidRPr="003A582E" w:rsidRDefault="70DFE41F" w:rsidP="0003733F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lastRenderedPageBreak/>
        <w:t xml:space="preserve">Na bieżący rok obrotowy Henkel prognozuje obecnie </w:t>
      </w:r>
      <w:r w:rsidRPr="003A582E">
        <w:rPr>
          <w:rFonts w:eastAsia="Segoe UI" w:cs="Segoe UI"/>
          <w:b/>
          <w:bCs/>
          <w:szCs w:val="22"/>
          <w:lang w:val="pl-PL"/>
        </w:rPr>
        <w:t>organiczny wzrost sprzedaży</w:t>
      </w:r>
      <w:r w:rsidRPr="003A582E">
        <w:rPr>
          <w:rFonts w:eastAsia="Segoe UI" w:cs="Segoe UI"/>
          <w:szCs w:val="22"/>
          <w:lang w:val="pl-PL"/>
        </w:rPr>
        <w:t xml:space="preserve"> między 1,5 a 3,5 procent (wcześniej: 1,0 i 3,0 procent). Dla sektora biznesowego Adhesive Technologies (kleje budowlane i konsumenckie oraz kleje i technologie dla przemysłu) obecnie oczekuje się organicznego wzrostu sprzedaży w zakresie od 2,0 do 4,0 procent (wcześniej: 1,0 do 3,0 procent). Dla sektora Consumer Brands (marki konsumenckie) Henkel nadal przewiduje organiczny wzrost sprzedaży od 0,5 do 2,5 procent.</w:t>
      </w:r>
    </w:p>
    <w:p w14:paraId="62772AB2" w14:textId="77777777" w:rsidR="00E0002A" w:rsidRPr="003A582E" w:rsidRDefault="00E0002A" w:rsidP="0003733F">
      <w:pPr>
        <w:widowControl w:val="0"/>
        <w:autoSpaceDE w:val="0"/>
        <w:autoSpaceDN w:val="0"/>
        <w:spacing w:before="44"/>
        <w:ind w:right="13"/>
        <w:jc w:val="left"/>
        <w:rPr>
          <w:rFonts w:eastAsia="Segoe UI" w:cs="Segoe UI"/>
          <w:szCs w:val="22"/>
          <w:lang w:val="pl-PL"/>
        </w:rPr>
      </w:pPr>
    </w:p>
    <w:p w14:paraId="7AFC52FA" w14:textId="77777777" w:rsidR="00B77F1E" w:rsidRDefault="13BA817D" w:rsidP="0003733F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b/>
          <w:bCs/>
          <w:szCs w:val="22"/>
          <w:lang w:val="pl-PL"/>
        </w:rPr>
        <w:t>Skorygowana rentowność sprzedaży (skorygowana marża EBIT)</w:t>
      </w:r>
      <w:r w:rsidRPr="003A582E">
        <w:rPr>
          <w:rFonts w:eastAsia="Segoe UI" w:cs="Segoe UI"/>
          <w:szCs w:val="22"/>
          <w:lang w:val="pl-PL"/>
        </w:rPr>
        <w:t xml:space="preserve"> ma się utrzymać w przedziale między</w:t>
      </w:r>
      <w:r w:rsidR="70DFE41F" w:rsidRPr="003A582E">
        <w:rPr>
          <w:rFonts w:eastAsia="Segoe UI" w:cs="Segoe UI"/>
          <w:szCs w:val="22"/>
          <w:lang w:val="pl-PL"/>
        </w:rPr>
        <w:t xml:space="preserve"> 14,5 a 16,0 procent. Dla sektora Adhesive Technologies (kleje budowlane i konsumenckie oraz kleje i technologie dla przemysłu) przewiduje się obecnie skorygowaną rentowność sprzedaży między 16,5 a 18,0 procent, a dla sektora Consumer Brands (marki konsumenckie) między 14,0 a 15,5 procent.</w:t>
      </w:r>
    </w:p>
    <w:p w14:paraId="24576D15" w14:textId="6B857C3E" w:rsidR="00E0002A" w:rsidRPr="003A582E" w:rsidRDefault="7B5DF784" w:rsidP="00B77F1E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3A582E">
        <w:rPr>
          <w:rFonts w:eastAsia="Segoe UI" w:cs="Segoe UI"/>
          <w:szCs w:val="22"/>
          <w:lang w:val="pl-PL"/>
        </w:rPr>
        <w:t>Oczekuje się, że</w:t>
      </w:r>
      <w:r w:rsidRPr="003A582E">
        <w:rPr>
          <w:rFonts w:eastAsia="Segoe UI" w:cs="Segoe UI"/>
          <w:b/>
          <w:bCs/>
          <w:szCs w:val="22"/>
          <w:lang w:val="pl-PL"/>
        </w:rPr>
        <w:t xml:space="preserve"> skorygowany zysk na akcję uprzywilejowaną</w:t>
      </w:r>
      <w:r w:rsidRPr="003A582E">
        <w:rPr>
          <w:rFonts w:eastAsia="Segoe UI" w:cs="Segoe UI"/>
          <w:szCs w:val="22"/>
          <w:lang w:val="pl-PL"/>
        </w:rPr>
        <w:t xml:space="preserve"> (EPS) przy stałych kursach wymiany wzrośnie w przedziale procentowym od niskiego do wysokiego jednocyfrowego.</w:t>
      </w:r>
    </w:p>
    <w:p w14:paraId="7E80323F" w14:textId="6DC6742B" w:rsidR="00E0002A" w:rsidRPr="003A582E" w:rsidRDefault="00E0002A" w:rsidP="6514E4B7">
      <w:pPr>
        <w:widowControl w:val="0"/>
        <w:autoSpaceDE w:val="0"/>
        <w:autoSpaceDN w:val="0"/>
        <w:spacing w:before="44" w:line="240" w:lineRule="auto"/>
        <w:ind w:right="13"/>
        <w:rPr>
          <w:rFonts w:eastAsia="Segoe UI" w:cs="Segoe UI"/>
          <w:szCs w:val="22"/>
          <w:lang w:val="pl-PL"/>
        </w:rPr>
      </w:pPr>
    </w:p>
    <w:p w14:paraId="4BAEBAB0" w14:textId="41390404" w:rsidR="4C31A228" w:rsidRDefault="36440F36" w:rsidP="00185BAF">
      <w:pPr>
        <w:widowControl w:val="0"/>
        <w:ind w:right="13"/>
        <w:rPr>
          <w:rFonts w:eastAsia="Segoe UI" w:cs="Segoe UI"/>
          <w:szCs w:val="22"/>
          <w:lang w:val="pl-PL"/>
        </w:rPr>
      </w:pPr>
      <w:r w:rsidRPr="00E561C6">
        <w:rPr>
          <w:rFonts w:eastAsia="Segoe UI" w:cs="Segoe UI"/>
          <w:i/>
          <w:iCs/>
          <w:color w:val="000000" w:themeColor="text1"/>
          <w:szCs w:val="22"/>
          <w:lang w:val="pl"/>
        </w:rPr>
        <w:t>–</w:t>
      </w:r>
      <w:r w:rsidRPr="00E561C6">
        <w:rPr>
          <w:rFonts w:eastAsia="Segoe UI" w:cs="Segoe UI"/>
          <w:szCs w:val="22"/>
          <w:lang w:val="pl-PL"/>
        </w:rPr>
        <w:t xml:space="preserve"> 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Bardzo </w:t>
      </w:r>
      <w:r w:rsidR="00E561C6" w:rsidRPr="00E561C6">
        <w:rPr>
          <w:rFonts w:eastAsia="Segoe UI" w:cs="Segoe UI"/>
          <w:i/>
          <w:iCs/>
          <w:szCs w:val="22"/>
          <w:lang w:val="pl-PL"/>
        </w:rPr>
        <w:t xml:space="preserve">dobre 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wyniki biznesowe w pierwszej połowie 2026 roku, </w:t>
      </w:r>
      <w:r w:rsidR="00E561C6" w:rsidRPr="00E561C6">
        <w:rPr>
          <w:rFonts w:eastAsia="Segoe UI" w:cs="Segoe UI"/>
          <w:i/>
          <w:iCs/>
          <w:szCs w:val="22"/>
          <w:lang w:val="pl-PL"/>
        </w:rPr>
        <w:t>napędzane silnym wzrostem organicznym oraz dalszą poprawą marż</w:t>
      </w:r>
      <w:r w:rsidR="00E561C6" w:rsidRPr="00E561C6">
        <w:rPr>
          <w:rFonts w:eastAsia="Segoe UI" w:cs="Segoe UI"/>
          <w:i/>
          <w:iCs/>
          <w:szCs w:val="22"/>
          <w:lang w:val="pl-PL"/>
        </w:rPr>
        <w:t>y</w:t>
      </w:r>
      <w:r w:rsidR="00E561C6" w:rsidRPr="00E561C6">
        <w:rPr>
          <w:rFonts w:eastAsia="Segoe UI" w:cs="Segoe UI"/>
          <w:i/>
          <w:iCs/>
          <w:szCs w:val="22"/>
          <w:lang w:val="pl-PL"/>
        </w:rPr>
        <w:t xml:space="preserve"> i zysków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, pokazują, że transformacja firmy Henkel przynosi rezultaty. Będziemy nadal konsekwentnie realizować </w:t>
      </w:r>
      <w:r w:rsidR="00E561C6" w:rsidRPr="00E561C6">
        <w:rPr>
          <w:rFonts w:eastAsia="Segoe UI" w:cs="Segoe UI"/>
          <w:i/>
          <w:iCs/>
          <w:szCs w:val="22"/>
          <w:lang w:val="pl-PL"/>
        </w:rPr>
        <w:t>ten proces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, aby </w:t>
      </w:r>
      <w:r w:rsidR="39C73750" w:rsidRPr="00E561C6">
        <w:rPr>
          <w:rFonts w:eastAsia="Segoe UI" w:cs="Segoe UI"/>
          <w:i/>
          <w:iCs/>
          <w:szCs w:val="22"/>
          <w:lang w:val="pl-PL"/>
        </w:rPr>
        <w:t>jeszcze bardziej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 wzmocnić </w:t>
      </w:r>
      <w:r w:rsidR="595D2AC7" w:rsidRPr="00E561C6">
        <w:rPr>
          <w:rFonts w:eastAsia="Segoe UI" w:cs="Segoe UI"/>
          <w:i/>
          <w:iCs/>
          <w:szCs w:val="22"/>
          <w:lang w:val="pl-PL"/>
        </w:rPr>
        <w:t>naszą długoterminową konkurencyjność i przygotować firmę na dalsze sukcesy w przyszłości.</w:t>
      </w:r>
      <w:r w:rsidR="17CF2853" w:rsidRPr="00E561C6">
        <w:rPr>
          <w:rFonts w:eastAsia="Segoe UI" w:cs="Segoe UI"/>
          <w:i/>
          <w:iCs/>
          <w:szCs w:val="22"/>
          <w:lang w:val="pl-PL"/>
        </w:rPr>
        <w:t xml:space="preserve"> Przekształcamy firmę Henkel z myślą o pomyślnej przyszłości, a dzięki jasnej strategii jesteśmy mocno na dobrej drodze do osiągnięcia dalszego rentownego wzrostu</w:t>
      </w:r>
      <w:r w:rsidR="17CF2853" w:rsidRPr="00E561C6">
        <w:rPr>
          <w:rFonts w:eastAsia="Segoe UI" w:cs="Segoe UI"/>
          <w:szCs w:val="22"/>
          <w:lang w:val="pl-PL"/>
        </w:rPr>
        <w:t xml:space="preserve"> – powiedział </w:t>
      </w:r>
      <w:proofErr w:type="spellStart"/>
      <w:r w:rsidR="17CF2853" w:rsidRPr="00E561C6">
        <w:rPr>
          <w:rFonts w:eastAsia="Segoe UI" w:cs="Segoe UI"/>
          <w:szCs w:val="22"/>
          <w:lang w:val="pl-PL"/>
        </w:rPr>
        <w:t>Carsten</w:t>
      </w:r>
      <w:proofErr w:type="spellEnd"/>
      <w:r w:rsidR="17CF2853" w:rsidRPr="00E561C6">
        <w:rPr>
          <w:rFonts w:eastAsia="Segoe UI" w:cs="Segoe UI"/>
          <w:szCs w:val="22"/>
          <w:lang w:val="pl-PL"/>
        </w:rPr>
        <w:t xml:space="preserve"> </w:t>
      </w:r>
      <w:proofErr w:type="spellStart"/>
      <w:r w:rsidR="17CF2853" w:rsidRPr="00E561C6">
        <w:rPr>
          <w:rFonts w:eastAsia="Segoe UI" w:cs="Segoe UI"/>
          <w:szCs w:val="22"/>
          <w:lang w:val="pl-PL"/>
        </w:rPr>
        <w:t>Knobel</w:t>
      </w:r>
      <w:proofErr w:type="spellEnd"/>
      <w:r w:rsidR="17CF2853" w:rsidRPr="00E561C6">
        <w:rPr>
          <w:rFonts w:eastAsia="Segoe UI" w:cs="Segoe UI"/>
          <w:szCs w:val="22"/>
          <w:lang w:val="pl-PL"/>
        </w:rPr>
        <w:t>.</w:t>
      </w:r>
    </w:p>
    <w:p w14:paraId="1B78FF6F" w14:textId="77777777" w:rsidR="00185BAF" w:rsidRPr="00185BAF" w:rsidRDefault="00185BAF" w:rsidP="00185BAF">
      <w:pPr>
        <w:widowControl w:val="0"/>
        <w:ind w:right="13"/>
        <w:rPr>
          <w:rFonts w:eastAsia="Segoe UI" w:cs="Segoe UI"/>
          <w:szCs w:val="22"/>
          <w:lang w:val="pl-PL"/>
        </w:rPr>
      </w:pPr>
    </w:p>
    <w:p w14:paraId="711A156B" w14:textId="77777777" w:rsidR="00185BAF" w:rsidRDefault="00185BAF" w:rsidP="00E72E7D">
      <w:pPr>
        <w:rPr>
          <w:rFonts w:cs="Segoe UI"/>
          <w:szCs w:val="22"/>
          <w:lang w:val="pl-PL"/>
        </w:rPr>
      </w:pPr>
    </w:p>
    <w:p w14:paraId="550A439C" w14:textId="4E46117F" w:rsidR="00222D99" w:rsidRPr="0031688F" w:rsidRDefault="001948C3" w:rsidP="00E72E7D">
      <w:pPr>
        <w:rPr>
          <w:rFonts w:cs="Segoe UI"/>
          <w:szCs w:val="22"/>
          <w:lang w:val="pl-PL"/>
        </w:rPr>
      </w:pPr>
      <w:r>
        <w:rPr>
          <w:rFonts w:cs="Segoe UI"/>
          <w:szCs w:val="22"/>
          <w:lang w:val="pl-PL"/>
        </w:rPr>
        <w:t>***</w:t>
      </w:r>
    </w:p>
    <w:p w14:paraId="6152EAF1" w14:textId="77777777" w:rsidR="0011587F" w:rsidRPr="00305A0E" w:rsidRDefault="0011587F" w:rsidP="0011587F">
      <w:pPr>
        <w:rPr>
          <w:b/>
          <w:bCs/>
          <w:sz w:val="18"/>
          <w:lang w:val="pl-PL"/>
        </w:rPr>
      </w:pPr>
      <w:r w:rsidRPr="115B9FC8">
        <w:rPr>
          <w:b/>
          <w:bCs/>
          <w:sz w:val="18"/>
          <w:szCs w:val="18"/>
          <w:lang w:val="pl-PL"/>
        </w:rPr>
        <w:t>O firmie Henkel</w:t>
      </w:r>
    </w:p>
    <w:p w14:paraId="450C0647" w14:textId="7A5503C0" w:rsidR="0011587F" w:rsidRDefault="00174A08" w:rsidP="0011587F">
      <w:pPr>
        <w:rPr>
          <w:rFonts w:eastAsia="Segoe UI" w:cs="Segoe UI"/>
          <w:sz w:val="18"/>
          <w:szCs w:val="18"/>
          <w:lang w:val="pl-PL"/>
        </w:rPr>
      </w:pPr>
      <w:r w:rsidRPr="00174A08"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Dzięki swoim markom, innowacjom i technologiom firma Henkel zajmuje czołowe pozycje rynkowe na całym świecie w sektorze przemysłowym, jak i dóbr konsumenckich. Jednostka biznesowa Adhesive Technologies to światowy lider na rynku klejów, uszczelniaczy i powłok. Dzięki działowi Consumer Brands firma zajmuje wiodącą pozycję, w szczególności w obszarze środków piorących i czystości oraz produktów do pielęgnacji włosów, na wielu rynkach i w licznych kategoriach na całym świecie. Trzema flagowymi markami firmy są Loctite, Persil i Schwarzkopf. W roku finansowym 2025 firma Henkel odnotowała przychody ze sprzedaży na poziomie około </w:t>
      </w:r>
      <w:r w:rsidR="000A205B" w:rsidRPr="000A205B">
        <w:rPr>
          <w:rFonts w:eastAsia="Segoe UI" w:cs="Segoe UI"/>
          <w:color w:val="000000" w:themeColor="text1"/>
          <w:sz w:val="18"/>
          <w:szCs w:val="18"/>
          <w:lang w:val="pl-PL"/>
        </w:rPr>
        <w:t>20,5 mld euro oraz skorygowany zysk operacyjny w wysokości około 3,0 mld euro</w:t>
      </w:r>
      <w:r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. </w:t>
      </w:r>
      <w:r w:rsidRPr="00174A08">
        <w:rPr>
          <w:rFonts w:eastAsia="Segoe UI" w:cs="Segoe UI"/>
          <w:color w:val="000000" w:themeColor="text1"/>
          <w:sz w:val="18"/>
          <w:szCs w:val="18"/>
          <w:lang w:val="pl-PL"/>
        </w:rPr>
        <w:t>Akcje uprzywilejowane firmy Henkel są notowane na niemieckim indeksie giełdowym DAX. Idea zrównoważonego rozwoju ma w Henklu długą tradycję, a firma realizuje strategię zrównoważonego rozwoju z jasno określonymi celami. Henkel został założony w 1876 roku i obecnie zatrudnia zróżnicowany zespół złożony z około</w:t>
      </w:r>
      <w:r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 </w:t>
      </w:r>
      <w:r w:rsidR="000A205B" w:rsidRPr="000A205B">
        <w:rPr>
          <w:rFonts w:eastAsia="Segoe UI" w:cs="Segoe UI"/>
          <w:color w:val="000000" w:themeColor="text1"/>
          <w:sz w:val="18"/>
          <w:szCs w:val="18"/>
          <w:lang w:val="pl-PL"/>
        </w:rPr>
        <w:t>50 tysięcy pracowników na całym świecie</w:t>
      </w:r>
      <w:r w:rsidRPr="00174A08"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 – ludzi połączonych silną kulturą korporacyjną, wspólnymi wartościami i wspólnym celem "Pioneers at heart for the good of generations”. </w:t>
      </w:r>
      <w:r w:rsidR="0011587F" w:rsidRPr="115B9FC8"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Więcej informacji na </w:t>
      </w:r>
      <w:r w:rsidR="0011587F" w:rsidRPr="115B9FC8">
        <w:rPr>
          <w:rStyle w:val="Hipercze"/>
          <w:rFonts w:eastAsia="Segoe UI" w:cs="Segoe UI"/>
          <w:lang w:val="pl-PL"/>
        </w:rPr>
        <w:t xml:space="preserve">www.henkel.com </w:t>
      </w:r>
      <w:r w:rsidR="0011587F" w:rsidRPr="115B9FC8">
        <w:rPr>
          <w:rFonts w:eastAsia="Segoe UI" w:cs="Segoe UI"/>
          <w:color w:val="000000" w:themeColor="text1"/>
          <w:sz w:val="18"/>
          <w:szCs w:val="18"/>
          <w:lang w:val="pl-PL"/>
        </w:rPr>
        <w:t xml:space="preserve">oraz </w:t>
      </w:r>
      <w:r w:rsidR="0011587F" w:rsidRPr="115B9FC8">
        <w:rPr>
          <w:rStyle w:val="Hipercze"/>
          <w:rFonts w:eastAsia="Segoe UI" w:cs="Segoe UI"/>
          <w:lang w:val="pl-PL"/>
        </w:rPr>
        <w:t>www.henkel.pl</w:t>
      </w:r>
      <w:r w:rsidR="0011587F" w:rsidRPr="115B9FC8">
        <w:rPr>
          <w:rFonts w:eastAsia="Segoe UI" w:cs="Segoe UI"/>
          <w:color w:val="000000" w:themeColor="text1"/>
          <w:sz w:val="18"/>
          <w:szCs w:val="18"/>
          <w:lang w:val="pl-PL"/>
        </w:rPr>
        <w:t>.</w:t>
      </w:r>
    </w:p>
    <w:p w14:paraId="32578A70" w14:textId="77777777" w:rsidR="00A44946" w:rsidRPr="00673119" w:rsidRDefault="00A44946" w:rsidP="00A44946">
      <w:pPr>
        <w:rPr>
          <w:rStyle w:val="AboutandContactHeadline"/>
          <w:lang w:val="pl-PL"/>
        </w:rPr>
      </w:pPr>
    </w:p>
    <w:p w14:paraId="67C1DA1E" w14:textId="66E0F15C" w:rsidR="00D90BCD" w:rsidRDefault="00A44946" w:rsidP="00D90BCD">
      <w:pPr>
        <w:rPr>
          <w:sz w:val="18"/>
          <w:szCs w:val="20"/>
          <w:lang w:val="pl-PL"/>
        </w:rPr>
      </w:pPr>
      <w:r w:rsidRPr="00673119">
        <w:rPr>
          <w:rStyle w:val="AboutandContactHeadline"/>
          <w:lang w:val="pl-PL"/>
        </w:rPr>
        <w:t xml:space="preserve">Materiały graficzne są dostępne na stronie: </w:t>
      </w:r>
      <w:hyperlink r:id="rId11" w:history="1">
        <w:r w:rsidR="002E1EEF" w:rsidRPr="00673119">
          <w:rPr>
            <w:rStyle w:val="Hipercze"/>
            <w:b/>
            <w:bCs/>
            <w:szCs w:val="20"/>
            <w:lang w:val="pl-PL"/>
          </w:rPr>
          <w:t>http://www.henkel.com/press</w:t>
        </w:r>
      </w:hyperlink>
      <w:r w:rsidR="002E1EEF" w:rsidRPr="00673119">
        <w:rPr>
          <w:sz w:val="18"/>
          <w:szCs w:val="20"/>
          <w:lang w:val="pl-PL"/>
        </w:rPr>
        <w:t xml:space="preserve"> </w:t>
      </w:r>
    </w:p>
    <w:p w14:paraId="6350327E" w14:textId="77777777" w:rsidR="00185BAF" w:rsidRDefault="00185BAF" w:rsidP="00D90BCD">
      <w:pPr>
        <w:rPr>
          <w:sz w:val="18"/>
          <w:szCs w:val="20"/>
          <w:lang w:val="pl-PL"/>
        </w:rPr>
      </w:pPr>
    </w:p>
    <w:p w14:paraId="4BEFE7F7" w14:textId="77777777" w:rsidR="00185BAF" w:rsidRDefault="00185BAF" w:rsidP="00185BAF">
      <w:pPr>
        <w:rPr>
          <w:rFonts w:cs="Segoe UI"/>
          <w:lang w:val="pl"/>
        </w:rPr>
      </w:pPr>
    </w:p>
    <w:p w14:paraId="4DA2D7A1" w14:textId="77777777" w:rsidR="00185BAF" w:rsidRPr="00185BAF" w:rsidRDefault="00185BAF" w:rsidP="00185BAF">
      <w:pPr>
        <w:rPr>
          <w:sz w:val="14"/>
          <w:szCs w:val="14"/>
          <w:lang w:val="pl-PL"/>
        </w:rPr>
      </w:pPr>
      <w:r w:rsidRPr="00185BAF">
        <w:rPr>
          <w:sz w:val="14"/>
          <w:szCs w:val="14"/>
          <w:lang w:val="pl-PL"/>
        </w:rPr>
        <w:t xml:space="preserve">Niniejszy dokument zawiera stwierdzenia dotyczące przyszłego rozwoju działalności, wyników finansowych i innych zdarzeń mających znaczenie dla Henkel, które mogą stanowić stwierdzenia dotyczące przyszłości. Stwierdzenia odnoszące się do przyszłości charakteryzują się użyciem słów takich, jak „oczekiwać”, „zamierzać”, „planować”, „przewidywać”, „uważać”, „szacować" i podobnych wyrażeń. Stwierdzenia te sformułowane są na podstawie aktualnych założeń i szacunków zarządu Henkel AG &amp; Co. </w:t>
      </w:r>
      <w:proofErr w:type="spellStart"/>
      <w:r w:rsidRPr="00185BAF">
        <w:rPr>
          <w:sz w:val="14"/>
          <w:szCs w:val="14"/>
          <w:lang w:val="pl-PL"/>
        </w:rPr>
        <w:t>KGaA</w:t>
      </w:r>
      <w:proofErr w:type="spellEnd"/>
      <w:r w:rsidRPr="00185BAF">
        <w:rPr>
          <w:sz w:val="14"/>
          <w:szCs w:val="14"/>
          <w:lang w:val="pl-PL"/>
        </w:rPr>
        <w:t xml:space="preserve">. Stwierdzeń dotyczących przyszłości nie należy jednak traktować jako gwarancji, że określone założenia czy oczekiwania okażą się trafne. Faktyczne przyszłe wyniki spółki Henkel AG &amp; Co. </w:t>
      </w:r>
      <w:proofErr w:type="spellStart"/>
      <w:r w:rsidRPr="00185BAF">
        <w:rPr>
          <w:sz w:val="14"/>
          <w:szCs w:val="14"/>
          <w:lang w:val="pl-PL"/>
        </w:rPr>
        <w:t>KGaA</w:t>
      </w:r>
      <w:proofErr w:type="spellEnd"/>
      <w:r w:rsidRPr="00185BAF">
        <w:rPr>
          <w:sz w:val="14"/>
          <w:szCs w:val="14"/>
          <w:lang w:val="pl-PL"/>
        </w:rPr>
        <w:t xml:space="preserve"> i jej podmiotów powiązanych uzależnione są od szeregu czynników ryzyka i niepewności, w związku z czym mogą one istotnie odbiegać (in plus lub in minus) od wyników wskazanych w stwierdzeniach dotyczących przyszłości. Na wiele z tych czynników, np. przyszłą sytuację gospodarczą czy działania konkurencji i innych uczestników rynku, Henkel nie ma wpływu, a ich dokładne przewidzenie nie jest możliwe. Henkel nie zamierza ani nie podejmuje się aktualizować stwierdzeń dotyczących przyszłości.</w:t>
      </w:r>
    </w:p>
    <w:p w14:paraId="7B3720B7" w14:textId="77777777" w:rsidR="00185BAF" w:rsidRPr="00185BAF" w:rsidRDefault="00185BAF" w:rsidP="00185BAF">
      <w:pPr>
        <w:rPr>
          <w:sz w:val="14"/>
          <w:szCs w:val="14"/>
          <w:lang w:val="pl-PL"/>
        </w:rPr>
      </w:pPr>
      <w:r w:rsidRPr="00185BAF">
        <w:rPr>
          <w:sz w:val="14"/>
          <w:szCs w:val="14"/>
          <w:lang w:val="pl-PL"/>
        </w:rPr>
        <w:t xml:space="preserve"> </w:t>
      </w:r>
    </w:p>
    <w:p w14:paraId="0CEEF589" w14:textId="77777777" w:rsidR="00185BAF" w:rsidRPr="00185BAF" w:rsidRDefault="00185BAF" w:rsidP="00185BAF">
      <w:pPr>
        <w:rPr>
          <w:sz w:val="14"/>
          <w:szCs w:val="14"/>
          <w:lang w:val="pl-PL"/>
        </w:rPr>
      </w:pPr>
      <w:r w:rsidRPr="00185BAF">
        <w:rPr>
          <w:sz w:val="14"/>
          <w:szCs w:val="14"/>
          <w:lang w:val="pl-PL"/>
        </w:rPr>
        <w:t>Niniejszy dokument zawiera dodatkowe wskaźniki finansowe, które nie zostały zdefiniowane wyraźnie w obowiązujących zasadach sprawozdawczości finansowej i które stanowią lub mogą stanowić alternatywne mierniki wyników. Takie dodatkowe wskaźniki finansowe nie powinny być analizowane w oderwaniu od wskaźników prezentujących aktywa netto, sytuację finansową lub wyniki działalności Henkel, które zostały przedstawione zgodnie z obowiązującymi zasadami sprawozdawczości finansowej w skonsolidowanym sprawozdaniu finansowym spółki, ani traktowane jako alternatywa dla tych wskaźników. Podobnie nazwane Alternatywne Pomiary Wyników podawane lub opisywane przez inne spółki mogą być obliczane w inny sposób.</w:t>
      </w:r>
    </w:p>
    <w:p w14:paraId="464E2F5C" w14:textId="77777777" w:rsidR="00185BAF" w:rsidRPr="00185BAF" w:rsidRDefault="00185BAF" w:rsidP="00185BAF">
      <w:pPr>
        <w:rPr>
          <w:sz w:val="14"/>
          <w:szCs w:val="14"/>
          <w:lang w:val="pl-PL"/>
        </w:rPr>
      </w:pPr>
      <w:r w:rsidRPr="00185BAF">
        <w:rPr>
          <w:sz w:val="14"/>
          <w:szCs w:val="14"/>
          <w:lang w:val="pl-PL"/>
        </w:rPr>
        <w:t xml:space="preserve"> </w:t>
      </w:r>
    </w:p>
    <w:p w14:paraId="2B67E604" w14:textId="626E3825" w:rsidR="00185BAF" w:rsidRPr="00185BAF" w:rsidRDefault="00185BAF" w:rsidP="00D90BCD">
      <w:pPr>
        <w:rPr>
          <w:sz w:val="14"/>
          <w:szCs w:val="14"/>
          <w:lang w:val="pl-PL"/>
        </w:rPr>
      </w:pPr>
      <w:r w:rsidRPr="00185BAF">
        <w:rPr>
          <w:sz w:val="14"/>
          <w:szCs w:val="14"/>
          <w:lang w:val="pl-PL"/>
        </w:rPr>
        <w:t>Niniejszy dokument ma charakter wyłącznie informacyjny i nie stanowi porady inwestycyjnej ani oferty sprzedaży lub zaproszenia do składania ofert nabycia jakichkolwiek papierów wartościowych.</w:t>
      </w:r>
    </w:p>
    <w:p w14:paraId="58E4C69E" w14:textId="51442337" w:rsidR="004E4670" w:rsidRPr="00673119" w:rsidRDefault="004E4670" w:rsidP="00D90BCD">
      <w:pPr>
        <w:rPr>
          <w:sz w:val="18"/>
          <w:szCs w:val="20"/>
          <w:lang w:val="pl-PL"/>
        </w:rPr>
      </w:pPr>
    </w:p>
    <w:p w14:paraId="3AE51E1C" w14:textId="77777777" w:rsidR="00D44240" w:rsidRPr="00673119" w:rsidRDefault="00D44240" w:rsidP="00D44240">
      <w:pPr>
        <w:rPr>
          <w:sz w:val="18"/>
          <w:szCs w:val="20"/>
          <w:lang w:val="pl-PL"/>
        </w:rPr>
      </w:pPr>
    </w:p>
    <w:p w14:paraId="7BFE3237" w14:textId="77777777" w:rsidR="002B3008" w:rsidRPr="00185BAF" w:rsidRDefault="002B3008" w:rsidP="002B3008">
      <w:pPr>
        <w:spacing w:after="113"/>
        <w:rPr>
          <w:rFonts w:eastAsia="Segoe UI" w:cs="Segoe UI"/>
          <w:color w:val="000000"/>
          <w:szCs w:val="22"/>
          <w:lang w:val="pl-PL"/>
        </w:rPr>
      </w:pPr>
      <w:r w:rsidRPr="00185BAF">
        <w:rPr>
          <w:rFonts w:eastAsia="Segoe UI" w:cs="Segoe UI"/>
          <w:b/>
          <w:bCs/>
          <w:color w:val="000000"/>
          <w:szCs w:val="22"/>
          <w:lang w:val="pl-PL"/>
        </w:rPr>
        <w:t>Kontakt dla mediów:</w:t>
      </w:r>
    </w:p>
    <w:p w14:paraId="61D95E11" w14:textId="77777777" w:rsidR="002B3008" w:rsidRPr="00185BAF" w:rsidRDefault="002B3008" w:rsidP="002B3008">
      <w:pPr>
        <w:spacing w:after="113"/>
        <w:rPr>
          <w:rFonts w:eastAsia="Segoe UI" w:cs="Segoe UI"/>
          <w:color w:val="000000"/>
          <w:szCs w:val="22"/>
          <w:lang w:val="pl-PL"/>
        </w:rPr>
      </w:pPr>
      <w:r w:rsidRPr="00185BAF">
        <w:rPr>
          <w:rFonts w:eastAsia="Segoe UI" w:cs="Segoe UI"/>
          <w:color w:val="000000"/>
          <w:szCs w:val="22"/>
          <w:lang w:val="pl-PL"/>
        </w:rPr>
        <w:t>Daria Kuźnik</w:t>
      </w:r>
      <w:r w:rsidRPr="00185BAF">
        <w:rPr>
          <w:rFonts w:eastAsia="Calibri" w:cs="Cordia New"/>
          <w:szCs w:val="22"/>
          <w:lang w:val="pl-PL"/>
        </w:rPr>
        <w:tab/>
      </w:r>
      <w:r w:rsidRPr="00185BAF">
        <w:rPr>
          <w:rFonts w:eastAsia="Calibri" w:cs="Cordia New"/>
          <w:szCs w:val="22"/>
          <w:lang w:val="pl-PL"/>
        </w:rPr>
        <w:tab/>
      </w:r>
      <w:r w:rsidRPr="00185BAF">
        <w:rPr>
          <w:rFonts w:eastAsia="Calibri" w:cs="Cordia New"/>
          <w:szCs w:val="22"/>
          <w:lang w:val="pl-PL"/>
        </w:rPr>
        <w:tab/>
      </w:r>
      <w:r w:rsidRPr="00185BAF">
        <w:rPr>
          <w:rFonts w:eastAsia="Segoe UI" w:cs="Segoe UI"/>
          <w:color w:val="000000"/>
          <w:szCs w:val="22"/>
          <w:lang w:val="pl-PL"/>
        </w:rPr>
        <w:t>Monika Podsiadło</w:t>
      </w:r>
    </w:p>
    <w:p w14:paraId="6AFA9634" w14:textId="77777777" w:rsidR="002B3008" w:rsidRPr="00185BAF" w:rsidRDefault="002B3008" w:rsidP="002B3008">
      <w:pPr>
        <w:spacing w:after="113"/>
        <w:rPr>
          <w:rFonts w:eastAsia="Segoe UI" w:cs="Segoe UI"/>
          <w:color w:val="000000"/>
          <w:szCs w:val="22"/>
        </w:rPr>
      </w:pPr>
      <w:r w:rsidRPr="00185BAF">
        <w:rPr>
          <w:rFonts w:eastAsia="Segoe UI" w:cs="Segoe UI"/>
          <w:color w:val="000000"/>
          <w:szCs w:val="22"/>
          <w:lang w:val="pl-PL"/>
        </w:rPr>
        <w:t>Henkel Polska Sp. z o.o.</w:t>
      </w:r>
      <w:r w:rsidRPr="00185BAF">
        <w:rPr>
          <w:rFonts w:eastAsia="Calibri" w:cs="Cordia New"/>
          <w:szCs w:val="22"/>
          <w:lang w:val="pl-PL"/>
        </w:rPr>
        <w:tab/>
      </w:r>
      <w:r w:rsidRPr="00185BAF">
        <w:rPr>
          <w:rFonts w:eastAsia="Calibri" w:cs="Cordia New"/>
          <w:szCs w:val="22"/>
          <w:lang w:val="pl-PL"/>
        </w:rPr>
        <w:tab/>
      </w:r>
      <w:r w:rsidRPr="00185BAF">
        <w:rPr>
          <w:rFonts w:eastAsia="Segoe UI" w:cs="Segoe UI"/>
          <w:color w:val="000000"/>
          <w:szCs w:val="22"/>
        </w:rPr>
        <w:t>Burson Poland</w:t>
      </w:r>
    </w:p>
    <w:p w14:paraId="2A61358A" w14:textId="77777777" w:rsidR="002B3008" w:rsidRPr="00185BAF" w:rsidRDefault="002B3008" w:rsidP="002B3008">
      <w:pPr>
        <w:spacing w:after="113"/>
        <w:rPr>
          <w:rFonts w:eastAsia="Segoe UI" w:cs="Segoe UI"/>
          <w:color w:val="000000"/>
          <w:szCs w:val="22"/>
        </w:rPr>
      </w:pPr>
      <w:r w:rsidRPr="00185BAF">
        <w:rPr>
          <w:rFonts w:eastAsia="Segoe UI" w:cs="Segoe UI"/>
          <w:color w:val="000000"/>
          <w:szCs w:val="22"/>
        </w:rPr>
        <w:t>tel.: +48 728 306 646</w:t>
      </w:r>
      <w:r w:rsidRPr="00185BAF">
        <w:rPr>
          <w:rFonts w:eastAsia="Calibri" w:cs="Cordia New"/>
          <w:szCs w:val="22"/>
        </w:rPr>
        <w:tab/>
      </w:r>
      <w:r w:rsidRPr="00185BAF">
        <w:rPr>
          <w:rFonts w:eastAsia="Calibri" w:cs="Cordia New"/>
          <w:szCs w:val="22"/>
        </w:rPr>
        <w:tab/>
      </w:r>
      <w:r w:rsidRPr="00185BAF">
        <w:rPr>
          <w:rFonts w:eastAsia="Segoe UI" w:cs="Segoe UI"/>
          <w:color w:val="000000"/>
          <w:szCs w:val="22"/>
        </w:rPr>
        <w:t>tel.: +48 605 122 594</w:t>
      </w:r>
    </w:p>
    <w:p w14:paraId="6E4FB14B" w14:textId="77777777" w:rsidR="002B3008" w:rsidRPr="00185BAF" w:rsidRDefault="002B3008" w:rsidP="002B3008">
      <w:pPr>
        <w:spacing w:after="113"/>
        <w:rPr>
          <w:rFonts w:eastAsia="Segoe UI" w:cs="Segoe UI"/>
          <w:color w:val="0000FF"/>
          <w:szCs w:val="22"/>
        </w:rPr>
      </w:pPr>
      <w:hyperlink r:id="rId12">
        <w:r w:rsidRPr="00185BAF">
          <w:rPr>
            <w:rFonts w:eastAsia="Segoe UI" w:cs="Segoe UI"/>
            <w:color w:val="0000FF"/>
            <w:szCs w:val="22"/>
            <w:u w:val="single"/>
          </w:rPr>
          <w:t>daria.kuznik@henkel.com</w:t>
        </w:r>
      </w:hyperlink>
      <w:r w:rsidRPr="00185BAF">
        <w:rPr>
          <w:rFonts w:eastAsia="Segoe UI" w:cs="Segoe UI"/>
          <w:color w:val="000000"/>
          <w:szCs w:val="22"/>
        </w:rPr>
        <w:t xml:space="preserve"> </w:t>
      </w:r>
      <w:r w:rsidRPr="00185BAF">
        <w:rPr>
          <w:rFonts w:eastAsia="Calibri" w:cs="Cordia New"/>
          <w:szCs w:val="22"/>
        </w:rPr>
        <w:tab/>
      </w:r>
      <w:r w:rsidRPr="00185BAF">
        <w:rPr>
          <w:rFonts w:eastAsia="Calibri" w:cs="Cordia New"/>
          <w:szCs w:val="22"/>
        </w:rPr>
        <w:tab/>
      </w:r>
      <w:hyperlink r:id="rId13">
        <w:r w:rsidRPr="00185BAF">
          <w:rPr>
            <w:rFonts w:eastAsia="Segoe UI" w:cs="Segoe UI"/>
            <w:color w:val="0000FF"/>
            <w:szCs w:val="22"/>
            <w:u w:val="single"/>
          </w:rPr>
          <w:t>monika.podsiadlo@bursonglobal.com</w:t>
        </w:r>
      </w:hyperlink>
    </w:p>
    <w:p w14:paraId="5B70B89E" w14:textId="77777777" w:rsidR="00BF6E82" w:rsidRPr="00185BAF" w:rsidRDefault="00BF6E82" w:rsidP="00BF6E82">
      <w:pPr>
        <w:rPr>
          <w:rStyle w:val="AboutandContactBody"/>
          <w:sz w:val="22"/>
          <w:szCs w:val="22"/>
        </w:rPr>
      </w:pPr>
    </w:p>
    <w:p w14:paraId="0E675A5F" w14:textId="12518B4A" w:rsidR="00112A28" w:rsidRPr="00185BAF" w:rsidRDefault="00BF6E82" w:rsidP="001577E9">
      <w:pPr>
        <w:rPr>
          <w:rStyle w:val="AboutandContactBody"/>
          <w:sz w:val="22"/>
          <w:szCs w:val="22"/>
          <w:lang w:val="pl-PL"/>
        </w:rPr>
      </w:pPr>
      <w:r w:rsidRPr="00185BAF">
        <w:rPr>
          <w:rStyle w:val="AboutandContactBody"/>
          <w:sz w:val="22"/>
          <w:szCs w:val="22"/>
          <w:lang w:val="pl-PL"/>
        </w:rPr>
        <w:t xml:space="preserve">Henkel AG &amp; Co. </w:t>
      </w:r>
      <w:r w:rsidR="00B14C02" w:rsidRPr="00185BAF">
        <w:rPr>
          <w:rStyle w:val="AboutandContactBody"/>
          <w:sz w:val="22"/>
          <w:szCs w:val="22"/>
          <w:lang w:val="pl-PL"/>
        </w:rPr>
        <w:t>K</w:t>
      </w:r>
      <w:r w:rsidR="00B51068" w:rsidRPr="00185BAF">
        <w:rPr>
          <w:rStyle w:val="AboutandContactBody"/>
          <w:sz w:val="22"/>
          <w:szCs w:val="22"/>
          <w:lang w:val="pl-PL"/>
        </w:rPr>
        <w:t>g</w:t>
      </w:r>
      <w:r w:rsidR="005B1F0C" w:rsidRPr="00185BAF">
        <w:rPr>
          <w:rStyle w:val="AboutandContactBody"/>
          <w:sz w:val="22"/>
          <w:szCs w:val="22"/>
          <w:lang w:val="pl-PL"/>
        </w:rPr>
        <w:t>aA</w:t>
      </w:r>
    </w:p>
    <w:p w14:paraId="5CFC6349" w14:textId="065649D8" w:rsidR="4C9DB360" w:rsidRPr="005F6722" w:rsidRDefault="00B51068" w:rsidP="005F6722">
      <w:pPr>
        <w:spacing w:line="240" w:lineRule="auto"/>
        <w:jc w:val="left"/>
        <w:rPr>
          <w:sz w:val="18"/>
          <w:lang w:val="pl-PL"/>
        </w:rPr>
      </w:pPr>
      <w:r w:rsidRPr="6514E4B7">
        <w:rPr>
          <w:rStyle w:val="AboutandContactBody"/>
          <w:lang w:val="pl-PL"/>
        </w:rPr>
        <w:br w:type="page"/>
      </w:r>
      <w:r w:rsidR="4C9DB360" w:rsidRPr="00B77F1E">
        <w:rPr>
          <w:rFonts w:eastAsia="Segoe UI" w:cs="Segoe UI"/>
          <w:b/>
          <w:bCs/>
          <w:color w:val="E1000F"/>
          <w:sz w:val="36"/>
          <w:szCs w:val="36"/>
          <w:lang w:val="pl-PL"/>
        </w:rPr>
        <w:lastRenderedPageBreak/>
        <w:t>Kluczowe dane Q2 2026 i 1-6 2026</w:t>
      </w:r>
    </w:p>
    <w:p w14:paraId="620EE810" w14:textId="77777777" w:rsidR="00B51068" w:rsidRPr="00B77F1E" w:rsidRDefault="00B51068" w:rsidP="00B51068">
      <w:pPr>
        <w:widowControl w:val="0"/>
        <w:autoSpaceDE w:val="0"/>
        <w:autoSpaceDN w:val="0"/>
        <w:spacing w:line="240" w:lineRule="auto"/>
        <w:jc w:val="left"/>
        <w:rPr>
          <w:rFonts w:eastAsia="Segoe UI" w:cs="Segoe UI"/>
          <w:b/>
          <w:sz w:val="20"/>
          <w:szCs w:val="22"/>
          <w:lang w:val="pl-PL"/>
        </w:rPr>
      </w:pPr>
    </w:p>
    <w:p w14:paraId="70E99775" w14:textId="77777777" w:rsidR="00B51068" w:rsidRPr="00B77F1E" w:rsidRDefault="00B51068" w:rsidP="00B51068">
      <w:pPr>
        <w:widowControl w:val="0"/>
        <w:autoSpaceDE w:val="0"/>
        <w:autoSpaceDN w:val="0"/>
        <w:spacing w:line="240" w:lineRule="auto"/>
        <w:jc w:val="left"/>
        <w:rPr>
          <w:rFonts w:eastAsia="Segoe UI" w:cs="Segoe UI"/>
          <w:b/>
          <w:sz w:val="20"/>
          <w:szCs w:val="22"/>
          <w:lang w:val="pl-PL"/>
        </w:rPr>
      </w:pPr>
    </w:p>
    <w:p w14:paraId="4C64680D" w14:textId="77777777" w:rsidR="00B51068" w:rsidRPr="00B77F1E" w:rsidRDefault="00B51068" w:rsidP="00B51068">
      <w:pPr>
        <w:widowControl w:val="0"/>
        <w:autoSpaceDE w:val="0"/>
        <w:autoSpaceDN w:val="0"/>
        <w:spacing w:before="1" w:line="240" w:lineRule="auto"/>
        <w:jc w:val="left"/>
        <w:rPr>
          <w:rFonts w:eastAsia="Segoe UI" w:cs="Segoe UI"/>
          <w:b/>
          <w:sz w:val="20"/>
          <w:szCs w:val="22"/>
          <w:lang w:val="pl-PL"/>
        </w:rPr>
      </w:pPr>
    </w:p>
    <w:tbl>
      <w:tblPr>
        <w:tblW w:w="10184" w:type="dxa"/>
        <w:tblInd w:w="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9"/>
        <w:gridCol w:w="835"/>
        <w:gridCol w:w="992"/>
        <w:gridCol w:w="682"/>
        <w:gridCol w:w="1219"/>
        <w:gridCol w:w="1217"/>
      </w:tblGrid>
      <w:tr w:rsidR="00B51068" w:rsidRPr="00B51068" w14:paraId="66C6A0C9" w14:textId="77777777" w:rsidTr="005F6722">
        <w:trPr>
          <w:trHeight w:val="265"/>
        </w:trPr>
        <w:tc>
          <w:tcPr>
            <w:tcW w:w="6074" w:type="dxa"/>
            <w:gridSpan w:val="2"/>
            <w:tcBorders>
              <w:top w:val="single" w:sz="6" w:space="0" w:color="AFB4B9"/>
            </w:tcBorders>
          </w:tcPr>
          <w:p w14:paraId="42F8A100" w14:textId="77777777" w:rsidR="00B51068" w:rsidRPr="00B77F1E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  <w:lang w:val="pl-PL"/>
              </w:rPr>
            </w:pP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57455484" w14:textId="67F1A306" w:rsidR="00B51068" w:rsidRPr="005F6722" w:rsidRDefault="00B51068" w:rsidP="6514E4B7">
            <w:pPr>
              <w:widowControl w:val="0"/>
              <w:autoSpaceDE w:val="0"/>
              <w:autoSpaceDN w:val="0"/>
              <w:spacing w:line="251" w:lineRule="exact"/>
              <w:ind w:left="34"/>
              <w:jc w:val="left"/>
              <w:rPr>
                <w:rFonts w:eastAsia="Segoe UI" w:cs="Segoe UI"/>
                <w:b/>
                <w:bCs/>
                <w:sz w:val="20"/>
                <w:szCs w:val="22"/>
              </w:rPr>
            </w:pPr>
            <w:proofErr w:type="spellStart"/>
            <w:r w:rsidRPr="005F6722">
              <w:rPr>
                <w:rFonts w:eastAsia="Segoe UI" w:cs="Segoe UI"/>
                <w:b/>
                <w:bCs/>
                <w:spacing w:val="-2"/>
                <w:sz w:val="20"/>
                <w:szCs w:val="22"/>
              </w:rPr>
              <w:t>S</w:t>
            </w:r>
            <w:r w:rsidR="49934A34" w:rsidRPr="005F6722">
              <w:rPr>
                <w:rFonts w:eastAsia="Segoe UI" w:cs="Segoe UI"/>
                <w:b/>
                <w:bCs/>
                <w:sz w:val="20"/>
                <w:szCs w:val="22"/>
              </w:rPr>
              <w:t>przedaż</w:t>
            </w:r>
            <w:proofErr w:type="spellEnd"/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19C82BCA" w14:textId="77777777" w:rsidR="00B51068" w:rsidRPr="005F6722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2F44A413" w14:textId="77777777" w:rsidR="00B51068" w:rsidRPr="005F6722" w:rsidRDefault="00B51068" w:rsidP="00B51068">
            <w:pPr>
              <w:widowControl w:val="0"/>
              <w:autoSpaceDE w:val="0"/>
              <w:autoSpaceDN w:val="0"/>
              <w:spacing w:line="251" w:lineRule="exact"/>
              <w:ind w:left="73"/>
              <w:jc w:val="center"/>
              <w:rPr>
                <w:rFonts w:eastAsia="Segoe UI" w:cs="Segoe UI"/>
                <w:b/>
                <w:sz w:val="20"/>
                <w:szCs w:val="22"/>
              </w:rPr>
            </w:pPr>
            <w:r w:rsidRPr="005F6722">
              <w:rPr>
                <w:rFonts w:eastAsia="Segoe UI" w:cs="Segoe UI"/>
                <w:b/>
                <w:spacing w:val="-4"/>
                <w:sz w:val="20"/>
                <w:szCs w:val="22"/>
              </w:rPr>
              <w:t>EBIT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77572F83" w14:textId="0BB775A6" w:rsidR="00B51068" w:rsidRPr="005F6722" w:rsidRDefault="00B51068" w:rsidP="6514E4B7">
            <w:pPr>
              <w:widowControl w:val="0"/>
              <w:spacing w:line="251" w:lineRule="exact"/>
              <w:ind w:left="186"/>
              <w:jc w:val="center"/>
              <w:rPr>
                <w:sz w:val="20"/>
                <w:szCs w:val="22"/>
              </w:rPr>
            </w:pPr>
            <w:r w:rsidRPr="005F6722">
              <w:rPr>
                <w:rFonts w:eastAsia="Segoe UI" w:cs="Segoe UI"/>
                <w:b/>
                <w:bCs/>
                <w:sz w:val="20"/>
                <w:szCs w:val="22"/>
              </w:rPr>
              <w:t>EBIT</w:t>
            </w:r>
            <w:r w:rsidRPr="005F6722">
              <w:rPr>
                <w:rFonts w:eastAsia="Segoe UI" w:cs="Segoe UI"/>
                <w:b/>
                <w:bCs/>
                <w:spacing w:val="4"/>
                <w:sz w:val="20"/>
                <w:szCs w:val="22"/>
              </w:rPr>
              <w:t xml:space="preserve"> </w:t>
            </w:r>
            <w:proofErr w:type="spellStart"/>
            <w:r w:rsidR="2E1BFB17" w:rsidRPr="005F6722">
              <w:rPr>
                <w:rFonts w:eastAsia="Segoe UI" w:cs="Segoe UI"/>
                <w:b/>
                <w:bCs/>
                <w:sz w:val="20"/>
                <w:szCs w:val="22"/>
              </w:rPr>
              <w:t>marża</w:t>
            </w:r>
            <w:proofErr w:type="spellEnd"/>
          </w:p>
        </w:tc>
      </w:tr>
      <w:tr w:rsidR="00B51068" w:rsidRPr="00B51068" w14:paraId="466FFB54" w14:textId="77777777" w:rsidTr="005F6722">
        <w:trPr>
          <w:trHeight w:val="275"/>
        </w:trPr>
        <w:tc>
          <w:tcPr>
            <w:tcW w:w="5239" w:type="dxa"/>
            <w:tcBorders>
              <w:bottom w:val="single" w:sz="6" w:space="0" w:color="AFB4B9"/>
            </w:tcBorders>
          </w:tcPr>
          <w:p w14:paraId="6D1323F2" w14:textId="2ED12CEE" w:rsidR="00B51068" w:rsidRPr="00B51068" w:rsidRDefault="23FC54D0" w:rsidP="6514E4B7">
            <w:pPr>
              <w:widowControl w:val="0"/>
              <w:autoSpaceDE w:val="0"/>
              <w:autoSpaceDN w:val="0"/>
              <w:spacing w:line="256" w:lineRule="exact"/>
              <w:ind w:left="40"/>
              <w:jc w:val="left"/>
              <w:rPr>
                <w:rFonts w:eastAsia="Segoe UI" w:cs="Segoe UI"/>
                <w:b/>
                <w:bCs/>
              </w:rPr>
            </w:pPr>
            <w:r w:rsidRPr="6514E4B7">
              <w:rPr>
                <w:rFonts w:eastAsia="Segoe UI" w:cs="Segoe UI"/>
                <w:b/>
                <w:bCs/>
              </w:rPr>
              <w:t>w</w:t>
            </w:r>
            <w:r w:rsidR="00B51068" w:rsidRPr="6514E4B7">
              <w:rPr>
                <w:rFonts w:eastAsia="Segoe UI" w:cs="Segoe UI"/>
                <w:b/>
                <w:bCs/>
              </w:rPr>
              <w:t xml:space="preserve"> </w:t>
            </w:r>
            <w:proofErr w:type="spellStart"/>
            <w:r w:rsidR="00B51068" w:rsidRPr="6514E4B7">
              <w:rPr>
                <w:rFonts w:eastAsia="Segoe UI" w:cs="Segoe UI"/>
                <w:b/>
                <w:bCs/>
              </w:rPr>
              <w:t>mil</w:t>
            </w:r>
            <w:r w:rsidR="19B4AB96" w:rsidRPr="6514E4B7">
              <w:rPr>
                <w:rFonts w:eastAsia="Segoe UI" w:cs="Segoe UI"/>
                <w:b/>
                <w:bCs/>
              </w:rPr>
              <w:t>ionach</w:t>
            </w:r>
            <w:proofErr w:type="spellEnd"/>
            <w:r w:rsidR="00B51068" w:rsidRPr="6514E4B7">
              <w:rPr>
                <w:rFonts w:eastAsia="Segoe UI" w:cs="Segoe UI"/>
                <w:b/>
                <w:bCs/>
              </w:rPr>
              <w:t xml:space="preserve"> euro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1256EE7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51" w:lineRule="exact"/>
              <w:ind w:left="307"/>
              <w:jc w:val="center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pacing w:val="-5"/>
                <w:szCs w:val="22"/>
              </w:rPr>
              <w:t>Q2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2C06B59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1870B5A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51" w:lineRule="exact"/>
              <w:ind w:left="154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1-</w:t>
            </w:r>
            <w:r w:rsidRPr="00B51068">
              <w:rPr>
                <w:rFonts w:eastAsia="Segoe UI" w:cs="Segoe UI"/>
                <w:b/>
                <w:spacing w:val="-10"/>
                <w:szCs w:val="22"/>
              </w:rPr>
              <w:t>6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36F574B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51" w:lineRule="exact"/>
              <w:ind w:left="71"/>
              <w:jc w:val="center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1-</w:t>
            </w:r>
            <w:r w:rsidRPr="00B51068">
              <w:rPr>
                <w:rFonts w:eastAsia="Segoe UI" w:cs="Segoe UI"/>
                <w:b/>
                <w:spacing w:val="-10"/>
                <w:szCs w:val="22"/>
              </w:rPr>
              <w:t>6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018AD73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51" w:lineRule="exact"/>
              <w:ind w:left="184"/>
              <w:jc w:val="center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1-</w:t>
            </w:r>
            <w:r w:rsidRPr="00B51068">
              <w:rPr>
                <w:rFonts w:eastAsia="Segoe UI" w:cs="Segoe UI"/>
                <w:b/>
                <w:spacing w:val="-10"/>
                <w:szCs w:val="22"/>
              </w:rPr>
              <w:t>6</w:t>
            </w:r>
          </w:p>
        </w:tc>
      </w:tr>
      <w:tr w:rsidR="00B51068" w:rsidRPr="00B51068" w14:paraId="650420BF" w14:textId="77777777" w:rsidTr="005F6722">
        <w:trPr>
          <w:trHeight w:val="237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510999E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78616CA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4C91748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032FDAE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5DEE69F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1E635D6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16"/>
                <w:szCs w:val="22"/>
              </w:rPr>
            </w:pPr>
          </w:p>
        </w:tc>
      </w:tr>
      <w:tr w:rsidR="00B51068" w:rsidRPr="00B51068" w14:paraId="43DF8739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6A692CC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40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Adhesive</w:t>
            </w:r>
            <w:r w:rsidRPr="00B51068">
              <w:rPr>
                <w:rFonts w:eastAsia="Segoe UI" w:cs="Segoe UI"/>
                <w:b/>
                <w:spacing w:val="9"/>
                <w:szCs w:val="22"/>
              </w:rPr>
              <w:t xml:space="preserve"> </w:t>
            </w:r>
            <w:r w:rsidRPr="00B51068">
              <w:rPr>
                <w:rFonts w:eastAsia="Segoe UI" w:cs="Segoe UI"/>
                <w:b/>
                <w:spacing w:val="-2"/>
                <w:szCs w:val="22"/>
              </w:rPr>
              <w:t>Technologies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5FE7D5F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5C0922E0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658BCEA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3F83D05C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3EDD1E4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</w:tr>
      <w:tr w:rsidR="00B51068" w:rsidRPr="00B51068" w14:paraId="6418322B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7153721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2026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294CDB2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2,908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047F8E1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2C7A703B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6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5,534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70304E8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901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0841EC70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16.3%</w:t>
            </w:r>
          </w:p>
        </w:tc>
      </w:tr>
      <w:tr w:rsidR="00B51068" w:rsidRPr="00B51068" w14:paraId="51A21EE5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0F497F4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2025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11A4909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2,701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714C143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0EAFC17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6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5,416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079DE37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901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4F2B77DC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16.6%</w:t>
            </w:r>
          </w:p>
        </w:tc>
      </w:tr>
      <w:tr w:rsidR="00B51068" w:rsidRPr="00B51068" w14:paraId="1F7CDDCC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53880737" w14:textId="5099BA19" w:rsidR="00B51068" w:rsidRPr="00B51068" w:rsidRDefault="4DE04BD5" w:rsidP="6514E4B7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</w:rPr>
            </w:pPr>
            <w:proofErr w:type="spellStart"/>
            <w:r w:rsidRPr="6514E4B7">
              <w:rPr>
                <w:rFonts w:eastAsia="Segoe UI" w:cs="Segoe UI"/>
              </w:rPr>
              <w:t>O</w:t>
            </w:r>
            <w:r w:rsidR="00B51068" w:rsidRPr="6514E4B7">
              <w:rPr>
                <w:rFonts w:eastAsia="Segoe UI" w:cs="Segoe UI"/>
              </w:rPr>
              <w:t>rganic</w:t>
            </w:r>
            <w:r w:rsidRPr="6514E4B7">
              <w:rPr>
                <w:rFonts w:eastAsia="Segoe UI" w:cs="Segoe UI"/>
              </w:rPr>
              <w:t>zny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wzrost</w:t>
            </w:r>
            <w:proofErr w:type="spellEnd"/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2489A286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7.4%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4F2CA47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7EAEC63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91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4.5%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11F638E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2DF15CAB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5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</w:tr>
      <w:tr w:rsidR="00B51068" w:rsidRPr="00B51068" w14:paraId="657953F7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14558E23" w14:textId="11BE32C5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2026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4BBA2A41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313AA2F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3189C34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0D16535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2C8704F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982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52D58C6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17.7%</w:t>
            </w:r>
          </w:p>
        </w:tc>
      </w:tr>
      <w:tr w:rsidR="00B51068" w:rsidRPr="00B51068" w14:paraId="094C6288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7A971C2B" w14:textId="1BF026B8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2025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5B04EBE7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12209DF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0859392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61F1F23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19E5330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931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08E30BE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17.2%</w:t>
            </w:r>
          </w:p>
        </w:tc>
      </w:tr>
      <w:tr w:rsidR="00B51068" w:rsidRPr="00B51068" w14:paraId="7E536814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526CA51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40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Consumer</w:t>
            </w:r>
            <w:r w:rsidRPr="00B51068">
              <w:rPr>
                <w:rFonts w:eastAsia="Segoe UI" w:cs="Segoe UI"/>
                <w:b/>
                <w:spacing w:val="10"/>
                <w:szCs w:val="22"/>
              </w:rPr>
              <w:t xml:space="preserve"> </w:t>
            </w:r>
            <w:r w:rsidRPr="00B51068">
              <w:rPr>
                <w:rFonts w:eastAsia="Segoe UI" w:cs="Segoe UI"/>
                <w:b/>
                <w:spacing w:val="-2"/>
                <w:szCs w:val="22"/>
              </w:rPr>
              <w:t>Brands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2D0556B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40DC86A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67262B7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3E5DCDD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2FAF977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</w:tr>
      <w:tr w:rsidR="00B51068" w:rsidRPr="00B51068" w14:paraId="2925C4F2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60CCC70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2026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2AFBD91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2,448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1AC5269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1867699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6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4,733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524BB3A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643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3D38050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13.6%</w:t>
            </w:r>
          </w:p>
        </w:tc>
      </w:tr>
      <w:tr w:rsidR="00B51068" w:rsidRPr="00B51068" w14:paraId="52B4B987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290144D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2025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30BBC10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2,422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2DE9153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61DFB97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6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4,907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5EDC00CC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725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39176CC6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14.8%</w:t>
            </w:r>
          </w:p>
        </w:tc>
      </w:tr>
      <w:tr w:rsidR="00B51068" w:rsidRPr="00B51068" w14:paraId="1FF46765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7A3E4276" w14:textId="77777777" w:rsidR="00B51068" w:rsidRPr="00B51068" w:rsidRDefault="7F12411B" w:rsidP="6514E4B7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</w:rPr>
            </w:pPr>
            <w:proofErr w:type="spellStart"/>
            <w:r w:rsidRPr="6514E4B7">
              <w:rPr>
                <w:rFonts w:eastAsia="Segoe UI" w:cs="Segoe UI"/>
              </w:rPr>
              <w:t>Organiczny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wzrost</w:t>
            </w:r>
            <w:proofErr w:type="spellEnd"/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4188A19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1.6%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31AB763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19E318D0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91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1.7%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383BAE9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64A4C3B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5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</w:tr>
      <w:tr w:rsidR="00B51068" w:rsidRPr="00B51068" w14:paraId="0958F97D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7E2F5E76" w14:textId="458B11FF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2026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66E4E010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7A47CDB9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2FAC31F6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7C0578A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78F30AD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724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1EF3C85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15.3%</w:t>
            </w:r>
          </w:p>
        </w:tc>
      </w:tr>
      <w:tr w:rsidR="00B51068" w:rsidRPr="00B51068" w14:paraId="1008F58E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3567E203" w14:textId="757105F8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2025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02A5A0A4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6D56705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2821B9D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30E331F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1700A7C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5"/>
                <w:szCs w:val="22"/>
              </w:rPr>
              <w:t>748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0F321980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15.3%</w:t>
            </w:r>
          </w:p>
        </w:tc>
      </w:tr>
      <w:tr w:rsidR="00B51068" w:rsidRPr="00B51068" w14:paraId="222ABCCF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42C108F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40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pacing w:val="-2"/>
                <w:szCs w:val="22"/>
              </w:rPr>
              <w:t>Henkel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02812D3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30B16AA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21548ACB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435D523B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  <w:shd w:val="clear" w:color="auto" w:fill="E7E6E6" w:themeFill="background2"/>
          </w:tcPr>
          <w:p w14:paraId="6E287C0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</w:tr>
      <w:tr w:rsidR="00B51068" w:rsidRPr="00B51068" w14:paraId="267D3560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5C9A27B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2026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20F375F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5,396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37028689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76F019D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10,348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741D73A0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1,424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28E9A57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13.8%</w:t>
            </w:r>
          </w:p>
        </w:tc>
      </w:tr>
      <w:tr w:rsidR="00B51068" w:rsidRPr="00B51068" w14:paraId="2A77BA20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2C755C5F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2025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2D6580B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5,160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2A074B3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74DD3DF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10,402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669E32E5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1,541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5E136E3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14.8%</w:t>
            </w:r>
          </w:p>
        </w:tc>
      </w:tr>
      <w:tr w:rsidR="00B51068" w:rsidRPr="00B51068" w14:paraId="69A7A606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4E2C336B" w14:textId="77777777" w:rsidR="00B51068" w:rsidRPr="00B51068" w:rsidRDefault="62791000" w:rsidP="6514E4B7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rFonts w:eastAsia="Segoe UI" w:cs="Segoe UI"/>
              </w:rPr>
            </w:pPr>
            <w:proofErr w:type="spellStart"/>
            <w:r w:rsidRPr="6514E4B7">
              <w:rPr>
                <w:rFonts w:eastAsia="Segoe UI" w:cs="Segoe UI"/>
              </w:rPr>
              <w:t>Organiczny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wzrost</w:t>
            </w:r>
            <w:proofErr w:type="spellEnd"/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10BD68E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0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4.7%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4D6D9E36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015B5DFB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91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3.2%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293109E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5956953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5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</w:tr>
      <w:tr w:rsidR="00B51068" w:rsidRPr="00B51068" w14:paraId="6FC07205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5F993581" w14:textId="4C358991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2026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782A64FD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13A68356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76093C2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5B56848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21281F5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1,620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1B463733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15.7%</w:t>
            </w:r>
          </w:p>
        </w:tc>
      </w:tr>
      <w:tr w:rsidR="00B51068" w:rsidRPr="00B51068" w14:paraId="6B2DF1A6" w14:textId="77777777" w:rsidTr="005F6722">
        <w:trPr>
          <w:trHeight w:val="361"/>
        </w:trPr>
        <w:tc>
          <w:tcPr>
            <w:tcW w:w="5239" w:type="dxa"/>
            <w:tcBorders>
              <w:top w:val="single" w:sz="6" w:space="0" w:color="AFB4B9"/>
              <w:bottom w:val="single" w:sz="6" w:space="0" w:color="AFB4B9"/>
            </w:tcBorders>
          </w:tcPr>
          <w:p w14:paraId="44E3297F" w14:textId="12808E09" w:rsidR="00B51068" w:rsidRPr="00B51068" w:rsidRDefault="00B51068" w:rsidP="6514E4B7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rFonts w:eastAsia="Segoe UI" w:cs="Segoe UI"/>
              </w:rPr>
            </w:pPr>
            <w:r w:rsidRPr="6514E4B7">
              <w:rPr>
                <w:rFonts w:eastAsia="Segoe UI" w:cs="Segoe UI"/>
              </w:rPr>
              <w:t>2025</w:t>
            </w:r>
            <w:r w:rsidRPr="6514E4B7">
              <w:rPr>
                <w:rFonts w:eastAsia="Segoe UI" w:cs="Segoe UI"/>
                <w:spacing w:val="5"/>
              </w:rPr>
              <w:t xml:space="preserve"> </w:t>
            </w:r>
            <w:proofErr w:type="spellStart"/>
            <w:r w:rsidR="764C07B0" w:rsidRPr="6514E4B7">
              <w:rPr>
                <w:rFonts w:eastAsia="Segoe UI" w:cs="Segoe UI"/>
              </w:rPr>
              <w:t>skorygowany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r w:rsidRPr="6514E4B7">
              <w:rPr>
                <w:rFonts w:eastAsia="Segoe UI" w:cs="Segoe UI"/>
                <w:vertAlign w:val="superscript"/>
              </w:rPr>
              <w:t>1)</w:t>
            </w:r>
          </w:p>
        </w:tc>
        <w:tc>
          <w:tcPr>
            <w:tcW w:w="835" w:type="dxa"/>
            <w:tcBorders>
              <w:top w:val="single" w:sz="6" w:space="0" w:color="AFB4B9"/>
              <w:bottom w:val="single" w:sz="6" w:space="0" w:color="AFB4B9"/>
            </w:tcBorders>
          </w:tcPr>
          <w:p w14:paraId="59BBB46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310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FB4B9"/>
              <w:bottom w:val="single" w:sz="6" w:space="0" w:color="AFB4B9"/>
            </w:tcBorders>
          </w:tcPr>
          <w:p w14:paraId="1104569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682" w:type="dxa"/>
            <w:tcBorders>
              <w:top w:val="single" w:sz="6" w:space="0" w:color="AFB4B9"/>
              <w:bottom w:val="single" w:sz="6" w:space="0" w:color="AFB4B9"/>
            </w:tcBorders>
          </w:tcPr>
          <w:p w14:paraId="6E79C44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284"/>
              <w:jc w:val="left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6" w:space="0" w:color="AFB4B9"/>
              <w:bottom w:val="single" w:sz="6" w:space="0" w:color="AFB4B9"/>
            </w:tcBorders>
          </w:tcPr>
          <w:p w14:paraId="506BBC32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1,614</w:t>
            </w:r>
          </w:p>
        </w:tc>
        <w:tc>
          <w:tcPr>
            <w:tcW w:w="1217" w:type="dxa"/>
            <w:tcBorders>
              <w:top w:val="single" w:sz="6" w:space="0" w:color="AFB4B9"/>
              <w:bottom w:val="single" w:sz="6" w:space="0" w:color="AFB4B9"/>
            </w:tcBorders>
          </w:tcPr>
          <w:p w14:paraId="501FB34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18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15.5%</w:t>
            </w:r>
          </w:p>
        </w:tc>
      </w:tr>
    </w:tbl>
    <w:p w14:paraId="5C9C705A" w14:textId="77777777" w:rsidR="00B51068" w:rsidRPr="00B51068" w:rsidRDefault="00B51068" w:rsidP="00B51068">
      <w:pPr>
        <w:widowControl w:val="0"/>
        <w:autoSpaceDE w:val="0"/>
        <w:autoSpaceDN w:val="0"/>
        <w:spacing w:before="94" w:after="1" w:line="240" w:lineRule="auto"/>
        <w:jc w:val="left"/>
        <w:rPr>
          <w:rFonts w:eastAsia="Segoe UI" w:cs="Segoe UI"/>
          <w:b/>
          <w:sz w:val="20"/>
          <w:szCs w:val="22"/>
        </w:rPr>
      </w:pPr>
    </w:p>
    <w:tbl>
      <w:tblPr>
        <w:tblW w:w="0" w:type="auto"/>
        <w:tblInd w:w="22" w:type="dxa"/>
        <w:tblBorders>
          <w:top w:val="single" w:sz="6" w:space="0" w:color="AFB4B9"/>
          <w:left w:val="single" w:sz="6" w:space="0" w:color="AFB4B9"/>
          <w:bottom w:val="single" w:sz="6" w:space="0" w:color="AFB4B9"/>
          <w:right w:val="single" w:sz="6" w:space="0" w:color="AFB4B9"/>
          <w:insideH w:val="single" w:sz="6" w:space="0" w:color="AFB4B9"/>
          <w:insideV w:val="single" w:sz="6" w:space="0" w:color="AFB4B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9"/>
        <w:gridCol w:w="1277"/>
        <w:gridCol w:w="1204"/>
        <w:gridCol w:w="3013"/>
      </w:tblGrid>
      <w:tr w:rsidR="00B51068" w:rsidRPr="00B51068" w14:paraId="6AF8B24D" w14:textId="77777777" w:rsidTr="6514E4B7">
        <w:trPr>
          <w:trHeight w:val="572"/>
        </w:trPr>
        <w:tc>
          <w:tcPr>
            <w:tcW w:w="5169" w:type="dxa"/>
            <w:tcBorders>
              <w:left w:val="nil"/>
              <w:right w:val="nil"/>
            </w:tcBorders>
          </w:tcPr>
          <w:p w14:paraId="788F210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25F419A9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69" w:lineRule="exact"/>
              <w:ind w:left="504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1-</w:t>
            </w:r>
            <w:r w:rsidRPr="00B51068">
              <w:rPr>
                <w:rFonts w:eastAsia="Segoe UI" w:cs="Segoe UI"/>
                <w:b/>
                <w:spacing w:val="-10"/>
                <w:szCs w:val="22"/>
              </w:rPr>
              <w:t>6</w:t>
            </w:r>
          </w:p>
          <w:p w14:paraId="208940B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68" w:lineRule="exact"/>
              <w:ind w:left="423"/>
              <w:jc w:val="left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pacing w:val="-4"/>
                <w:szCs w:val="22"/>
              </w:rPr>
              <w:t>2025</w:t>
            </w:r>
          </w:p>
        </w:tc>
        <w:tc>
          <w:tcPr>
            <w:tcW w:w="1204" w:type="dxa"/>
            <w:tcBorders>
              <w:left w:val="nil"/>
              <w:right w:val="nil"/>
            </w:tcBorders>
          </w:tcPr>
          <w:p w14:paraId="4C854C0E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69" w:lineRule="exact"/>
              <w:ind w:right="14"/>
              <w:jc w:val="center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zCs w:val="22"/>
              </w:rPr>
              <w:t>1-</w:t>
            </w:r>
            <w:r w:rsidRPr="00B51068">
              <w:rPr>
                <w:rFonts w:eastAsia="Segoe UI" w:cs="Segoe UI"/>
                <w:b/>
                <w:spacing w:val="-10"/>
                <w:szCs w:val="22"/>
              </w:rPr>
              <w:t>6</w:t>
            </w:r>
          </w:p>
          <w:p w14:paraId="30C3942C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68" w:lineRule="exact"/>
              <w:ind w:right="11"/>
              <w:jc w:val="center"/>
              <w:rPr>
                <w:rFonts w:eastAsia="Segoe UI" w:cs="Segoe UI"/>
                <w:b/>
                <w:szCs w:val="22"/>
              </w:rPr>
            </w:pPr>
            <w:r w:rsidRPr="00B51068">
              <w:rPr>
                <w:rFonts w:eastAsia="Segoe UI" w:cs="Segoe UI"/>
                <w:b/>
                <w:spacing w:val="-4"/>
                <w:szCs w:val="22"/>
              </w:rPr>
              <w:t>2026</w:t>
            </w:r>
          </w:p>
        </w:tc>
        <w:tc>
          <w:tcPr>
            <w:tcW w:w="3013" w:type="dxa"/>
            <w:tcBorders>
              <w:left w:val="nil"/>
              <w:right w:val="nil"/>
            </w:tcBorders>
          </w:tcPr>
          <w:p w14:paraId="5A1822B7" w14:textId="2E2EA4D5" w:rsidR="00B51068" w:rsidRPr="00B51068" w:rsidRDefault="00B77F1E" w:rsidP="00B51068">
            <w:pPr>
              <w:widowControl w:val="0"/>
              <w:autoSpaceDE w:val="0"/>
              <w:autoSpaceDN w:val="0"/>
              <w:spacing w:before="116" w:line="240" w:lineRule="auto"/>
              <w:ind w:right="1524"/>
              <w:jc w:val="center"/>
              <w:rPr>
                <w:rFonts w:eastAsia="Segoe UI" w:cs="Segoe UI"/>
                <w:b/>
                <w:szCs w:val="22"/>
              </w:rPr>
            </w:pPr>
            <w:proofErr w:type="spellStart"/>
            <w:r>
              <w:rPr>
                <w:rFonts w:eastAsia="Segoe UI" w:cs="Segoe UI"/>
                <w:b/>
                <w:spacing w:val="-2"/>
                <w:szCs w:val="22"/>
              </w:rPr>
              <w:t>Zmiana</w:t>
            </w:r>
            <w:proofErr w:type="spellEnd"/>
          </w:p>
        </w:tc>
      </w:tr>
      <w:tr w:rsidR="00B51068" w:rsidRPr="00B51068" w14:paraId="2B7DB29D" w14:textId="77777777" w:rsidTr="6514E4B7">
        <w:trPr>
          <w:trHeight w:val="361"/>
        </w:trPr>
        <w:tc>
          <w:tcPr>
            <w:tcW w:w="5169" w:type="dxa"/>
            <w:tcBorders>
              <w:left w:val="nil"/>
              <w:right w:val="nil"/>
            </w:tcBorders>
          </w:tcPr>
          <w:p w14:paraId="61DD1C6C" w14:textId="5E872384" w:rsidR="00B51068" w:rsidRPr="003A582E" w:rsidRDefault="1E6B211B" w:rsidP="00B51068">
            <w:pPr>
              <w:widowControl w:val="0"/>
              <w:autoSpaceDE w:val="0"/>
              <w:autoSpaceDN w:val="0"/>
              <w:spacing w:before="25" w:line="240" w:lineRule="auto"/>
              <w:ind w:left="38"/>
              <w:jc w:val="left"/>
              <w:rPr>
                <w:lang w:val="pl-PL"/>
              </w:rPr>
            </w:pPr>
            <w:r w:rsidRPr="003A582E">
              <w:rPr>
                <w:rFonts w:eastAsia="Segoe UI" w:cs="Segoe UI"/>
                <w:lang w:val="pl-PL"/>
              </w:rPr>
              <w:t>Zysk na akcję uprzywilejowaną w euro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7A983D2A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9" w:right="1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2.66</w:t>
            </w:r>
          </w:p>
        </w:tc>
        <w:tc>
          <w:tcPr>
            <w:tcW w:w="1204" w:type="dxa"/>
            <w:tcBorders>
              <w:left w:val="nil"/>
              <w:right w:val="nil"/>
            </w:tcBorders>
          </w:tcPr>
          <w:p w14:paraId="3D6F5D9C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right="1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2.44</w:t>
            </w:r>
          </w:p>
        </w:tc>
        <w:tc>
          <w:tcPr>
            <w:tcW w:w="3013" w:type="dxa"/>
            <w:tcBorders>
              <w:left w:val="nil"/>
              <w:right w:val="nil"/>
            </w:tcBorders>
          </w:tcPr>
          <w:p w14:paraId="7466EC2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right="1522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2"/>
                <w:szCs w:val="22"/>
              </w:rPr>
              <w:t>-</w:t>
            </w:r>
            <w:r w:rsidRPr="00B51068">
              <w:rPr>
                <w:rFonts w:eastAsia="Segoe UI" w:cs="Segoe UI"/>
                <w:spacing w:val="-4"/>
                <w:szCs w:val="22"/>
              </w:rPr>
              <w:t>8.3%</w:t>
            </w:r>
          </w:p>
        </w:tc>
      </w:tr>
      <w:tr w:rsidR="00B51068" w:rsidRPr="00B51068" w14:paraId="7FC34E95" w14:textId="77777777" w:rsidTr="6514E4B7">
        <w:trPr>
          <w:trHeight w:val="361"/>
        </w:trPr>
        <w:tc>
          <w:tcPr>
            <w:tcW w:w="5169" w:type="dxa"/>
            <w:tcBorders>
              <w:left w:val="nil"/>
              <w:right w:val="nil"/>
            </w:tcBorders>
          </w:tcPr>
          <w:p w14:paraId="1039F7FF" w14:textId="1B92194E" w:rsidR="00B51068" w:rsidRPr="003A582E" w:rsidRDefault="1242DD73" w:rsidP="00B51068">
            <w:pPr>
              <w:widowControl w:val="0"/>
              <w:autoSpaceDE w:val="0"/>
              <w:autoSpaceDN w:val="0"/>
              <w:spacing w:before="42" w:line="240" w:lineRule="auto"/>
              <w:ind w:left="38"/>
              <w:jc w:val="left"/>
              <w:rPr>
                <w:lang w:val="pl-PL"/>
              </w:rPr>
            </w:pPr>
            <w:r w:rsidRPr="003A582E">
              <w:rPr>
                <w:rFonts w:eastAsia="Segoe UI" w:cs="Segoe UI"/>
                <w:lang w:val="pl-PL"/>
              </w:rPr>
              <w:t>Skorygowany ¹⁾ zysk na akcję uprzywilejowaną w euro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1AEBA5A4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left="79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2.81</w:t>
            </w:r>
          </w:p>
        </w:tc>
        <w:tc>
          <w:tcPr>
            <w:tcW w:w="1204" w:type="dxa"/>
            <w:tcBorders>
              <w:left w:val="nil"/>
              <w:right w:val="nil"/>
            </w:tcBorders>
          </w:tcPr>
          <w:p w14:paraId="5D3E3A4D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right="1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2.86</w:t>
            </w:r>
          </w:p>
        </w:tc>
        <w:tc>
          <w:tcPr>
            <w:tcW w:w="3013" w:type="dxa"/>
            <w:tcBorders>
              <w:left w:val="nil"/>
              <w:right w:val="nil"/>
            </w:tcBorders>
          </w:tcPr>
          <w:p w14:paraId="374F7EE1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right="152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1.8%</w:t>
            </w:r>
          </w:p>
        </w:tc>
      </w:tr>
      <w:tr w:rsidR="00B51068" w:rsidRPr="00B51068" w14:paraId="4E3874F3" w14:textId="77777777" w:rsidTr="6514E4B7">
        <w:trPr>
          <w:trHeight w:val="361"/>
        </w:trPr>
        <w:tc>
          <w:tcPr>
            <w:tcW w:w="5169" w:type="dxa"/>
            <w:tcBorders>
              <w:left w:val="nil"/>
              <w:right w:val="nil"/>
            </w:tcBorders>
          </w:tcPr>
          <w:p w14:paraId="02AAA9F6" w14:textId="4C3789CC" w:rsidR="00B51068" w:rsidRPr="00B51068" w:rsidRDefault="2D6E880C" w:rsidP="00B51068">
            <w:pPr>
              <w:widowControl w:val="0"/>
              <w:autoSpaceDE w:val="0"/>
              <w:autoSpaceDN w:val="0"/>
              <w:spacing w:before="25" w:line="240" w:lineRule="auto"/>
              <w:ind w:left="384"/>
              <w:jc w:val="left"/>
            </w:pPr>
            <w:proofErr w:type="spellStart"/>
            <w:r w:rsidRPr="6514E4B7">
              <w:rPr>
                <w:rFonts w:eastAsia="Segoe UI" w:cs="Segoe UI"/>
              </w:rPr>
              <w:t>przy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stałych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kursach</w:t>
            </w:r>
            <w:proofErr w:type="spellEnd"/>
            <w:r w:rsidRPr="6514E4B7">
              <w:rPr>
                <w:rFonts w:eastAsia="Segoe UI" w:cs="Segoe UI"/>
              </w:rPr>
              <w:t xml:space="preserve"> </w:t>
            </w:r>
            <w:proofErr w:type="spellStart"/>
            <w:r w:rsidRPr="6514E4B7">
              <w:rPr>
                <w:rFonts w:eastAsia="Segoe UI" w:cs="Segoe UI"/>
              </w:rPr>
              <w:t>wymiany</w:t>
            </w:r>
            <w:proofErr w:type="spellEnd"/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6846F15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1204" w:type="dxa"/>
            <w:tcBorders>
              <w:left w:val="nil"/>
              <w:right w:val="nil"/>
            </w:tcBorders>
          </w:tcPr>
          <w:p w14:paraId="04A5B8E8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line="240" w:lineRule="auto"/>
              <w:jc w:val="left"/>
              <w:rPr>
                <w:rFonts w:ascii="Times New Roman" w:eastAsia="Segoe UI" w:cs="Segoe UI"/>
                <w:sz w:val="20"/>
                <w:szCs w:val="22"/>
              </w:rPr>
            </w:pPr>
          </w:p>
        </w:tc>
        <w:tc>
          <w:tcPr>
            <w:tcW w:w="3013" w:type="dxa"/>
            <w:tcBorders>
              <w:left w:val="nil"/>
              <w:right w:val="nil"/>
            </w:tcBorders>
          </w:tcPr>
          <w:p w14:paraId="64B35107" w14:textId="77777777" w:rsidR="00B51068" w:rsidRPr="00B51068" w:rsidRDefault="00B51068" w:rsidP="00B51068">
            <w:pPr>
              <w:widowControl w:val="0"/>
              <w:autoSpaceDE w:val="0"/>
              <w:autoSpaceDN w:val="0"/>
              <w:spacing w:before="25" w:line="240" w:lineRule="auto"/>
              <w:ind w:right="1524"/>
              <w:jc w:val="center"/>
              <w:rPr>
                <w:rFonts w:eastAsia="Segoe UI" w:cs="Segoe UI"/>
                <w:szCs w:val="22"/>
              </w:rPr>
            </w:pPr>
            <w:r w:rsidRPr="00B51068">
              <w:rPr>
                <w:rFonts w:eastAsia="Segoe UI" w:cs="Segoe UI"/>
                <w:spacing w:val="-4"/>
                <w:szCs w:val="22"/>
              </w:rPr>
              <w:t>7.1%</w:t>
            </w:r>
          </w:p>
        </w:tc>
      </w:tr>
    </w:tbl>
    <w:p w14:paraId="66EB6E55" w14:textId="77777777" w:rsidR="00B51068" w:rsidRPr="00B51068" w:rsidRDefault="00B51068" w:rsidP="00B51068">
      <w:pPr>
        <w:widowControl w:val="0"/>
        <w:autoSpaceDE w:val="0"/>
        <w:autoSpaceDN w:val="0"/>
        <w:spacing w:before="16" w:line="240" w:lineRule="auto"/>
        <w:jc w:val="left"/>
        <w:rPr>
          <w:rFonts w:eastAsia="Segoe UI" w:cs="Segoe UI"/>
          <w:b/>
          <w:sz w:val="14"/>
          <w:szCs w:val="22"/>
        </w:rPr>
      </w:pPr>
    </w:p>
    <w:p w14:paraId="39D0630F" w14:textId="1198F7C7" w:rsidR="773DAEEF" w:rsidRPr="003A582E" w:rsidRDefault="773DAEEF" w:rsidP="6514E4B7">
      <w:pPr>
        <w:widowControl w:val="0"/>
        <w:spacing w:line="240" w:lineRule="auto"/>
        <w:ind w:left="41"/>
        <w:jc w:val="left"/>
        <w:rPr>
          <w:lang w:val="pl-PL"/>
        </w:rPr>
      </w:pPr>
      <w:r w:rsidRPr="003A582E">
        <w:rPr>
          <w:rFonts w:eastAsia="Segoe UI" w:cs="Segoe UI"/>
          <w:sz w:val="14"/>
          <w:szCs w:val="14"/>
          <w:lang w:val="pl-PL"/>
        </w:rPr>
        <w:t>Wszystkie pojedyncze dane zostały zaokrąglone zgodnie z zasadami rynkowymi. Ich zsumowanie może skutkować odchyleniami od podanych wartości całkowitych.</w:t>
      </w:r>
    </w:p>
    <w:p w14:paraId="75BDC75A" w14:textId="4A487C68" w:rsidR="00B51068" w:rsidRPr="003A582E" w:rsidRDefault="00B51068" w:rsidP="00B51068">
      <w:pPr>
        <w:widowControl w:val="0"/>
        <w:autoSpaceDE w:val="0"/>
        <w:autoSpaceDN w:val="0"/>
        <w:spacing w:before="21" w:line="240" w:lineRule="auto"/>
        <w:ind w:left="41"/>
        <w:jc w:val="left"/>
        <w:rPr>
          <w:lang w:val="pl-PL"/>
        </w:rPr>
      </w:pPr>
      <w:r w:rsidRPr="003A582E">
        <w:rPr>
          <w:rFonts w:eastAsia="Segoe UI" w:cs="Segoe UI"/>
          <w:sz w:val="14"/>
          <w:szCs w:val="14"/>
          <w:vertAlign w:val="superscript"/>
          <w:lang w:val="pl-PL"/>
        </w:rPr>
        <w:lastRenderedPageBreak/>
        <w:t>1)</w:t>
      </w:r>
      <w:r w:rsidRPr="003A582E">
        <w:rPr>
          <w:rFonts w:eastAsia="Segoe UI" w:cs="Segoe UI"/>
          <w:spacing w:val="-4"/>
          <w:sz w:val="14"/>
          <w:szCs w:val="14"/>
          <w:lang w:val="pl-PL"/>
        </w:rPr>
        <w:t xml:space="preserve"> </w:t>
      </w:r>
      <w:r w:rsidR="11008205" w:rsidRPr="003A582E">
        <w:rPr>
          <w:rFonts w:eastAsia="Segoe UI" w:cs="Segoe UI"/>
          <w:sz w:val="14"/>
          <w:szCs w:val="14"/>
          <w:lang w:val="pl-PL"/>
        </w:rPr>
        <w:t>Po uwzględnieniu kosztów i przychodów o charakterze jednorazowym oraz kosztów restrukturyzacji.</w:t>
      </w:r>
    </w:p>
    <w:p w14:paraId="0C95B505" w14:textId="77777777" w:rsidR="00B51068" w:rsidRPr="003A582E" w:rsidRDefault="00B51068" w:rsidP="00B51068">
      <w:pPr>
        <w:widowControl w:val="0"/>
        <w:autoSpaceDE w:val="0"/>
        <w:autoSpaceDN w:val="0"/>
        <w:spacing w:before="95" w:line="240" w:lineRule="auto"/>
        <w:jc w:val="left"/>
        <w:rPr>
          <w:rFonts w:eastAsia="Segoe UI" w:cs="Segoe UI"/>
          <w:sz w:val="14"/>
          <w:szCs w:val="22"/>
          <w:lang w:val="pl-PL"/>
        </w:rPr>
      </w:pPr>
    </w:p>
    <w:p w14:paraId="664E34E4" w14:textId="77777777" w:rsidR="00B51068" w:rsidRPr="00B51068" w:rsidRDefault="00B51068" w:rsidP="00B51068">
      <w:pPr>
        <w:widowControl w:val="0"/>
        <w:autoSpaceDE w:val="0"/>
        <w:autoSpaceDN w:val="0"/>
        <w:spacing w:line="240" w:lineRule="auto"/>
        <w:ind w:left="41"/>
        <w:jc w:val="left"/>
        <w:rPr>
          <w:rFonts w:eastAsia="Segoe UI" w:cs="Segoe UI"/>
          <w:sz w:val="14"/>
          <w:szCs w:val="22"/>
        </w:rPr>
      </w:pPr>
      <w:r w:rsidRPr="00B51068">
        <w:rPr>
          <w:rFonts w:eastAsia="Segoe UI" w:cs="Segoe UI"/>
          <w:sz w:val="14"/>
          <w:szCs w:val="22"/>
        </w:rPr>
        <w:t>Henkel</w:t>
      </w:r>
      <w:r w:rsidRPr="00B51068">
        <w:rPr>
          <w:rFonts w:eastAsia="Segoe UI" w:cs="Segoe UI"/>
          <w:spacing w:val="-5"/>
          <w:sz w:val="14"/>
          <w:szCs w:val="22"/>
        </w:rPr>
        <w:t xml:space="preserve"> </w:t>
      </w:r>
      <w:r w:rsidRPr="00B51068">
        <w:rPr>
          <w:rFonts w:eastAsia="Segoe UI" w:cs="Segoe UI"/>
          <w:sz w:val="14"/>
          <w:szCs w:val="22"/>
        </w:rPr>
        <w:t>AG</w:t>
      </w:r>
      <w:r w:rsidRPr="00B51068">
        <w:rPr>
          <w:rFonts w:eastAsia="Segoe UI" w:cs="Segoe UI"/>
          <w:spacing w:val="-5"/>
          <w:sz w:val="14"/>
          <w:szCs w:val="22"/>
        </w:rPr>
        <w:t xml:space="preserve"> </w:t>
      </w:r>
      <w:r w:rsidRPr="00B51068">
        <w:rPr>
          <w:rFonts w:eastAsia="Segoe UI" w:cs="Segoe UI"/>
          <w:sz w:val="14"/>
          <w:szCs w:val="22"/>
        </w:rPr>
        <w:t>&amp;</w:t>
      </w:r>
      <w:r w:rsidRPr="00B51068">
        <w:rPr>
          <w:rFonts w:eastAsia="Segoe UI" w:cs="Segoe UI"/>
          <w:spacing w:val="-4"/>
          <w:sz w:val="14"/>
          <w:szCs w:val="22"/>
        </w:rPr>
        <w:t xml:space="preserve"> </w:t>
      </w:r>
      <w:r w:rsidRPr="00B51068">
        <w:rPr>
          <w:rFonts w:eastAsia="Segoe UI" w:cs="Segoe UI"/>
          <w:sz w:val="14"/>
          <w:szCs w:val="22"/>
        </w:rPr>
        <w:t>Co.</w:t>
      </w:r>
      <w:r w:rsidRPr="00B51068">
        <w:rPr>
          <w:rFonts w:eastAsia="Segoe UI" w:cs="Segoe UI"/>
          <w:spacing w:val="-5"/>
          <w:sz w:val="14"/>
          <w:szCs w:val="22"/>
        </w:rPr>
        <w:t xml:space="preserve"> </w:t>
      </w:r>
      <w:r w:rsidRPr="00B51068">
        <w:rPr>
          <w:rFonts w:eastAsia="Segoe UI" w:cs="Segoe UI"/>
          <w:spacing w:val="-4"/>
          <w:sz w:val="14"/>
          <w:szCs w:val="22"/>
        </w:rPr>
        <w:t>KGaA</w:t>
      </w:r>
    </w:p>
    <w:p w14:paraId="44660B58" w14:textId="77777777" w:rsidR="00B51068" w:rsidRPr="00673119" w:rsidRDefault="00B51068" w:rsidP="001577E9">
      <w:pPr>
        <w:rPr>
          <w:rStyle w:val="AboutandContactBody"/>
          <w:lang w:val="pl-PL"/>
        </w:rPr>
      </w:pPr>
    </w:p>
    <w:sectPr w:rsidR="00B51068" w:rsidRPr="00673119" w:rsidSect="00185BAF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417" w:right="1417" w:bottom="1417" w:left="1417" w:header="1253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1658D" w14:textId="77777777" w:rsidR="00BE592E" w:rsidRDefault="00BE592E">
      <w:r>
        <w:separator/>
      </w:r>
    </w:p>
  </w:endnote>
  <w:endnote w:type="continuationSeparator" w:id="0">
    <w:p w14:paraId="059FFD61" w14:textId="77777777" w:rsidR="00BE592E" w:rsidRDefault="00BE592E">
      <w:r>
        <w:continuationSeparator/>
      </w:r>
    </w:p>
  </w:endnote>
  <w:endnote w:type="continuationNotice" w:id="1">
    <w:p w14:paraId="48A3E2F0" w14:textId="77777777" w:rsidR="00BE592E" w:rsidRDefault="00BE59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688C" w14:textId="77777777" w:rsidR="00CF6F33" w:rsidRPr="00112A28" w:rsidRDefault="00112A28" w:rsidP="00112A28">
    <w:pPr>
      <w:pStyle w:val="Stopka"/>
      <w:tabs>
        <w:tab w:val="clear" w:pos="7083"/>
        <w:tab w:val="clear" w:pos="8640"/>
        <w:tab w:val="right" w:pos="9071"/>
      </w:tabs>
      <w:jc w:val="both"/>
    </w:pPr>
    <w:r w:rsidRPr="00BF6E82">
      <w:t>Henkel AG &amp; Co. KGaA</w:t>
    </w:r>
    <w:r>
      <w:tab/>
    </w:r>
    <w:r w:rsidRPr="00BF6E82">
      <w:t xml:space="preserve">Page </w:t>
    </w:r>
    <w:r w:rsidRPr="00BF6E82">
      <w:fldChar w:fldCharType="begin"/>
    </w:r>
    <w:r w:rsidRPr="00BF6E82">
      <w:instrText xml:space="preserve"> PAGE  \* Arabic  \* MERGEFORMAT </w:instrText>
    </w:r>
    <w:r w:rsidRPr="00BF6E82">
      <w:fldChar w:fldCharType="separate"/>
    </w:r>
    <w:r>
      <w:t>2</w:t>
    </w:r>
    <w:r w:rsidRPr="00BF6E82">
      <w:fldChar w:fldCharType="end"/>
    </w:r>
    <w:r w:rsidRPr="00BF6E82">
      <w:t>/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378F" w14:textId="77777777" w:rsidR="00CF6F33" w:rsidRPr="00992A11" w:rsidRDefault="0059722C" w:rsidP="00992A11">
    <w:pPr>
      <w:pStyle w:val="Stopka"/>
    </w:pPr>
    <w:bookmarkStart w:id="0" w:name="_Hlk505758583"/>
    <w:r w:rsidRPr="00992A11">
      <w:drawing>
        <wp:anchor distT="0" distB="0" distL="114300" distR="114300" simplePos="0" relativeHeight="251658242" behindDoc="0" locked="0" layoutInCell="1" allowOverlap="1" wp14:anchorId="3E286020" wp14:editId="2DFC76A1">
          <wp:simplePos x="0" y="0"/>
          <wp:positionH relativeFrom="column">
            <wp:posOffset>1270</wp:posOffset>
          </wp:positionH>
          <wp:positionV relativeFrom="paragraph">
            <wp:posOffset>-484806</wp:posOffset>
          </wp:positionV>
          <wp:extent cx="5756910" cy="3848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 w:rsidR="00B422EC" w:rsidRPr="00992A11">
      <w:t>Page</w:t>
    </w:r>
    <w:r w:rsidR="00CF6F33" w:rsidRPr="00992A11">
      <w:t xml:space="preserve"> 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PAGE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  <w:r w:rsidR="00CF6F33" w:rsidRPr="00992A11">
      <w:t>/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NUMPAGES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3692" w14:textId="77777777" w:rsidR="00BE592E" w:rsidRDefault="00BE592E">
      <w:r>
        <w:separator/>
      </w:r>
    </w:p>
  </w:footnote>
  <w:footnote w:type="continuationSeparator" w:id="0">
    <w:p w14:paraId="7198307C" w14:textId="77777777" w:rsidR="00BE592E" w:rsidRDefault="00BE592E">
      <w:r>
        <w:continuationSeparator/>
      </w:r>
    </w:p>
  </w:footnote>
  <w:footnote w:type="continuationNotice" w:id="1">
    <w:p w14:paraId="7FD22E7B" w14:textId="77777777" w:rsidR="00BE592E" w:rsidRDefault="00BE592E">
      <w:pPr>
        <w:spacing w:line="240" w:lineRule="auto"/>
      </w:pPr>
    </w:p>
  </w:footnote>
  <w:footnote w:id="2">
    <w:p w14:paraId="4ED2F80F" w14:textId="31C8F4EF" w:rsidR="003A582E" w:rsidRPr="003A582E" w:rsidRDefault="003A582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A582E">
        <w:rPr>
          <w:lang w:val="pl-PL"/>
        </w:rPr>
        <w:t xml:space="preserve">  * Po skorygowaniu o jednorazowe przychody i koszty oraz koszty restrukturyzacji.</w:t>
      </w:r>
    </w:p>
  </w:footnote>
  <w:footnote w:id="3">
    <w:p w14:paraId="4D8DF9F2" w14:textId="360FED0D" w:rsidR="003A582E" w:rsidRPr="003A582E" w:rsidRDefault="003A582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A582E">
        <w:rPr>
          <w:lang w:val="pl-PL"/>
        </w:rPr>
        <w:t xml:space="preserve"> Wliczając przejęcie Stahl Group, które nie zostało jeszcze zamknięte.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2290" w14:textId="77777777" w:rsidR="00112A28" w:rsidRDefault="00112A28" w:rsidP="00112A28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8360" w14:textId="3D7F79F5" w:rsidR="6514E4B7" w:rsidRPr="00B77F1E" w:rsidRDefault="00B77F1E" w:rsidP="00B77F1E">
    <w:pPr>
      <w:pStyle w:val="Nagwek"/>
      <w:tabs>
        <w:tab w:val="left" w:pos="3960"/>
      </w:tabs>
      <w:ind w:right="200"/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1698" w14:textId="104A9BA7" w:rsidR="00CF6F33" w:rsidRPr="00EB46D9" w:rsidRDefault="0059722C" w:rsidP="00EB46D9">
    <w:pPr>
      <w:pStyle w:val="Nagwek"/>
    </w:pPr>
    <w:r w:rsidRPr="00EB46D9">
      <w:rPr>
        <w:noProof/>
      </w:rPr>
      <w:drawing>
        <wp:anchor distT="0" distB="0" distL="114300" distR="114300" simplePos="0" relativeHeight="251658241" behindDoc="0" locked="1" layoutInCell="1" allowOverlap="1" wp14:anchorId="5577AFD7" wp14:editId="6BA19D86">
          <wp:simplePos x="0" y="0"/>
          <wp:positionH relativeFrom="margin">
            <wp:posOffset>5036820</wp:posOffset>
          </wp:positionH>
          <wp:positionV relativeFrom="margin">
            <wp:posOffset>-1478915</wp:posOffset>
          </wp:positionV>
          <wp:extent cx="1051560" cy="60325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6" t="10539" r="5063" b="12550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6D9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251664" wp14:editId="53D8C5C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1905" b="11430"/>
              <wp:wrapNone/>
              <wp:docPr id="2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 w14:anchorId="1C6488CE">
            <v:group id="Group 16" style="position:absolute;margin-left:14.2pt;margin-top:297.7pt;width:14.15pt;height:297.65pt;z-index:251658240;mso-position-horizontal-relative:page;mso-position-vertical-relative:page" coordsize="283,5953" coordorigin=",5954" o:spid="_x0000_s1026" w14:anchorId="0549B2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">
              <v:line id="Line 17" style="position:absolute;visibility:visible;mso-wrap-style:square" o:spid="_x0000_s1027" stroked="f" strokecolor="#e1000f" strokeweight=".5pt" o:connectortype="straight" from="0,5954" to="283,5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"/>
              <v:line id="Line 18" style="position:absolute;visibility:visible;mso-wrap-style:square" o:spid="_x0000_s1028" stroked="f" strokecolor="#e1000f" strokeweight=".5pt" o:connectortype="straight" from="0,8420" to="283,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"/>
              <v:line id="Line 19" style="position:absolute;visibility:visible;mso-wrap-style:square" o:spid="_x0000_s1029" stroked="f" strokecolor="#e1000f" strokeweight=".5pt" o:connectortype="straight" from="0,11907" to="283,1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"/>
              <w10:wrap anchorx="page" anchory="page"/>
            </v:group>
          </w:pict>
        </mc:Fallback>
      </mc:AlternateContent>
    </w:r>
    <w:r w:rsidR="00A44946">
      <w:rPr>
        <w:noProof/>
      </w:rPr>
      <w:t>Informacja prasowa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CFE"/>
    <w:multiLevelType w:val="hybridMultilevel"/>
    <w:tmpl w:val="E0E2C4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A6B9C">
      <w:numFmt w:val="bullet"/>
      <w:lvlText w:val="-"/>
      <w:lvlJc w:val="left"/>
      <w:pPr>
        <w:ind w:left="1440" w:hanging="360"/>
      </w:pPr>
      <w:rPr>
        <w:rFonts w:ascii="Arial" w:hAnsi="Arial" w:hint="default"/>
        <w:color w:val="FF0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EA2A"/>
    <w:multiLevelType w:val="hybridMultilevel"/>
    <w:tmpl w:val="C1845A3A"/>
    <w:lvl w:ilvl="0" w:tplc="0D748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49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9EB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2F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65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43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69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66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E3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F4270"/>
    <w:multiLevelType w:val="hybridMultilevel"/>
    <w:tmpl w:val="12EC31FA"/>
    <w:lvl w:ilvl="0" w:tplc="FFFFFFFF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08F"/>
    <w:multiLevelType w:val="hybridMultilevel"/>
    <w:tmpl w:val="88D24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603A"/>
    <w:multiLevelType w:val="hybridMultilevel"/>
    <w:tmpl w:val="D1566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0704BD"/>
    <w:multiLevelType w:val="hybridMultilevel"/>
    <w:tmpl w:val="BFC22F68"/>
    <w:lvl w:ilvl="0" w:tplc="AC18C178">
      <w:start w:val="6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22F4821"/>
    <w:multiLevelType w:val="multilevel"/>
    <w:tmpl w:val="D1E01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B0C97"/>
    <w:multiLevelType w:val="hybridMultilevel"/>
    <w:tmpl w:val="DCD2F366"/>
    <w:lvl w:ilvl="0" w:tplc="53A085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634C9"/>
    <w:multiLevelType w:val="hybridMultilevel"/>
    <w:tmpl w:val="A07638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BD0CB7"/>
    <w:multiLevelType w:val="hybridMultilevel"/>
    <w:tmpl w:val="816C95B8"/>
    <w:lvl w:ilvl="0" w:tplc="562AE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CAB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3AF4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84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A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2A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8B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A8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887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9729E"/>
    <w:multiLevelType w:val="multilevel"/>
    <w:tmpl w:val="E1900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475C2"/>
    <w:multiLevelType w:val="hybridMultilevel"/>
    <w:tmpl w:val="3E54937C"/>
    <w:lvl w:ilvl="0" w:tplc="36002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1000F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DD53C"/>
    <w:multiLevelType w:val="hybridMultilevel"/>
    <w:tmpl w:val="6C3E11BA"/>
    <w:lvl w:ilvl="0" w:tplc="4C806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89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1AF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87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C30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66B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05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8E4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AE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941020">
    <w:abstractNumId w:val="16"/>
  </w:num>
  <w:num w:numId="2" w16cid:durableId="450711370">
    <w:abstractNumId w:val="12"/>
  </w:num>
  <w:num w:numId="3" w16cid:durableId="780493874">
    <w:abstractNumId w:val="1"/>
  </w:num>
  <w:num w:numId="4" w16cid:durableId="694697967">
    <w:abstractNumId w:val="3"/>
  </w:num>
  <w:num w:numId="5" w16cid:durableId="1563175876">
    <w:abstractNumId w:val="2"/>
  </w:num>
  <w:num w:numId="6" w16cid:durableId="1141115785">
    <w:abstractNumId w:val="14"/>
  </w:num>
  <w:num w:numId="7" w16cid:durableId="1658344630">
    <w:abstractNumId w:val="8"/>
  </w:num>
  <w:num w:numId="8" w16cid:durableId="2132553883">
    <w:abstractNumId w:val="6"/>
  </w:num>
  <w:num w:numId="9" w16cid:durableId="545726518">
    <w:abstractNumId w:val="10"/>
  </w:num>
  <w:num w:numId="10" w16cid:durableId="541023174">
    <w:abstractNumId w:val="11"/>
  </w:num>
  <w:num w:numId="11" w16cid:durableId="930283955">
    <w:abstractNumId w:val="7"/>
  </w:num>
  <w:num w:numId="12" w16cid:durableId="1350178876">
    <w:abstractNumId w:val="4"/>
  </w:num>
  <w:num w:numId="13" w16cid:durableId="105317337">
    <w:abstractNumId w:val="9"/>
  </w:num>
  <w:num w:numId="14" w16cid:durableId="1439105749">
    <w:abstractNumId w:val="13"/>
  </w:num>
  <w:num w:numId="15" w16cid:durableId="1642810656">
    <w:abstractNumId w:val="5"/>
  </w:num>
  <w:num w:numId="16" w16cid:durableId="1580290500">
    <w:abstractNumId w:val="15"/>
  </w:num>
  <w:num w:numId="17" w16cid:durableId="19993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e1000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1C"/>
    <w:rsid w:val="00000839"/>
    <w:rsid w:val="00000ACF"/>
    <w:rsid w:val="000025F8"/>
    <w:rsid w:val="00002AA4"/>
    <w:rsid w:val="000033E5"/>
    <w:rsid w:val="00005267"/>
    <w:rsid w:val="00006346"/>
    <w:rsid w:val="00006790"/>
    <w:rsid w:val="000079DD"/>
    <w:rsid w:val="000121F1"/>
    <w:rsid w:val="00014DA9"/>
    <w:rsid w:val="00015CB4"/>
    <w:rsid w:val="00020C93"/>
    <w:rsid w:val="00021C67"/>
    <w:rsid w:val="000254BA"/>
    <w:rsid w:val="00030150"/>
    <w:rsid w:val="00030557"/>
    <w:rsid w:val="00030F51"/>
    <w:rsid w:val="00031821"/>
    <w:rsid w:val="00033320"/>
    <w:rsid w:val="00035A84"/>
    <w:rsid w:val="0003733F"/>
    <w:rsid w:val="00040CC9"/>
    <w:rsid w:val="00043B6B"/>
    <w:rsid w:val="00044D95"/>
    <w:rsid w:val="00046D38"/>
    <w:rsid w:val="00047E9A"/>
    <w:rsid w:val="0005083E"/>
    <w:rsid w:val="0005199E"/>
    <w:rsid w:val="00051E86"/>
    <w:rsid w:val="00054E71"/>
    <w:rsid w:val="00055F54"/>
    <w:rsid w:val="000575F9"/>
    <w:rsid w:val="00057EC2"/>
    <w:rsid w:val="000618FC"/>
    <w:rsid w:val="00061B78"/>
    <w:rsid w:val="0006344D"/>
    <w:rsid w:val="000642D9"/>
    <w:rsid w:val="00067071"/>
    <w:rsid w:val="00067CC8"/>
    <w:rsid w:val="000710CB"/>
    <w:rsid w:val="000722E8"/>
    <w:rsid w:val="000747FB"/>
    <w:rsid w:val="00080D10"/>
    <w:rsid w:val="000824F5"/>
    <w:rsid w:val="0008357F"/>
    <w:rsid w:val="00091F39"/>
    <w:rsid w:val="00094547"/>
    <w:rsid w:val="000959E3"/>
    <w:rsid w:val="000976B7"/>
    <w:rsid w:val="000A08EB"/>
    <w:rsid w:val="000A205B"/>
    <w:rsid w:val="000A374F"/>
    <w:rsid w:val="000A4B25"/>
    <w:rsid w:val="000A5703"/>
    <w:rsid w:val="000A6233"/>
    <w:rsid w:val="000B1E5A"/>
    <w:rsid w:val="000B695A"/>
    <w:rsid w:val="000C210A"/>
    <w:rsid w:val="000C2722"/>
    <w:rsid w:val="000C4766"/>
    <w:rsid w:val="000C56DD"/>
    <w:rsid w:val="000D1672"/>
    <w:rsid w:val="000D45D3"/>
    <w:rsid w:val="000E0C03"/>
    <w:rsid w:val="000E0F43"/>
    <w:rsid w:val="000E2F62"/>
    <w:rsid w:val="000E38ED"/>
    <w:rsid w:val="000E7F24"/>
    <w:rsid w:val="000F03BE"/>
    <w:rsid w:val="000F1757"/>
    <w:rsid w:val="000F225B"/>
    <w:rsid w:val="000F4B45"/>
    <w:rsid w:val="000F7E19"/>
    <w:rsid w:val="000F7F8A"/>
    <w:rsid w:val="000F7FAF"/>
    <w:rsid w:val="00101401"/>
    <w:rsid w:val="00102014"/>
    <w:rsid w:val="001034CC"/>
    <w:rsid w:val="00104983"/>
    <w:rsid w:val="00105975"/>
    <w:rsid w:val="001104F4"/>
    <w:rsid w:val="00111F4D"/>
    <w:rsid w:val="001120FC"/>
    <w:rsid w:val="00112A28"/>
    <w:rsid w:val="00115230"/>
    <w:rsid w:val="0011587F"/>
    <w:rsid w:val="00115B5F"/>
    <w:rsid w:val="00115E0A"/>
    <w:rsid w:val="001162B4"/>
    <w:rsid w:val="00117621"/>
    <w:rsid w:val="0012274D"/>
    <w:rsid w:val="00122CBC"/>
    <w:rsid w:val="0012455D"/>
    <w:rsid w:val="00124F22"/>
    <w:rsid w:val="00125F1D"/>
    <w:rsid w:val="00126205"/>
    <w:rsid w:val="001266D8"/>
    <w:rsid w:val="00126D4A"/>
    <w:rsid w:val="0013187A"/>
    <w:rsid w:val="00132DA9"/>
    <w:rsid w:val="0013305B"/>
    <w:rsid w:val="00133B99"/>
    <w:rsid w:val="00134354"/>
    <w:rsid w:val="001443BD"/>
    <w:rsid w:val="00144637"/>
    <w:rsid w:val="00152AE1"/>
    <w:rsid w:val="0015371E"/>
    <w:rsid w:val="001577E9"/>
    <w:rsid w:val="0016138C"/>
    <w:rsid w:val="00165F40"/>
    <w:rsid w:val="0017170F"/>
    <w:rsid w:val="001731CE"/>
    <w:rsid w:val="0017332D"/>
    <w:rsid w:val="001747EE"/>
    <w:rsid w:val="00174A08"/>
    <w:rsid w:val="00181F01"/>
    <w:rsid w:val="00185770"/>
    <w:rsid w:val="00185BAF"/>
    <w:rsid w:val="00185F86"/>
    <w:rsid w:val="0018AFAA"/>
    <w:rsid w:val="00191460"/>
    <w:rsid w:val="001948C3"/>
    <w:rsid w:val="001A09CC"/>
    <w:rsid w:val="001A591E"/>
    <w:rsid w:val="001A5A0D"/>
    <w:rsid w:val="001A61A7"/>
    <w:rsid w:val="001A65B3"/>
    <w:rsid w:val="001B10F9"/>
    <w:rsid w:val="001B7C20"/>
    <w:rsid w:val="001C0B32"/>
    <w:rsid w:val="001C10D3"/>
    <w:rsid w:val="001C1298"/>
    <w:rsid w:val="001C4BE1"/>
    <w:rsid w:val="001C6627"/>
    <w:rsid w:val="001D7ADF"/>
    <w:rsid w:val="001E0F71"/>
    <w:rsid w:val="001E1926"/>
    <w:rsid w:val="001E51B6"/>
    <w:rsid w:val="001E6D05"/>
    <w:rsid w:val="001E7C28"/>
    <w:rsid w:val="001F1313"/>
    <w:rsid w:val="001F1BDF"/>
    <w:rsid w:val="001F413B"/>
    <w:rsid w:val="001F7110"/>
    <w:rsid w:val="001F7E96"/>
    <w:rsid w:val="002000D9"/>
    <w:rsid w:val="00200B58"/>
    <w:rsid w:val="00202284"/>
    <w:rsid w:val="00212488"/>
    <w:rsid w:val="002131B1"/>
    <w:rsid w:val="002169BB"/>
    <w:rsid w:val="00220628"/>
    <w:rsid w:val="00222D99"/>
    <w:rsid w:val="002248BC"/>
    <w:rsid w:val="002249D5"/>
    <w:rsid w:val="002257E4"/>
    <w:rsid w:val="002304D2"/>
    <w:rsid w:val="00234ABD"/>
    <w:rsid w:val="00236E2A"/>
    <w:rsid w:val="00237F62"/>
    <w:rsid w:val="0024103B"/>
    <w:rsid w:val="00241378"/>
    <w:rsid w:val="00242A1A"/>
    <w:rsid w:val="00243DDF"/>
    <w:rsid w:val="0024586A"/>
    <w:rsid w:val="002463D6"/>
    <w:rsid w:val="00251941"/>
    <w:rsid w:val="00252C04"/>
    <w:rsid w:val="00252CAE"/>
    <w:rsid w:val="0025410B"/>
    <w:rsid w:val="002546CD"/>
    <w:rsid w:val="00256EDB"/>
    <w:rsid w:val="00256F0C"/>
    <w:rsid w:val="00262C05"/>
    <w:rsid w:val="00264146"/>
    <w:rsid w:val="00265586"/>
    <w:rsid w:val="0027056B"/>
    <w:rsid w:val="002743D1"/>
    <w:rsid w:val="00274625"/>
    <w:rsid w:val="00281D14"/>
    <w:rsid w:val="00282C13"/>
    <w:rsid w:val="00285006"/>
    <w:rsid w:val="00287305"/>
    <w:rsid w:val="00290ECE"/>
    <w:rsid w:val="00292774"/>
    <w:rsid w:val="0029796C"/>
    <w:rsid w:val="00297C4B"/>
    <w:rsid w:val="002A0DF7"/>
    <w:rsid w:val="002A197E"/>
    <w:rsid w:val="002A2975"/>
    <w:rsid w:val="002A60E0"/>
    <w:rsid w:val="002A7271"/>
    <w:rsid w:val="002B2A42"/>
    <w:rsid w:val="002B2C54"/>
    <w:rsid w:val="002B3008"/>
    <w:rsid w:val="002B547A"/>
    <w:rsid w:val="002B690C"/>
    <w:rsid w:val="002C01C3"/>
    <w:rsid w:val="002C059F"/>
    <w:rsid w:val="002C1344"/>
    <w:rsid w:val="002C252E"/>
    <w:rsid w:val="002C2E32"/>
    <w:rsid w:val="002C3681"/>
    <w:rsid w:val="002C40BB"/>
    <w:rsid w:val="002C6773"/>
    <w:rsid w:val="002D026C"/>
    <w:rsid w:val="002D12ED"/>
    <w:rsid w:val="002D2A3D"/>
    <w:rsid w:val="002D355C"/>
    <w:rsid w:val="002E0B17"/>
    <w:rsid w:val="002E1EEF"/>
    <w:rsid w:val="002E4FFB"/>
    <w:rsid w:val="002E6909"/>
    <w:rsid w:val="002E7DED"/>
    <w:rsid w:val="002F5028"/>
    <w:rsid w:val="002F6C47"/>
    <w:rsid w:val="002F7E11"/>
    <w:rsid w:val="00301E7C"/>
    <w:rsid w:val="00304087"/>
    <w:rsid w:val="00305A0E"/>
    <w:rsid w:val="00307A06"/>
    <w:rsid w:val="00310ACD"/>
    <w:rsid w:val="0031379F"/>
    <w:rsid w:val="0031688F"/>
    <w:rsid w:val="003175D4"/>
    <w:rsid w:val="00320A26"/>
    <w:rsid w:val="00321344"/>
    <w:rsid w:val="00325518"/>
    <w:rsid w:val="00325E5D"/>
    <w:rsid w:val="00326E3D"/>
    <w:rsid w:val="00334133"/>
    <w:rsid w:val="0033451C"/>
    <w:rsid w:val="00334798"/>
    <w:rsid w:val="00336854"/>
    <w:rsid w:val="00336DAC"/>
    <w:rsid w:val="0034015C"/>
    <w:rsid w:val="003442F4"/>
    <w:rsid w:val="0034E52C"/>
    <w:rsid w:val="00350403"/>
    <w:rsid w:val="003510AB"/>
    <w:rsid w:val="00353705"/>
    <w:rsid w:val="003562E8"/>
    <w:rsid w:val="0036357D"/>
    <w:rsid w:val="0036414A"/>
    <w:rsid w:val="003649BC"/>
    <w:rsid w:val="003650F4"/>
    <w:rsid w:val="00365E44"/>
    <w:rsid w:val="00366DE1"/>
    <w:rsid w:val="00367AA1"/>
    <w:rsid w:val="00372E36"/>
    <w:rsid w:val="00376EE9"/>
    <w:rsid w:val="00377CBB"/>
    <w:rsid w:val="003803E8"/>
    <w:rsid w:val="003839C6"/>
    <w:rsid w:val="00384EB6"/>
    <w:rsid w:val="00385185"/>
    <w:rsid w:val="003877B6"/>
    <w:rsid w:val="00393887"/>
    <w:rsid w:val="00394C6B"/>
    <w:rsid w:val="003954CB"/>
    <w:rsid w:val="003962BE"/>
    <w:rsid w:val="003977DD"/>
    <w:rsid w:val="00397BB2"/>
    <w:rsid w:val="00397F9A"/>
    <w:rsid w:val="003A192D"/>
    <w:rsid w:val="003A1FF8"/>
    <w:rsid w:val="003A4E62"/>
    <w:rsid w:val="003A534B"/>
    <w:rsid w:val="003A582E"/>
    <w:rsid w:val="003B1069"/>
    <w:rsid w:val="003B390A"/>
    <w:rsid w:val="003B4563"/>
    <w:rsid w:val="003B55CC"/>
    <w:rsid w:val="003B734D"/>
    <w:rsid w:val="003C15DE"/>
    <w:rsid w:val="003C4EB2"/>
    <w:rsid w:val="003C5573"/>
    <w:rsid w:val="003C7A7F"/>
    <w:rsid w:val="003C7E6C"/>
    <w:rsid w:val="003D1D6F"/>
    <w:rsid w:val="003D3C4E"/>
    <w:rsid w:val="003E1FF2"/>
    <w:rsid w:val="003F0855"/>
    <w:rsid w:val="003F1AF3"/>
    <w:rsid w:val="003F4227"/>
    <w:rsid w:val="003F4D8D"/>
    <w:rsid w:val="003F53C8"/>
    <w:rsid w:val="003F630D"/>
    <w:rsid w:val="00400F3F"/>
    <w:rsid w:val="0040105E"/>
    <w:rsid w:val="0040199E"/>
    <w:rsid w:val="00405C2B"/>
    <w:rsid w:val="00411C0F"/>
    <w:rsid w:val="00413F5E"/>
    <w:rsid w:val="00414DC2"/>
    <w:rsid w:val="00417133"/>
    <w:rsid w:val="00422AB2"/>
    <w:rsid w:val="004237BB"/>
    <w:rsid w:val="00423BDD"/>
    <w:rsid w:val="004313E7"/>
    <w:rsid w:val="00432531"/>
    <w:rsid w:val="00433826"/>
    <w:rsid w:val="00441224"/>
    <w:rsid w:val="00442FC6"/>
    <w:rsid w:val="004431AF"/>
    <w:rsid w:val="0044763B"/>
    <w:rsid w:val="00451F34"/>
    <w:rsid w:val="00456851"/>
    <w:rsid w:val="00457938"/>
    <w:rsid w:val="004629B3"/>
    <w:rsid w:val="0046376E"/>
    <w:rsid w:val="004637A2"/>
    <w:rsid w:val="0046690F"/>
    <w:rsid w:val="00466991"/>
    <w:rsid w:val="00466E8F"/>
    <w:rsid w:val="00470236"/>
    <w:rsid w:val="00472568"/>
    <w:rsid w:val="00472F02"/>
    <w:rsid w:val="00472FEC"/>
    <w:rsid w:val="00475196"/>
    <w:rsid w:val="004863E1"/>
    <w:rsid w:val="00490A03"/>
    <w:rsid w:val="00492BEF"/>
    <w:rsid w:val="00493327"/>
    <w:rsid w:val="00494DBE"/>
    <w:rsid w:val="00495CE6"/>
    <w:rsid w:val="004A323C"/>
    <w:rsid w:val="004B408E"/>
    <w:rsid w:val="004B54E8"/>
    <w:rsid w:val="004B6E52"/>
    <w:rsid w:val="004C1FE5"/>
    <w:rsid w:val="004C486F"/>
    <w:rsid w:val="004C4FEB"/>
    <w:rsid w:val="004C6B79"/>
    <w:rsid w:val="004D059B"/>
    <w:rsid w:val="004D4CB6"/>
    <w:rsid w:val="004D6864"/>
    <w:rsid w:val="004E0870"/>
    <w:rsid w:val="004E2A7B"/>
    <w:rsid w:val="004E3341"/>
    <w:rsid w:val="004E4670"/>
    <w:rsid w:val="004E7C08"/>
    <w:rsid w:val="004F10C1"/>
    <w:rsid w:val="004F1C1B"/>
    <w:rsid w:val="004F47BB"/>
    <w:rsid w:val="004F6913"/>
    <w:rsid w:val="00502E62"/>
    <w:rsid w:val="00504452"/>
    <w:rsid w:val="005058C2"/>
    <w:rsid w:val="00506B8A"/>
    <w:rsid w:val="005100D0"/>
    <w:rsid w:val="00511055"/>
    <w:rsid w:val="00517C7E"/>
    <w:rsid w:val="0052212B"/>
    <w:rsid w:val="00522A75"/>
    <w:rsid w:val="0053003B"/>
    <w:rsid w:val="00531B98"/>
    <w:rsid w:val="00532401"/>
    <w:rsid w:val="00534B46"/>
    <w:rsid w:val="00540358"/>
    <w:rsid w:val="0054050F"/>
    <w:rsid w:val="00540D47"/>
    <w:rsid w:val="00546590"/>
    <w:rsid w:val="005503BC"/>
    <w:rsid w:val="00550864"/>
    <w:rsid w:val="00552667"/>
    <w:rsid w:val="00553289"/>
    <w:rsid w:val="005555DA"/>
    <w:rsid w:val="0055571E"/>
    <w:rsid w:val="00556F67"/>
    <w:rsid w:val="00566717"/>
    <w:rsid w:val="005833F0"/>
    <w:rsid w:val="005855C9"/>
    <w:rsid w:val="00586CAF"/>
    <w:rsid w:val="005873E9"/>
    <w:rsid w:val="00587B06"/>
    <w:rsid w:val="005908B4"/>
    <w:rsid w:val="00590A54"/>
    <w:rsid w:val="005910C8"/>
    <w:rsid w:val="00591180"/>
    <w:rsid w:val="00594841"/>
    <w:rsid w:val="00596C5C"/>
    <w:rsid w:val="0059722C"/>
    <w:rsid w:val="00597D07"/>
    <w:rsid w:val="005A208B"/>
    <w:rsid w:val="005A3846"/>
    <w:rsid w:val="005A67A2"/>
    <w:rsid w:val="005A6B70"/>
    <w:rsid w:val="005B1F0C"/>
    <w:rsid w:val="005B5F56"/>
    <w:rsid w:val="005B6A58"/>
    <w:rsid w:val="005C7112"/>
    <w:rsid w:val="005D0561"/>
    <w:rsid w:val="005D05BA"/>
    <w:rsid w:val="005D0AD9"/>
    <w:rsid w:val="005D164B"/>
    <w:rsid w:val="005D22F6"/>
    <w:rsid w:val="005D6D17"/>
    <w:rsid w:val="005D7D2A"/>
    <w:rsid w:val="005E0C30"/>
    <w:rsid w:val="005E1C59"/>
    <w:rsid w:val="005E2687"/>
    <w:rsid w:val="005E69D9"/>
    <w:rsid w:val="005E7CB2"/>
    <w:rsid w:val="005F0F92"/>
    <w:rsid w:val="005F27F4"/>
    <w:rsid w:val="005F3239"/>
    <w:rsid w:val="005F6098"/>
    <w:rsid w:val="005F6567"/>
    <w:rsid w:val="005F6722"/>
    <w:rsid w:val="005F712B"/>
    <w:rsid w:val="006056A5"/>
    <w:rsid w:val="006064C2"/>
    <w:rsid w:val="00607256"/>
    <w:rsid w:val="00610998"/>
    <w:rsid w:val="006144B1"/>
    <w:rsid w:val="006149B7"/>
    <w:rsid w:val="00623B92"/>
    <w:rsid w:val="0063067F"/>
    <w:rsid w:val="006335F1"/>
    <w:rsid w:val="006345B6"/>
    <w:rsid w:val="00635712"/>
    <w:rsid w:val="00635825"/>
    <w:rsid w:val="0063762D"/>
    <w:rsid w:val="00643726"/>
    <w:rsid w:val="00643D8A"/>
    <w:rsid w:val="00647839"/>
    <w:rsid w:val="006513EB"/>
    <w:rsid w:val="00652229"/>
    <w:rsid w:val="00652434"/>
    <w:rsid w:val="00652793"/>
    <w:rsid w:val="0065E9F0"/>
    <w:rsid w:val="006626CA"/>
    <w:rsid w:val="00663487"/>
    <w:rsid w:val="00663A1A"/>
    <w:rsid w:val="00672382"/>
    <w:rsid w:val="00673119"/>
    <w:rsid w:val="0067333E"/>
    <w:rsid w:val="00674604"/>
    <w:rsid w:val="00675822"/>
    <w:rsid w:val="006801FB"/>
    <w:rsid w:val="0068090F"/>
    <w:rsid w:val="00682643"/>
    <w:rsid w:val="00682EB9"/>
    <w:rsid w:val="0068441A"/>
    <w:rsid w:val="00684750"/>
    <w:rsid w:val="00686750"/>
    <w:rsid w:val="00690999"/>
    <w:rsid w:val="00690B19"/>
    <w:rsid w:val="00695F01"/>
    <w:rsid w:val="006A0A3C"/>
    <w:rsid w:val="006A5343"/>
    <w:rsid w:val="006A5A5C"/>
    <w:rsid w:val="006A79F0"/>
    <w:rsid w:val="006B47EE"/>
    <w:rsid w:val="006B499F"/>
    <w:rsid w:val="006C0E4D"/>
    <w:rsid w:val="006C1366"/>
    <w:rsid w:val="006C3256"/>
    <w:rsid w:val="006D0422"/>
    <w:rsid w:val="006D1FEC"/>
    <w:rsid w:val="006D4996"/>
    <w:rsid w:val="006D54AB"/>
    <w:rsid w:val="006D5B85"/>
    <w:rsid w:val="006D713E"/>
    <w:rsid w:val="006D735F"/>
    <w:rsid w:val="006E08CE"/>
    <w:rsid w:val="006E2EE6"/>
    <w:rsid w:val="006E3006"/>
    <w:rsid w:val="006E5032"/>
    <w:rsid w:val="006E52D2"/>
    <w:rsid w:val="006E5BDA"/>
    <w:rsid w:val="006F0FA6"/>
    <w:rsid w:val="006F0FC7"/>
    <w:rsid w:val="006F39A9"/>
    <w:rsid w:val="006F62C8"/>
    <w:rsid w:val="006F670F"/>
    <w:rsid w:val="00700ECB"/>
    <w:rsid w:val="00702028"/>
    <w:rsid w:val="00703272"/>
    <w:rsid w:val="00704EAE"/>
    <w:rsid w:val="0070733C"/>
    <w:rsid w:val="00710C5D"/>
    <w:rsid w:val="00710F54"/>
    <w:rsid w:val="0071152A"/>
    <w:rsid w:val="00712ED3"/>
    <w:rsid w:val="00713311"/>
    <w:rsid w:val="0071348C"/>
    <w:rsid w:val="00714CFC"/>
    <w:rsid w:val="00717273"/>
    <w:rsid w:val="0071780D"/>
    <w:rsid w:val="00717A1D"/>
    <w:rsid w:val="00717AB8"/>
    <w:rsid w:val="00720FD4"/>
    <w:rsid w:val="00724AF2"/>
    <w:rsid w:val="00725122"/>
    <w:rsid w:val="0073096C"/>
    <w:rsid w:val="007341FC"/>
    <w:rsid w:val="0073709E"/>
    <w:rsid w:val="00740683"/>
    <w:rsid w:val="00742398"/>
    <w:rsid w:val="007507B5"/>
    <w:rsid w:val="0075091D"/>
    <w:rsid w:val="00753A24"/>
    <w:rsid w:val="00753F32"/>
    <w:rsid w:val="007577CB"/>
    <w:rsid w:val="0076348D"/>
    <w:rsid w:val="00767327"/>
    <w:rsid w:val="00772188"/>
    <w:rsid w:val="007725C0"/>
    <w:rsid w:val="007813D0"/>
    <w:rsid w:val="007844F9"/>
    <w:rsid w:val="00784636"/>
    <w:rsid w:val="00784DA7"/>
    <w:rsid w:val="00785993"/>
    <w:rsid w:val="007866E2"/>
    <w:rsid w:val="00786BA3"/>
    <w:rsid w:val="0079202F"/>
    <w:rsid w:val="00795AF2"/>
    <w:rsid w:val="007A2AAD"/>
    <w:rsid w:val="007A4432"/>
    <w:rsid w:val="007A5257"/>
    <w:rsid w:val="007A576B"/>
    <w:rsid w:val="007A7140"/>
    <w:rsid w:val="007A782F"/>
    <w:rsid w:val="007A784E"/>
    <w:rsid w:val="007A7ABC"/>
    <w:rsid w:val="007A7BB0"/>
    <w:rsid w:val="007B2B86"/>
    <w:rsid w:val="007B3B3F"/>
    <w:rsid w:val="007B499C"/>
    <w:rsid w:val="007B4D4B"/>
    <w:rsid w:val="007B553E"/>
    <w:rsid w:val="007B69F9"/>
    <w:rsid w:val="007C0085"/>
    <w:rsid w:val="007C4963"/>
    <w:rsid w:val="007C6D1A"/>
    <w:rsid w:val="007D065A"/>
    <w:rsid w:val="007D2A02"/>
    <w:rsid w:val="007D2C3F"/>
    <w:rsid w:val="007E6EA1"/>
    <w:rsid w:val="007F0F63"/>
    <w:rsid w:val="007F11A3"/>
    <w:rsid w:val="007F2B1E"/>
    <w:rsid w:val="007F62B4"/>
    <w:rsid w:val="007F7CC8"/>
    <w:rsid w:val="00801517"/>
    <w:rsid w:val="00807FA4"/>
    <w:rsid w:val="008174D6"/>
    <w:rsid w:val="00817AE8"/>
    <w:rsid w:val="00817DE8"/>
    <w:rsid w:val="00821703"/>
    <w:rsid w:val="00822876"/>
    <w:rsid w:val="008229F5"/>
    <w:rsid w:val="0082307B"/>
    <w:rsid w:val="00824C3B"/>
    <w:rsid w:val="0082699A"/>
    <w:rsid w:val="00832C4C"/>
    <w:rsid w:val="00833CEB"/>
    <w:rsid w:val="00833EA1"/>
    <w:rsid w:val="008359DB"/>
    <w:rsid w:val="008372D2"/>
    <w:rsid w:val="008377BC"/>
    <w:rsid w:val="00842819"/>
    <w:rsid w:val="00842DB3"/>
    <w:rsid w:val="00844C17"/>
    <w:rsid w:val="00847726"/>
    <w:rsid w:val="00852511"/>
    <w:rsid w:val="008614F1"/>
    <w:rsid w:val="00862E57"/>
    <w:rsid w:val="008639B3"/>
    <w:rsid w:val="00863C1A"/>
    <w:rsid w:val="0087142D"/>
    <w:rsid w:val="00871F60"/>
    <w:rsid w:val="00872707"/>
    <w:rsid w:val="00873009"/>
    <w:rsid w:val="00873956"/>
    <w:rsid w:val="00874C86"/>
    <w:rsid w:val="00875F88"/>
    <w:rsid w:val="0087685C"/>
    <w:rsid w:val="00876DD3"/>
    <w:rsid w:val="00880E72"/>
    <w:rsid w:val="00880EB2"/>
    <w:rsid w:val="008825EE"/>
    <w:rsid w:val="008855B7"/>
    <w:rsid w:val="0088596E"/>
    <w:rsid w:val="00890B5C"/>
    <w:rsid w:val="00891DFE"/>
    <w:rsid w:val="008960D7"/>
    <w:rsid w:val="00896DBA"/>
    <w:rsid w:val="00896ED7"/>
    <w:rsid w:val="0089796A"/>
    <w:rsid w:val="008A2375"/>
    <w:rsid w:val="008C1114"/>
    <w:rsid w:val="008C17F1"/>
    <w:rsid w:val="008D14B0"/>
    <w:rsid w:val="008D3BA4"/>
    <w:rsid w:val="008D5426"/>
    <w:rsid w:val="008D5BDB"/>
    <w:rsid w:val="008D76C5"/>
    <w:rsid w:val="008E0AFA"/>
    <w:rsid w:val="008E4EE9"/>
    <w:rsid w:val="008E75D3"/>
    <w:rsid w:val="008F125E"/>
    <w:rsid w:val="008F4D2F"/>
    <w:rsid w:val="0090551C"/>
    <w:rsid w:val="00906292"/>
    <w:rsid w:val="009076AF"/>
    <w:rsid w:val="009108E1"/>
    <w:rsid w:val="00915D62"/>
    <w:rsid w:val="00916F64"/>
    <w:rsid w:val="00917162"/>
    <w:rsid w:val="009251CC"/>
    <w:rsid w:val="0092714E"/>
    <w:rsid w:val="00932213"/>
    <w:rsid w:val="009375E7"/>
    <w:rsid w:val="00940A13"/>
    <w:rsid w:val="00941ABB"/>
    <w:rsid w:val="00941C5D"/>
    <w:rsid w:val="00942002"/>
    <w:rsid w:val="00945634"/>
    <w:rsid w:val="00947885"/>
    <w:rsid w:val="009513C5"/>
    <w:rsid w:val="00952168"/>
    <w:rsid w:val="009527FE"/>
    <w:rsid w:val="00957346"/>
    <w:rsid w:val="00960AAE"/>
    <w:rsid w:val="00962D7B"/>
    <w:rsid w:val="0096730F"/>
    <w:rsid w:val="009677D8"/>
    <w:rsid w:val="00967A64"/>
    <w:rsid w:val="009739A0"/>
    <w:rsid w:val="00974695"/>
    <w:rsid w:val="00974F84"/>
    <w:rsid w:val="009767C7"/>
    <w:rsid w:val="009800DC"/>
    <w:rsid w:val="00981DE9"/>
    <w:rsid w:val="009827BF"/>
    <w:rsid w:val="0098549A"/>
    <w:rsid w:val="0098579A"/>
    <w:rsid w:val="0099195A"/>
    <w:rsid w:val="00992A11"/>
    <w:rsid w:val="00994681"/>
    <w:rsid w:val="0099486A"/>
    <w:rsid w:val="00997B3A"/>
    <w:rsid w:val="009A0E26"/>
    <w:rsid w:val="009A16EC"/>
    <w:rsid w:val="009B1394"/>
    <w:rsid w:val="009B1D7D"/>
    <w:rsid w:val="009B29B7"/>
    <w:rsid w:val="009B3B37"/>
    <w:rsid w:val="009B7D1F"/>
    <w:rsid w:val="009C088E"/>
    <w:rsid w:val="009C2563"/>
    <w:rsid w:val="009C49D1"/>
    <w:rsid w:val="009C4D35"/>
    <w:rsid w:val="009C567B"/>
    <w:rsid w:val="009D02FE"/>
    <w:rsid w:val="009D1522"/>
    <w:rsid w:val="009D2281"/>
    <w:rsid w:val="009D2EB5"/>
    <w:rsid w:val="009D5983"/>
    <w:rsid w:val="009D7252"/>
    <w:rsid w:val="009E2D0F"/>
    <w:rsid w:val="009E3582"/>
    <w:rsid w:val="009E5EB4"/>
    <w:rsid w:val="009F0683"/>
    <w:rsid w:val="009F3ABA"/>
    <w:rsid w:val="009F55D5"/>
    <w:rsid w:val="00A044D6"/>
    <w:rsid w:val="00A04ADB"/>
    <w:rsid w:val="00A11E0F"/>
    <w:rsid w:val="00A146FE"/>
    <w:rsid w:val="00A23264"/>
    <w:rsid w:val="00A26CB6"/>
    <w:rsid w:val="00A31BB2"/>
    <w:rsid w:val="00A32F82"/>
    <w:rsid w:val="00A32F8B"/>
    <w:rsid w:val="00A35C61"/>
    <w:rsid w:val="00A35DE2"/>
    <w:rsid w:val="00A36941"/>
    <w:rsid w:val="00A3756F"/>
    <w:rsid w:val="00A4054D"/>
    <w:rsid w:val="00A42D6F"/>
    <w:rsid w:val="00A44946"/>
    <w:rsid w:val="00A45A62"/>
    <w:rsid w:val="00A51CAA"/>
    <w:rsid w:val="00A525B9"/>
    <w:rsid w:val="00A54AC5"/>
    <w:rsid w:val="00A55DC3"/>
    <w:rsid w:val="00A56D41"/>
    <w:rsid w:val="00A60F67"/>
    <w:rsid w:val="00A61353"/>
    <w:rsid w:val="00A64A2B"/>
    <w:rsid w:val="00A65DC3"/>
    <w:rsid w:val="00A66DB1"/>
    <w:rsid w:val="00A67A92"/>
    <w:rsid w:val="00A7006F"/>
    <w:rsid w:val="00A70EC1"/>
    <w:rsid w:val="00A73E4B"/>
    <w:rsid w:val="00A74316"/>
    <w:rsid w:val="00A76985"/>
    <w:rsid w:val="00A80EF9"/>
    <w:rsid w:val="00A87870"/>
    <w:rsid w:val="00A91A70"/>
    <w:rsid w:val="00A94B17"/>
    <w:rsid w:val="00A95032"/>
    <w:rsid w:val="00AA1B85"/>
    <w:rsid w:val="00AA354B"/>
    <w:rsid w:val="00AA60E1"/>
    <w:rsid w:val="00AA6716"/>
    <w:rsid w:val="00AB1CB6"/>
    <w:rsid w:val="00AB1D9A"/>
    <w:rsid w:val="00AB62AA"/>
    <w:rsid w:val="00AC10A7"/>
    <w:rsid w:val="00AC4183"/>
    <w:rsid w:val="00AC6AB3"/>
    <w:rsid w:val="00AC7055"/>
    <w:rsid w:val="00AD0E55"/>
    <w:rsid w:val="00AD1959"/>
    <w:rsid w:val="00AD2568"/>
    <w:rsid w:val="00AD44FE"/>
    <w:rsid w:val="00AD46B6"/>
    <w:rsid w:val="00AD5302"/>
    <w:rsid w:val="00AE089D"/>
    <w:rsid w:val="00AE0B3C"/>
    <w:rsid w:val="00AE49F1"/>
    <w:rsid w:val="00AE640C"/>
    <w:rsid w:val="00AF1F75"/>
    <w:rsid w:val="00AF580B"/>
    <w:rsid w:val="00B00491"/>
    <w:rsid w:val="00B01C85"/>
    <w:rsid w:val="00B0385D"/>
    <w:rsid w:val="00B03F50"/>
    <w:rsid w:val="00B0573E"/>
    <w:rsid w:val="00B05CCA"/>
    <w:rsid w:val="00B11293"/>
    <w:rsid w:val="00B13048"/>
    <w:rsid w:val="00B1339C"/>
    <w:rsid w:val="00B1351A"/>
    <w:rsid w:val="00B14271"/>
    <w:rsid w:val="00B14B22"/>
    <w:rsid w:val="00B14C02"/>
    <w:rsid w:val="00B15CC9"/>
    <w:rsid w:val="00B16270"/>
    <w:rsid w:val="00B171E6"/>
    <w:rsid w:val="00B22099"/>
    <w:rsid w:val="00B2629E"/>
    <w:rsid w:val="00B2685D"/>
    <w:rsid w:val="00B2694E"/>
    <w:rsid w:val="00B30351"/>
    <w:rsid w:val="00B30360"/>
    <w:rsid w:val="00B31DA4"/>
    <w:rsid w:val="00B33C2A"/>
    <w:rsid w:val="00B34F4C"/>
    <w:rsid w:val="00B362FB"/>
    <w:rsid w:val="00B422EC"/>
    <w:rsid w:val="00B47A46"/>
    <w:rsid w:val="00B47B00"/>
    <w:rsid w:val="00B501FA"/>
    <w:rsid w:val="00B51068"/>
    <w:rsid w:val="00B517AF"/>
    <w:rsid w:val="00B5256D"/>
    <w:rsid w:val="00B5679E"/>
    <w:rsid w:val="00B608E4"/>
    <w:rsid w:val="00B648EA"/>
    <w:rsid w:val="00B65B57"/>
    <w:rsid w:val="00B65F17"/>
    <w:rsid w:val="00B664B2"/>
    <w:rsid w:val="00B70AE9"/>
    <w:rsid w:val="00B726D4"/>
    <w:rsid w:val="00B77F1E"/>
    <w:rsid w:val="00B809F3"/>
    <w:rsid w:val="00B8214F"/>
    <w:rsid w:val="00B869C6"/>
    <w:rsid w:val="00B86A4F"/>
    <w:rsid w:val="00B91BFF"/>
    <w:rsid w:val="00B93035"/>
    <w:rsid w:val="00B9337E"/>
    <w:rsid w:val="00B958E8"/>
    <w:rsid w:val="00B97E4A"/>
    <w:rsid w:val="00B97EC3"/>
    <w:rsid w:val="00BA09B2"/>
    <w:rsid w:val="00BA44D4"/>
    <w:rsid w:val="00BA5B46"/>
    <w:rsid w:val="00BB03EC"/>
    <w:rsid w:val="00BB5D0B"/>
    <w:rsid w:val="00BB7861"/>
    <w:rsid w:val="00BC0995"/>
    <w:rsid w:val="00BC1BDC"/>
    <w:rsid w:val="00BC34D9"/>
    <w:rsid w:val="00BC4F1D"/>
    <w:rsid w:val="00BC5F48"/>
    <w:rsid w:val="00BD02D3"/>
    <w:rsid w:val="00BD2966"/>
    <w:rsid w:val="00BD484D"/>
    <w:rsid w:val="00BD6241"/>
    <w:rsid w:val="00BD7BF3"/>
    <w:rsid w:val="00BE0073"/>
    <w:rsid w:val="00BE592E"/>
    <w:rsid w:val="00BE793A"/>
    <w:rsid w:val="00BF2B82"/>
    <w:rsid w:val="00BF432A"/>
    <w:rsid w:val="00BF62AF"/>
    <w:rsid w:val="00BF6E82"/>
    <w:rsid w:val="00BF6F8D"/>
    <w:rsid w:val="00BF708F"/>
    <w:rsid w:val="00BF751D"/>
    <w:rsid w:val="00C015A3"/>
    <w:rsid w:val="00C056D0"/>
    <w:rsid w:val="00C060C7"/>
    <w:rsid w:val="00C06CD0"/>
    <w:rsid w:val="00C13BE7"/>
    <w:rsid w:val="00C20BD6"/>
    <w:rsid w:val="00C21F24"/>
    <w:rsid w:val="00C228CF"/>
    <w:rsid w:val="00C2347E"/>
    <w:rsid w:val="00C24C17"/>
    <w:rsid w:val="00C24C5E"/>
    <w:rsid w:val="00C32EC2"/>
    <w:rsid w:val="00C33965"/>
    <w:rsid w:val="00C35D70"/>
    <w:rsid w:val="00C3758F"/>
    <w:rsid w:val="00C40B88"/>
    <w:rsid w:val="00C42C93"/>
    <w:rsid w:val="00C47D87"/>
    <w:rsid w:val="00C5376E"/>
    <w:rsid w:val="00C54B6B"/>
    <w:rsid w:val="00C63DB8"/>
    <w:rsid w:val="00C6562A"/>
    <w:rsid w:val="00C65BCD"/>
    <w:rsid w:val="00C726A9"/>
    <w:rsid w:val="00C7414B"/>
    <w:rsid w:val="00C77A50"/>
    <w:rsid w:val="00C808A6"/>
    <w:rsid w:val="00C82E7A"/>
    <w:rsid w:val="00C837BA"/>
    <w:rsid w:val="00C84D92"/>
    <w:rsid w:val="00C906F4"/>
    <w:rsid w:val="00C97091"/>
    <w:rsid w:val="00C97260"/>
    <w:rsid w:val="00CA058D"/>
    <w:rsid w:val="00CA2001"/>
    <w:rsid w:val="00CB1582"/>
    <w:rsid w:val="00CB46C0"/>
    <w:rsid w:val="00CB48E6"/>
    <w:rsid w:val="00CB4FF7"/>
    <w:rsid w:val="00CB57E5"/>
    <w:rsid w:val="00CB5B6C"/>
    <w:rsid w:val="00CC052E"/>
    <w:rsid w:val="00CC0D8D"/>
    <w:rsid w:val="00CD16BE"/>
    <w:rsid w:val="00CD1CA8"/>
    <w:rsid w:val="00CD380A"/>
    <w:rsid w:val="00CD4616"/>
    <w:rsid w:val="00CD47AC"/>
    <w:rsid w:val="00CD56AF"/>
    <w:rsid w:val="00CD6F28"/>
    <w:rsid w:val="00CD7428"/>
    <w:rsid w:val="00CE0706"/>
    <w:rsid w:val="00CE14C0"/>
    <w:rsid w:val="00CE33D5"/>
    <w:rsid w:val="00CE41A0"/>
    <w:rsid w:val="00CE6A10"/>
    <w:rsid w:val="00CF1324"/>
    <w:rsid w:val="00CF5D37"/>
    <w:rsid w:val="00CF6F33"/>
    <w:rsid w:val="00CF71A9"/>
    <w:rsid w:val="00CF7440"/>
    <w:rsid w:val="00CF7FF3"/>
    <w:rsid w:val="00D019E0"/>
    <w:rsid w:val="00D02248"/>
    <w:rsid w:val="00D063B8"/>
    <w:rsid w:val="00D06825"/>
    <w:rsid w:val="00D14883"/>
    <w:rsid w:val="00D15A7B"/>
    <w:rsid w:val="00D16A12"/>
    <w:rsid w:val="00D17E3B"/>
    <w:rsid w:val="00D20A63"/>
    <w:rsid w:val="00D22017"/>
    <w:rsid w:val="00D23C09"/>
    <w:rsid w:val="00D23CED"/>
    <w:rsid w:val="00D24BD2"/>
    <w:rsid w:val="00D2573D"/>
    <w:rsid w:val="00D260A2"/>
    <w:rsid w:val="00D27F96"/>
    <w:rsid w:val="00D30CC6"/>
    <w:rsid w:val="00D3260C"/>
    <w:rsid w:val="00D32ED3"/>
    <w:rsid w:val="00D3416A"/>
    <w:rsid w:val="00D35790"/>
    <w:rsid w:val="00D376B0"/>
    <w:rsid w:val="00D40B25"/>
    <w:rsid w:val="00D41BA1"/>
    <w:rsid w:val="00D429EF"/>
    <w:rsid w:val="00D42A97"/>
    <w:rsid w:val="00D42DCB"/>
    <w:rsid w:val="00D44240"/>
    <w:rsid w:val="00D466B5"/>
    <w:rsid w:val="00D5653B"/>
    <w:rsid w:val="00D577AA"/>
    <w:rsid w:val="00D6295A"/>
    <w:rsid w:val="00D62EF1"/>
    <w:rsid w:val="00D6309D"/>
    <w:rsid w:val="00D644CA"/>
    <w:rsid w:val="00D66FC2"/>
    <w:rsid w:val="00D70B50"/>
    <w:rsid w:val="00D76C7E"/>
    <w:rsid w:val="00D771DE"/>
    <w:rsid w:val="00D7776D"/>
    <w:rsid w:val="00D82CDE"/>
    <w:rsid w:val="00D90BCD"/>
    <w:rsid w:val="00D91699"/>
    <w:rsid w:val="00D9293F"/>
    <w:rsid w:val="00D93598"/>
    <w:rsid w:val="00D95CDF"/>
    <w:rsid w:val="00DA1E18"/>
    <w:rsid w:val="00DA2009"/>
    <w:rsid w:val="00DA25FF"/>
    <w:rsid w:val="00DA273E"/>
    <w:rsid w:val="00DA47B3"/>
    <w:rsid w:val="00DB05B1"/>
    <w:rsid w:val="00DB0F74"/>
    <w:rsid w:val="00DB5A79"/>
    <w:rsid w:val="00DC2465"/>
    <w:rsid w:val="00DC2BFA"/>
    <w:rsid w:val="00DD1FEB"/>
    <w:rsid w:val="00DD4EDC"/>
    <w:rsid w:val="00DD512E"/>
    <w:rsid w:val="00DD68AF"/>
    <w:rsid w:val="00DD7BBC"/>
    <w:rsid w:val="00DE1177"/>
    <w:rsid w:val="00DE183B"/>
    <w:rsid w:val="00DE2CEA"/>
    <w:rsid w:val="00DE3164"/>
    <w:rsid w:val="00DE6A3C"/>
    <w:rsid w:val="00DE74F4"/>
    <w:rsid w:val="00DE7713"/>
    <w:rsid w:val="00DE7F97"/>
    <w:rsid w:val="00DF09E6"/>
    <w:rsid w:val="00DF1010"/>
    <w:rsid w:val="00DF3CED"/>
    <w:rsid w:val="00DF5AEA"/>
    <w:rsid w:val="00DF6104"/>
    <w:rsid w:val="00DF63F6"/>
    <w:rsid w:val="00DF75BB"/>
    <w:rsid w:val="00E0002A"/>
    <w:rsid w:val="00E01415"/>
    <w:rsid w:val="00E12255"/>
    <w:rsid w:val="00E13747"/>
    <w:rsid w:val="00E14579"/>
    <w:rsid w:val="00E16AC9"/>
    <w:rsid w:val="00E22D04"/>
    <w:rsid w:val="00E25AEA"/>
    <w:rsid w:val="00E30DEF"/>
    <w:rsid w:val="00E30ED2"/>
    <w:rsid w:val="00E31276"/>
    <w:rsid w:val="00E37F17"/>
    <w:rsid w:val="00E37F70"/>
    <w:rsid w:val="00E42743"/>
    <w:rsid w:val="00E438F1"/>
    <w:rsid w:val="00E446C1"/>
    <w:rsid w:val="00E4470E"/>
    <w:rsid w:val="00E51665"/>
    <w:rsid w:val="00E52A54"/>
    <w:rsid w:val="00E54F04"/>
    <w:rsid w:val="00E561C6"/>
    <w:rsid w:val="00E64CB1"/>
    <w:rsid w:val="00E70866"/>
    <w:rsid w:val="00E72E7D"/>
    <w:rsid w:val="00E758B9"/>
    <w:rsid w:val="00E8247E"/>
    <w:rsid w:val="00E85569"/>
    <w:rsid w:val="00E856AF"/>
    <w:rsid w:val="00E86B83"/>
    <w:rsid w:val="00E87C64"/>
    <w:rsid w:val="00E9114D"/>
    <w:rsid w:val="00E92D87"/>
    <w:rsid w:val="00E93A01"/>
    <w:rsid w:val="00E93FF8"/>
    <w:rsid w:val="00E962F0"/>
    <w:rsid w:val="00E964C3"/>
    <w:rsid w:val="00E96EAF"/>
    <w:rsid w:val="00EA05D6"/>
    <w:rsid w:val="00EA09C1"/>
    <w:rsid w:val="00EA1752"/>
    <w:rsid w:val="00EA1B9B"/>
    <w:rsid w:val="00EA1D45"/>
    <w:rsid w:val="00EA55FC"/>
    <w:rsid w:val="00EA5A89"/>
    <w:rsid w:val="00EA5BDB"/>
    <w:rsid w:val="00EA7711"/>
    <w:rsid w:val="00EB0DBE"/>
    <w:rsid w:val="00EB1917"/>
    <w:rsid w:val="00EB46D9"/>
    <w:rsid w:val="00EC001D"/>
    <w:rsid w:val="00EC142D"/>
    <w:rsid w:val="00EC1E16"/>
    <w:rsid w:val="00EC27FF"/>
    <w:rsid w:val="00EC2C3E"/>
    <w:rsid w:val="00EC76E7"/>
    <w:rsid w:val="00ED0024"/>
    <w:rsid w:val="00ED0F85"/>
    <w:rsid w:val="00ED0FD0"/>
    <w:rsid w:val="00ED15D7"/>
    <w:rsid w:val="00ED2B5C"/>
    <w:rsid w:val="00ED3269"/>
    <w:rsid w:val="00EE12B6"/>
    <w:rsid w:val="00EE1A8C"/>
    <w:rsid w:val="00EE4643"/>
    <w:rsid w:val="00EE6281"/>
    <w:rsid w:val="00EE6629"/>
    <w:rsid w:val="00EF1330"/>
    <w:rsid w:val="00EF15FF"/>
    <w:rsid w:val="00EF4852"/>
    <w:rsid w:val="00EF4B4E"/>
    <w:rsid w:val="00EF5227"/>
    <w:rsid w:val="00EF7111"/>
    <w:rsid w:val="00EF7D1A"/>
    <w:rsid w:val="00F001BD"/>
    <w:rsid w:val="00F0448F"/>
    <w:rsid w:val="00F0716C"/>
    <w:rsid w:val="00F10AD5"/>
    <w:rsid w:val="00F128CD"/>
    <w:rsid w:val="00F207D1"/>
    <w:rsid w:val="00F2400D"/>
    <w:rsid w:val="00F24A12"/>
    <w:rsid w:val="00F270E9"/>
    <w:rsid w:val="00F275C0"/>
    <w:rsid w:val="00F346B6"/>
    <w:rsid w:val="00F3490F"/>
    <w:rsid w:val="00F36145"/>
    <w:rsid w:val="00F37BDD"/>
    <w:rsid w:val="00F37C85"/>
    <w:rsid w:val="00F41503"/>
    <w:rsid w:val="00F42AD2"/>
    <w:rsid w:val="00F43729"/>
    <w:rsid w:val="00F44935"/>
    <w:rsid w:val="00F4516A"/>
    <w:rsid w:val="00F466C8"/>
    <w:rsid w:val="00F469A9"/>
    <w:rsid w:val="00F46FDB"/>
    <w:rsid w:val="00F50B46"/>
    <w:rsid w:val="00F50D1F"/>
    <w:rsid w:val="00F52C77"/>
    <w:rsid w:val="00F52E58"/>
    <w:rsid w:val="00F534A9"/>
    <w:rsid w:val="00F53B89"/>
    <w:rsid w:val="00F560FB"/>
    <w:rsid w:val="00F61954"/>
    <w:rsid w:val="00F6203E"/>
    <w:rsid w:val="00F635FC"/>
    <w:rsid w:val="00F63D03"/>
    <w:rsid w:val="00F65E2F"/>
    <w:rsid w:val="00F67DF1"/>
    <w:rsid w:val="00F71998"/>
    <w:rsid w:val="00F720D6"/>
    <w:rsid w:val="00F7261E"/>
    <w:rsid w:val="00F743ED"/>
    <w:rsid w:val="00F74974"/>
    <w:rsid w:val="00F74CEB"/>
    <w:rsid w:val="00F77CC4"/>
    <w:rsid w:val="00F8309B"/>
    <w:rsid w:val="00F833C9"/>
    <w:rsid w:val="00F86E0F"/>
    <w:rsid w:val="00F90064"/>
    <w:rsid w:val="00F9582F"/>
    <w:rsid w:val="00F96AFD"/>
    <w:rsid w:val="00F96B03"/>
    <w:rsid w:val="00F97D35"/>
    <w:rsid w:val="00FA1398"/>
    <w:rsid w:val="00FA1D7C"/>
    <w:rsid w:val="00FA2E19"/>
    <w:rsid w:val="00FA2EE9"/>
    <w:rsid w:val="00FA62F0"/>
    <w:rsid w:val="00FA697F"/>
    <w:rsid w:val="00FA6E99"/>
    <w:rsid w:val="00FB5521"/>
    <w:rsid w:val="00FB55BF"/>
    <w:rsid w:val="00FB590D"/>
    <w:rsid w:val="00FB610D"/>
    <w:rsid w:val="00FC4477"/>
    <w:rsid w:val="00FC46FB"/>
    <w:rsid w:val="00FD0A38"/>
    <w:rsid w:val="00FD2B1B"/>
    <w:rsid w:val="00FD2BD3"/>
    <w:rsid w:val="00FD33D9"/>
    <w:rsid w:val="00FD4CCA"/>
    <w:rsid w:val="00FE1833"/>
    <w:rsid w:val="00FE2A9E"/>
    <w:rsid w:val="00FE3F7B"/>
    <w:rsid w:val="0107F9B8"/>
    <w:rsid w:val="01548119"/>
    <w:rsid w:val="019466D9"/>
    <w:rsid w:val="01E3F93F"/>
    <w:rsid w:val="01EC2FE7"/>
    <w:rsid w:val="01F74B6E"/>
    <w:rsid w:val="020EF41B"/>
    <w:rsid w:val="022E6490"/>
    <w:rsid w:val="02781494"/>
    <w:rsid w:val="028F2F83"/>
    <w:rsid w:val="02A5A0A4"/>
    <w:rsid w:val="03453709"/>
    <w:rsid w:val="039392D1"/>
    <w:rsid w:val="0401C25A"/>
    <w:rsid w:val="042D9368"/>
    <w:rsid w:val="04B2C91F"/>
    <w:rsid w:val="04BB5ABF"/>
    <w:rsid w:val="053F22DF"/>
    <w:rsid w:val="055B60F5"/>
    <w:rsid w:val="067FF15C"/>
    <w:rsid w:val="068517FD"/>
    <w:rsid w:val="06E92406"/>
    <w:rsid w:val="07273AAF"/>
    <w:rsid w:val="072E6118"/>
    <w:rsid w:val="0761C104"/>
    <w:rsid w:val="07975A42"/>
    <w:rsid w:val="079EF473"/>
    <w:rsid w:val="07A89F4D"/>
    <w:rsid w:val="086BC535"/>
    <w:rsid w:val="0878060A"/>
    <w:rsid w:val="088D7CC2"/>
    <w:rsid w:val="09F4F1D0"/>
    <w:rsid w:val="0A1FC079"/>
    <w:rsid w:val="0A789B3D"/>
    <w:rsid w:val="0AC2E338"/>
    <w:rsid w:val="0AC995CB"/>
    <w:rsid w:val="0ACCF3F0"/>
    <w:rsid w:val="0AD9E675"/>
    <w:rsid w:val="0AF5FB9D"/>
    <w:rsid w:val="0B8257DA"/>
    <w:rsid w:val="0B9964EC"/>
    <w:rsid w:val="0BE0DA58"/>
    <w:rsid w:val="0BEA15BE"/>
    <w:rsid w:val="0C928055"/>
    <w:rsid w:val="0C954BD5"/>
    <w:rsid w:val="0D180C42"/>
    <w:rsid w:val="0D88F564"/>
    <w:rsid w:val="0DB42ADB"/>
    <w:rsid w:val="0E71BB41"/>
    <w:rsid w:val="0E89333A"/>
    <w:rsid w:val="0E9B6F0F"/>
    <w:rsid w:val="0EDAC79D"/>
    <w:rsid w:val="0EDBB883"/>
    <w:rsid w:val="0EF08563"/>
    <w:rsid w:val="0F019AE8"/>
    <w:rsid w:val="0F5A9F37"/>
    <w:rsid w:val="0F73CDB5"/>
    <w:rsid w:val="0FA7486A"/>
    <w:rsid w:val="102947FD"/>
    <w:rsid w:val="10361117"/>
    <w:rsid w:val="1084FDD4"/>
    <w:rsid w:val="10A61C06"/>
    <w:rsid w:val="10E939BB"/>
    <w:rsid w:val="10FC7B4D"/>
    <w:rsid w:val="11008205"/>
    <w:rsid w:val="1129C073"/>
    <w:rsid w:val="11B1A0A0"/>
    <w:rsid w:val="11BA346E"/>
    <w:rsid w:val="11EA9782"/>
    <w:rsid w:val="121740EF"/>
    <w:rsid w:val="1242DD73"/>
    <w:rsid w:val="12B6B9FC"/>
    <w:rsid w:val="13056159"/>
    <w:rsid w:val="1326F8F7"/>
    <w:rsid w:val="132F85C6"/>
    <w:rsid w:val="1347D74F"/>
    <w:rsid w:val="13BA817D"/>
    <w:rsid w:val="13E06C38"/>
    <w:rsid w:val="1410B3BD"/>
    <w:rsid w:val="1415B4B2"/>
    <w:rsid w:val="142C3333"/>
    <w:rsid w:val="144A802A"/>
    <w:rsid w:val="1481C9FA"/>
    <w:rsid w:val="1501559A"/>
    <w:rsid w:val="15EC47A4"/>
    <w:rsid w:val="15FC1D73"/>
    <w:rsid w:val="160EBB8D"/>
    <w:rsid w:val="162B8799"/>
    <w:rsid w:val="1634A0FF"/>
    <w:rsid w:val="172923FA"/>
    <w:rsid w:val="177384B2"/>
    <w:rsid w:val="178D625B"/>
    <w:rsid w:val="17CF2853"/>
    <w:rsid w:val="17D334ED"/>
    <w:rsid w:val="17F4AB47"/>
    <w:rsid w:val="1859313D"/>
    <w:rsid w:val="189CBADC"/>
    <w:rsid w:val="191EB88B"/>
    <w:rsid w:val="19A80B50"/>
    <w:rsid w:val="19B4AB96"/>
    <w:rsid w:val="19E00FD8"/>
    <w:rsid w:val="19E13607"/>
    <w:rsid w:val="1A2CB6B1"/>
    <w:rsid w:val="1A6DAC97"/>
    <w:rsid w:val="1A6F96F1"/>
    <w:rsid w:val="1ABEE810"/>
    <w:rsid w:val="1B094055"/>
    <w:rsid w:val="1B8B7475"/>
    <w:rsid w:val="1C2E905C"/>
    <w:rsid w:val="1C8FD530"/>
    <w:rsid w:val="1CB26F1B"/>
    <w:rsid w:val="1CC58272"/>
    <w:rsid w:val="1CCEE31C"/>
    <w:rsid w:val="1CDE6B50"/>
    <w:rsid w:val="1CE55E57"/>
    <w:rsid w:val="1D0BF76F"/>
    <w:rsid w:val="1D33E7C1"/>
    <w:rsid w:val="1DED26F8"/>
    <w:rsid w:val="1E6B211B"/>
    <w:rsid w:val="1E7DD84B"/>
    <w:rsid w:val="1EB2A56A"/>
    <w:rsid w:val="1EC13B85"/>
    <w:rsid w:val="1F369A44"/>
    <w:rsid w:val="1FB1B6F0"/>
    <w:rsid w:val="1FF20659"/>
    <w:rsid w:val="204DF2D9"/>
    <w:rsid w:val="2059DA08"/>
    <w:rsid w:val="206671B9"/>
    <w:rsid w:val="206F9F88"/>
    <w:rsid w:val="20708319"/>
    <w:rsid w:val="208D8F8B"/>
    <w:rsid w:val="2092CB9E"/>
    <w:rsid w:val="20B0B442"/>
    <w:rsid w:val="212DCA59"/>
    <w:rsid w:val="216EED35"/>
    <w:rsid w:val="2186B487"/>
    <w:rsid w:val="21A6E3DC"/>
    <w:rsid w:val="21E3EA95"/>
    <w:rsid w:val="22E0C31D"/>
    <w:rsid w:val="23108B95"/>
    <w:rsid w:val="238B0B78"/>
    <w:rsid w:val="238B4D02"/>
    <w:rsid w:val="23B6AEE1"/>
    <w:rsid w:val="23B9A481"/>
    <w:rsid w:val="23E52F96"/>
    <w:rsid w:val="23FC54D0"/>
    <w:rsid w:val="240EBC70"/>
    <w:rsid w:val="2489D980"/>
    <w:rsid w:val="248AA3FD"/>
    <w:rsid w:val="24B5AED3"/>
    <w:rsid w:val="24C18B7E"/>
    <w:rsid w:val="24DEE738"/>
    <w:rsid w:val="25086F92"/>
    <w:rsid w:val="257B562E"/>
    <w:rsid w:val="259D5350"/>
    <w:rsid w:val="25B33B54"/>
    <w:rsid w:val="26813F1F"/>
    <w:rsid w:val="269A2AE6"/>
    <w:rsid w:val="27214710"/>
    <w:rsid w:val="2766A8E6"/>
    <w:rsid w:val="27B4680F"/>
    <w:rsid w:val="27D69826"/>
    <w:rsid w:val="2827CAA3"/>
    <w:rsid w:val="283A458F"/>
    <w:rsid w:val="28526A91"/>
    <w:rsid w:val="288ED514"/>
    <w:rsid w:val="28E0ED72"/>
    <w:rsid w:val="28F21158"/>
    <w:rsid w:val="28FF465C"/>
    <w:rsid w:val="29811041"/>
    <w:rsid w:val="298FA6FE"/>
    <w:rsid w:val="29A1DFE8"/>
    <w:rsid w:val="29B733B4"/>
    <w:rsid w:val="29C768BB"/>
    <w:rsid w:val="2A0E4098"/>
    <w:rsid w:val="2A5E9C8D"/>
    <w:rsid w:val="2A61851B"/>
    <w:rsid w:val="2B10605B"/>
    <w:rsid w:val="2B2F4426"/>
    <w:rsid w:val="2B557F39"/>
    <w:rsid w:val="2B676A04"/>
    <w:rsid w:val="2BD3C370"/>
    <w:rsid w:val="2C39236E"/>
    <w:rsid w:val="2C4C23A7"/>
    <w:rsid w:val="2C9E3268"/>
    <w:rsid w:val="2CC558D5"/>
    <w:rsid w:val="2D3D35BB"/>
    <w:rsid w:val="2D6E880C"/>
    <w:rsid w:val="2E1BFB17"/>
    <w:rsid w:val="2E39445B"/>
    <w:rsid w:val="2E448542"/>
    <w:rsid w:val="2EAA6EF7"/>
    <w:rsid w:val="2EB77F1E"/>
    <w:rsid w:val="2ED201EA"/>
    <w:rsid w:val="2F1C453F"/>
    <w:rsid w:val="2F3EDD3F"/>
    <w:rsid w:val="2F99C0B9"/>
    <w:rsid w:val="30841B9E"/>
    <w:rsid w:val="30880BB8"/>
    <w:rsid w:val="3097786A"/>
    <w:rsid w:val="314CD0B5"/>
    <w:rsid w:val="318575F2"/>
    <w:rsid w:val="32132E28"/>
    <w:rsid w:val="327200A6"/>
    <w:rsid w:val="327CC0CF"/>
    <w:rsid w:val="32F9C911"/>
    <w:rsid w:val="330A3FA4"/>
    <w:rsid w:val="335E6FAF"/>
    <w:rsid w:val="3391F580"/>
    <w:rsid w:val="339EAAD1"/>
    <w:rsid w:val="339EDE50"/>
    <w:rsid w:val="33B0CDDB"/>
    <w:rsid w:val="33B8106A"/>
    <w:rsid w:val="34252460"/>
    <w:rsid w:val="3436DA5A"/>
    <w:rsid w:val="3438AEB8"/>
    <w:rsid w:val="345CD7C2"/>
    <w:rsid w:val="3482411A"/>
    <w:rsid w:val="3505D968"/>
    <w:rsid w:val="35A34083"/>
    <w:rsid w:val="35C5F1C9"/>
    <w:rsid w:val="35CDD2FD"/>
    <w:rsid w:val="36197137"/>
    <w:rsid w:val="363F5B13"/>
    <w:rsid w:val="36440F36"/>
    <w:rsid w:val="364C1EF4"/>
    <w:rsid w:val="368AC026"/>
    <w:rsid w:val="36B21B9A"/>
    <w:rsid w:val="37597904"/>
    <w:rsid w:val="37755E61"/>
    <w:rsid w:val="37A175F9"/>
    <w:rsid w:val="3882B41C"/>
    <w:rsid w:val="38AE3BC9"/>
    <w:rsid w:val="38D8318A"/>
    <w:rsid w:val="390BFB8F"/>
    <w:rsid w:val="39570A90"/>
    <w:rsid w:val="395C9180"/>
    <w:rsid w:val="3975CED5"/>
    <w:rsid w:val="399DA2AE"/>
    <w:rsid w:val="39A035A1"/>
    <w:rsid w:val="39B82B35"/>
    <w:rsid w:val="39C73750"/>
    <w:rsid w:val="39E39F8D"/>
    <w:rsid w:val="3A0B8C96"/>
    <w:rsid w:val="3A4A9B31"/>
    <w:rsid w:val="3A90BCE4"/>
    <w:rsid w:val="3ABD1E77"/>
    <w:rsid w:val="3ADBBEE8"/>
    <w:rsid w:val="3ADF12AC"/>
    <w:rsid w:val="3AE1AFF7"/>
    <w:rsid w:val="3AEC8EE6"/>
    <w:rsid w:val="3B0F1066"/>
    <w:rsid w:val="3B6F4AFE"/>
    <w:rsid w:val="3B8B733E"/>
    <w:rsid w:val="3BC4F25A"/>
    <w:rsid w:val="3C33D4E8"/>
    <w:rsid w:val="3C9B649B"/>
    <w:rsid w:val="3D411AFD"/>
    <w:rsid w:val="3E08417A"/>
    <w:rsid w:val="3E4CFC04"/>
    <w:rsid w:val="3E5C201C"/>
    <w:rsid w:val="3E5F12D7"/>
    <w:rsid w:val="3F09675C"/>
    <w:rsid w:val="3FF65B9B"/>
    <w:rsid w:val="40467B94"/>
    <w:rsid w:val="4057FF5E"/>
    <w:rsid w:val="408721C2"/>
    <w:rsid w:val="4095D326"/>
    <w:rsid w:val="40C6A802"/>
    <w:rsid w:val="40E645E6"/>
    <w:rsid w:val="416009A9"/>
    <w:rsid w:val="419611C0"/>
    <w:rsid w:val="41AEF30A"/>
    <w:rsid w:val="41E0CA84"/>
    <w:rsid w:val="41E333E5"/>
    <w:rsid w:val="422EA2CF"/>
    <w:rsid w:val="424763D8"/>
    <w:rsid w:val="425ED5EA"/>
    <w:rsid w:val="4263E357"/>
    <w:rsid w:val="42F8F1F5"/>
    <w:rsid w:val="43265F5F"/>
    <w:rsid w:val="44155BF9"/>
    <w:rsid w:val="442064BA"/>
    <w:rsid w:val="446838AA"/>
    <w:rsid w:val="45554CA7"/>
    <w:rsid w:val="45EA2406"/>
    <w:rsid w:val="46891372"/>
    <w:rsid w:val="46F7B8F7"/>
    <w:rsid w:val="47234417"/>
    <w:rsid w:val="47646CCD"/>
    <w:rsid w:val="47B1CC1D"/>
    <w:rsid w:val="47EEF81F"/>
    <w:rsid w:val="4847634F"/>
    <w:rsid w:val="486D7BAB"/>
    <w:rsid w:val="48CA3A40"/>
    <w:rsid w:val="49858079"/>
    <w:rsid w:val="49934A34"/>
    <w:rsid w:val="49AF7D47"/>
    <w:rsid w:val="49E0C53E"/>
    <w:rsid w:val="4A0AFE15"/>
    <w:rsid w:val="4A739AC3"/>
    <w:rsid w:val="4B115925"/>
    <w:rsid w:val="4B323FBB"/>
    <w:rsid w:val="4B572453"/>
    <w:rsid w:val="4BBA2A41"/>
    <w:rsid w:val="4C065B7A"/>
    <w:rsid w:val="4C31A228"/>
    <w:rsid w:val="4C9DB360"/>
    <w:rsid w:val="4CCDE36A"/>
    <w:rsid w:val="4CDB0165"/>
    <w:rsid w:val="4D185C7D"/>
    <w:rsid w:val="4D265F2B"/>
    <w:rsid w:val="4D341CB8"/>
    <w:rsid w:val="4D4CB328"/>
    <w:rsid w:val="4DE04BD5"/>
    <w:rsid w:val="4DEDB40E"/>
    <w:rsid w:val="4E290017"/>
    <w:rsid w:val="4E794A08"/>
    <w:rsid w:val="4E88E997"/>
    <w:rsid w:val="4EAD9491"/>
    <w:rsid w:val="4F4BDDC1"/>
    <w:rsid w:val="4F9D8B6A"/>
    <w:rsid w:val="4FF35397"/>
    <w:rsid w:val="500FB7FB"/>
    <w:rsid w:val="50129630"/>
    <w:rsid w:val="506D9B32"/>
    <w:rsid w:val="513B0339"/>
    <w:rsid w:val="513CCEB6"/>
    <w:rsid w:val="517D2719"/>
    <w:rsid w:val="51E4ACFA"/>
    <w:rsid w:val="51E7445B"/>
    <w:rsid w:val="51F79E5F"/>
    <w:rsid w:val="521DE73B"/>
    <w:rsid w:val="5221A5C4"/>
    <w:rsid w:val="52787559"/>
    <w:rsid w:val="52EE1D93"/>
    <w:rsid w:val="53A16AA9"/>
    <w:rsid w:val="541BE57F"/>
    <w:rsid w:val="54C63111"/>
    <w:rsid w:val="54F5F74D"/>
    <w:rsid w:val="550CF8A9"/>
    <w:rsid w:val="55288870"/>
    <w:rsid w:val="55BFD074"/>
    <w:rsid w:val="5637B14C"/>
    <w:rsid w:val="564A92D7"/>
    <w:rsid w:val="568B1371"/>
    <w:rsid w:val="56CCC460"/>
    <w:rsid w:val="5701E35D"/>
    <w:rsid w:val="57885653"/>
    <w:rsid w:val="57A377F9"/>
    <w:rsid w:val="57BFBA78"/>
    <w:rsid w:val="589170CC"/>
    <w:rsid w:val="59359609"/>
    <w:rsid w:val="59553DF8"/>
    <w:rsid w:val="595D2AC7"/>
    <w:rsid w:val="59D0A984"/>
    <w:rsid w:val="5A045CCD"/>
    <w:rsid w:val="5AE5FC68"/>
    <w:rsid w:val="5AF038C4"/>
    <w:rsid w:val="5B04EBE7"/>
    <w:rsid w:val="5B6376F2"/>
    <w:rsid w:val="5B88A428"/>
    <w:rsid w:val="5B88F298"/>
    <w:rsid w:val="5B913041"/>
    <w:rsid w:val="5BE14586"/>
    <w:rsid w:val="5C324C82"/>
    <w:rsid w:val="5D4C5861"/>
    <w:rsid w:val="5DAA9CA6"/>
    <w:rsid w:val="5E656637"/>
    <w:rsid w:val="5E8F300A"/>
    <w:rsid w:val="5ECCD384"/>
    <w:rsid w:val="5ED942B5"/>
    <w:rsid w:val="5F0181B1"/>
    <w:rsid w:val="5F798B5A"/>
    <w:rsid w:val="5FA03EE8"/>
    <w:rsid w:val="6030BF08"/>
    <w:rsid w:val="60B1123E"/>
    <w:rsid w:val="60BA148B"/>
    <w:rsid w:val="60FE9143"/>
    <w:rsid w:val="612F8B42"/>
    <w:rsid w:val="616EDED9"/>
    <w:rsid w:val="6198A2C2"/>
    <w:rsid w:val="61EDBD00"/>
    <w:rsid w:val="61FA185B"/>
    <w:rsid w:val="61FBEC1B"/>
    <w:rsid w:val="62791000"/>
    <w:rsid w:val="62B7921B"/>
    <w:rsid w:val="6314A091"/>
    <w:rsid w:val="6377148D"/>
    <w:rsid w:val="63EA411A"/>
    <w:rsid w:val="6416803A"/>
    <w:rsid w:val="641E48E3"/>
    <w:rsid w:val="64411983"/>
    <w:rsid w:val="64CA0162"/>
    <w:rsid w:val="6514E4B7"/>
    <w:rsid w:val="6527C042"/>
    <w:rsid w:val="65C97725"/>
    <w:rsid w:val="65D18D45"/>
    <w:rsid w:val="6605D6A7"/>
    <w:rsid w:val="66155A62"/>
    <w:rsid w:val="668DB615"/>
    <w:rsid w:val="66A7621C"/>
    <w:rsid w:val="66E4E010"/>
    <w:rsid w:val="66EB6309"/>
    <w:rsid w:val="66EE5BC1"/>
    <w:rsid w:val="67C1F0C9"/>
    <w:rsid w:val="67F117BF"/>
    <w:rsid w:val="68233030"/>
    <w:rsid w:val="682348AE"/>
    <w:rsid w:val="684651DC"/>
    <w:rsid w:val="684ADD0A"/>
    <w:rsid w:val="684B8BAD"/>
    <w:rsid w:val="68528F27"/>
    <w:rsid w:val="6887BB56"/>
    <w:rsid w:val="689D9716"/>
    <w:rsid w:val="68D85FB4"/>
    <w:rsid w:val="696DD782"/>
    <w:rsid w:val="6978088B"/>
    <w:rsid w:val="6993DBDC"/>
    <w:rsid w:val="69DF8DF6"/>
    <w:rsid w:val="6A062D87"/>
    <w:rsid w:val="6A31B8DA"/>
    <w:rsid w:val="6A3393BB"/>
    <w:rsid w:val="6AC60696"/>
    <w:rsid w:val="6AEB2019"/>
    <w:rsid w:val="6AF32453"/>
    <w:rsid w:val="6B3F0184"/>
    <w:rsid w:val="6B420393"/>
    <w:rsid w:val="6B485FDC"/>
    <w:rsid w:val="6B5ECDA8"/>
    <w:rsid w:val="6B7CF22F"/>
    <w:rsid w:val="6B831CB7"/>
    <w:rsid w:val="6B8341CC"/>
    <w:rsid w:val="6BB0A76F"/>
    <w:rsid w:val="6C817CF8"/>
    <w:rsid w:val="6CAF65F6"/>
    <w:rsid w:val="6D26E41A"/>
    <w:rsid w:val="6D5893A1"/>
    <w:rsid w:val="6E3659B3"/>
    <w:rsid w:val="6EA262DF"/>
    <w:rsid w:val="6EBE4DA0"/>
    <w:rsid w:val="6ED8C2AA"/>
    <w:rsid w:val="6EE1A286"/>
    <w:rsid w:val="6EEAAB4B"/>
    <w:rsid w:val="6EF73E63"/>
    <w:rsid w:val="6F5A8366"/>
    <w:rsid w:val="6F72E8F6"/>
    <w:rsid w:val="7012ABDF"/>
    <w:rsid w:val="70DFE41F"/>
    <w:rsid w:val="7107433F"/>
    <w:rsid w:val="711E6C1E"/>
    <w:rsid w:val="71233382"/>
    <w:rsid w:val="712C2168"/>
    <w:rsid w:val="712C8449"/>
    <w:rsid w:val="7170976B"/>
    <w:rsid w:val="72090029"/>
    <w:rsid w:val="723924B6"/>
    <w:rsid w:val="7260F64F"/>
    <w:rsid w:val="728845E9"/>
    <w:rsid w:val="72A4CE0A"/>
    <w:rsid w:val="732E35B6"/>
    <w:rsid w:val="7331F5F1"/>
    <w:rsid w:val="733DB0F8"/>
    <w:rsid w:val="734C4622"/>
    <w:rsid w:val="73713B0A"/>
    <w:rsid w:val="74173CB4"/>
    <w:rsid w:val="7482A49F"/>
    <w:rsid w:val="75188C64"/>
    <w:rsid w:val="75B0548C"/>
    <w:rsid w:val="75DFB438"/>
    <w:rsid w:val="75F20CE9"/>
    <w:rsid w:val="760FAFBD"/>
    <w:rsid w:val="763FE6E2"/>
    <w:rsid w:val="764C07B0"/>
    <w:rsid w:val="766A2322"/>
    <w:rsid w:val="768C5AB9"/>
    <w:rsid w:val="76A7FD6C"/>
    <w:rsid w:val="76BBC263"/>
    <w:rsid w:val="773DAEEF"/>
    <w:rsid w:val="774982D6"/>
    <w:rsid w:val="774FBF71"/>
    <w:rsid w:val="777D5985"/>
    <w:rsid w:val="779770A7"/>
    <w:rsid w:val="77A526E8"/>
    <w:rsid w:val="78259274"/>
    <w:rsid w:val="782A64FD"/>
    <w:rsid w:val="787C2DE5"/>
    <w:rsid w:val="78C9C67A"/>
    <w:rsid w:val="79BAB00C"/>
    <w:rsid w:val="79BC109B"/>
    <w:rsid w:val="79CC1F36"/>
    <w:rsid w:val="79E1B313"/>
    <w:rsid w:val="79EEB453"/>
    <w:rsid w:val="7A503938"/>
    <w:rsid w:val="7A8D7EBE"/>
    <w:rsid w:val="7ADAF419"/>
    <w:rsid w:val="7B04B394"/>
    <w:rsid w:val="7B5DF784"/>
    <w:rsid w:val="7C05DB7B"/>
    <w:rsid w:val="7C5C98B0"/>
    <w:rsid w:val="7C6A9EDD"/>
    <w:rsid w:val="7CA2A9FC"/>
    <w:rsid w:val="7CA3AC49"/>
    <w:rsid w:val="7D5A668B"/>
    <w:rsid w:val="7E1F6F75"/>
    <w:rsid w:val="7E64C4A2"/>
    <w:rsid w:val="7EC1FB5C"/>
    <w:rsid w:val="7F12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1000f"/>
    </o:shapedefaults>
    <o:shapelayout v:ext="edit">
      <o:idmap v:ext="edit" data="2"/>
    </o:shapelayout>
  </w:shapeDefaults>
  <w:decimalSymbol w:val=","/>
  <w:listSeparator w:val=";"/>
  <w14:docId w14:val="7BF54BF4"/>
  <w15:chartTrackingRefBased/>
  <w15:docId w15:val="{B6BC11F0-AC28-44D2-BFC8-B1129DBC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sz w:val="18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19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2975"/>
    <w:pPr>
      <w:spacing w:line="276" w:lineRule="auto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Nagwek2">
    <w:name w:val="heading 2"/>
    <w:basedOn w:val="Normalny"/>
    <w:next w:val="Normalny"/>
    <w:qFormat/>
    <w:rsid w:val="003F46B0"/>
    <w:pPr>
      <w:keepNext/>
      <w:outlineLvl w:val="1"/>
    </w:pPr>
    <w:rPr>
      <w:rFonts w:cs="Arial"/>
      <w:bCs/>
      <w:iCs/>
      <w:color w:val="E1000F"/>
      <w:szCs w:val="28"/>
    </w:rPr>
  </w:style>
  <w:style w:type="paragraph" w:styleId="Nagwek3">
    <w:name w:val="heading 3"/>
    <w:basedOn w:val="Nagwek2"/>
    <w:next w:val="Normalny"/>
    <w:qFormat/>
    <w:rsid w:val="006F1596"/>
    <w:pPr>
      <w:outlineLvl w:val="2"/>
    </w:pPr>
    <w:rPr>
      <w:color w:val="auto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3758F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paragraph" w:styleId="Stopka">
    <w:name w:val="footer"/>
    <w:basedOn w:val="Normalny"/>
    <w:link w:val="StopkaZnak"/>
    <w:uiPriority w:val="99"/>
    <w:rsid w:val="00992A11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paragraph" w:customStyle="1" w:styleId="Intro">
    <w:name w:val="Intro"/>
    <w:basedOn w:val="Normalny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alny"/>
    <w:rsid w:val="00576BC8"/>
    <w:pPr>
      <w:numPr>
        <w:numId w:val="4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alny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alny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Tabela-Siatka">
    <w:name w:val="Table Grid"/>
    <w:basedOn w:val="Standardowy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ny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alny"/>
    <w:rsid w:val="0048435F"/>
    <w:pPr>
      <w:spacing w:line="300" w:lineRule="atLeast"/>
    </w:pPr>
    <w:rPr>
      <w:sz w:val="24"/>
    </w:rPr>
  </w:style>
  <w:style w:type="character" w:customStyle="1" w:styleId="Nagwek1Znak">
    <w:name w:val="Nagłówek 1 Znak"/>
    <w:link w:val="Nagwek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ipercze">
    <w:name w:val="Hyperlink"/>
    <w:rsid w:val="00336854"/>
    <w:rPr>
      <w:rFonts w:ascii="Segoe UI" w:hAnsi="Segoe UI"/>
      <w:color w:val="0000FF"/>
      <w:sz w:val="18"/>
      <w:szCs w:val="18"/>
      <w:u w:val="single"/>
    </w:rPr>
  </w:style>
  <w:style w:type="paragraph" w:customStyle="1" w:styleId="MittleresRaster1-Akzent21">
    <w:name w:val="Mittleres Raster 1 - Akzent 21"/>
    <w:basedOn w:val="Normalny"/>
    <w:uiPriority w:val="34"/>
    <w:qFormat/>
    <w:rsid w:val="00B422EC"/>
    <w:pPr>
      <w:ind w:left="720"/>
    </w:pPr>
  </w:style>
  <w:style w:type="paragraph" w:styleId="Tekstdymka">
    <w:name w:val="Balloon Text"/>
    <w:basedOn w:val="Normalny"/>
    <w:link w:val="TekstdymkaZnak"/>
    <w:rsid w:val="00336854"/>
    <w:pPr>
      <w:spacing w:line="240" w:lineRule="auto"/>
    </w:pPr>
    <w:rPr>
      <w:sz w:val="18"/>
      <w:szCs w:val="18"/>
    </w:rPr>
  </w:style>
  <w:style w:type="character" w:customStyle="1" w:styleId="TekstdymkaZnak">
    <w:name w:val="Tekst dymka Znak"/>
    <w:link w:val="Tekstdymka"/>
    <w:rsid w:val="00336854"/>
    <w:rPr>
      <w:rFonts w:ascii="Segoe UI" w:hAnsi="Segoe UI"/>
      <w:sz w:val="18"/>
      <w:szCs w:val="18"/>
      <w:lang w:val="de-DE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lang w:val="de-DE"/>
    </w:rPr>
  </w:style>
  <w:style w:type="character" w:customStyle="1" w:styleId="StopkaZnak">
    <w:name w:val="Stopka Znak"/>
    <w:link w:val="Stopka"/>
    <w:uiPriority w:val="99"/>
    <w:rsid w:val="00992A11"/>
    <w:rPr>
      <w:rFonts w:ascii="Segoe UI" w:hAnsi="Segoe UI"/>
      <w:bCs/>
      <w:noProof/>
      <w:sz w:val="12"/>
      <w:szCs w:val="24"/>
      <w:lang w:val="de-DE"/>
    </w:rPr>
  </w:style>
  <w:style w:type="character" w:styleId="Nierozpoznanawzmianka">
    <w:name w:val="Unresolved Mention"/>
    <w:uiPriority w:val="99"/>
    <w:semiHidden/>
    <w:unhideWhenUsed/>
    <w:rsid w:val="000C210A"/>
    <w:rPr>
      <w:color w:val="605E5C"/>
      <w:shd w:val="clear" w:color="auto" w:fill="E1DFDD"/>
    </w:rPr>
  </w:style>
  <w:style w:type="paragraph" w:customStyle="1" w:styleId="Style12ptJustifiedLinespacing15lines">
    <w:name w:val="Style 12 pt Justified Line spacing:  1.5 lines"/>
    <w:basedOn w:val="Normalny"/>
    <w:rsid w:val="00974F84"/>
    <w:rPr>
      <w:szCs w:val="20"/>
    </w:rPr>
  </w:style>
  <w:style w:type="paragraph" w:customStyle="1" w:styleId="Style12ptJustifiedLinespacing15lines1">
    <w:name w:val="Style 12 pt Justified Line spacing:  1.5 lines1"/>
    <w:basedOn w:val="Normalny"/>
    <w:rsid w:val="00974F84"/>
    <w:pPr>
      <w:spacing w:before="120"/>
    </w:pPr>
    <w:rPr>
      <w:szCs w:val="20"/>
    </w:rPr>
  </w:style>
  <w:style w:type="character" w:customStyle="1" w:styleId="Headline">
    <w:name w:val="Headline"/>
    <w:basedOn w:val="Domylnaczcionkaakapitu"/>
    <w:rsid w:val="00A3756F"/>
    <w:rPr>
      <w:b/>
      <w:bCs/>
      <w:sz w:val="32"/>
    </w:rPr>
  </w:style>
  <w:style w:type="paragraph" w:customStyle="1" w:styleId="MonthDayYear">
    <w:name w:val="Month Day Year"/>
    <w:basedOn w:val="Normalny"/>
    <w:rsid w:val="00643D8A"/>
    <w:pPr>
      <w:spacing w:before="120"/>
      <w:ind w:right="-1"/>
      <w:jc w:val="right"/>
    </w:pPr>
    <w:rPr>
      <w:szCs w:val="20"/>
    </w:rPr>
  </w:style>
  <w:style w:type="paragraph" w:customStyle="1" w:styleId="Topline">
    <w:name w:val="Topline"/>
    <w:basedOn w:val="Normalny"/>
    <w:qFormat/>
    <w:rsid w:val="00472FEC"/>
    <w:pPr>
      <w:spacing w:before="560" w:after="560"/>
    </w:pPr>
    <w:rPr>
      <w:rFonts w:cs="Segoe UI"/>
      <w:szCs w:val="22"/>
    </w:rPr>
  </w:style>
  <w:style w:type="character" w:customStyle="1" w:styleId="AboutandContactBody">
    <w:name w:val="About and Contact Body"/>
    <w:basedOn w:val="Domylnaczcionkaakapitu"/>
    <w:rsid w:val="00336854"/>
    <w:rPr>
      <w:rFonts w:ascii="Segoe UI" w:hAnsi="Segoe UI"/>
      <w:sz w:val="18"/>
    </w:rPr>
  </w:style>
  <w:style w:type="character" w:customStyle="1" w:styleId="AboutandContactHeadline">
    <w:name w:val="About and Contact Headline"/>
    <w:basedOn w:val="Domylnaczcionkaakapitu"/>
    <w:rsid w:val="00336854"/>
    <w:rPr>
      <w:rFonts w:ascii="Segoe UI" w:hAnsi="Segoe UI"/>
      <w:b/>
      <w:bCs/>
      <w:sz w:val="18"/>
    </w:rPr>
  </w:style>
  <w:style w:type="paragraph" w:styleId="Poprawka">
    <w:name w:val="Revision"/>
    <w:hidden/>
    <w:uiPriority w:val="62"/>
    <w:unhideWhenUsed/>
    <w:rsid w:val="00A73E4B"/>
    <w:rPr>
      <w:sz w:val="22"/>
    </w:rPr>
  </w:style>
  <w:style w:type="character" w:styleId="Odwoaniedokomentarza">
    <w:name w:val="annotation reference"/>
    <w:basedOn w:val="Domylnaczcionkaakapitu"/>
    <w:rsid w:val="00ED0F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D0F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D0F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ED0F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D0FD0"/>
    <w:rPr>
      <w:b/>
      <w:bCs/>
      <w:sz w:val="20"/>
      <w:szCs w:val="20"/>
    </w:rPr>
  </w:style>
  <w:style w:type="paragraph" w:customStyle="1" w:styleId="standard">
    <w:name w:val="standard"/>
    <w:basedOn w:val="Normalny"/>
    <w:rsid w:val="00D20A6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pl-PL" w:eastAsia="pl-PL"/>
    </w:rPr>
  </w:style>
  <w:style w:type="character" w:customStyle="1" w:styleId="cf01">
    <w:name w:val="cf01"/>
    <w:basedOn w:val="Domylnaczcionkaakapitu"/>
    <w:rsid w:val="003F0855"/>
    <w:rPr>
      <w:rFonts w:ascii="Segoe UI" w:hAnsi="Segoe UI" w:cs="Segoe UI" w:hint="default"/>
      <w:sz w:val="18"/>
      <w:szCs w:val="18"/>
    </w:rPr>
  </w:style>
  <w:style w:type="character" w:styleId="UyteHipercze">
    <w:name w:val="FollowedHyperlink"/>
    <w:basedOn w:val="Domylnaczcionkaakapitu"/>
    <w:rsid w:val="00AE0B3C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26E3D"/>
    <w:pPr>
      <w:spacing w:after="160" w:line="254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pl-PL"/>
    </w:rPr>
  </w:style>
  <w:style w:type="character" w:styleId="Wyrnieniedelikatne">
    <w:name w:val="Subtle Emphasis"/>
    <w:basedOn w:val="Domylnaczcionkaakapitu"/>
    <w:uiPriority w:val="19"/>
    <w:qFormat/>
    <w:rsid w:val="006801FB"/>
    <w:rPr>
      <w:i/>
      <w:iCs/>
      <w:color w:val="404040"/>
    </w:rPr>
  </w:style>
  <w:style w:type="paragraph" w:customStyle="1" w:styleId="Zawarto9ce6tabeli">
    <w:name w:val="Zawartoś9cće6 tabeli"/>
    <w:basedOn w:val="Normalny"/>
    <w:uiPriority w:val="99"/>
    <w:rsid w:val="00AD5302"/>
    <w:pPr>
      <w:widowControl w:val="0"/>
      <w:suppressLineNumbers/>
      <w:autoSpaceDE w:val="0"/>
      <w:autoSpaceDN w:val="0"/>
      <w:adjustRightInd w:val="0"/>
      <w:spacing w:line="240" w:lineRule="auto"/>
      <w:jc w:val="left"/>
    </w:pPr>
    <w:rPr>
      <w:rFonts w:ascii="Liberation Serif" w:eastAsiaTheme="minorEastAsia" w:hAnsi="Liberation Serif"/>
      <w:sz w:val="24"/>
      <w:lang w:val="pl-PL" w:eastAsia="pl-PL"/>
    </w:rPr>
  </w:style>
  <w:style w:type="character" w:customStyle="1" w:styleId="x193iq5w">
    <w:name w:val="x193iq5w"/>
    <w:basedOn w:val="Domylnaczcionkaakapitu"/>
    <w:rsid w:val="00F52E58"/>
  </w:style>
  <w:style w:type="paragraph" w:styleId="NormalnyWeb">
    <w:name w:val="Normal (Web)"/>
    <w:basedOn w:val="Normalny"/>
    <w:uiPriority w:val="99"/>
    <w:unhideWhenUsed/>
    <w:rsid w:val="00F52E5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222D99"/>
    <w:rPr>
      <w:i/>
      <w:iCs/>
    </w:rPr>
  </w:style>
  <w:style w:type="character" w:styleId="Pogrubienie">
    <w:name w:val="Strong"/>
    <w:uiPriority w:val="22"/>
    <w:qFormat/>
    <w:rsid w:val="0068090F"/>
    <w:rPr>
      <w:b/>
      <w:bCs/>
    </w:rPr>
  </w:style>
  <w:style w:type="paragraph" w:styleId="Tekstpodstawowy">
    <w:name w:val="Body Text"/>
    <w:basedOn w:val="Normalny"/>
    <w:link w:val="TekstpodstawowyZnak"/>
    <w:rsid w:val="00E000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0002A"/>
    <w:rPr>
      <w:sz w:val="22"/>
    </w:rPr>
  </w:style>
  <w:style w:type="paragraph" w:styleId="Tekstprzypisudolnego">
    <w:name w:val="footnote text"/>
    <w:basedOn w:val="Normalny"/>
    <w:link w:val="TekstprzypisudolnegoZnak"/>
    <w:rsid w:val="003A582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A582E"/>
    <w:rPr>
      <w:sz w:val="20"/>
      <w:szCs w:val="20"/>
    </w:rPr>
  </w:style>
  <w:style w:type="character" w:styleId="Odwoanieprzypisudolnego">
    <w:name w:val="footnote reference"/>
    <w:basedOn w:val="Domylnaczcionkaakapitu"/>
    <w:rsid w:val="003A58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nika.podsiadlo@bursonglobal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ria.kuznik@henkel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enkel.com/pres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13221-5b51-4fa0-80cb-6b7673a1cfe8">
      <Terms xmlns="http://schemas.microsoft.com/office/infopath/2007/PartnerControls"/>
    </lcf76f155ced4ddcb4097134ff3c332f>
    <TaxCatchAll xmlns="ac0ebce6-a4a4-4457-ad09-3c87710eceba" xsi:nil="true"/>
    <MediaServiceKeyPoints xmlns="27713221-5b51-4fa0-80cb-6b7673a1cfe8" xsi:nil="true"/>
    <MediaServiceOCR xmlns="27713221-5b51-4fa0-80cb-6b7673a1cfe8" xsi:nil="true"/>
    <ArchiverLinkFileType xmlns="27713221-5b51-4fa0-80cb-6b7673a1cfe8" xsi:nil="true"/>
    <MediaServiceAutoTags xmlns="27713221-5b51-4fa0-80cb-6b7673a1cfe8" xsi:nil="true"/>
    <MediaServiceObjectDetectorVersions xmlns="27713221-5b51-4fa0-80cb-6b7673a1cfe8" xsi:nil="true"/>
    <MediaLengthInSeconds xmlns="27713221-5b51-4fa0-80cb-6b7673a1cfe8" xsi:nil="true"/>
    <MediaServiceSearchProperties xmlns="27713221-5b51-4fa0-80cb-6b7673a1cfe8" xsi:nil="true"/>
    <MediaServiceLocation xmlns="27713221-5b51-4fa0-80cb-6b7673a1cfe8" xsi:nil="true"/>
    <MediaServiceAutoKeyPoints xmlns="27713221-5b51-4fa0-80cb-6b7673a1cfe8" xsi:nil="true"/>
    <SharedWithUsers xmlns="ac0ebce6-a4a4-4457-ad09-3c87710eceb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A350BBEB1614B834058CC950DD18B" ma:contentTypeVersion="24" ma:contentTypeDescription="Create a new document." ma:contentTypeScope="" ma:versionID="472f974f83e615b51a1123dcb0095272">
  <xsd:schema xmlns:xsd="http://www.w3.org/2001/XMLSchema" xmlns:xs="http://www.w3.org/2001/XMLSchema" xmlns:p="http://schemas.microsoft.com/office/2006/metadata/properties" xmlns:ns2="27713221-5b51-4fa0-80cb-6b7673a1cfe8" xmlns:ns3="ac0ebce6-a4a4-4457-ad09-3c87710eceba" targetNamespace="http://schemas.microsoft.com/office/2006/metadata/properties" ma:root="true" ma:fieldsID="b9697c2436c4d821ec3b5e5bc78996bf" ns2:_="" ns3:_="">
    <xsd:import namespace="27713221-5b51-4fa0-80cb-6b7673a1cfe8"/>
    <xsd:import namespace="ac0ebce6-a4a4-4457-ad09-3c87710ec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rchiverLinkFileTyp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3221-5b51-4fa0-80cb-6b7673a1c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false">
      <xsd:simpleType>
        <xsd:restriction base="dms:Text"/>
      </xsd:simpleType>
    </xsd:element>
    <xsd:element name="MediaServiceOCR" ma:index="12" nillable="true" ma:displayName="MediaServiceOCR" ma:internalName="MediaServiceOCR" ma:readOnly="fals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fals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9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 ma:readOnly="fals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ebce6-a4a4-4457-ad09-3c87710ece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ee54e9-443f-4972-94a2-65fd48fc740b}" ma:internalName="TaxCatchAll" ma:showField="CatchAllData" ma:web="ac0ebce6-a4a4-4457-ad09-3c87710ec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6D13-73FC-4A7A-93C2-AC11939BB4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45D12-BDB4-413F-ABB3-2AF0CF323A38}">
  <ds:schemaRefs>
    <ds:schemaRef ds:uri="http://schemas.microsoft.com/office/2006/metadata/properties"/>
    <ds:schemaRef ds:uri="http://schemas.microsoft.com/office/infopath/2007/PartnerControls"/>
    <ds:schemaRef ds:uri="27713221-5b51-4fa0-80cb-6b7673a1cfe8"/>
    <ds:schemaRef ds:uri="ac0ebce6-a4a4-4457-ad09-3c87710eceba"/>
  </ds:schemaRefs>
</ds:datastoreItem>
</file>

<file path=customXml/itemProps3.xml><?xml version="1.0" encoding="utf-8"?>
<ds:datastoreItem xmlns:ds="http://schemas.openxmlformats.org/officeDocument/2006/customXml" ds:itemID="{747597CC-E742-4119-BFBF-EEC0FFF37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13221-5b51-4fa0-80cb-6b7673a1cfe8"/>
    <ds:schemaRef ds:uri="ac0ebce6-a4a4-4457-ad09-3c87710ec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B53B29-CB05-4BEA-B76A-0A57168091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3545</Words>
  <Characters>19855</Characters>
  <Application>Microsoft Office Word</Application>
  <DocSecurity>0</DocSecurity>
  <Lines>330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Henkel AG &amp; Co. KGaA</Company>
  <LinksUpToDate>false</LinksUpToDate>
  <CharactersWithSpaces>23306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Zuzanna Pawlak</dc:creator>
  <cp:keywords/>
  <dc:description/>
  <cp:lastModifiedBy>Daria Kuznik</cp:lastModifiedBy>
  <cp:revision>3</cp:revision>
  <cp:lastPrinted>2024-06-07T22:51:00Z</cp:lastPrinted>
  <dcterms:created xsi:type="dcterms:W3CDTF">2026-08-06T12:35:00Z</dcterms:created>
  <dcterms:modified xsi:type="dcterms:W3CDTF">2026-08-06T12:36:00Z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0x01010065DA350BBEB1614B834058CC950DD18B</vt:lpwstr>
  </property>
  <property fmtid="{D5CDD505-2E9C-101B-9397-08002B2CF9AE}" pid="3" name="MediaServiceImageTags">
    <vt:lpwstr/>
  </property>
  <property fmtid="{D5CDD505-2E9C-101B-9397-08002B2CF9AE}" pid="4" name="Order">
    <vt:r8>48597700</vt:r8>
  </property>
  <property fmtid="{D5CDD505-2E9C-101B-9397-08002B2CF9AE}" pid="5" name="GUID">
    <vt:lpwstr>05427b9b-5d5d-4842-bbbf-0111b0b28258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ArchiverLinkFileType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docLang">
    <vt:lpwstr>en</vt:lpwstr>
  </property>
</Properties>
</file>