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D5E39A" w14:textId="1620CBA6" w:rsidR="00B422EC" w:rsidRPr="00921C0C" w:rsidRDefault="00081692" w:rsidP="00081692">
      <w:pPr>
        <w:pStyle w:val="MonthDayYear"/>
        <w:tabs>
          <w:tab w:val="left" w:pos="7371"/>
        </w:tabs>
        <w:jc w:val="left"/>
      </w:pPr>
      <w:r>
        <w:rPr>
          <w:lang w:val="nl"/>
        </w:rPr>
        <w:tab/>
        <w:t xml:space="preserve">    6 augustus 2026</w:t>
      </w:r>
    </w:p>
    <w:p w14:paraId="166A9534" w14:textId="0E9371DF" w:rsidR="00497D5E" w:rsidRPr="009D61DC" w:rsidRDefault="007A2FB6" w:rsidP="00790993">
      <w:pPr>
        <w:pStyle w:val="Topline"/>
        <w:spacing w:after="240"/>
        <w:rPr>
          <w:rFonts w:asciiTheme="majorHAnsi" w:hAnsiTheme="majorHAnsi" w:cstheme="majorHAnsi"/>
        </w:rPr>
      </w:pPr>
      <w:bookmarkStart w:id="0" w:name="_Hlk190695874"/>
      <w:r>
        <w:rPr>
          <w:rFonts w:asciiTheme="majorHAnsi" w:hAnsiTheme="majorHAnsi" w:cstheme="majorHAnsi"/>
          <w:lang w:val="nl"/>
        </w:rPr>
        <w:t>Henkel zet groeistrategie voort: investeringen in merken, innovatie en fusies &amp; overnames</w:t>
      </w:r>
    </w:p>
    <w:bookmarkEnd w:id="0"/>
    <w:p w14:paraId="3FE075DA" w14:textId="76F97B95" w:rsidR="00633B49" w:rsidRPr="00A81C0A" w:rsidRDefault="0012714C" w:rsidP="00C208E2">
      <w:pPr>
        <w:jc w:val="left"/>
        <w:rPr>
          <w:rStyle w:val="Headline"/>
          <w:rFonts w:asciiTheme="majorHAnsi" w:hAnsiTheme="majorHAnsi" w:cstheme="majorHAnsi"/>
        </w:rPr>
      </w:pPr>
      <w:r>
        <w:rPr>
          <w:rStyle w:val="Headline"/>
          <w:rFonts w:asciiTheme="majorHAnsi" w:hAnsiTheme="majorHAnsi" w:cstheme="majorHAnsi"/>
          <w:lang w:val="nl"/>
        </w:rPr>
        <w:t xml:space="preserve">Henkel zet sterke omzet- en winstcijfers neer </w:t>
      </w:r>
      <w:r>
        <w:rPr>
          <w:rStyle w:val="Headline"/>
          <w:rFonts w:asciiTheme="majorHAnsi" w:hAnsiTheme="majorHAnsi" w:cstheme="majorHAnsi"/>
          <w:b w:val="0"/>
          <w:bCs w:val="0"/>
          <w:lang w:val="nl"/>
        </w:rPr>
        <w:br/>
      </w:r>
      <w:r>
        <w:rPr>
          <w:rStyle w:val="Headline"/>
          <w:rFonts w:asciiTheme="majorHAnsi" w:hAnsiTheme="majorHAnsi" w:cstheme="majorHAnsi"/>
          <w:lang w:val="nl"/>
        </w:rPr>
        <w:t>in de eerste helft van het jaar en verhoogt de omzetprognose voor 2026</w:t>
      </w:r>
    </w:p>
    <w:p w14:paraId="5E22EDC4" w14:textId="77777777" w:rsidR="00A54C2A" w:rsidRPr="00A81C0A" w:rsidRDefault="00A54C2A" w:rsidP="00C65957">
      <w:pPr>
        <w:spacing w:line="240" w:lineRule="auto"/>
        <w:jc w:val="left"/>
        <w:rPr>
          <w:sz w:val="16"/>
          <w:szCs w:val="16"/>
        </w:rPr>
      </w:pPr>
    </w:p>
    <w:p w14:paraId="55670377" w14:textId="7F0FACE7"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bookmarkStart w:id="1" w:name="_Hlk64363173"/>
      <w:bookmarkStart w:id="2" w:name="_Hlk43712519"/>
      <w:r>
        <w:rPr>
          <w:rFonts w:asciiTheme="majorHAnsi" w:hAnsiTheme="majorHAnsi" w:cstheme="majorHAnsi"/>
          <w:b/>
          <w:bCs/>
          <w:szCs w:val="22"/>
          <w:lang w:val="nl"/>
        </w:rPr>
        <w:t>Groepsomzet in de eerste helft van het jaar laat met 10,3 miljard euro sterke organische groei van 3,2 procent optekenen</w:t>
      </w:r>
    </w:p>
    <w:p w14:paraId="6BFCBE6D" w14:textId="642AA32D" w:rsidR="00DC34C4" w:rsidRPr="00E812A3" w:rsidRDefault="0087393A"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 xml:space="preserve">Sterke groei ondersteund door positieve prijs- en volumedynamiek in alle </w:t>
      </w:r>
      <w:r>
        <w:rPr>
          <w:rFonts w:asciiTheme="majorHAnsi" w:hAnsiTheme="majorHAnsi" w:cstheme="majorHAnsi"/>
          <w:szCs w:val="22"/>
          <w:lang w:val="nl"/>
        </w:rPr>
        <w:br/>
      </w:r>
      <w:r>
        <w:rPr>
          <w:rFonts w:asciiTheme="majorHAnsi" w:hAnsiTheme="majorHAnsi" w:cstheme="majorHAnsi"/>
          <w:b/>
          <w:bCs/>
          <w:szCs w:val="22"/>
          <w:lang w:val="nl"/>
        </w:rPr>
        <w:t>businessunits</w:t>
      </w:r>
    </w:p>
    <w:p w14:paraId="5A223F67" w14:textId="41EEB7C6"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Bedrijfsresultaat (EBIT)* gestegen tot 1.620 miljoen euro (+0,3 procent)</w:t>
      </w:r>
    </w:p>
    <w:p w14:paraId="6EE72A28" w14:textId="6890DDDF"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Sterke EBIT-marge* van 15,7 procent (+10 basispunten), ondersteund door beide businessunits – wat de kracht van onze activiteiten onderstreept</w:t>
      </w:r>
    </w:p>
    <w:p w14:paraId="35493545" w14:textId="541E021D"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 xml:space="preserve">Winst per preferent aandeel (EPS)* gestegen tot 2,86 euro, </w:t>
      </w:r>
      <w:r>
        <w:rPr>
          <w:rFonts w:asciiTheme="majorHAnsi" w:hAnsiTheme="majorHAnsi" w:cstheme="majorHAnsi"/>
          <w:szCs w:val="22"/>
          <w:lang w:val="nl"/>
        </w:rPr>
        <w:br/>
      </w:r>
      <w:r>
        <w:rPr>
          <w:rFonts w:asciiTheme="majorHAnsi" w:hAnsiTheme="majorHAnsi" w:cstheme="majorHAnsi"/>
          <w:b/>
          <w:bCs/>
          <w:szCs w:val="22"/>
          <w:lang w:val="nl"/>
        </w:rPr>
        <w:t>+7,1 procent bij constante wisselkoersen</w:t>
      </w:r>
    </w:p>
    <w:p w14:paraId="55DDFC3A" w14:textId="35060543"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 xml:space="preserve">Succesvolle uitvoering van de M&amp;A-groeistrategie in de eerste helft van het jaar, </w:t>
      </w:r>
      <w:r>
        <w:rPr>
          <w:rFonts w:asciiTheme="majorHAnsi" w:hAnsiTheme="majorHAnsi" w:cstheme="majorHAnsi"/>
          <w:szCs w:val="22"/>
          <w:lang w:val="nl"/>
        </w:rPr>
        <w:br/>
      </w:r>
      <w:r>
        <w:rPr>
          <w:rFonts w:asciiTheme="majorHAnsi" w:hAnsiTheme="majorHAnsi" w:cstheme="majorHAnsi"/>
          <w:b/>
          <w:bCs/>
          <w:szCs w:val="22"/>
          <w:lang w:val="nl"/>
        </w:rPr>
        <w:t>met de eerste positieve omzet- en winstbijdragen in 2026</w:t>
      </w:r>
    </w:p>
    <w:bookmarkEnd w:id="1"/>
    <w:bookmarkEnd w:id="2"/>
    <w:p w14:paraId="1D293644" w14:textId="136E2BE2"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nl"/>
        </w:rPr>
        <w:t xml:space="preserve">Vooruitzichten voor boekjaar 2026: omzetverwachtingen naar boven bijgesteld voor de Groep en </w:t>
      </w:r>
      <w:r>
        <w:rPr>
          <w:rFonts w:asciiTheme="majorHAnsi" w:hAnsiTheme="majorHAnsi" w:cstheme="majorHAnsi"/>
          <w:szCs w:val="22"/>
          <w:lang w:val="nl"/>
        </w:rPr>
        <w:br/>
      </w:r>
      <w:r>
        <w:rPr>
          <w:rFonts w:asciiTheme="majorHAnsi" w:hAnsiTheme="majorHAnsi" w:cstheme="majorHAnsi"/>
          <w:b/>
          <w:bCs/>
          <w:szCs w:val="22"/>
          <w:lang w:val="nl"/>
        </w:rPr>
        <w:t>Adhesive Technologies</w:t>
      </w:r>
    </w:p>
    <w:p w14:paraId="5113870C" w14:textId="6CB987D0" w:rsidR="00DC34C4" w:rsidRPr="007A2FB6"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Pr>
          <w:lang w:val="nl"/>
        </w:rPr>
        <w:t>Organische omzetgroei: 1,5 tot 3,5 procent (voorheen: 1,0 tot 3,0 procent)</w:t>
      </w:r>
    </w:p>
    <w:p w14:paraId="7530C7F9" w14:textId="581E6AEB" w:rsidR="00DC34C4" w:rsidRPr="001F3E04"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Pr>
          <w:lang w:val="nl"/>
        </w:rPr>
        <w:t>Aangepast rendement op omzet: 14,5 tot 16,0 procent</w:t>
      </w:r>
    </w:p>
    <w:p w14:paraId="738D13D3" w14:textId="1AFD4F2D" w:rsidR="00DC34C4" w:rsidRPr="00DC34C4" w:rsidRDefault="00DC34C4" w:rsidP="00026124">
      <w:pPr>
        <w:pStyle w:val="ListParagraph"/>
        <w:widowControl w:val="0"/>
        <w:numPr>
          <w:ilvl w:val="1"/>
          <w:numId w:val="7"/>
        </w:numPr>
        <w:tabs>
          <w:tab w:val="left" w:pos="702"/>
        </w:tabs>
        <w:autoSpaceDE w:val="0"/>
        <w:autoSpaceDN w:val="0"/>
        <w:spacing w:before="113" w:line="240" w:lineRule="auto"/>
        <w:ind w:left="702"/>
        <w:contextualSpacing w:val="0"/>
        <w:jc w:val="left"/>
      </w:pPr>
      <w:r>
        <w:rPr>
          <w:lang w:val="nl"/>
        </w:rPr>
        <w:t>Aangepaste winst per preferent aandeel (EPS): stijging in het lage tot hoge eencijferige percentagebereik (bij constante wisselkoersen)</w:t>
      </w:r>
    </w:p>
    <w:p w14:paraId="0E973721" w14:textId="3F3EF3D0" w:rsidR="00D93B82" w:rsidRPr="00921C0C" w:rsidRDefault="00D93B82" w:rsidP="00037396">
      <w:pPr>
        <w:rPr>
          <w:rFonts w:cs="Segoe UI"/>
          <w:b/>
          <w:bCs/>
          <w:szCs w:val="22"/>
        </w:rPr>
      </w:pPr>
    </w:p>
    <w:p w14:paraId="1F0E6762" w14:textId="7D107428" w:rsidR="002566B2" w:rsidRPr="002566B2" w:rsidRDefault="00F26F5F" w:rsidP="002566B2">
      <w:pPr>
        <w:rPr>
          <w:rFonts w:cs="Segoe UI"/>
          <w:szCs w:val="22"/>
        </w:rPr>
      </w:pPr>
      <w:r>
        <w:rPr>
          <w:noProof/>
          <w:sz w:val="24"/>
          <w:lang w:val="nl"/>
        </w:rPr>
        <mc:AlternateContent>
          <mc:Choice Requires="wps">
            <w:drawing>
              <wp:anchor distT="45720" distB="45720" distL="114300" distR="114300" simplePos="0" relativeHeight="251658240" behindDoc="0" locked="0" layoutInCell="1" allowOverlap="1" wp14:anchorId="3117CDF1" wp14:editId="6B5EC74D">
                <wp:simplePos x="0" y="0"/>
                <wp:positionH relativeFrom="margin">
                  <wp:posOffset>-91689</wp:posOffset>
                </wp:positionH>
                <wp:positionV relativeFrom="paragraph">
                  <wp:posOffset>2676276</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1C7" w14:textId="77777777" w:rsidR="00E810D3" w:rsidRPr="00CF56F5" w:rsidRDefault="00E810D3" w:rsidP="00E810D3">
                            <w:pPr>
                              <w:pStyle w:val="He04Funote"/>
                              <w:rPr>
                                <w:sz w:val="12"/>
                                <w:szCs w:val="12"/>
                              </w:rPr>
                            </w:pPr>
                            <w:r>
                              <w:rPr>
                                <w:sz w:val="12"/>
                                <w:szCs w:val="12"/>
                                <w:lang w:val="nl"/>
                              </w:rPr>
                              <w:t>* Aangepast voor eenmalige kosten en inkomsten, en voor herstructureringskosten.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7CDF1" id="_x0000_t202" coordsize="21600,21600" o:spt="202" path="m,l,21600r21600,l21600,xe">
                <v:stroke joinstyle="miter"/>
                <v:path gradientshapeok="t" o:connecttype="rect"/>
              </v:shapetype>
              <v:shape id="Textfeld 214901967" o:spid="_x0000_s1026" type="#_x0000_t202" style="position:absolute;left:0;text-align:left;margin-left:-7.2pt;margin-top:210.75pt;width:426.3pt;height:18.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" stroked="f">
                <v:textbox>
                  <w:txbxContent>
                    <w:p w14:paraId="1E3A01C7" w14:textId="77777777" w:rsidR="00E810D3" w:rsidRPr="00CF56F5" w:rsidRDefault="00E810D3" w:rsidP="00E810D3">
                      <w:pPr>
                        <w:pStyle w:val="He04Funote"/>
                        <w:rPr>
                          <w:sz w:val="12"/>
                          <w:szCs w:val="12"/>
                        </w:rPr>
                        <w:bidi w:val="0"/>
                      </w:pPr>
                      <w:r>
                        <w:rPr>
                          <w:sz w:val="12"/>
                          <w:szCs w:val="12"/>
                          <w:lang w:val="nl"/>
                          <w:b w:val="0"/>
                          <w:bCs w:val="0"/>
                          <w:i w:val="0"/>
                          <w:iCs w:val="0"/>
                          <w:u w:val="none"/>
                          <w:vertAlign w:val="baseline"/>
                          <w:rtl w:val="0"/>
                        </w:rPr>
                        <w:t xml:space="preserve">* Aangepast voor eenmalige kosten en inkomsten, en voor herstructureringskosten.</w:t>
                      </w:r>
                    </w:p>
                  </w:txbxContent>
                </v:textbox>
                <w10:wrap anchorx="margin"/>
              </v:shape>
            </w:pict>
          </mc:Fallback>
        </mc:AlternateContent>
      </w:r>
      <w:r>
        <w:rPr>
          <w:szCs w:val="22"/>
          <w:lang w:val="nl"/>
        </w:rPr>
        <w:t xml:space="preserve">Düsseldorf – Henkel realiseerde in de eerste helft van 2026 een stevige organische omzetgroei en zeer goede winstcijfers ondanks een economisch klimaat dat nog steeds zeer uitdagend is. "De organische omzetgroei werd opnieuw gedragen door beide businessunits, elk met een </w:t>
      </w:r>
      <w:r>
        <w:rPr>
          <w:szCs w:val="22"/>
          <w:lang w:val="nl"/>
        </w:rPr>
        <w:lastRenderedPageBreak/>
        <w:t>positieve prijs- en volumeontwikkeling. Bij Adhesive Technologies werd de verbetering van de omzet en winst ook ondersteund door de consequente en snelle uitvoering van prijsmaatregelen om de negatieve effecten van stijgende grondstofprijzen te compenseren", aldus Carsten Knobel, CEO van Henkel. "Bij Consumer Brands zette de bedrijfsdivisie Hair zijn zeer sterke groeitraject voort en keerde divisie Laundry Care terug naar positieve groeicijfers."</w:t>
      </w:r>
    </w:p>
    <w:p w14:paraId="341CB32D" w14:textId="06A0E23D" w:rsidR="002566B2" w:rsidRPr="002566B2" w:rsidRDefault="002566B2" w:rsidP="002566B2">
      <w:pPr>
        <w:rPr>
          <w:rFonts w:cs="Segoe UI"/>
          <w:szCs w:val="22"/>
        </w:rPr>
      </w:pPr>
    </w:p>
    <w:p w14:paraId="4C128449" w14:textId="3233DF1E" w:rsidR="002566B2" w:rsidRPr="002566B2" w:rsidRDefault="002566B2" w:rsidP="008530DF">
      <w:pPr>
        <w:rPr>
          <w:rFonts w:cs="Segoe UI"/>
          <w:szCs w:val="22"/>
        </w:rPr>
      </w:pPr>
      <w:r>
        <w:rPr>
          <w:rFonts w:cs="Segoe UI"/>
          <w:szCs w:val="22"/>
          <w:lang w:val="nl"/>
        </w:rPr>
        <w:t>"We voeren onze strategie consequent uit met een duidelijke focus op doelgerichte groei, en onze resultaten tonen aan dat deze aanpak succesvol is. In de eerste helft van het jaar hebben we over het geheel genomen zeer sterke bedrijfsresultaten neergezet, terwijl we tegelijkertijd aanzienlijk zijn blijven investeren in onze toekomst, waaronder onze merken, technologieën en innovaties. Daarnaast hebben we onze fusie- en overnameactiviteiten aanzienlijk opgevoerd. We hebben overeenstemming bereikt over vijf overnames met een totale waarde van ongeveer 5 miljard euro, die onze twee businessunits aanzienlijk zullen versterken. Vier van deze overnames zijn intussen afgerond. De komende jaren zullen de overgenomen bedrijven naar verwachting een bovengemiddelde groei realiseren in de midden- tot hoge eencijferige procenten, en ongeveer 2 miljard euro aan extra jaaromzet bijdragen. Dit betekent opnieuw een belangrijke stap vooruit in de duurzame uitvoering van onze groeiplannen", vervolgde Carsten Knobel.</w:t>
      </w:r>
    </w:p>
    <w:p w14:paraId="68E01B8E" w14:textId="77777777" w:rsidR="002566B2" w:rsidRPr="002566B2" w:rsidRDefault="002566B2" w:rsidP="002566B2">
      <w:pPr>
        <w:rPr>
          <w:rFonts w:cs="Segoe UI"/>
          <w:szCs w:val="22"/>
        </w:rPr>
      </w:pPr>
    </w:p>
    <w:p w14:paraId="33735EE5" w14:textId="52C0B8D7" w:rsidR="002566B2" w:rsidRPr="002566B2" w:rsidRDefault="002566B2" w:rsidP="002566B2">
      <w:pPr>
        <w:rPr>
          <w:rFonts w:cs="Segoe UI"/>
          <w:szCs w:val="22"/>
        </w:rPr>
      </w:pPr>
      <w:r>
        <w:rPr>
          <w:rFonts w:cs="Segoe UI"/>
          <w:szCs w:val="22"/>
          <w:lang w:val="nl"/>
        </w:rPr>
        <w:t>"Op basis van onze sterke prestaties in de eerste helft van het jaar hebben we onze omzetverwachtingen voor zowel de Groep als de businessunit Adhesive Technologies naar boven bijgesteld. Op groepsniveau verwachten we nu een organische omzetgroei tussen 1,5 en 3,5 procent, vergeleken met onze eerdere prognose van 1 tot 3 procent. Voor Adhesive Technologies hebben we onze verwachtingen voor de organische omzetgroei van 1 tot 3 procent nu verhoogd naar 2 tot 4 procent. Henkel blijft dus stevig op koers voor een duurzame, winstgevende groei."</w:t>
      </w:r>
    </w:p>
    <w:p w14:paraId="59F5F4F0" w14:textId="77777777" w:rsidR="006D4D0C" w:rsidRPr="005F750F" w:rsidRDefault="006D4D0C" w:rsidP="001274FA">
      <w:pPr>
        <w:spacing w:after="120"/>
        <w:rPr>
          <w:rFonts w:cs="Segoe UI"/>
          <w:b/>
          <w:bCs/>
          <w:szCs w:val="22"/>
        </w:rPr>
      </w:pPr>
    </w:p>
    <w:p w14:paraId="2706BE4B" w14:textId="555EEA54" w:rsidR="000C47D1" w:rsidRPr="000311F4" w:rsidRDefault="006D4D0C" w:rsidP="001274FA">
      <w:pPr>
        <w:spacing w:after="120"/>
        <w:rPr>
          <w:rFonts w:cs="Segoe UI"/>
          <w:b/>
          <w:bCs/>
          <w:szCs w:val="22"/>
        </w:rPr>
      </w:pPr>
      <w:r>
        <w:rPr>
          <w:rFonts w:cs="Segoe UI"/>
          <w:b/>
          <w:bCs/>
          <w:szCs w:val="22"/>
          <w:lang w:val="nl"/>
        </w:rPr>
        <w:t>Omzet- en winstontwikkeling van de Groep in de eerste helft van 2026</w:t>
      </w:r>
    </w:p>
    <w:p w14:paraId="0C3735E3" w14:textId="28F6AEB0" w:rsidR="00E812A3" w:rsidRPr="000311F4" w:rsidRDefault="00E812A3" w:rsidP="00E812A3">
      <w:pPr>
        <w:rPr>
          <w:rFonts w:cs="Segoe UI"/>
          <w:szCs w:val="22"/>
        </w:rPr>
      </w:pPr>
      <w:r>
        <w:rPr>
          <w:rFonts w:cs="Segoe UI"/>
          <w:szCs w:val="22"/>
          <w:lang w:val="nl"/>
        </w:rPr>
        <w:t xml:space="preserve">Henkel boekte in de eerste helft van 2026 een </w:t>
      </w:r>
      <w:r>
        <w:rPr>
          <w:rFonts w:cs="Segoe UI"/>
          <w:b/>
          <w:bCs/>
          <w:szCs w:val="22"/>
          <w:lang w:val="nl"/>
        </w:rPr>
        <w:t>groepsomzet</w:t>
      </w:r>
      <w:r>
        <w:rPr>
          <w:rFonts w:cs="Segoe UI"/>
          <w:szCs w:val="22"/>
          <w:lang w:val="nl"/>
        </w:rPr>
        <w:t xml:space="preserve"> van 10.348 miljoen euro, wat neerkomt op een nominale ontwikkeling van -0,5 procent (Q2: 5.396 miljoen euro, +4,6 procent). Wisselkoerseffecten deden de omzet met -3,9 procent dalen (Q2: -2.6 procent). Overnames en desinvesteringen hadden een licht positieve impact van 0,2 procent (Q2: +2.5 percent). Hoewel de desinvestering van de activiteiten van de retailmerken in Noord-Amerika in april 2025 een negatief effect had, leverden de overnames die in de eerste helft van 2026 in beide businessunits werden afgerond – met name ATP Adhesive Systems en Not Your Mother’s – een positieve bijdrage. Op organische basis, d.w.z. aangepast voor wisselkoerseffecten en overnames/desinvesteringen, noteerde Henkel een sterke omzetgroei van 3,2 procent (Q2: +4,7 procent).</w:t>
      </w:r>
    </w:p>
    <w:p w14:paraId="5125CC31" w14:textId="77777777" w:rsidR="00E812A3" w:rsidRPr="000311F4" w:rsidRDefault="00E812A3" w:rsidP="00E812A3">
      <w:pPr>
        <w:rPr>
          <w:rFonts w:cs="Segoe UI"/>
          <w:szCs w:val="22"/>
        </w:rPr>
      </w:pPr>
    </w:p>
    <w:p w14:paraId="4EB6CF32" w14:textId="36EF4A67" w:rsidR="00E812A3" w:rsidRPr="000311F4" w:rsidRDefault="00E812A3" w:rsidP="00E812A3">
      <w:pPr>
        <w:rPr>
          <w:rFonts w:cs="Segoe UI"/>
          <w:szCs w:val="22"/>
        </w:rPr>
      </w:pPr>
      <w:r>
        <w:rPr>
          <w:rFonts w:cs="Segoe UI"/>
          <w:szCs w:val="22"/>
          <w:lang w:val="nl"/>
        </w:rPr>
        <w:t xml:space="preserve">Businessunit </w:t>
      </w:r>
      <w:r>
        <w:rPr>
          <w:rFonts w:cs="Segoe UI"/>
          <w:b/>
          <w:bCs/>
          <w:szCs w:val="22"/>
          <w:lang w:val="nl"/>
        </w:rPr>
        <w:t>Adhesive Technologies</w:t>
      </w:r>
      <w:r>
        <w:rPr>
          <w:rFonts w:cs="Segoe UI"/>
          <w:szCs w:val="22"/>
          <w:lang w:val="nl"/>
        </w:rPr>
        <w:t xml:space="preserve"> realiseerde in de eerste helft van 2026 een zeer sterke organische omzetgroei van 4,5 procent (Q2: +7,4 procent), voornamelijk dankzij de bedrijfsdivisie Mobility &amp; Electronics. Ook businessunit </w:t>
      </w:r>
      <w:r>
        <w:rPr>
          <w:rFonts w:cs="Segoe UI"/>
          <w:b/>
          <w:bCs/>
          <w:szCs w:val="22"/>
          <w:lang w:val="nl"/>
        </w:rPr>
        <w:t>Consumer Brands</w:t>
      </w:r>
      <w:r>
        <w:rPr>
          <w:rFonts w:cs="Segoe UI"/>
          <w:szCs w:val="22"/>
          <w:lang w:val="nl"/>
        </w:rPr>
        <w:t xml:space="preserve"> liet een positieve ontwikkeling zien, met een goede organische omzetgroei van 1,7 procent (Q2: +1,6 procent), die met name werd aangedreven door een zeer sterke stijging in bedrijfsdivisie Hair.</w:t>
      </w:r>
    </w:p>
    <w:p w14:paraId="25B9A9F2" w14:textId="744AD424" w:rsidR="00211BA0" w:rsidRPr="00211BA0" w:rsidRDefault="00211BA0" w:rsidP="00211BA0">
      <w:pPr>
        <w:rPr>
          <w:rFonts w:cs="Segoe UI"/>
          <w:szCs w:val="22"/>
        </w:rPr>
      </w:pPr>
      <w:r>
        <w:rPr>
          <w:rFonts w:cs="Segoe UI"/>
          <w:szCs w:val="22"/>
          <w:lang w:val="nl"/>
        </w:rPr>
        <w:t xml:space="preserve">De regio </w:t>
      </w:r>
      <w:r>
        <w:rPr>
          <w:rFonts w:cs="Segoe UI"/>
          <w:b/>
          <w:bCs/>
          <w:szCs w:val="22"/>
          <w:lang w:val="nl"/>
        </w:rPr>
        <w:t>Europa</w:t>
      </w:r>
      <w:r>
        <w:rPr>
          <w:rFonts w:cs="Segoe UI"/>
          <w:szCs w:val="22"/>
          <w:lang w:val="nl"/>
        </w:rPr>
        <w:t xml:space="preserve"> noteerde een negatieve organische omzetontwikkeling van -1,5 procent (Q2: +0,4 procent). </w:t>
      </w:r>
      <w:r>
        <w:rPr>
          <w:rFonts w:cs="Segoe UI"/>
          <w:b/>
          <w:bCs/>
          <w:szCs w:val="22"/>
          <w:lang w:val="nl"/>
        </w:rPr>
        <w:t>Noord-Amerika</w:t>
      </w:r>
      <w:r>
        <w:rPr>
          <w:rFonts w:cs="Segoe UI"/>
          <w:szCs w:val="22"/>
          <w:lang w:val="nl"/>
        </w:rPr>
        <w:t xml:space="preserve"> daarentegen realiseerde een goede organische groei van 2,4 procent (Q2: +3,9 procent). In de regio’s </w:t>
      </w:r>
      <w:r>
        <w:rPr>
          <w:rFonts w:cs="Segoe UI"/>
          <w:b/>
          <w:bCs/>
          <w:szCs w:val="22"/>
          <w:lang w:val="nl"/>
        </w:rPr>
        <w:t>IMEA</w:t>
      </w:r>
      <w:r>
        <w:rPr>
          <w:rFonts w:cs="Segoe UI"/>
          <w:szCs w:val="22"/>
          <w:lang w:val="nl"/>
        </w:rPr>
        <w:t xml:space="preserve"> en </w:t>
      </w:r>
      <w:r>
        <w:rPr>
          <w:rFonts w:cs="Segoe UI"/>
          <w:b/>
          <w:bCs/>
          <w:szCs w:val="22"/>
          <w:lang w:val="nl"/>
        </w:rPr>
        <w:t>Azië-Pacific</w:t>
      </w:r>
      <w:r>
        <w:rPr>
          <w:rFonts w:cs="Segoe UI"/>
          <w:szCs w:val="22"/>
          <w:lang w:val="nl"/>
        </w:rPr>
        <w:t xml:space="preserve"> realiseerde Henkel een dubbelcijferige organische omzetgroei van respectievelijk 14,9 procent (Q2: +17,4 procent) en 10,3 procent (Q2: +10,3 procent). De regio </w:t>
      </w:r>
      <w:r>
        <w:rPr>
          <w:rFonts w:cs="Segoe UI"/>
          <w:b/>
          <w:bCs/>
          <w:szCs w:val="22"/>
          <w:lang w:val="nl"/>
        </w:rPr>
        <w:t>Latijns-Amerika</w:t>
      </w:r>
      <w:r>
        <w:rPr>
          <w:rFonts w:cs="Segoe UI"/>
          <w:szCs w:val="22"/>
          <w:lang w:val="nl"/>
        </w:rPr>
        <w:t xml:space="preserve"> noteerde dan weer een licht negatieve organische omzetontwikkeling van -1,3 procent (Q2: +0,5 procent).</w:t>
      </w:r>
    </w:p>
    <w:p w14:paraId="0C44AA06" w14:textId="77777777" w:rsidR="00211BA0" w:rsidRPr="008530DF" w:rsidRDefault="00211BA0" w:rsidP="00211BA0">
      <w:pPr>
        <w:rPr>
          <w:rFonts w:cs="Segoe UI"/>
          <w:szCs w:val="22"/>
        </w:rPr>
      </w:pPr>
    </w:p>
    <w:p w14:paraId="722810C9" w14:textId="5EB97830" w:rsidR="000311F4" w:rsidRDefault="003663FD" w:rsidP="00211BA0">
      <w:pPr>
        <w:rPr>
          <w:rFonts w:cs="Segoe UI"/>
          <w:szCs w:val="22"/>
        </w:rPr>
      </w:pPr>
      <w:r>
        <w:rPr>
          <w:rFonts w:cs="Segoe UI"/>
          <w:szCs w:val="22"/>
          <w:lang w:val="nl"/>
        </w:rPr>
        <w:t xml:space="preserve">Het </w:t>
      </w:r>
      <w:r>
        <w:rPr>
          <w:rFonts w:cs="Segoe UI"/>
          <w:b/>
          <w:bCs/>
          <w:szCs w:val="22"/>
          <w:lang w:val="nl"/>
        </w:rPr>
        <w:t>aangepaste bedrijfsresultaat (aangepaste EBIT)</w:t>
      </w:r>
      <w:r>
        <w:rPr>
          <w:rFonts w:cs="Segoe UI"/>
          <w:szCs w:val="22"/>
          <w:lang w:val="nl"/>
        </w:rPr>
        <w:t xml:space="preserve"> bedroeg 1.620 miljoen euro en lag daarmee iets boven het resultaat van 1.614 miljoen euro van het voorgaande jaar. </w:t>
      </w:r>
    </w:p>
    <w:p w14:paraId="02E68EC1" w14:textId="77777777" w:rsidR="000311F4" w:rsidRDefault="000311F4" w:rsidP="000311F4">
      <w:pPr>
        <w:rPr>
          <w:rFonts w:cs="Segoe UI"/>
          <w:szCs w:val="22"/>
        </w:rPr>
      </w:pPr>
    </w:p>
    <w:p w14:paraId="7D455914" w14:textId="0DD4C61B" w:rsidR="000311F4" w:rsidRDefault="000311F4" w:rsidP="000311F4">
      <w:pPr>
        <w:rPr>
          <w:rFonts w:cs="Segoe UI"/>
          <w:szCs w:val="22"/>
        </w:rPr>
      </w:pPr>
      <w:r>
        <w:rPr>
          <w:rFonts w:cs="Segoe UI"/>
          <w:szCs w:val="22"/>
          <w:lang w:val="nl"/>
        </w:rPr>
        <w:t>Ook het</w:t>
      </w:r>
      <w:r>
        <w:rPr>
          <w:rFonts w:cs="Segoe UI"/>
          <w:b/>
          <w:bCs/>
          <w:szCs w:val="22"/>
          <w:lang w:val="nl"/>
        </w:rPr>
        <w:t xml:space="preserve"> aangepaste rendement op omzet (aangepaste EBIT-marge)</w:t>
      </w:r>
      <w:r>
        <w:rPr>
          <w:rFonts w:cs="Segoe UI"/>
          <w:szCs w:val="22"/>
          <w:lang w:val="nl"/>
        </w:rPr>
        <w:t xml:space="preserve"> van de Henkel Group steeg, tot </w:t>
      </w:r>
      <w:r>
        <w:rPr>
          <w:rFonts w:cs="Segoe UI"/>
          <w:szCs w:val="22"/>
          <w:lang w:val="nl"/>
        </w:rPr>
        <w:br/>
        <w:t>15,7 procent (vorig jaar: 15,5 procent).</w:t>
      </w:r>
    </w:p>
    <w:p w14:paraId="4415DB2B" w14:textId="77777777" w:rsidR="000311F4" w:rsidRDefault="000311F4" w:rsidP="000311F4">
      <w:pPr>
        <w:rPr>
          <w:rFonts w:cs="Segoe UI"/>
          <w:szCs w:val="22"/>
        </w:rPr>
      </w:pPr>
    </w:p>
    <w:p w14:paraId="4F5EEB63" w14:textId="36C0AA4A" w:rsidR="000311F4" w:rsidRDefault="003663FD" w:rsidP="000311F4">
      <w:pPr>
        <w:rPr>
          <w:rFonts w:cs="Segoe UI"/>
          <w:szCs w:val="22"/>
        </w:rPr>
      </w:pPr>
      <w:bookmarkStart w:id="3" w:name="_Hlk190081485"/>
      <w:r>
        <w:rPr>
          <w:rFonts w:cs="Segoe UI"/>
          <w:szCs w:val="22"/>
          <w:lang w:val="nl"/>
        </w:rPr>
        <w:t xml:space="preserve">De </w:t>
      </w:r>
      <w:r>
        <w:rPr>
          <w:rFonts w:cs="Segoe UI"/>
          <w:b/>
          <w:bCs/>
          <w:szCs w:val="22"/>
          <w:lang w:val="nl"/>
        </w:rPr>
        <w:t xml:space="preserve">aangepaste winst per preferent aandeel </w:t>
      </w:r>
      <w:r>
        <w:rPr>
          <w:rFonts w:cs="Segoe UI"/>
          <w:szCs w:val="22"/>
          <w:lang w:val="nl"/>
        </w:rPr>
        <w:t xml:space="preserve">steeg met 1,8 procent tot 2,86 euro (vorig jaar: 2,81 euro). Bij constante wisselkoersen steeg de aangepaste winst per preferent aandeel met </w:t>
      </w:r>
      <w:r>
        <w:rPr>
          <w:rFonts w:cs="Segoe UI"/>
          <w:szCs w:val="22"/>
          <w:lang w:val="nl"/>
        </w:rPr>
        <w:br/>
        <w:t>7,1 procent.</w:t>
      </w:r>
    </w:p>
    <w:p w14:paraId="4A7BE388" w14:textId="77777777" w:rsidR="000311F4" w:rsidRDefault="000311F4" w:rsidP="000311F4">
      <w:pPr>
        <w:rPr>
          <w:rFonts w:cs="Segoe UI"/>
          <w:szCs w:val="22"/>
        </w:rPr>
      </w:pPr>
    </w:p>
    <w:bookmarkEnd w:id="3"/>
    <w:p w14:paraId="2D4BE88B" w14:textId="55EB6419" w:rsidR="000311F4" w:rsidRPr="000311F4" w:rsidRDefault="003663FD" w:rsidP="000311F4">
      <w:pPr>
        <w:rPr>
          <w:rFonts w:cs="Segoe UI"/>
          <w:szCs w:val="22"/>
        </w:rPr>
      </w:pPr>
      <w:r>
        <w:rPr>
          <w:rFonts w:cs="Segoe UI"/>
          <w:szCs w:val="22"/>
          <w:lang w:val="nl"/>
        </w:rPr>
        <w:t xml:space="preserve">Het </w:t>
      </w:r>
      <w:r>
        <w:rPr>
          <w:rFonts w:cs="Segoe UI"/>
          <w:b/>
          <w:bCs/>
          <w:szCs w:val="22"/>
          <w:lang w:val="nl"/>
        </w:rPr>
        <w:t>netto werkkapitaal</w:t>
      </w:r>
      <w:r>
        <w:rPr>
          <w:rFonts w:cs="Segoe UI"/>
          <w:szCs w:val="22"/>
          <w:lang w:val="nl"/>
        </w:rPr>
        <w:t xml:space="preserve"> als percentage van de omzet in het tweede kwartaal steeg van 6,0 procent naar 7,0 procent ten opzichte van dezelfde periode vorig jaar, mede als gevolg van overnames.</w:t>
      </w:r>
    </w:p>
    <w:p w14:paraId="5424E5ED" w14:textId="77777777" w:rsidR="000311F4" w:rsidRPr="000311F4" w:rsidRDefault="000311F4" w:rsidP="000311F4">
      <w:pPr>
        <w:rPr>
          <w:rFonts w:cs="Segoe UI"/>
          <w:szCs w:val="22"/>
        </w:rPr>
      </w:pPr>
    </w:p>
    <w:p w14:paraId="52A4DE57" w14:textId="1B8FCC29" w:rsidR="000311F4" w:rsidRDefault="005D4737" w:rsidP="005D4737">
      <w:pPr>
        <w:rPr>
          <w:rFonts w:cs="Segoe UI"/>
          <w:szCs w:val="22"/>
        </w:rPr>
      </w:pPr>
      <w:r>
        <w:rPr>
          <w:rFonts w:cs="Segoe UI"/>
          <w:szCs w:val="22"/>
          <w:lang w:val="nl"/>
        </w:rPr>
        <w:t>De</w:t>
      </w:r>
      <w:r>
        <w:rPr>
          <w:rFonts w:cs="Segoe UI"/>
          <w:b/>
          <w:bCs/>
          <w:szCs w:val="22"/>
          <w:lang w:val="nl"/>
        </w:rPr>
        <w:t xml:space="preserve"> vrije cashflow</w:t>
      </w:r>
      <w:r>
        <w:rPr>
          <w:rFonts w:cs="Segoe UI"/>
          <w:szCs w:val="22"/>
          <w:lang w:val="nl"/>
        </w:rPr>
        <w:t xml:space="preserve"> steeg tot 612 miljoen euro (eerste helft van 2025: 485 miljoen euro), voornamelijk als gevolg van de hogere cashflow uit bedrijfsactiviteiten.</w:t>
      </w:r>
    </w:p>
    <w:p w14:paraId="2DA96DA1" w14:textId="77777777" w:rsidR="005D4737" w:rsidRPr="005D4737" w:rsidRDefault="005D4737" w:rsidP="005D4737">
      <w:pPr>
        <w:rPr>
          <w:rFonts w:cs="Segoe UI"/>
          <w:szCs w:val="22"/>
        </w:rPr>
      </w:pPr>
    </w:p>
    <w:p w14:paraId="64A8E4B0" w14:textId="224C8E3D" w:rsidR="000311F4" w:rsidRDefault="000311F4" w:rsidP="000311F4">
      <w:pPr>
        <w:rPr>
          <w:rFonts w:cs="Segoe UI"/>
          <w:szCs w:val="22"/>
        </w:rPr>
      </w:pPr>
      <w:r>
        <w:rPr>
          <w:rFonts w:cs="Segoe UI"/>
          <w:szCs w:val="22"/>
          <w:lang w:val="nl"/>
        </w:rPr>
        <w:t xml:space="preserve">De </w:t>
      </w:r>
      <w:r>
        <w:rPr>
          <w:rFonts w:cs="Segoe UI"/>
          <w:b/>
          <w:bCs/>
          <w:szCs w:val="22"/>
          <w:lang w:val="nl"/>
        </w:rPr>
        <w:t>netto financiële positie</w:t>
      </w:r>
      <w:r>
        <w:rPr>
          <w:rFonts w:cs="Segoe UI"/>
          <w:szCs w:val="22"/>
          <w:lang w:val="nl"/>
        </w:rPr>
        <w:t xml:space="preserve"> bedroeg per 30 juni 2026 -1.855 miljoen euro (31 december 2025: 109 miljoen euro), wat voornamelijk het gevolg was van cashuitstromen door de recent afgeronde overnames en het aandeleninkoopprogramma.</w:t>
      </w:r>
    </w:p>
    <w:p w14:paraId="247B272B" w14:textId="77777777" w:rsidR="000311F4" w:rsidRDefault="000311F4" w:rsidP="000311F4">
      <w:pPr>
        <w:rPr>
          <w:rFonts w:cs="Segoe UI"/>
          <w:szCs w:val="22"/>
        </w:rPr>
      </w:pPr>
    </w:p>
    <w:p w14:paraId="4649C4D4" w14:textId="42D9D5A2" w:rsidR="00846017" w:rsidRPr="005D4737" w:rsidRDefault="00DE4DB3" w:rsidP="00CD1F32">
      <w:pPr>
        <w:spacing w:after="120"/>
        <w:rPr>
          <w:rFonts w:cs="Segoe UI"/>
          <w:b/>
          <w:bCs/>
          <w:szCs w:val="22"/>
        </w:rPr>
      </w:pPr>
      <w:r>
        <w:rPr>
          <w:rFonts w:cs="Segoe UI"/>
          <w:b/>
          <w:bCs/>
          <w:szCs w:val="22"/>
          <w:lang w:val="nl"/>
        </w:rPr>
        <w:t>Prestaties van de businessunits in de eerste helft van 2026</w:t>
      </w:r>
    </w:p>
    <w:p w14:paraId="6A3D995D" w14:textId="77777777" w:rsidR="005D4737" w:rsidRDefault="00B312F1" w:rsidP="00B312F1">
      <w:pPr>
        <w:rPr>
          <w:rFonts w:cs="Segoe UI"/>
          <w:szCs w:val="22"/>
        </w:rPr>
      </w:pPr>
      <w:r>
        <w:rPr>
          <w:rFonts w:cs="Segoe UI"/>
          <w:szCs w:val="22"/>
          <w:lang w:val="nl"/>
        </w:rPr>
        <w:t xml:space="preserve">De </w:t>
      </w:r>
      <w:r>
        <w:rPr>
          <w:rFonts w:cs="Segoe UI"/>
          <w:b/>
          <w:bCs/>
          <w:szCs w:val="22"/>
          <w:lang w:val="nl"/>
        </w:rPr>
        <w:t>omzet</w:t>
      </w:r>
      <w:r>
        <w:rPr>
          <w:rFonts w:cs="Segoe UI"/>
          <w:szCs w:val="22"/>
          <w:lang w:val="nl"/>
        </w:rPr>
        <w:t xml:space="preserve"> van de businessunit </w:t>
      </w:r>
      <w:r>
        <w:rPr>
          <w:rFonts w:cs="Segoe UI"/>
          <w:b/>
          <w:bCs/>
          <w:szCs w:val="22"/>
          <w:lang w:val="nl"/>
        </w:rPr>
        <w:t>Adhesive Technologies</w:t>
      </w:r>
      <w:r>
        <w:rPr>
          <w:rFonts w:cs="Segoe UI"/>
          <w:szCs w:val="22"/>
          <w:lang w:val="nl"/>
        </w:rPr>
        <w:t xml:space="preserve"> steeg in de eerste helft van 2026 nominaal met 2,2 procent tot 5.534 miljoen euro (Q2: 2.908 miljoen euro, +7,6 procent). </w:t>
      </w:r>
      <w:r>
        <w:rPr>
          <w:rFonts w:cs="Segoe UI"/>
          <w:b/>
          <w:bCs/>
          <w:szCs w:val="22"/>
          <w:lang w:val="nl"/>
        </w:rPr>
        <w:lastRenderedPageBreak/>
        <w:t>Organisch</w:t>
      </w:r>
      <w:r>
        <w:rPr>
          <w:rFonts w:cs="Segoe UI"/>
          <w:szCs w:val="22"/>
          <w:lang w:val="nl"/>
        </w:rPr>
        <w:t xml:space="preserve"> realiseerde Adhesive Technologies een zeer sterke omzetgroei van 4,5 procent (Q2: +7,4 procent). Deze groei werd gedreven door zowel een positieve prijs- als volumeontwikkeling.</w:t>
      </w:r>
    </w:p>
    <w:p w14:paraId="7DCABAF6" w14:textId="77777777" w:rsidR="005D4737" w:rsidRDefault="005D4737" w:rsidP="00B312F1">
      <w:pPr>
        <w:rPr>
          <w:rFonts w:cs="Segoe UI"/>
          <w:szCs w:val="22"/>
        </w:rPr>
      </w:pPr>
    </w:p>
    <w:p w14:paraId="17A3AF2D" w14:textId="1B7A9552" w:rsidR="005D4737" w:rsidRPr="005977D4" w:rsidRDefault="005D4737" w:rsidP="005D4737">
      <w:pPr>
        <w:rPr>
          <w:rFonts w:eastAsia="Segoe UI" w:cs="Segoe UI"/>
          <w:szCs w:val="18"/>
        </w:rPr>
      </w:pPr>
      <w:r>
        <w:rPr>
          <w:rFonts w:eastAsia="Segoe UI" w:cs="Segoe UI"/>
          <w:szCs w:val="18"/>
          <w:lang w:val="nl"/>
        </w:rPr>
        <w:t xml:space="preserve">Over alle bedrijfsdivisies genomen werd de organische omzetgroei binnen de businessunit Adhesive Technologies in de eerste helft van het jaar met name gedreven door een aanzienlijke organische omzetstijging van 7,8 procent in bedrijfsdivisie </w:t>
      </w:r>
      <w:r>
        <w:rPr>
          <w:rFonts w:eastAsia="Segoe UI" w:cs="Segoe UI"/>
          <w:b/>
          <w:bCs/>
          <w:szCs w:val="18"/>
          <w:lang w:val="nl"/>
        </w:rPr>
        <w:t xml:space="preserve">Mobility &amp; Electronics </w:t>
      </w:r>
      <w:r>
        <w:rPr>
          <w:rFonts w:eastAsia="Segoe UI" w:cs="Segoe UI"/>
          <w:szCs w:val="18"/>
          <w:lang w:val="nl"/>
        </w:rPr>
        <w:t xml:space="preserve">(Q2: +8,8 procent). Deze groei werd ondersteund door een organische omzetgroei met dubbele cijfers in Electronics en door een aanzienlijke organische omzetstijging in Industrial. Automotive daarentegen kende in de eerste helft van het jaar over het geheel genomen een daling, maar liet in het tweede kwartaal een verbetering zien met een goede organische omzetgroei. Bedrijfsdivisie </w:t>
      </w:r>
      <w:r>
        <w:rPr>
          <w:rFonts w:eastAsia="Segoe UI" w:cs="Segoe UI"/>
          <w:b/>
          <w:bCs/>
          <w:szCs w:val="18"/>
          <w:lang w:val="nl"/>
        </w:rPr>
        <w:t>Packaging &amp; Consumer Goods</w:t>
      </w:r>
      <w:r>
        <w:rPr>
          <w:rFonts w:eastAsia="Segoe UI" w:cs="Segoe UI"/>
          <w:szCs w:val="18"/>
          <w:lang w:val="nl"/>
        </w:rPr>
        <w:t xml:space="preserve"> realiseerde een zeer sterke organische omzetgroei van 4,7 procent, aangedreven door een sterke groei in Packaging en een zeer sterke organische omzetstijging bij Consumer Goods (Q2: +9,1 procent). Deze ontwikkeling werd ook ondersteund door vooruitlopende aankopen van klanten als reactie op geopolitieke onzekerheden. Divisie </w:t>
      </w:r>
      <w:r>
        <w:rPr>
          <w:rFonts w:eastAsia="Segoe UI" w:cs="Segoe UI"/>
          <w:b/>
          <w:bCs/>
          <w:szCs w:val="18"/>
          <w:lang w:val="nl"/>
        </w:rPr>
        <w:t>Craftsmen, Construction &amp; Professional</w:t>
      </w:r>
      <w:r>
        <w:rPr>
          <w:rFonts w:eastAsia="Segoe UI" w:cs="Segoe UI"/>
          <w:szCs w:val="18"/>
          <w:lang w:val="nl"/>
        </w:rPr>
        <w:t xml:space="preserve"> boekte een organische omzetgroei van 1,0 procent (Q2: +4,4 procent). Die groei werd in het bijzonder aangedreven door een sterke organische omzetstijging bij General Manufacturing &amp; Maintenance, terwijl Consumer &amp; Construction een licht negatieve organische omzetontwikkeling liet zien.</w:t>
      </w:r>
    </w:p>
    <w:p w14:paraId="27A9A0CF" w14:textId="77777777" w:rsidR="005D4737" w:rsidRDefault="005D4737" w:rsidP="00B312F1">
      <w:pPr>
        <w:rPr>
          <w:rFonts w:cs="Segoe UI"/>
          <w:szCs w:val="22"/>
          <w:highlight w:val="yellow"/>
        </w:rPr>
      </w:pPr>
      <w:bookmarkStart w:id="4" w:name="_Hlk190097207"/>
    </w:p>
    <w:p w14:paraId="70926E97" w14:textId="5FFE50AC" w:rsidR="005D4737" w:rsidRPr="005D4737" w:rsidRDefault="005D4737" w:rsidP="005D4737">
      <w:pPr>
        <w:rPr>
          <w:rFonts w:cs="Segoe UI"/>
          <w:szCs w:val="22"/>
        </w:rPr>
      </w:pPr>
      <w:r>
        <w:rPr>
          <w:rFonts w:cs="Segoe UI"/>
          <w:szCs w:val="22"/>
          <w:lang w:val="nl"/>
        </w:rPr>
        <w:t xml:space="preserve">Het </w:t>
      </w:r>
      <w:r>
        <w:rPr>
          <w:rFonts w:cs="Segoe UI"/>
          <w:b/>
          <w:bCs/>
          <w:szCs w:val="22"/>
          <w:lang w:val="nl"/>
        </w:rPr>
        <w:t xml:space="preserve">aangepaste bedrijfsresultaat </w:t>
      </w:r>
      <w:r>
        <w:rPr>
          <w:rFonts w:cs="Segoe UI"/>
          <w:szCs w:val="22"/>
          <w:lang w:val="nl"/>
        </w:rPr>
        <w:t>lag met 982 miljoen euro boven het niveau van vorig jaar, ondanks negatieve wisselkoerseffecten.</w:t>
      </w:r>
      <w:r>
        <w:rPr>
          <w:rFonts w:cs="Segoe UI"/>
          <w:b/>
          <w:bCs/>
          <w:szCs w:val="22"/>
          <w:lang w:val="nl"/>
        </w:rPr>
        <w:t xml:space="preserve"> </w:t>
      </w:r>
      <w:r>
        <w:rPr>
          <w:rFonts w:cs="Segoe UI"/>
          <w:szCs w:val="22"/>
          <w:lang w:val="nl"/>
        </w:rPr>
        <w:t xml:space="preserve">Het </w:t>
      </w:r>
      <w:r>
        <w:rPr>
          <w:rFonts w:cs="Segoe UI"/>
          <w:b/>
          <w:bCs/>
          <w:szCs w:val="22"/>
          <w:lang w:val="nl"/>
        </w:rPr>
        <w:t xml:space="preserve">aangepaste rendement op omzet </w:t>
      </w:r>
      <w:r>
        <w:rPr>
          <w:rFonts w:cs="Segoe UI"/>
          <w:szCs w:val="22"/>
          <w:lang w:val="nl"/>
        </w:rPr>
        <w:t>steeg naar 17,7 procent, vergeleken met 17,2 procent in dezelfde periode vorig jaar. Hier hadden schaalvoordelen als gevolg van volumegroei en de bedrijfsmix een gunstige invloed.</w:t>
      </w:r>
    </w:p>
    <w:p w14:paraId="4FF29955" w14:textId="77777777" w:rsidR="005D4737" w:rsidRPr="005D4737" w:rsidRDefault="005D4737" w:rsidP="005D4737">
      <w:pPr>
        <w:rPr>
          <w:rFonts w:cs="Segoe UI"/>
          <w:szCs w:val="22"/>
        </w:rPr>
      </w:pPr>
    </w:p>
    <w:bookmarkEnd w:id="4"/>
    <w:p w14:paraId="23ADC4EC" w14:textId="23683692" w:rsidR="00A27073" w:rsidRPr="00A27073" w:rsidRDefault="00A27073" w:rsidP="00A27073">
      <w:pPr>
        <w:rPr>
          <w:rFonts w:cs="Segoe UI"/>
          <w:szCs w:val="22"/>
        </w:rPr>
      </w:pPr>
      <w:r>
        <w:rPr>
          <w:rFonts w:cs="Segoe UI"/>
          <w:szCs w:val="22"/>
          <w:lang w:val="nl"/>
        </w:rPr>
        <w:t xml:space="preserve">De businessunit </w:t>
      </w:r>
      <w:r>
        <w:rPr>
          <w:rFonts w:cs="Segoe UI"/>
          <w:b/>
          <w:bCs/>
          <w:szCs w:val="22"/>
          <w:lang w:val="nl"/>
        </w:rPr>
        <w:t xml:space="preserve">Consumer Brands </w:t>
      </w:r>
      <w:r>
        <w:rPr>
          <w:rFonts w:cs="Segoe UI"/>
          <w:szCs w:val="22"/>
          <w:lang w:val="nl"/>
        </w:rPr>
        <w:t xml:space="preserve">realiseerde een </w:t>
      </w:r>
      <w:r>
        <w:rPr>
          <w:rFonts w:cs="Segoe UI"/>
          <w:b/>
          <w:bCs/>
          <w:szCs w:val="22"/>
          <w:lang w:val="nl"/>
        </w:rPr>
        <w:t>omzet</w:t>
      </w:r>
      <w:r>
        <w:rPr>
          <w:rFonts w:cs="Segoe UI"/>
          <w:szCs w:val="22"/>
          <w:lang w:val="nl"/>
        </w:rPr>
        <w:t xml:space="preserve"> van 4.733 miljoen euro in de eerste helft van 2026, een nominale daling van -3,5 procent ten opzichte van dezelfde periode vorig jaar (Q2: 2.448 miljoen euro, +1,1 procent). </w:t>
      </w:r>
      <w:r>
        <w:rPr>
          <w:rFonts w:cs="Segoe UI"/>
          <w:b/>
          <w:bCs/>
          <w:szCs w:val="22"/>
          <w:lang w:val="nl"/>
        </w:rPr>
        <w:t>Organisch</w:t>
      </w:r>
      <w:r>
        <w:rPr>
          <w:rFonts w:cs="Segoe UI"/>
          <w:szCs w:val="22"/>
          <w:lang w:val="nl"/>
        </w:rPr>
        <w:t xml:space="preserve"> steeg de omzet met 1,7 procent (Q2: +1,6 procent), waarbij de businessunit ten opzichte van de eerste helft van 2025 zowel een positieve prijs- als volumeontwikkeling liet optekenen.</w:t>
      </w:r>
    </w:p>
    <w:p w14:paraId="5EF78331" w14:textId="77777777" w:rsidR="00A27073" w:rsidRPr="00A27073" w:rsidRDefault="00A27073" w:rsidP="00521B13">
      <w:pPr>
        <w:rPr>
          <w:rFonts w:cs="Segoe UI"/>
          <w:szCs w:val="22"/>
          <w:highlight w:val="yellow"/>
        </w:rPr>
      </w:pPr>
    </w:p>
    <w:p w14:paraId="3BF6D58D" w14:textId="14EEBA3C" w:rsidR="00A27073" w:rsidRPr="00A27073" w:rsidRDefault="00A27073" w:rsidP="00A27073">
      <w:pPr>
        <w:rPr>
          <w:rFonts w:cs="Segoe UI"/>
          <w:szCs w:val="22"/>
          <w:highlight w:val="yellow"/>
        </w:rPr>
      </w:pPr>
      <w:r>
        <w:rPr>
          <w:rFonts w:cs="Segoe UI"/>
          <w:szCs w:val="22"/>
          <w:lang w:val="nl"/>
        </w:rPr>
        <w:t xml:space="preserve">In de eerste helft van het jaar liet de bedrijfsdivisie </w:t>
      </w:r>
      <w:r>
        <w:rPr>
          <w:rFonts w:cs="Segoe UI"/>
          <w:b/>
          <w:bCs/>
          <w:szCs w:val="22"/>
          <w:lang w:val="nl"/>
        </w:rPr>
        <w:t xml:space="preserve">Laundry &amp; Home Care </w:t>
      </w:r>
      <w:r>
        <w:rPr>
          <w:rFonts w:cs="Segoe UI"/>
          <w:szCs w:val="22"/>
          <w:lang w:val="nl"/>
        </w:rPr>
        <w:t xml:space="preserve">een positieve organische omzetontwikkeling zien van 0,7 procent </w:t>
      </w:r>
      <w:r>
        <w:rPr>
          <w:rFonts w:cs="Segoe UI"/>
          <w:szCs w:val="18"/>
          <w:lang w:val="nl"/>
        </w:rPr>
        <w:t>(Q2: +1,3 procent)</w:t>
      </w:r>
      <w:r>
        <w:rPr>
          <w:rFonts w:cs="Segoe UI"/>
          <w:szCs w:val="22"/>
          <w:lang w:val="nl"/>
        </w:rPr>
        <w:t xml:space="preserve">. Laundry Care realiseerde een positieve organische omzetgroei, aangedreven door een aanzienlijke omzetstijging in de categorie Fabric Care en een positieve groei in de categorie Fabric Finisher. Fabric Cleaning daarentegen noteerde een lichte daling. Home Care boekte een goede organische omzetgroei, met name dankzij een dubbelcijferige stijging in de categorie Hand Dishwashing. Bedrijfsdivisie </w:t>
      </w:r>
      <w:r>
        <w:rPr>
          <w:rFonts w:cs="Segoe UI"/>
          <w:b/>
          <w:bCs/>
          <w:szCs w:val="22"/>
          <w:lang w:val="nl"/>
        </w:rPr>
        <w:t>Hair</w:t>
      </w:r>
      <w:r>
        <w:rPr>
          <w:rFonts w:cs="Segoe UI"/>
          <w:szCs w:val="22"/>
          <w:lang w:val="nl"/>
        </w:rPr>
        <w:t xml:space="preserve"> realiseerde een zeer sterke organische omzetgroei van 4,2 </w:t>
      </w:r>
      <w:r>
        <w:rPr>
          <w:rFonts w:cs="Segoe UI"/>
          <w:szCs w:val="22"/>
          <w:lang w:val="nl"/>
        </w:rPr>
        <w:lastRenderedPageBreak/>
        <w:t xml:space="preserve">procent </w:t>
      </w:r>
      <w:r>
        <w:rPr>
          <w:rFonts w:cs="Segoe UI"/>
          <w:szCs w:val="18"/>
          <w:lang w:val="nl"/>
        </w:rPr>
        <w:t xml:space="preserve">(Q2: +3,3 procent) </w:t>
      </w:r>
      <w:r>
        <w:rPr>
          <w:rFonts w:cs="Segoe UI"/>
          <w:szCs w:val="22"/>
          <w:lang w:val="nl"/>
        </w:rPr>
        <w:t xml:space="preserve">en was daarmee de belangrijkste groeimotor binnen de businessunit Consumer Brands. Deze positieve prestatie werd ondersteund door zowel de Consumer-activiteit, die een significante organische omzetgroei liet zien, als de Professional-activiteit, die een zeer sterke stijging neerzette. Binnen de Consumer-activiteiten droegen alle categorieën bij aan de groei, waarbij Hair Colorants en Hair Styling de sterkste bijdragen leverden. Bedrijfsdivisie </w:t>
      </w:r>
      <w:r>
        <w:rPr>
          <w:rFonts w:cs="Segoe UI"/>
          <w:b/>
          <w:bCs/>
          <w:szCs w:val="22"/>
          <w:lang w:val="nl"/>
        </w:rPr>
        <w:t xml:space="preserve">Other Consumer Businesses </w:t>
      </w:r>
      <w:r>
        <w:rPr>
          <w:rFonts w:cs="Segoe UI"/>
          <w:szCs w:val="22"/>
          <w:lang w:val="nl"/>
        </w:rPr>
        <w:t>noteerde daarentegen in de eerste helft van het jaar een negatieve organische omzetontwikkeling van -2,1 procent (Q2: -4,6 procent), voornamelijk als gevolg van de ontwikkeling van Body Care in de regio Europa. De regio Noord-Amerika boekte daarentegen een goede organische omzetgroei.</w:t>
      </w:r>
    </w:p>
    <w:p w14:paraId="0101AD53" w14:textId="77777777" w:rsidR="00A27073" w:rsidRPr="00A27073" w:rsidRDefault="00A27073" w:rsidP="00521B13">
      <w:pPr>
        <w:rPr>
          <w:rFonts w:cs="Segoe UI"/>
          <w:szCs w:val="22"/>
        </w:rPr>
      </w:pPr>
      <w:bookmarkStart w:id="5" w:name="_Hlk190100714"/>
    </w:p>
    <w:p w14:paraId="2669D3B3" w14:textId="39BDE271" w:rsidR="005F2643" w:rsidRPr="00A27073" w:rsidRDefault="00A27073" w:rsidP="00A27073">
      <w:pPr>
        <w:rPr>
          <w:rFonts w:cs="Segoe UI"/>
          <w:szCs w:val="22"/>
        </w:rPr>
      </w:pPr>
      <w:r>
        <w:rPr>
          <w:rFonts w:cs="Segoe UI"/>
          <w:szCs w:val="22"/>
          <w:lang w:val="nl"/>
        </w:rPr>
        <w:t xml:space="preserve">Het </w:t>
      </w:r>
      <w:r>
        <w:rPr>
          <w:rFonts w:cs="Segoe UI"/>
          <w:b/>
          <w:bCs/>
          <w:szCs w:val="22"/>
          <w:lang w:val="nl"/>
        </w:rPr>
        <w:t>aangepaste bedrijfsresultaat</w:t>
      </w:r>
      <w:r>
        <w:rPr>
          <w:rFonts w:cs="Segoe UI"/>
          <w:szCs w:val="22"/>
          <w:lang w:val="nl"/>
        </w:rPr>
        <w:t xml:space="preserve"> bedroeg 724 miljoen euro en lag daarmee iets onder het niveau van vorig jaar, voornamelijk als gevolg van de desinvestering van de retailmerken in Noord-Amerika in april 2025 en negatieve wisselkoerseffecten. Het </w:t>
      </w:r>
      <w:r>
        <w:rPr>
          <w:rFonts w:cs="Segoe UI"/>
          <w:b/>
          <w:bCs/>
          <w:szCs w:val="22"/>
          <w:lang w:val="nl"/>
        </w:rPr>
        <w:t>aangepaste rendement op omzet</w:t>
      </w:r>
      <w:r>
        <w:rPr>
          <w:rFonts w:cs="Segoe UI"/>
          <w:szCs w:val="22"/>
          <w:lang w:val="nl"/>
        </w:rPr>
        <w:t xml:space="preserve"> bleef daarentegen ongewijzigd op 15,3 procent ten opzichte van dezelfde periode vorig jaar. </w:t>
      </w:r>
      <w:bookmarkEnd w:id="5"/>
    </w:p>
    <w:p w14:paraId="45F7F611" w14:textId="6AC974FB" w:rsidR="00B05ECC" w:rsidRPr="005F750F" w:rsidRDefault="00B05ECC" w:rsidP="00B05ECC">
      <w:pPr>
        <w:rPr>
          <w:rFonts w:cs="Segoe UI"/>
          <w:szCs w:val="22"/>
        </w:rPr>
      </w:pPr>
    </w:p>
    <w:p w14:paraId="2024FF95" w14:textId="222DDBFE" w:rsidR="00E21F5D" w:rsidRPr="00E21F5D" w:rsidRDefault="00A811D8" w:rsidP="00E21F5D">
      <w:pPr>
        <w:spacing w:after="120"/>
        <w:rPr>
          <w:rFonts w:cs="Segoe UI"/>
          <w:b/>
          <w:bCs/>
          <w:szCs w:val="22"/>
        </w:rPr>
      </w:pPr>
      <w:r>
        <w:rPr>
          <w:rFonts w:cs="Segoe UI"/>
          <w:b/>
          <w:bCs/>
          <w:szCs w:val="22"/>
          <w:lang w:val="nl"/>
        </w:rPr>
        <w:t>Succesvolle uitvoering van de M&amp;A-groeistrategie in de eerste helft van het jaar</w:t>
      </w:r>
    </w:p>
    <w:p w14:paraId="02BF1EFC" w14:textId="1E056B0C" w:rsidR="005110D3" w:rsidRPr="00E21F5D" w:rsidRDefault="00A811D8" w:rsidP="00A811D8">
      <w:pPr>
        <w:autoSpaceDE w:val="0"/>
        <w:autoSpaceDN w:val="0"/>
        <w:adjustRightInd w:val="0"/>
        <w:rPr>
          <w:rFonts w:cs="Segoe UI"/>
          <w:bCs/>
          <w:szCs w:val="22"/>
        </w:rPr>
      </w:pPr>
      <w:r>
        <w:rPr>
          <w:rFonts w:cs="Segoe UI"/>
          <w:szCs w:val="22"/>
          <w:lang w:val="nl"/>
        </w:rPr>
        <w:t xml:space="preserve">In de eerste helft van 2026 boekte Henkel ook aanzienlijke vooruitgang bij de uitvoering van zijn M&amp;A-groeistrategie, die een integraal onderdeel vormt van de algehele </w:t>
      </w:r>
      <w:r>
        <w:rPr>
          <w:rFonts w:cs="Segoe UI"/>
          <w:b/>
          <w:bCs/>
          <w:szCs w:val="22"/>
          <w:lang w:val="nl"/>
        </w:rPr>
        <w:t>groeistrategie</w:t>
      </w:r>
      <w:r>
        <w:rPr>
          <w:rFonts w:cs="Segoe UI"/>
          <w:szCs w:val="22"/>
          <w:lang w:val="nl"/>
        </w:rPr>
        <w:t xml:space="preserve"> van het bedrijf, in beide businessunits. Met de onlangs aangekondigde overnames investeert Henkel in totaal 5 miljard euro en breidt het zijn activiteiten uit met een gezamenlijke jaaromzet van ongeveer 1,6 miljard euro. Tot nu toe heeft Henkel vier van de vijf transacties succesvol afgerond: Wetherby Laroc en ATP Adhesive Systems in de businessunit Adhesive Technologies, evenals Not Your Mother’s en, meest recentelijk, OLAPLEX in de businessunit Consumer Brands. De overname van de Stahl Group in het Adhesives-segment zal naar verwachting in de tweede helft van het boekjaar 2026 worden afgerond.</w:t>
      </w:r>
    </w:p>
    <w:p w14:paraId="0F99C05C" w14:textId="77777777" w:rsidR="00E21F5D" w:rsidRPr="0006442E" w:rsidRDefault="00E21F5D" w:rsidP="008762E7">
      <w:pPr>
        <w:autoSpaceDE w:val="0"/>
        <w:autoSpaceDN w:val="0"/>
        <w:adjustRightInd w:val="0"/>
        <w:rPr>
          <w:rFonts w:cs="Segoe UI"/>
          <w:bCs/>
          <w:szCs w:val="22"/>
        </w:rPr>
      </w:pPr>
    </w:p>
    <w:p w14:paraId="77AA3405" w14:textId="772BDF66" w:rsidR="00C76008" w:rsidRDefault="00C76008" w:rsidP="00C76008">
      <w:pPr>
        <w:autoSpaceDE w:val="0"/>
        <w:autoSpaceDN w:val="0"/>
        <w:adjustRightInd w:val="0"/>
        <w:rPr>
          <w:rFonts w:cs="Segoe UI"/>
          <w:bCs/>
          <w:szCs w:val="22"/>
        </w:rPr>
      </w:pPr>
      <w:r>
        <w:rPr>
          <w:rFonts w:cs="Segoe UI"/>
          <w:szCs w:val="22"/>
          <w:lang w:val="nl"/>
        </w:rPr>
        <w:t xml:space="preserve">Met de overname van het premium haarverzorgingsmerk </w:t>
      </w:r>
      <w:r>
        <w:rPr>
          <w:rFonts w:cs="Segoe UI"/>
          <w:b/>
          <w:bCs/>
          <w:szCs w:val="22"/>
          <w:lang w:val="nl"/>
        </w:rPr>
        <w:t>OLAPLEX</w:t>
      </w:r>
      <w:r>
        <w:rPr>
          <w:rFonts w:cs="Segoe UI"/>
          <w:szCs w:val="22"/>
          <w:lang w:val="nl"/>
        </w:rPr>
        <w:t xml:space="preserve">, dat ongeveer 370 miljoen euro aan jaarlijkse omzet bijdraagt, versterkt Henkel opnieuw zijn wereldwijde aanwezigheid in het segment van de premium haarverzorgingsproducten en is het bedrijf nu uitgegroeid tot de nummer twee op de wereldmarkt voor professionele haarverzorging. De markt voor premium haarverzorging is zeer aantrekkelijk, met een verwachte samengestelde jaarlijkse groei van ongeveer 5 procent in de komende jaren. OLAPLEX is een gerenommeerd merk van premium haarverzorging met een portfolio van wetenschappelijk onderbouwde, hoogwaardige producten. Met de afronding van deze transactie bouwt Henkel opnieuw zijn wereldwijde aanwezigheid uit in Hair Care, een kerncategorie binnen zijn businessunit Consumer Brands. Henkel heeft er alle vertrouwen in dat het de activiteiten aanzienlijk kan laten groeien door gebruik te maken van cross-sellingmogelijkheden en door zowel gespecialiseerde </w:t>
      </w:r>
      <w:r>
        <w:rPr>
          <w:rFonts w:cs="Segoe UI"/>
          <w:szCs w:val="22"/>
          <w:lang w:val="nl"/>
        </w:rPr>
        <w:lastRenderedPageBreak/>
        <w:t>detailhandelskanalen als kapsalons als distributiekanalen te versterken. Daarnaast biedt de overname aantrekkelijke mogelijkheden op het vlak van innovatie en technologie.</w:t>
      </w:r>
    </w:p>
    <w:p w14:paraId="62E961AE" w14:textId="77777777" w:rsidR="00C76008" w:rsidRDefault="00C76008" w:rsidP="00C76008">
      <w:pPr>
        <w:autoSpaceDE w:val="0"/>
        <w:autoSpaceDN w:val="0"/>
        <w:adjustRightInd w:val="0"/>
        <w:rPr>
          <w:rFonts w:cs="Segoe UI"/>
          <w:bCs/>
          <w:szCs w:val="22"/>
        </w:rPr>
      </w:pPr>
    </w:p>
    <w:p w14:paraId="7B2072E3" w14:textId="22C71D14" w:rsidR="00C76008" w:rsidRPr="00C76008" w:rsidRDefault="00C76008" w:rsidP="00C76008">
      <w:pPr>
        <w:autoSpaceDE w:val="0"/>
        <w:autoSpaceDN w:val="0"/>
        <w:adjustRightInd w:val="0"/>
        <w:rPr>
          <w:rFonts w:cs="Segoe UI"/>
          <w:bCs/>
          <w:szCs w:val="22"/>
        </w:rPr>
      </w:pPr>
      <w:r>
        <w:rPr>
          <w:rFonts w:cs="Segoe UI"/>
          <w:szCs w:val="22"/>
          <w:lang w:val="nl"/>
        </w:rPr>
        <w:t xml:space="preserve">Door de overname van </w:t>
      </w:r>
      <w:r>
        <w:rPr>
          <w:rFonts w:cs="Segoe UI"/>
          <w:b/>
          <w:bCs/>
          <w:szCs w:val="22"/>
          <w:lang w:val="nl"/>
        </w:rPr>
        <w:t>ATP Adhesive Systems</w:t>
      </w:r>
      <w:r>
        <w:rPr>
          <w:rFonts w:cs="Segoe UI"/>
          <w:szCs w:val="22"/>
          <w:lang w:val="nl"/>
        </w:rPr>
        <w:t>, dat een jaarlijkse omzet van ongeveer 270 miljoen euro genereert, breidt Henkel zijn portfolio uit tot buiten de vloeibare technologieën en creëert het een nieuw groeiplatform voor krachtige specialistische tapes op waterbasis. Dit is een zeer aantrekkelijke markt die naar verwachting met ongeveer 7 procent per jaar zal groeien. Specialistische tapes op waterbasis winnen aan marktaandeel als duurzamer alternatief voor oplossingen op basis van oplosmiddelen. Ze kunnen de uitstoot van vluchtige organische stoffen (VOS) met tot wel 90 procent verminderen en de CO₂-voetafdruk met maar liefst 60 procent verlagen. De specialistische tapes van ATP worden bijvoorbeeld in de auto-industrie gebruikt voor geavanceerde rijhulpsystemen. Deze overname verbetert ook het innovatievermogen van Henkel, creëert aantrekkelijke cross-sellingmogelijkheden en versterkt de positie van Henkel op de markt voor duurzame kleefoplossingen nog verder.</w:t>
      </w:r>
    </w:p>
    <w:p w14:paraId="37C82585" w14:textId="77777777" w:rsidR="00754FF6" w:rsidRDefault="00754FF6" w:rsidP="00CD223C">
      <w:pPr>
        <w:rPr>
          <w:rFonts w:cs="Segoe UI"/>
          <w:bCs/>
          <w:szCs w:val="22"/>
        </w:rPr>
      </w:pPr>
    </w:p>
    <w:p w14:paraId="5FE9F64E" w14:textId="4BB3476E" w:rsidR="00CD223C" w:rsidRPr="00293E0F" w:rsidRDefault="00C76008" w:rsidP="00CD223C">
      <w:pPr>
        <w:rPr>
          <w:rFonts w:cs="Segoe UI"/>
          <w:bCs/>
          <w:szCs w:val="22"/>
        </w:rPr>
      </w:pPr>
      <w:r>
        <w:rPr>
          <w:rFonts w:cs="Segoe UI"/>
          <w:szCs w:val="22"/>
          <w:lang w:val="nl"/>
        </w:rPr>
        <w:t>Henkel verwacht dat de recente overnames voor het eerst in het lopende boekjaar een positieve bijdrage zullen leveren aan de omzet en de winst. In 2026 zullen de overgenomen bedrijven naar verwachting ongeveer 700 miljoen euro aan omzet bijdragen.</w:t>
      </w:r>
      <w:r>
        <w:rPr>
          <w:rStyle w:val="FootnoteReference"/>
          <w:rFonts w:cs="Segoe UI"/>
          <w:lang w:val="nl"/>
        </w:rPr>
        <w:footnoteReference w:id="2"/>
      </w:r>
      <w:r>
        <w:rPr>
          <w:rFonts w:cs="Segoe UI"/>
          <w:szCs w:val="22"/>
          <w:lang w:val="nl"/>
        </w:rPr>
        <w:t xml:space="preserve"> Op langere termijn zullen de vijf overnames naar verwachting zorgen voor een bovengemiddelde groei in de midden- tot hoge eencijferige procenten, waarbij de gezamenlijke omzet tegen 2030 naar verwachting zal stijgen tot ongeveer 2 miljard euro. Wat de winst betreft, verwacht Henkel dat de overnames tegen 2030 ten minste 10 procent zullen bijdragen aan de aangepaste winst per preferent aandeel.</w:t>
      </w:r>
    </w:p>
    <w:p w14:paraId="4DFD3C6C" w14:textId="77777777" w:rsidR="00211BA0" w:rsidRPr="009C6158" w:rsidRDefault="00211BA0" w:rsidP="00C76008">
      <w:pPr>
        <w:rPr>
          <w:rFonts w:cs="Segoe UI"/>
          <w:bCs/>
          <w:szCs w:val="22"/>
        </w:rPr>
      </w:pPr>
    </w:p>
    <w:p w14:paraId="2F2FD7C3" w14:textId="4AED9D90" w:rsidR="00E83A6D" w:rsidRPr="00DC34C4" w:rsidRDefault="00E83A6D" w:rsidP="00E83A6D">
      <w:pPr>
        <w:spacing w:after="80"/>
        <w:ind w:right="-108"/>
        <w:jc w:val="left"/>
        <w:rPr>
          <w:rFonts w:asciiTheme="majorHAnsi" w:hAnsiTheme="majorHAnsi" w:cstheme="majorHAnsi"/>
          <w:b/>
          <w:szCs w:val="22"/>
        </w:rPr>
      </w:pPr>
      <w:bookmarkStart w:id="6" w:name="_Hlk190182989"/>
      <w:r>
        <w:rPr>
          <w:rFonts w:asciiTheme="majorHAnsi" w:hAnsiTheme="majorHAnsi" w:cstheme="majorHAnsi"/>
          <w:b/>
          <w:bCs/>
          <w:szCs w:val="22"/>
          <w:lang w:val="nl"/>
        </w:rPr>
        <w:t xml:space="preserve">Vooruitzichten voor boekjaar 2026: omzetverwachtingen naar boven bijgesteld voor de Groep en </w:t>
      </w:r>
      <w:r>
        <w:rPr>
          <w:rFonts w:asciiTheme="majorHAnsi" w:hAnsiTheme="majorHAnsi" w:cstheme="majorHAnsi"/>
          <w:szCs w:val="22"/>
          <w:lang w:val="nl"/>
        </w:rPr>
        <w:br/>
      </w:r>
      <w:r>
        <w:rPr>
          <w:rFonts w:asciiTheme="majorHAnsi" w:hAnsiTheme="majorHAnsi" w:cstheme="majorHAnsi"/>
          <w:b/>
          <w:bCs/>
          <w:szCs w:val="22"/>
          <w:lang w:val="nl"/>
        </w:rPr>
        <w:t>Adhesive Technologies</w:t>
      </w:r>
    </w:p>
    <w:p w14:paraId="3AFD25E5" w14:textId="639AFF30" w:rsidR="0061561D" w:rsidRDefault="008B00CA" w:rsidP="00E83A6D">
      <w:pPr>
        <w:rPr>
          <w:rFonts w:cs="Segoe UI"/>
          <w:szCs w:val="22"/>
        </w:rPr>
      </w:pPr>
      <w:r>
        <w:rPr>
          <w:rFonts w:cs="Segoe UI"/>
          <w:szCs w:val="22"/>
          <w:lang w:val="nl"/>
        </w:rPr>
        <w:t>Op basis van de sterke prestaties in de eerste helft van het jaar heeft Henkel zijn omzetverwachtingen voor zowel de Groep als de businessunit Adhesive Technologies naar boven bijgesteld, terwijl de verwachtingen voor de aangepaste EBIT-marge en de groei van de aangepaste winst per preferent aandeel bij constante wisselkoersen ongewijzigd blijven.</w:t>
      </w:r>
    </w:p>
    <w:p w14:paraId="4CF8E151" w14:textId="77777777" w:rsidR="0061561D" w:rsidRDefault="0061561D" w:rsidP="00E83A6D">
      <w:pPr>
        <w:rPr>
          <w:rFonts w:cs="Segoe UI"/>
          <w:szCs w:val="22"/>
        </w:rPr>
      </w:pPr>
    </w:p>
    <w:p w14:paraId="13C33C91" w14:textId="68E623DF" w:rsidR="00E83A6D" w:rsidRPr="00E83A6D" w:rsidRDefault="00E83A6D" w:rsidP="00E83A6D">
      <w:pPr>
        <w:rPr>
          <w:rFonts w:cs="Segoe UI"/>
          <w:szCs w:val="22"/>
        </w:rPr>
      </w:pPr>
      <w:r>
        <w:rPr>
          <w:rFonts w:cs="Segoe UI"/>
          <w:szCs w:val="22"/>
          <w:lang w:val="nl"/>
        </w:rPr>
        <w:t xml:space="preserve">Voor het huidige jaar verwacht Henkel nu een </w:t>
      </w:r>
      <w:r>
        <w:rPr>
          <w:rFonts w:cs="Segoe UI"/>
          <w:b/>
          <w:bCs/>
          <w:szCs w:val="22"/>
          <w:lang w:val="nl"/>
        </w:rPr>
        <w:t>organische omzetgroei</w:t>
      </w:r>
      <w:r>
        <w:rPr>
          <w:rFonts w:cs="Segoe UI"/>
          <w:szCs w:val="22"/>
          <w:lang w:val="nl"/>
        </w:rPr>
        <w:t xml:space="preserve"> van 1,5 tot 3,5 procent (voorheen: 1,0 en 3,0 procent). Voor de businessunit Adhesive Technologies wordt nu een organische omzetgroei verwacht tussen 2,0 en 4,0 procent (voorheen: 1,0 tot 3,0 procent). Voor </w:t>
      </w:r>
      <w:r>
        <w:rPr>
          <w:rFonts w:cs="Segoe UI"/>
          <w:szCs w:val="22"/>
          <w:lang w:val="nl"/>
        </w:rPr>
        <w:lastRenderedPageBreak/>
        <w:t xml:space="preserve">Consumer Brands blijft Henkel uitgaan van een organische omzetstijging van 0,5 tot 2,5 procent. </w:t>
      </w:r>
    </w:p>
    <w:p w14:paraId="100C5C2D" w14:textId="77777777" w:rsidR="00E83A6D" w:rsidRDefault="00E83A6D" w:rsidP="00E83A6D">
      <w:pPr>
        <w:rPr>
          <w:rFonts w:cs="Segoe UI"/>
          <w:szCs w:val="22"/>
        </w:rPr>
      </w:pPr>
    </w:p>
    <w:p w14:paraId="43F73761" w14:textId="4EAAC17D" w:rsidR="00E83A6D" w:rsidRDefault="00E83A6D" w:rsidP="00E83A6D">
      <w:pPr>
        <w:rPr>
          <w:rFonts w:cs="Segoe UI"/>
          <w:szCs w:val="22"/>
        </w:rPr>
      </w:pPr>
      <w:r>
        <w:rPr>
          <w:rFonts w:cs="Segoe UI"/>
          <w:szCs w:val="22"/>
          <w:lang w:val="nl"/>
        </w:rPr>
        <w:t xml:space="preserve">Het </w:t>
      </w:r>
      <w:r>
        <w:rPr>
          <w:rFonts w:cs="Segoe UI"/>
          <w:b/>
          <w:bCs/>
          <w:szCs w:val="22"/>
          <w:lang w:val="nl"/>
        </w:rPr>
        <w:t xml:space="preserve">aangepaste rendement op omzet </w:t>
      </w:r>
      <w:r>
        <w:rPr>
          <w:rFonts w:cs="Segoe UI"/>
          <w:szCs w:val="22"/>
          <w:lang w:val="nl"/>
        </w:rPr>
        <w:t xml:space="preserve">(aangepaste EBIT-marge) zal naar verwachting tussen 14,5 en 16,0 procent liggen. Voor Adhesive Technologies wordt een aangepast rendement op omzet verwacht tussen 16,5 en 18,0 procent, en voor Consumer Brands tussen 14,0 en 15,5 procent. </w:t>
      </w:r>
    </w:p>
    <w:p w14:paraId="312FBE80" w14:textId="77777777" w:rsidR="00E83A6D" w:rsidRPr="00E83A6D" w:rsidRDefault="00E83A6D" w:rsidP="00E83A6D">
      <w:pPr>
        <w:rPr>
          <w:rFonts w:cs="Segoe UI"/>
          <w:szCs w:val="22"/>
        </w:rPr>
      </w:pPr>
    </w:p>
    <w:p w14:paraId="5292E09C" w14:textId="2E12B8AB" w:rsidR="00E83A6D" w:rsidRDefault="00E83A6D" w:rsidP="00E83A6D">
      <w:pPr>
        <w:rPr>
          <w:rFonts w:cs="Segoe UI"/>
          <w:szCs w:val="22"/>
        </w:rPr>
      </w:pPr>
      <w:r>
        <w:rPr>
          <w:rFonts w:cs="Segoe UI"/>
          <w:szCs w:val="22"/>
          <w:lang w:val="nl"/>
        </w:rPr>
        <w:t xml:space="preserve">De </w:t>
      </w:r>
      <w:r>
        <w:rPr>
          <w:rFonts w:cs="Segoe UI"/>
          <w:b/>
          <w:bCs/>
          <w:szCs w:val="22"/>
          <w:lang w:val="nl"/>
        </w:rPr>
        <w:t>aangepaste winst per preferent aandeel</w:t>
      </w:r>
      <w:r>
        <w:rPr>
          <w:rFonts w:cs="Segoe UI"/>
          <w:szCs w:val="22"/>
          <w:lang w:val="nl"/>
        </w:rPr>
        <w:t xml:space="preserve"> (EPS) bij constante wisselkoersen zal naar verwachting stijgen met een percentage in de lage tot hoge enkele cijfers.</w:t>
      </w:r>
    </w:p>
    <w:p w14:paraId="3E57D116" w14:textId="77777777" w:rsidR="00E83A6D" w:rsidRDefault="00E83A6D" w:rsidP="00E83A6D">
      <w:pPr>
        <w:rPr>
          <w:rFonts w:cs="Segoe UI"/>
          <w:szCs w:val="22"/>
        </w:rPr>
      </w:pPr>
    </w:p>
    <w:p w14:paraId="108B3DB6" w14:textId="354B43C3" w:rsidR="00E83A6D" w:rsidRDefault="00E83A6D" w:rsidP="00E83A6D">
      <w:pPr>
        <w:rPr>
          <w:rFonts w:cs="Segoe UI"/>
          <w:szCs w:val="22"/>
        </w:rPr>
      </w:pPr>
      <w:r>
        <w:rPr>
          <w:rFonts w:cs="Segoe UI"/>
          <w:szCs w:val="22"/>
          <w:lang w:val="nl"/>
        </w:rPr>
        <w:t>"De zeer sterke bedrijfsprestaties in de eerste helft van 2026, die worden gekenmerkt door een sterke organische omzetgroei en een verdere verbetering van zowel de marge als de winst, tonen aan dat de transformatie van Henkel resultaten oplevert." We blijven deze transformatie voortzetten om ons concurrentievermogen op lange termijn verder te verhogen en het bedrijf klaar te stomen voor toekomstig succes. We transformeren Henkel met het oog op een succesvolle toekomst, en met een duidelijke strategie liggen we stevig op koers om verdere winstgevende groei te realiseren", aldus Carsten Knobel.</w:t>
      </w:r>
    </w:p>
    <w:bookmarkEnd w:id="6"/>
    <w:p w14:paraId="33E22388" w14:textId="77777777" w:rsidR="00B312F1" w:rsidRDefault="00B312F1">
      <w:pPr>
        <w:spacing w:line="240" w:lineRule="auto"/>
        <w:jc w:val="left"/>
        <w:rPr>
          <w:rFonts w:eastAsia="PMingLiU"/>
          <w:b/>
          <w:bCs/>
          <w:sz w:val="18"/>
        </w:rPr>
      </w:pPr>
    </w:p>
    <w:p w14:paraId="680187D5" w14:textId="595E59C0" w:rsidR="00292C23" w:rsidRPr="00292C23" w:rsidRDefault="00292C23" w:rsidP="00292C23">
      <w:pPr>
        <w:rPr>
          <w:rFonts w:cs="Segoe UI"/>
          <w:b/>
          <w:bCs/>
          <w:szCs w:val="22"/>
        </w:rPr>
      </w:pPr>
      <w:r>
        <w:rPr>
          <w:b/>
          <w:bCs/>
          <w:sz w:val="18"/>
          <w:szCs w:val="18"/>
          <w:lang w:val="nl"/>
        </w:rPr>
        <w:t>Over Henkel</w:t>
      </w:r>
    </w:p>
    <w:p w14:paraId="1DC4E6EC" w14:textId="15622E80" w:rsidR="00292C23" w:rsidRPr="00292C23" w:rsidRDefault="00292C23" w:rsidP="00292C23">
      <w:pPr>
        <w:rPr>
          <w:sz w:val="18"/>
        </w:rPr>
      </w:pPr>
      <w:r>
        <w:rPr>
          <w:sz w:val="18"/>
          <w:lang w:val="nl"/>
        </w:rPr>
        <w:t xml:space="preserve">Met zijn merken, innovaties en technologieën bekleedt Henkel wereldwijd leidende marktposities in de industriële en consumentensector. De businessunit Adhesive Technologies is de wereldleider op de markt van kleefstoffen, afdichtingsmiddelen en coatings. Met de businessunit Consumer Brands bekleedt het bedrijf leidende posities, vooral in was- en schoonmaakmiddelen en haarverzorging, op vele markten en in vele categorieën wereldwijd. De drie sterkste merken van het bedrijf zijn Loctite, Persil en Schwarzkopf. In het boekjaar 2025 rapporteerde Henkel een omzet van ca. 20,5 miljard euro en een aangepast bedrijfsresultaat van zo’n 3,0 miljard euro. De preferente aandelen van Henkel staan genoteerd in de Duitse aandelenindex DAX. Duurzaamheid zit in het DNA van Henkel: het bedrijf heeft een duidelijke duurzaamheidsstrategie met specifieke doelstellingen. Henkel werd opgericht in 1876 en heeft vandaag een divers team van zo'n 50.000 medewerkers wereldwijd – verenigd door een sterke bedrijfscultuur, gedeelde waarden en een gemeenschappelijk doel: "Pioniers in hart en nieren voor het welzijn van generaties." Meer informatie op </w:t>
      </w:r>
      <w:hyperlink r:id="rId12" w:history="1">
        <w:r>
          <w:rPr>
            <w:color w:val="0000FF"/>
            <w:sz w:val="18"/>
            <w:szCs w:val="18"/>
            <w:u w:val="single"/>
            <w:lang w:val="nl"/>
          </w:rPr>
          <w:t>www.henkel.com</w:t>
        </w:r>
      </w:hyperlink>
      <w:r>
        <w:rPr>
          <w:sz w:val="18"/>
          <w:lang w:val="nl"/>
        </w:rPr>
        <w:t xml:space="preserve">. </w:t>
      </w:r>
    </w:p>
    <w:p w14:paraId="25DBBED5" w14:textId="77777777" w:rsidR="00292C23" w:rsidRPr="00292C23" w:rsidRDefault="00292C23" w:rsidP="00292C23">
      <w:pPr>
        <w:rPr>
          <w:sz w:val="14"/>
          <w:szCs w:val="14"/>
        </w:rPr>
      </w:pPr>
    </w:p>
    <w:p w14:paraId="532BFA22" w14:textId="0831AE8D" w:rsidR="00292C23" w:rsidRPr="00292C23" w:rsidRDefault="00292C23" w:rsidP="00292C23">
      <w:pPr>
        <w:spacing w:after="160" w:line="240" w:lineRule="auto"/>
        <w:jc w:val="left"/>
        <w:rPr>
          <w:sz w:val="14"/>
          <w:szCs w:val="14"/>
        </w:rPr>
      </w:pPr>
      <w:r>
        <w:rPr>
          <w:sz w:val="14"/>
          <w:szCs w:val="14"/>
          <w:lang w:val="nl"/>
        </w:rPr>
        <w:t>Dit document bevat verklaringen die verwijzen naar toekomstige bedrijfsontwikkeling, financiële prestaties en andere gebeurtenissen of ontwikkelingen die in de toekomst van belang zijn voor Henkel en die als toekomstgerichte verklaringen kunnen worden gezien. Toekomstgerichte verklaringen worden gekenmerkt door het gebruik van woorden als verwachten, plannen, anticiperen, geloven, schatten en soortgelijke termen. Dergelijke verklaringen zijn gebaseerd op huidige schattingen en veronderstellingen van het management van Henkel AG &amp; Co. KGaA. Deze verklaringen mogen niet worden opgevat als een garantie dat ze juist zullen blijken. De toekomstige prestaties en resultaten van Henkel AG &amp; Co. KGaA en zijn dochterondernemingen zijn afhankelijk van een aantal risico's en onzekerheden en kunnen daarom wezenlijk verschillen (zowel in positieve als in negatieve zin) van toekomstgerichte verklaringen. Vele van deze factoren liggen buiten Henkels controle en kunnen niet vooraf nauwkeurig worden ingeschat, zoals de toekomstige economische omgeving en de acties van concurrenten en andere betrokkenen op de markt. Henkel plant noch verbindt zich ertoe om toekomstgerichte verklaringen bij te werken.</w:t>
      </w:r>
    </w:p>
    <w:p w14:paraId="5927BD4C" w14:textId="77777777" w:rsidR="00292C23" w:rsidRPr="00292C23" w:rsidRDefault="00292C23" w:rsidP="00292C23">
      <w:pPr>
        <w:spacing w:after="160" w:line="240" w:lineRule="auto"/>
        <w:jc w:val="left"/>
        <w:rPr>
          <w:sz w:val="14"/>
          <w:szCs w:val="14"/>
        </w:rPr>
      </w:pPr>
      <w:r>
        <w:rPr>
          <w:sz w:val="14"/>
          <w:szCs w:val="14"/>
          <w:lang w:val="nl"/>
        </w:rPr>
        <w:t>Dit document bevat aanvullende financiële indicatoren die niet duidelijk gedefinieerd zijn in het toepasselijke financiële rapporteringskader en die alternatieve prestatiemaatstaven zijn of kunnen zijn. Deze aanvullende financiële indicatoren mogen niet afzonderlijk of als alternatief worden beschouwd voor de maatstaven van Henkels nettoactiva en financiële positie of bedrijfsresultaten zoals gepresenteerd in overeenstemming met het toepasselijke financiële rapporteringskader in zijn Geconsolideerde Jaarrekening. Andere bedrijven die vergelijkbare alternatieve prestatiemaatstaven rapporteren of beschrijven, kunnen deze anders berekenen.</w:t>
      </w:r>
    </w:p>
    <w:p w14:paraId="6495E95E" w14:textId="77777777" w:rsidR="00292C23" w:rsidRPr="00292C23" w:rsidRDefault="00292C23" w:rsidP="00292C23">
      <w:pPr>
        <w:spacing w:after="160" w:line="240" w:lineRule="auto"/>
        <w:jc w:val="left"/>
        <w:rPr>
          <w:sz w:val="14"/>
          <w:szCs w:val="14"/>
        </w:rPr>
      </w:pPr>
      <w:r>
        <w:rPr>
          <w:sz w:val="14"/>
          <w:szCs w:val="14"/>
          <w:lang w:val="nl"/>
        </w:rPr>
        <w:lastRenderedPageBreak/>
        <w:t>Dit document is uitsluitend bedoeld voor informatieve doeleinden en is niet bedoeld als beleggingsadvies of een aanbod om effecten te verkopen of een verzoek om effecten te kopen.</w:t>
      </w:r>
    </w:p>
    <w:p w14:paraId="6626B667" w14:textId="77777777" w:rsidR="00292C23" w:rsidRPr="00292C23" w:rsidRDefault="00292C23" w:rsidP="00292C23">
      <w:pPr>
        <w:tabs>
          <w:tab w:val="left" w:pos="1080"/>
          <w:tab w:val="left" w:pos="4500"/>
        </w:tabs>
        <w:spacing w:line="264" w:lineRule="auto"/>
        <w:rPr>
          <w:rFonts w:asciiTheme="majorHAnsi" w:eastAsia="PMingLiU" w:hAnsiTheme="majorHAnsi" w:cs="Calibri Light"/>
          <w:b/>
          <w:sz w:val="18"/>
          <w:szCs w:val="18"/>
        </w:rPr>
      </w:pPr>
    </w:p>
    <w:p w14:paraId="763085E6" w14:textId="0579D4F4" w:rsidR="00292C23" w:rsidRPr="00292C23" w:rsidRDefault="00292C23" w:rsidP="00292C23">
      <w:pPr>
        <w:spacing w:line="240" w:lineRule="auto"/>
        <w:jc w:val="left"/>
        <w:rPr>
          <w:rFonts w:asciiTheme="majorHAnsi" w:hAnsiTheme="majorHAnsi" w:cs="Calibri Light"/>
          <w:b/>
          <w:sz w:val="18"/>
          <w:szCs w:val="18"/>
        </w:rPr>
      </w:pPr>
    </w:p>
    <w:p w14:paraId="3E8DCBC1" w14:textId="07C28626" w:rsidR="00292C23" w:rsidRPr="00292C23" w:rsidRDefault="00292C23" w:rsidP="00292C23">
      <w:pPr>
        <w:spacing w:line="240" w:lineRule="auto"/>
        <w:jc w:val="left"/>
        <w:rPr>
          <w:rFonts w:asciiTheme="majorHAnsi" w:hAnsiTheme="majorHAnsi" w:cs="Calibri Light"/>
          <w:b/>
          <w:sz w:val="18"/>
          <w:szCs w:val="18"/>
        </w:rPr>
      </w:pPr>
      <w:r>
        <w:rPr>
          <w:rFonts w:asciiTheme="majorHAnsi" w:hAnsiTheme="majorHAnsi" w:cs="Calibri Light"/>
          <w:b/>
          <w:bCs/>
          <w:sz w:val="18"/>
          <w:szCs w:val="18"/>
          <w:lang w:val="nl"/>
        </w:rPr>
        <w:t>Contact</w:t>
      </w:r>
    </w:p>
    <w:p w14:paraId="60CE870C" w14:textId="77777777" w:rsidR="00292C23" w:rsidRPr="00292C23" w:rsidRDefault="00292C23" w:rsidP="00292C23">
      <w:pPr>
        <w:tabs>
          <w:tab w:val="left" w:pos="1080"/>
          <w:tab w:val="left" w:pos="4500"/>
        </w:tabs>
        <w:spacing w:line="264" w:lineRule="auto"/>
        <w:rPr>
          <w:rFonts w:asciiTheme="majorHAnsi" w:hAnsiTheme="majorHAnsi" w:cs="Calibri Light"/>
          <w:b/>
          <w:sz w:val="16"/>
          <w:szCs w:val="16"/>
        </w:rPr>
      </w:pPr>
    </w:p>
    <w:p w14:paraId="6E1FD2B0" w14:textId="77777777" w:rsidR="00292C23" w:rsidRPr="00292C23" w:rsidRDefault="00292C23" w:rsidP="00292C23">
      <w:pPr>
        <w:tabs>
          <w:tab w:val="left" w:pos="1080"/>
          <w:tab w:val="left" w:pos="4500"/>
        </w:tabs>
        <w:spacing w:line="264" w:lineRule="auto"/>
        <w:rPr>
          <w:rFonts w:asciiTheme="majorHAnsi" w:hAnsiTheme="majorHAnsi" w:cs="Calibri Light"/>
          <w:b/>
          <w:sz w:val="18"/>
          <w:szCs w:val="18"/>
        </w:rPr>
      </w:pPr>
      <w:r>
        <w:rPr>
          <w:rFonts w:asciiTheme="majorHAnsi" w:hAnsiTheme="majorHAnsi" w:cs="Calibri Light"/>
          <w:b/>
          <w:bCs/>
          <w:sz w:val="18"/>
          <w:szCs w:val="18"/>
          <w:lang w:val="nl"/>
        </w:rPr>
        <w:t>Investeerders &amp; analisten</w:t>
      </w:r>
      <w:r>
        <w:rPr>
          <w:rFonts w:asciiTheme="majorHAnsi" w:hAnsiTheme="majorHAnsi" w:cs="Calibri Light"/>
          <w:b/>
          <w:bCs/>
          <w:sz w:val="18"/>
          <w:szCs w:val="18"/>
          <w:lang w:val="nl"/>
        </w:rPr>
        <w:tab/>
        <w:t>Pers &amp; media</w:t>
      </w:r>
    </w:p>
    <w:p w14:paraId="55E2A964" w14:textId="77777777" w:rsidR="00292C23" w:rsidRPr="00292C23" w:rsidRDefault="00292C23" w:rsidP="00292C23">
      <w:pPr>
        <w:tabs>
          <w:tab w:val="left" w:pos="1080"/>
          <w:tab w:val="left" w:pos="4500"/>
        </w:tabs>
        <w:spacing w:line="264" w:lineRule="auto"/>
        <w:rPr>
          <w:rFonts w:asciiTheme="majorHAnsi" w:hAnsiTheme="majorHAnsi" w:cs="Calibri Light"/>
          <w:b/>
          <w:sz w:val="16"/>
          <w:szCs w:val="16"/>
        </w:rPr>
      </w:pPr>
    </w:p>
    <w:p w14:paraId="73893A1E" w14:textId="77777777" w:rsidR="00292C23" w:rsidRPr="00292C23" w:rsidRDefault="00292C23" w:rsidP="00292C23">
      <w:pPr>
        <w:tabs>
          <w:tab w:val="left" w:pos="1080"/>
          <w:tab w:val="left" w:pos="4500"/>
        </w:tabs>
        <w:spacing w:line="264" w:lineRule="auto"/>
        <w:rPr>
          <w:rFonts w:asciiTheme="majorHAnsi" w:hAnsiTheme="majorHAnsi" w:cs="Calibri Light"/>
          <w:b/>
          <w:sz w:val="18"/>
          <w:szCs w:val="18"/>
        </w:rPr>
      </w:pPr>
      <w:r>
        <w:rPr>
          <w:rFonts w:asciiTheme="majorHAnsi" w:hAnsiTheme="majorHAnsi" w:cs="Calibri Light"/>
          <w:b/>
          <w:bCs/>
          <w:sz w:val="18"/>
          <w:szCs w:val="18"/>
          <w:lang w:val="nl"/>
        </w:rPr>
        <w:t>Leslie Iltgen</w:t>
      </w:r>
      <w:r>
        <w:rPr>
          <w:rFonts w:asciiTheme="majorHAnsi" w:hAnsiTheme="majorHAnsi" w:cs="Calibri Light"/>
          <w:b/>
          <w:bCs/>
          <w:sz w:val="18"/>
          <w:szCs w:val="18"/>
          <w:lang w:val="nl"/>
        </w:rPr>
        <w:tab/>
      </w:r>
      <w:r>
        <w:rPr>
          <w:rFonts w:asciiTheme="majorHAnsi" w:hAnsiTheme="majorHAnsi" w:cs="Calibri Light"/>
          <w:b/>
          <w:bCs/>
          <w:sz w:val="18"/>
          <w:szCs w:val="18"/>
          <w:lang w:val="nl"/>
        </w:rPr>
        <w:tab/>
        <w:t>Lars Witteck</w:t>
      </w:r>
    </w:p>
    <w:p w14:paraId="7287741A"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Tel.:</w:t>
      </w:r>
      <w:r>
        <w:rPr>
          <w:rFonts w:asciiTheme="majorHAnsi" w:hAnsiTheme="majorHAnsi" w:cs="Calibri Light"/>
          <w:sz w:val="18"/>
          <w:szCs w:val="18"/>
          <w:lang w:val="nl"/>
        </w:rPr>
        <w:tab/>
        <w:t>+49 211 797 - 1631</w:t>
      </w:r>
      <w:r>
        <w:rPr>
          <w:rFonts w:asciiTheme="majorHAnsi" w:hAnsiTheme="majorHAnsi" w:cs="Calibri Light"/>
          <w:sz w:val="18"/>
          <w:szCs w:val="18"/>
          <w:lang w:val="nl"/>
        </w:rPr>
        <w:tab/>
        <w:t>Tel.:</w:t>
      </w:r>
      <w:r>
        <w:rPr>
          <w:rFonts w:asciiTheme="majorHAnsi" w:hAnsiTheme="majorHAnsi" w:cs="Calibri Light"/>
          <w:sz w:val="18"/>
          <w:szCs w:val="18"/>
          <w:lang w:val="nl"/>
        </w:rPr>
        <w:tab/>
        <w:t>+49 211 797 - 2606</w:t>
      </w:r>
    </w:p>
    <w:p w14:paraId="517DF62A"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 xml:space="preserve">E-mail: </w:t>
      </w:r>
      <w:r>
        <w:rPr>
          <w:rFonts w:asciiTheme="majorHAnsi" w:hAnsiTheme="majorHAnsi" w:cs="Calibri Light"/>
          <w:sz w:val="18"/>
          <w:szCs w:val="18"/>
          <w:lang w:val="nl"/>
        </w:rPr>
        <w:tab/>
      </w:r>
      <w:hyperlink r:id="rId13" w:history="1">
        <w:r>
          <w:rPr>
            <w:rFonts w:asciiTheme="majorHAnsi" w:hAnsiTheme="majorHAnsi" w:cs="Calibri Light"/>
            <w:color w:val="0000FF"/>
            <w:sz w:val="18"/>
            <w:szCs w:val="18"/>
            <w:u w:val="single"/>
            <w:lang w:val="nl"/>
          </w:rPr>
          <w:t>leslie.iltgen@henkel.com</w:t>
        </w:r>
      </w:hyperlink>
      <w:r>
        <w:rPr>
          <w:rFonts w:asciiTheme="majorHAnsi" w:hAnsiTheme="majorHAnsi" w:cs="Calibri Light"/>
          <w:sz w:val="18"/>
          <w:szCs w:val="18"/>
          <w:lang w:val="nl"/>
        </w:rPr>
        <w:tab/>
        <w:t>E-mail:</w:t>
      </w:r>
      <w:r>
        <w:rPr>
          <w:rFonts w:asciiTheme="majorHAnsi" w:hAnsiTheme="majorHAnsi" w:cs="Calibri Light"/>
          <w:sz w:val="18"/>
          <w:szCs w:val="18"/>
          <w:lang w:val="nl"/>
        </w:rPr>
        <w:tab/>
      </w:r>
      <w:hyperlink r:id="rId14" w:history="1">
        <w:r>
          <w:rPr>
            <w:rFonts w:asciiTheme="majorHAnsi" w:hAnsiTheme="majorHAnsi" w:cs="Calibri Light"/>
            <w:color w:val="0000FF"/>
            <w:sz w:val="18"/>
            <w:szCs w:val="18"/>
            <w:u w:val="single"/>
            <w:lang w:val="nl"/>
          </w:rPr>
          <w:t>lars.witteck@henkel.com</w:t>
        </w:r>
      </w:hyperlink>
    </w:p>
    <w:p w14:paraId="685998AD" w14:textId="77777777" w:rsidR="00292C23" w:rsidRPr="00292C23" w:rsidRDefault="00292C23" w:rsidP="00292C23">
      <w:pPr>
        <w:tabs>
          <w:tab w:val="left" w:pos="1080"/>
          <w:tab w:val="left" w:pos="4500"/>
        </w:tabs>
        <w:spacing w:line="264" w:lineRule="auto"/>
        <w:rPr>
          <w:rFonts w:asciiTheme="majorHAnsi" w:hAnsiTheme="majorHAnsi" w:cs="Calibri Light"/>
          <w:sz w:val="16"/>
          <w:szCs w:val="16"/>
        </w:rPr>
      </w:pPr>
    </w:p>
    <w:p w14:paraId="50430282" w14:textId="77777777" w:rsidR="00292C23" w:rsidRPr="00292C23" w:rsidRDefault="00292C23" w:rsidP="00292C23">
      <w:pPr>
        <w:tabs>
          <w:tab w:val="left" w:pos="1080"/>
          <w:tab w:val="left" w:pos="4500"/>
        </w:tabs>
        <w:spacing w:line="264" w:lineRule="auto"/>
        <w:rPr>
          <w:rFonts w:asciiTheme="majorHAnsi" w:hAnsiTheme="majorHAnsi" w:cs="Calibri Light"/>
          <w:sz w:val="18"/>
          <w:szCs w:val="18"/>
        </w:rPr>
      </w:pPr>
      <w:r>
        <w:rPr>
          <w:rFonts w:asciiTheme="majorHAnsi" w:hAnsiTheme="majorHAnsi" w:cs="Calibri Light"/>
          <w:b/>
          <w:bCs/>
          <w:sz w:val="18"/>
          <w:szCs w:val="18"/>
          <w:lang w:val="nl"/>
        </w:rPr>
        <w:t xml:space="preserve">Dr. Dennis Starke </w:t>
      </w:r>
      <w:r>
        <w:rPr>
          <w:rFonts w:asciiTheme="majorHAnsi" w:hAnsiTheme="majorHAnsi" w:cs="Calibri Light"/>
          <w:b/>
          <w:bCs/>
          <w:sz w:val="18"/>
          <w:szCs w:val="18"/>
          <w:lang w:val="nl"/>
        </w:rPr>
        <w:tab/>
        <w:t>Wulf Klüppelholz</w:t>
      </w:r>
    </w:p>
    <w:p w14:paraId="35C41104"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Tel.:</w:t>
      </w:r>
      <w:r>
        <w:rPr>
          <w:rFonts w:asciiTheme="majorHAnsi" w:hAnsiTheme="majorHAnsi" w:cs="Calibri Light"/>
          <w:sz w:val="18"/>
          <w:szCs w:val="18"/>
          <w:lang w:val="nl"/>
        </w:rPr>
        <w:tab/>
        <w:t>+49 211 797 - 5601</w:t>
      </w:r>
      <w:r>
        <w:rPr>
          <w:rFonts w:asciiTheme="majorHAnsi" w:hAnsiTheme="majorHAnsi" w:cs="Calibri Light"/>
          <w:sz w:val="18"/>
          <w:szCs w:val="18"/>
          <w:lang w:val="nl"/>
        </w:rPr>
        <w:tab/>
        <w:t>Tel.:</w:t>
      </w:r>
      <w:r>
        <w:rPr>
          <w:rFonts w:asciiTheme="majorHAnsi" w:hAnsiTheme="majorHAnsi" w:cs="Calibri Light"/>
          <w:sz w:val="18"/>
          <w:szCs w:val="18"/>
          <w:lang w:val="nl"/>
        </w:rPr>
        <w:tab/>
        <w:t>+49 211 797 - 1875</w:t>
      </w:r>
    </w:p>
    <w:p w14:paraId="3DCD8D7C"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Pr>
          <w:rFonts w:asciiTheme="majorHAnsi" w:hAnsiTheme="majorHAnsi" w:cs="Calibri Light"/>
          <w:sz w:val="18"/>
          <w:szCs w:val="18"/>
          <w:lang w:val="nl"/>
        </w:rPr>
        <w:t xml:space="preserve">E-mail: </w:t>
      </w:r>
      <w:r>
        <w:rPr>
          <w:rFonts w:asciiTheme="majorHAnsi" w:hAnsiTheme="majorHAnsi" w:cs="Calibri Light"/>
          <w:sz w:val="18"/>
          <w:szCs w:val="18"/>
          <w:lang w:val="nl"/>
        </w:rPr>
        <w:tab/>
      </w:r>
      <w:hyperlink r:id="rId15" w:history="1">
        <w:r>
          <w:rPr>
            <w:rFonts w:asciiTheme="majorHAnsi" w:hAnsiTheme="majorHAnsi" w:cs="Calibri Light"/>
            <w:color w:val="0000FF"/>
            <w:sz w:val="18"/>
            <w:szCs w:val="18"/>
            <w:u w:val="single"/>
            <w:lang w:val="nl"/>
          </w:rPr>
          <w:t>dennis.starke@henkel.com</w:t>
        </w:r>
      </w:hyperlink>
      <w:r>
        <w:rPr>
          <w:rFonts w:asciiTheme="majorHAnsi" w:hAnsiTheme="majorHAnsi" w:cs="Calibri Light"/>
          <w:sz w:val="18"/>
          <w:szCs w:val="18"/>
          <w:lang w:val="nl"/>
        </w:rPr>
        <w:tab/>
        <w:t>E-mail:</w:t>
      </w:r>
      <w:r>
        <w:rPr>
          <w:rFonts w:asciiTheme="majorHAnsi" w:hAnsiTheme="majorHAnsi" w:cs="Calibri Light"/>
          <w:sz w:val="18"/>
          <w:szCs w:val="18"/>
          <w:lang w:val="nl"/>
        </w:rPr>
        <w:tab/>
      </w:r>
      <w:hyperlink r:id="rId16" w:history="1">
        <w:r>
          <w:rPr>
            <w:rFonts w:asciiTheme="majorHAnsi" w:hAnsiTheme="majorHAnsi" w:cs="Calibri Light"/>
            <w:color w:val="0000FF"/>
            <w:sz w:val="18"/>
            <w:szCs w:val="18"/>
            <w:u w:val="single"/>
            <w:lang w:val="nl"/>
          </w:rPr>
          <w:t>wulf.klueppelholz@henkel.com</w:t>
        </w:r>
      </w:hyperlink>
    </w:p>
    <w:p w14:paraId="11B9AF62" w14:textId="77777777" w:rsidR="00292C23" w:rsidRPr="00292C23" w:rsidRDefault="00292C23" w:rsidP="00292C23">
      <w:pPr>
        <w:tabs>
          <w:tab w:val="left" w:pos="1080"/>
          <w:tab w:val="left" w:pos="4500"/>
        </w:tabs>
        <w:spacing w:line="264" w:lineRule="auto"/>
        <w:rPr>
          <w:rFonts w:asciiTheme="majorHAnsi" w:hAnsiTheme="majorHAnsi" w:cs="Calibri Light"/>
          <w:sz w:val="16"/>
          <w:szCs w:val="16"/>
        </w:rPr>
      </w:pPr>
    </w:p>
    <w:p w14:paraId="1B89F435" w14:textId="63F1A584" w:rsidR="00292C23" w:rsidRPr="00292C23" w:rsidRDefault="00292C23" w:rsidP="00292C23">
      <w:pPr>
        <w:tabs>
          <w:tab w:val="left" w:pos="709"/>
          <w:tab w:val="left" w:pos="4500"/>
          <w:tab w:val="left" w:pos="5245"/>
        </w:tabs>
        <w:spacing w:line="264" w:lineRule="auto"/>
        <w:rPr>
          <w:rFonts w:asciiTheme="majorHAnsi" w:eastAsia="PMingLiU" w:hAnsiTheme="majorHAnsi" w:cs="Calibri Light"/>
          <w:b/>
          <w:bCs/>
          <w:sz w:val="18"/>
          <w:szCs w:val="18"/>
        </w:rPr>
      </w:pPr>
      <w:r>
        <w:rPr>
          <w:rFonts w:asciiTheme="majorHAnsi" w:hAnsiTheme="majorHAnsi"/>
          <w:b/>
          <w:bCs/>
          <w:sz w:val="18"/>
          <w:szCs w:val="18"/>
          <w:lang w:val="nl"/>
        </w:rPr>
        <w:t xml:space="preserve">Dr. Sascha Kieback </w:t>
      </w:r>
      <w:r>
        <w:rPr>
          <w:rFonts w:asciiTheme="majorHAnsi" w:hAnsiTheme="majorHAnsi"/>
          <w:b/>
          <w:bCs/>
          <w:sz w:val="18"/>
          <w:szCs w:val="18"/>
          <w:lang w:val="nl"/>
        </w:rPr>
        <w:tab/>
        <w:t>Hanna Philipps</w:t>
      </w:r>
    </w:p>
    <w:p w14:paraId="166A522C" w14:textId="196B8B93" w:rsidR="00292C23" w:rsidRPr="00292C23" w:rsidRDefault="00292C23" w:rsidP="00292C23">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hAnsiTheme="majorHAnsi"/>
          <w:sz w:val="18"/>
          <w:lang w:val="nl"/>
        </w:rPr>
        <w:t>Tel.:</w:t>
      </w:r>
      <w:r>
        <w:rPr>
          <w:rFonts w:asciiTheme="majorHAnsi" w:hAnsiTheme="majorHAnsi"/>
          <w:sz w:val="18"/>
          <w:lang w:val="nl"/>
        </w:rPr>
        <w:tab/>
        <w:t>+49 211 797 - 1810</w:t>
      </w:r>
      <w:r>
        <w:rPr>
          <w:rFonts w:asciiTheme="majorHAnsi" w:hAnsiTheme="majorHAnsi"/>
          <w:sz w:val="18"/>
          <w:lang w:val="nl"/>
        </w:rPr>
        <w:tab/>
        <w:t>Tel.:</w:t>
      </w:r>
      <w:r>
        <w:rPr>
          <w:rFonts w:asciiTheme="majorHAnsi" w:hAnsiTheme="majorHAnsi"/>
          <w:sz w:val="18"/>
          <w:lang w:val="nl"/>
        </w:rPr>
        <w:tab/>
        <w:t>+49 211 797 - 3626</w:t>
      </w:r>
    </w:p>
    <w:p w14:paraId="07DF2F50" w14:textId="54BB1142" w:rsidR="00292C23" w:rsidRDefault="00292C23" w:rsidP="00292C23">
      <w:pPr>
        <w:tabs>
          <w:tab w:val="left" w:pos="709"/>
          <w:tab w:val="left" w:pos="4500"/>
          <w:tab w:val="left" w:pos="5245"/>
        </w:tabs>
        <w:spacing w:line="264" w:lineRule="auto"/>
      </w:pPr>
      <w:r>
        <w:rPr>
          <w:rFonts w:asciiTheme="majorHAnsi" w:hAnsiTheme="majorHAnsi"/>
          <w:sz w:val="18"/>
          <w:lang w:val="nl"/>
        </w:rPr>
        <w:t xml:space="preserve">E-mail: </w:t>
      </w:r>
      <w:r>
        <w:rPr>
          <w:lang w:val="nl"/>
        </w:rPr>
        <w:tab/>
      </w:r>
      <w:r>
        <w:rPr>
          <w:rFonts w:asciiTheme="majorHAnsi" w:hAnsiTheme="majorHAnsi"/>
          <w:color w:val="0000FF"/>
          <w:sz w:val="18"/>
          <w:szCs w:val="18"/>
          <w:u w:val="single"/>
          <w:lang w:val="nl"/>
        </w:rPr>
        <w:t>sascha.kieback@henkel.com</w:t>
      </w:r>
      <w:r>
        <w:rPr>
          <w:lang w:val="nl"/>
        </w:rPr>
        <w:tab/>
      </w:r>
      <w:r>
        <w:rPr>
          <w:rFonts w:asciiTheme="majorHAnsi" w:hAnsiTheme="majorHAnsi"/>
          <w:sz w:val="18"/>
          <w:lang w:val="nl"/>
        </w:rPr>
        <w:t>E-mail:</w:t>
      </w:r>
      <w:r>
        <w:rPr>
          <w:lang w:val="nl"/>
        </w:rPr>
        <w:tab/>
      </w:r>
      <w:hyperlink r:id="rId17" w:history="1">
        <w:r>
          <w:rPr>
            <w:rStyle w:val="Hyperlink"/>
            <w:rFonts w:asciiTheme="majorHAnsi" w:eastAsia="PMingLiU" w:hAnsiTheme="majorHAnsi" w:cs="Calibri Light"/>
            <w:lang w:val="nl"/>
          </w:rPr>
          <w:t>hanna.philipps@henkel.com</w:t>
        </w:r>
      </w:hyperlink>
    </w:p>
    <w:p w14:paraId="4A7B1502" w14:textId="77777777" w:rsidR="00DC34C4" w:rsidRDefault="00DC34C4" w:rsidP="00292C23">
      <w:pPr>
        <w:tabs>
          <w:tab w:val="left" w:pos="709"/>
          <w:tab w:val="left" w:pos="4500"/>
          <w:tab w:val="left" w:pos="5245"/>
        </w:tabs>
        <w:spacing w:line="264" w:lineRule="auto"/>
      </w:pPr>
    </w:p>
    <w:p w14:paraId="098FF90B" w14:textId="77777777"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eastAsia="PMingLiU" w:hAnsiTheme="majorHAnsi" w:cs="Calibri Light"/>
          <w:b/>
          <w:bCs/>
          <w:sz w:val="18"/>
          <w:szCs w:val="18"/>
          <w:lang w:val="nl"/>
        </w:rPr>
        <w:t>Jennifer Ott</w:t>
      </w:r>
      <w:r>
        <w:rPr>
          <w:rFonts w:asciiTheme="majorHAnsi" w:eastAsia="PMingLiU" w:hAnsiTheme="majorHAnsi" w:cs="Calibri Light"/>
          <w:sz w:val="18"/>
          <w:szCs w:val="18"/>
          <w:lang w:val="nl"/>
        </w:rPr>
        <w:tab/>
      </w:r>
    </w:p>
    <w:p w14:paraId="7351D5F6" w14:textId="02970C40"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sz w:val="18"/>
          <w:szCs w:val="18"/>
        </w:rPr>
      </w:pPr>
      <w:r>
        <w:rPr>
          <w:rFonts w:asciiTheme="majorHAnsi" w:eastAsia="PMingLiU" w:hAnsiTheme="majorHAnsi" w:cs="Calibri Light"/>
          <w:sz w:val="18"/>
          <w:szCs w:val="18"/>
          <w:lang w:val="nl"/>
        </w:rPr>
        <w:t xml:space="preserve">Tel.: </w:t>
      </w:r>
      <w:r>
        <w:rPr>
          <w:rFonts w:asciiTheme="majorHAnsi" w:eastAsia="PMingLiU" w:hAnsiTheme="majorHAnsi" w:cs="Calibri Light"/>
          <w:sz w:val="18"/>
          <w:szCs w:val="18"/>
          <w:lang w:val="nl"/>
        </w:rPr>
        <w:tab/>
        <w:t>+49 211 797 - 2756</w:t>
      </w:r>
      <w:r>
        <w:rPr>
          <w:rFonts w:asciiTheme="majorHAnsi" w:eastAsia="PMingLiU" w:hAnsiTheme="majorHAnsi" w:cs="Calibri Light"/>
          <w:sz w:val="18"/>
          <w:szCs w:val="18"/>
          <w:lang w:val="nl"/>
        </w:rPr>
        <w:tab/>
      </w:r>
    </w:p>
    <w:p w14:paraId="258A3CB3" w14:textId="63FFC625"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color w:val="0000FF"/>
          <w:sz w:val="18"/>
          <w:szCs w:val="18"/>
          <w:u w:val="single"/>
        </w:rPr>
      </w:pPr>
      <w:r>
        <w:rPr>
          <w:rFonts w:asciiTheme="majorHAnsi" w:eastAsia="PMingLiU" w:hAnsiTheme="majorHAnsi" w:cs="Calibri Light"/>
          <w:sz w:val="18"/>
          <w:szCs w:val="18"/>
          <w:lang w:val="nl"/>
        </w:rPr>
        <w:t xml:space="preserve">E-mail: </w:t>
      </w:r>
      <w:r>
        <w:rPr>
          <w:rFonts w:asciiTheme="majorHAnsi" w:eastAsia="PMingLiU" w:hAnsiTheme="majorHAnsi" w:cs="Calibri Light"/>
          <w:sz w:val="18"/>
          <w:szCs w:val="18"/>
          <w:lang w:val="nl"/>
        </w:rPr>
        <w:tab/>
      </w:r>
      <w:hyperlink r:id="rId18" w:history="1">
        <w:r>
          <w:rPr>
            <w:rFonts w:asciiTheme="majorHAnsi" w:eastAsia="PMingLiU" w:hAnsiTheme="majorHAnsi" w:cs="Calibri Light"/>
            <w:color w:val="0000FF"/>
            <w:sz w:val="18"/>
            <w:szCs w:val="18"/>
            <w:u w:val="single"/>
            <w:lang w:val="nl"/>
          </w:rPr>
          <w:t>jennifer.ott@henkel.com</w:t>
        </w:r>
      </w:hyperlink>
    </w:p>
    <w:p w14:paraId="1826D4ED" w14:textId="77777777" w:rsidR="00292C23" w:rsidRPr="001F3E04" w:rsidRDefault="00292C23" w:rsidP="00292C23">
      <w:pPr>
        <w:tabs>
          <w:tab w:val="left" w:pos="709"/>
          <w:tab w:val="left" w:pos="4500"/>
          <w:tab w:val="left" w:pos="5245"/>
        </w:tabs>
        <w:spacing w:line="264" w:lineRule="auto"/>
        <w:rPr>
          <w:rFonts w:asciiTheme="majorHAnsi" w:hAnsiTheme="majorHAnsi" w:cs="Calibri Light"/>
          <w:sz w:val="16"/>
          <w:szCs w:val="16"/>
        </w:rPr>
      </w:pPr>
    </w:p>
    <w:p w14:paraId="24C338CE" w14:textId="77777777" w:rsidR="00292C23" w:rsidRPr="001F3E04" w:rsidRDefault="00292C23" w:rsidP="00292C23">
      <w:pPr>
        <w:tabs>
          <w:tab w:val="left" w:pos="1080"/>
          <w:tab w:val="left" w:pos="4500"/>
        </w:tabs>
        <w:spacing w:line="264" w:lineRule="auto"/>
      </w:pPr>
      <w:hyperlink r:id="rId19" w:history="1">
        <w:r>
          <w:rPr>
            <w:rFonts w:asciiTheme="majorHAnsi" w:hAnsiTheme="majorHAnsi" w:cs="Calibri Light"/>
            <w:color w:val="0000FF"/>
            <w:sz w:val="18"/>
            <w:szCs w:val="18"/>
            <w:u w:val="single"/>
            <w:lang w:val="nl"/>
          </w:rPr>
          <w:t>www.henkel.com/press</w:t>
        </w:r>
      </w:hyperlink>
    </w:p>
    <w:p w14:paraId="23552B25" w14:textId="719090A7" w:rsidR="00A15D78" w:rsidRPr="001F3E04" w:rsidRDefault="00292C23" w:rsidP="00997239">
      <w:pPr>
        <w:tabs>
          <w:tab w:val="left" w:pos="1080"/>
          <w:tab w:val="left" w:pos="4500"/>
        </w:tabs>
        <w:spacing w:line="264" w:lineRule="auto"/>
        <w:rPr>
          <w:rStyle w:val="Hyperlink"/>
        </w:rPr>
      </w:pPr>
      <w:hyperlink r:id="rId20" w:history="1">
        <w:r>
          <w:rPr>
            <w:rFonts w:asciiTheme="majorHAnsi" w:hAnsiTheme="majorHAnsi" w:cs="Calibri Light"/>
            <w:color w:val="0000FF"/>
            <w:sz w:val="18"/>
            <w:szCs w:val="18"/>
            <w:u w:val="single"/>
            <w:lang w:val="nl"/>
          </w:rPr>
          <w:t>www.henkel.com/ir</w:t>
        </w:r>
      </w:hyperlink>
    </w:p>
    <w:sectPr w:rsidR="00A15D78" w:rsidRPr="001F3E04" w:rsidSect="00C65957">
      <w:headerReference w:type="even" r:id="rId21"/>
      <w:footerReference w:type="default" r:id="rId22"/>
      <w:headerReference w:type="first" r:id="rId23"/>
      <w:footerReference w:type="first" r:id="rId24"/>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091A42" w14:textId="77777777" w:rsidR="00FD1E33" w:rsidRDefault="00FD1E33">
      <w:r>
        <w:separator/>
      </w:r>
    </w:p>
  </w:endnote>
  <w:endnote w:type="continuationSeparator" w:id="0">
    <w:p w14:paraId="7F38A68F" w14:textId="77777777" w:rsidR="00FD1E33" w:rsidRDefault="00FD1E33">
      <w:r>
        <w:continuationSeparator/>
      </w:r>
    </w:p>
  </w:endnote>
  <w:endnote w:type="continuationNotice" w:id="1">
    <w:p w14:paraId="21084BE7" w14:textId="77777777" w:rsidR="00FD1E33" w:rsidRDefault="00FD1E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7D10C9" w14:textId="374CEDE3" w:rsidR="00CF6F33" w:rsidRPr="00112A28" w:rsidRDefault="00112A28" w:rsidP="00112A28">
    <w:pPr>
      <w:pStyle w:val="Footer"/>
      <w:tabs>
        <w:tab w:val="clear" w:pos="7083"/>
        <w:tab w:val="clear" w:pos="8640"/>
        <w:tab w:val="right" w:pos="9071"/>
      </w:tabs>
      <w:jc w:val="both"/>
    </w:pPr>
    <w:r>
      <w:rPr>
        <w:bCs w:val="0"/>
        <w:lang w:val="nl"/>
      </w:rPr>
      <w:t>Henkel AG &amp; Co. KGaA</w:t>
    </w:r>
    <w:r>
      <w:rPr>
        <w:bCs w:val="0"/>
        <w:lang w:val="nl"/>
      </w:rPr>
      <w:tab/>
      <w:t xml:space="preserve">Pagina </w:t>
    </w:r>
    <w:r>
      <w:rPr>
        <w:bCs w:val="0"/>
        <w:lang w:val="nl"/>
      </w:rPr>
      <w:fldChar w:fldCharType="begin"/>
    </w:r>
    <w:r>
      <w:rPr>
        <w:bCs w:val="0"/>
        <w:lang w:val="nl"/>
      </w:rPr>
      <w:instrText xml:space="preserve"> PAGE  \* Arabic  \* MERGEFORMAT </w:instrText>
    </w:r>
    <w:r>
      <w:rPr>
        <w:bCs w:val="0"/>
        <w:lang w:val="nl"/>
      </w:rPr>
      <w:fldChar w:fldCharType="separate"/>
    </w:r>
    <w:r>
      <w:rPr>
        <w:bCs w:val="0"/>
        <w:lang w:val="nl"/>
      </w:rPr>
      <w:t>2</w:t>
    </w:r>
    <w:r>
      <w:rPr>
        <w:bCs w:val="0"/>
        <w:lang w:val="nl"/>
      </w:rPr>
      <w:fldChar w:fldCharType="end"/>
    </w:r>
    <w:r>
      <w:rPr>
        <w:bCs w:val="0"/>
        <w:lang w:val="nl"/>
      </w:rPr>
      <w:t>/</w:t>
    </w:r>
    <w:fldSimple w:instr="NUMPAGES  \* Arabic  \* MERGEFORMAT">
      <w:r>
        <w:rPr>
          <w:bCs w:val="0"/>
          <w:lang w:val="nl"/>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A058E" w14:textId="4A77F117" w:rsidR="00CF6F33" w:rsidRPr="00992A11" w:rsidRDefault="00C016CC" w:rsidP="00992A11">
    <w:pPr>
      <w:pStyle w:val="Footer"/>
    </w:pPr>
    <w:r>
      <w:rPr>
        <w:bCs w:val="0"/>
        <w:sz w:val="24"/>
        <w:lang w:val="nl"/>
      </w:rPr>
      <mc:AlternateContent>
        <mc:Choice Requires="wps">
          <w:drawing>
            <wp:anchor distT="45720" distB="45720" distL="114300" distR="114300" simplePos="0" relativeHeight="251660290"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C016CC" w:rsidRPr="00CF56F5" w:rsidRDefault="00C016CC" w:rsidP="00C016CC">
                          <w:pPr>
                            <w:pStyle w:val="He04Funote"/>
                            <w:rPr>
                              <w:sz w:val="12"/>
                              <w:szCs w:val="12"/>
                            </w:rPr>
                          </w:pPr>
                          <w:r>
                            <w:rPr>
                              <w:sz w:val="12"/>
                              <w:szCs w:val="12"/>
                              <w:lang w:val="nl"/>
                            </w:rPr>
                            <w:t>* Aangepast voor eenmalige kosten en inkomsten, en voor herstructureringskosten.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7" type="#_x0000_t202" style="position:absolute;left:0;text-align:left;margin-left:0;margin-top:3.55pt;width:426.3pt;height:18.3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77777777" w:rsidR="00C016CC" w:rsidRPr="00CF56F5" w:rsidRDefault="00C016CC" w:rsidP="00C016CC">
                    <w:pPr>
                      <w:pStyle w:val="He04Funote"/>
                      <w:rPr>
                        <w:sz w:val="12"/>
                        <w:szCs w:val="12"/>
                      </w:rPr>
                      <w:bidi w:val="0"/>
                    </w:pPr>
                    <w:r>
                      <w:rPr>
                        <w:sz w:val="12"/>
                        <w:szCs w:val="12"/>
                        <w:lang w:val="nl"/>
                        <w:b w:val="0"/>
                        <w:bCs w:val="0"/>
                        <w:i w:val="0"/>
                        <w:iCs w:val="0"/>
                        <w:u w:val="none"/>
                        <w:vertAlign w:val="baseline"/>
                        <w:rtl w:val="0"/>
                      </w:rPr>
                      <w:t xml:space="preserve">* Aangepast voor eenmalige kosten en inkomsten, en voor herstructureringskosten.</w:t>
                    </w:r>
                  </w:p>
                </w:txbxContent>
              </v:textbox>
              <w10:wrap anchorx="margin"/>
            </v:shape>
          </w:pict>
        </mc:Fallback>
      </mc:AlternateContent>
    </w:r>
    <w:r>
      <w:rPr>
        <w:bCs w:val="0"/>
        <w:lang w:val="nl"/>
      </w:rPr>
      <w:drawing>
        <wp:anchor distT="0" distB="0" distL="114300" distR="114300" simplePos="0" relativeHeight="251658242" behindDoc="0" locked="0" layoutInCell="1" allowOverlap="1" wp14:anchorId="134B6F6F" wp14:editId="687DE7DE">
          <wp:simplePos x="0" y="0"/>
          <wp:positionH relativeFrom="column">
            <wp:posOffset>0</wp:posOffset>
          </wp:positionH>
          <wp:positionV relativeFrom="paragraph">
            <wp:posOffset>-365833</wp:posOffset>
          </wp:positionV>
          <wp:extent cx="4967544" cy="407963"/>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14:sizeRelH relativeFrom="page">
            <wp14:pctWidth>0</wp14:pctWidth>
          </wp14:sizeRelH>
          <wp14:sizeRelV relativeFrom="page">
            <wp14:pctHeight>0</wp14:pctHeight>
          </wp14:sizeRelV>
        </wp:anchor>
      </w:drawing>
    </w:r>
    <w:r>
      <w:rPr>
        <w:bCs w:val="0"/>
        <w:lang w:val="nl"/>
      </w:rPr>
      <w:t xml:space="preserve">Pagina </w:t>
    </w:r>
    <w:r>
      <w:rPr>
        <w:bCs w:val="0"/>
        <w:lang w:val="nl"/>
      </w:rPr>
      <w:fldChar w:fldCharType="begin"/>
    </w:r>
    <w:r>
      <w:rPr>
        <w:bCs w:val="0"/>
        <w:lang w:val="nl"/>
      </w:rPr>
      <w:instrText xml:space="preserve"> PAGE  \* Arabic  \* MERGEFORMAT </w:instrText>
    </w:r>
    <w:r>
      <w:rPr>
        <w:bCs w:val="0"/>
        <w:lang w:val="nl"/>
      </w:rPr>
      <w:fldChar w:fldCharType="separate"/>
    </w:r>
    <w:r>
      <w:rPr>
        <w:bCs w:val="0"/>
        <w:lang w:val="nl"/>
      </w:rPr>
      <w:t>1</w:t>
    </w:r>
    <w:r>
      <w:rPr>
        <w:bCs w:val="0"/>
        <w:lang w:val="nl"/>
      </w:rPr>
      <w:fldChar w:fldCharType="end"/>
    </w:r>
    <w:r>
      <w:rPr>
        <w:bCs w:val="0"/>
        <w:lang w:val="nl"/>
      </w:rPr>
      <w:t>/</w:t>
    </w:r>
    <w:r>
      <w:rPr>
        <w:bCs w:val="0"/>
        <w:lang w:val="nl"/>
      </w:rPr>
      <w:fldChar w:fldCharType="begin"/>
    </w:r>
    <w:r>
      <w:rPr>
        <w:bCs w:val="0"/>
        <w:lang w:val="nl"/>
      </w:rPr>
      <w:instrText xml:space="preserve"> NUMPAGES  \* Arabic  \* MERGEFORMAT </w:instrText>
    </w:r>
    <w:r>
      <w:rPr>
        <w:bCs w:val="0"/>
        <w:lang w:val="nl"/>
      </w:rPr>
      <w:fldChar w:fldCharType="separate"/>
    </w:r>
    <w:r>
      <w:rPr>
        <w:bCs w:val="0"/>
        <w:lang w:val="nl"/>
      </w:rPr>
      <w:t>1</w:t>
    </w:r>
    <w:r>
      <w:rPr>
        <w:bCs w:val="0"/>
        <w:lang w:va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C2D034" w14:textId="77777777" w:rsidR="00FD1E33" w:rsidRDefault="00FD1E33">
      <w:r>
        <w:separator/>
      </w:r>
    </w:p>
  </w:footnote>
  <w:footnote w:type="continuationSeparator" w:id="0">
    <w:p w14:paraId="4C692869" w14:textId="77777777" w:rsidR="00FD1E33" w:rsidRDefault="00FD1E33">
      <w:r>
        <w:continuationSeparator/>
      </w:r>
    </w:p>
  </w:footnote>
  <w:footnote w:type="continuationNotice" w:id="1">
    <w:p w14:paraId="29A0572E" w14:textId="77777777" w:rsidR="00FD1E33" w:rsidRDefault="00FD1E33">
      <w:pPr>
        <w:spacing w:line="240" w:lineRule="auto"/>
      </w:pPr>
    </w:p>
  </w:footnote>
  <w:footnote w:id="2">
    <w:p w14:paraId="798A1A37" w14:textId="79A404DD" w:rsidR="00C76008" w:rsidRPr="00C76008" w:rsidRDefault="00C76008" w:rsidP="00C76008">
      <w:pPr>
        <w:pStyle w:val="FootnoteText"/>
        <w:rPr>
          <w:sz w:val="18"/>
          <w:szCs w:val="16"/>
        </w:rPr>
      </w:pPr>
      <w:r>
        <w:rPr>
          <w:rStyle w:val="FootnoteReference"/>
          <w:sz w:val="18"/>
          <w:szCs w:val="16"/>
          <w:lang w:val="nl"/>
        </w:rPr>
        <w:footnoteRef/>
      </w:r>
      <w:r>
        <w:rPr>
          <w:sz w:val="18"/>
          <w:szCs w:val="16"/>
          <w:lang w:val="nl"/>
        </w:rPr>
        <w:t xml:space="preserve"> Met inbegrip van de overname van de Stahl Group, die nog niet werd afgerond.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86010" w14:textId="05DAD93D" w:rsidR="00CF6F33" w:rsidRPr="00EB46D9" w:rsidRDefault="0059722C" w:rsidP="00EB46D9">
    <w:pPr>
      <w:pStyle w:val="Header"/>
    </w:pPr>
    <w:r>
      <w:rPr>
        <w:b w:val="0"/>
        <w:bCs w:val="0"/>
        <w:noProof/>
        <w:lang w:val="nl"/>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lang w:val="nl"/>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5C8350C8"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Pr>
        <w:noProof/>
        <w:lang w:val="nl"/>
      </w:rPr>
      <w:t>Persbericht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1322993">
    <w:abstractNumId w:val="1"/>
  </w:num>
  <w:num w:numId="2" w16cid:durableId="165293174">
    <w:abstractNumId w:val="0"/>
  </w:num>
  <w:num w:numId="3" w16cid:durableId="1508134485">
    <w:abstractNumId w:val="7"/>
  </w:num>
  <w:num w:numId="4" w16cid:durableId="1234970366">
    <w:abstractNumId w:val="4"/>
  </w:num>
  <w:num w:numId="5" w16cid:durableId="1008554684">
    <w:abstractNumId w:val="2"/>
  </w:num>
  <w:num w:numId="6" w16cid:durableId="933825870">
    <w:abstractNumId w:val="5"/>
  </w:num>
  <w:num w:numId="7" w16cid:durableId="912852597">
    <w:abstractNumId w:val="3"/>
  </w:num>
  <w:num w:numId="8" w16cid:durableId="162569852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18FC"/>
    <w:rsid w:val="00062741"/>
    <w:rsid w:val="0006442E"/>
    <w:rsid w:val="00065466"/>
    <w:rsid w:val="000665F3"/>
    <w:rsid w:val="00066A9C"/>
    <w:rsid w:val="00067071"/>
    <w:rsid w:val="00067F67"/>
    <w:rsid w:val="00070652"/>
    <w:rsid w:val="00070757"/>
    <w:rsid w:val="00071284"/>
    <w:rsid w:val="0007275A"/>
    <w:rsid w:val="00073AED"/>
    <w:rsid w:val="000751A7"/>
    <w:rsid w:val="000759DC"/>
    <w:rsid w:val="0007746E"/>
    <w:rsid w:val="00077AF9"/>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50A1"/>
    <w:rsid w:val="000C56DD"/>
    <w:rsid w:val="000C63F4"/>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E0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1344"/>
    <w:rsid w:val="002C252E"/>
    <w:rsid w:val="002C3A2A"/>
    <w:rsid w:val="002C458A"/>
    <w:rsid w:val="002C6093"/>
    <w:rsid w:val="002C6552"/>
    <w:rsid w:val="002C672A"/>
    <w:rsid w:val="002C6773"/>
    <w:rsid w:val="002C6F51"/>
    <w:rsid w:val="002C73EC"/>
    <w:rsid w:val="002D0FE0"/>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E2F"/>
    <w:rsid w:val="002E7DED"/>
    <w:rsid w:val="002F0334"/>
    <w:rsid w:val="002F2A7B"/>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37C0"/>
    <w:rsid w:val="004138F3"/>
    <w:rsid w:val="00420F5B"/>
    <w:rsid w:val="00421F20"/>
    <w:rsid w:val="0042238F"/>
    <w:rsid w:val="00423B63"/>
    <w:rsid w:val="00427BEA"/>
    <w:rsid w:val="00430120"/>
    <w:rsid w:val="004313E7"/>
    <w:rsid w:val="00432542"/>
    <w:rsid w:val="004339B2"/>
    <w:rsid w:val="00437F32"/>
    <w:rsid w:val="00440E7A"/>
    <w:rsid w:val="004433D5"/>
    <w:rsid w:val="0044344E"/>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DBE"/>
    <w:rsid w:val="00495CE6"/>
    <w:rsid w:val="00497D5E"/>
    <w:rsid w:val="00497EB9"/>
    <w:rsid w:val="004A144D"/>
    <w:rsid w:val="004A1D27"/>
    <w:rsid w:val="004A2176"/>
    <w:rsid w:val="004A2703"/>
    <w:rsid w:val="004A323C"/>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7BE2"/>
    <w:rsid w:val="004E7E3A"/>
    <w:rsid w:val="004F10C1"/>
    <w:rsid w:val="004F1A34"/>
    <w:rsid w:val="004F1C5E"/>
    <w:rsid w:val="004F3032"/>
    <w:rsid w:val="004F3E47"/>
    <w:rsid w:val="004F4CC8"/>
    <w:rsid w:val="004F4F5A"/>
    <w:rsid w:val="004F51FF"/>
    <w:rsid w:val="004F5AD9"/>
    <w:rsid w:val="0050159C"/>
    <w:rsid w:val="005022B7"/>
    <w:rsid w:val="00502E62"/>
    <w:rsid w:val="005044C2"/>
    <w:rsid w:val="00506B8A"/>
    <w:rsid w:val="005110D3"/>
    <w:rsid w:val="00511161"/>
    <w:rsid w:val="00512222"/>
    <w:rsid w:val="0051413C"/>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2077F"/>
    <w:rsid w:val="00621BC7"/>
    <w:rsid w:val="00622033"/>
    <w:rsid w:val="0062460B"/>
    <w:rsid w:val="00630644"/>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4F48"/>
    <w:rsid w:val="00705B35"/>
    <w:rsid w:val="00705BBE"/>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D8"/>
    <w:rsid w:val="007C0646"/>
    <w:rsid w:val="007C0ED6"/>
    <w:rsid w:val="007C1ACD"/>
    <w:rsid w:val="007C1E5E"/>
    <w:rsid w:val="007C1E9D"/>
    <w:rsid w:val="007C3AE3"/>
    <w:rsid w:val="007C6C51"/>
    <w:rsid w:val="007D0000"/>
    <w:rsid w:val="007D2A02"/>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7082E"/>
    <w:rsid w:val="008712FE"/>
    <w:rsid w:val="0087142D"/>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5C"/>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4FAA"/>
    <w:rsid w:val="00906292"/>
    <w:rsid w:val="0091352F"/>
    <w:rsid w:val="00914B5B"/>
    <w:rsid w:val="009152B8"/>
    <w:rsid w:val="00917162"/>
    <w:rsid w:val="009172B9"/>
    <w:rsid w:val="009178AA"/>
    <w:rsid w:val="00920430"/>
    <w:rsid w:val="00920544"/>
    <w:rsid w:val="00921C0C"/>
    <w:rsid w:val="00923001"/>
    <w:rsid w:val="0092358D"/>
    <w:rsid w:val="009238BF"/>
    <w:rsid w:val="009251CC"/>
    <w:rsid w:val="0092680D"/>
    <w:rsid w:val="0092714E"/>
    <w:rsid w:val="00927661"/>
    <w:rsid w:val="00931E24"/>
    <w:rsid w:val="009324F0"/>
    <w:rsid w:val="00933130"/>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42D5"/>
    <w:rsid w:val="00A87870"/>
    <w:rsid w:val="00A903F3"/>
    <w:rsid w:val="00A90F18"/>
    <w:rsid w:val="00A90FF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5A37"/>
    <w:rsid w:val="00AD6B50"/>
    <w:rsid w:val="00AE05A4"/>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1117"/>
    <w:rsid w:val="00B614C0"/>
    <w:rsid w:val="00B61EBB"/>
    <w:rsid w:val="00B634AB"/>
    <w:rsid w:val="00B63624"/>
    <w:rsid w:val="00B671E3"/>
    <w:rsid w:val="00B7037B"/>
    <w:rsid w:val="00B719F6"/>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D9"/>
    <w:rsid w:val="00B91786"/>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2248"/>
    <w:rsid w:val="00D04429"/>
    <w:rsid w:val="00D04B47"/>
    <w:rsid w:val="00D04E37"/>
    <w:rsid w:val="00D063B8"/>
    <w:rsid w:val="00D06825"/>
    <w:rsid w:val="00D0702E"/>
    <w:rsid w:val="00D07467"/>
    <w:rsid w:val="00D076E6"/>
    <w:rsid w:val="00D1044F"/>
    <w:rsid w:val="00D106BD"/>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7D48"/>
    <w:rsid w:val="00DD0253"/>
    <w:rsid w:val="00DD145A"/>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D03"/>
    <w:rsid w:val="00F64EFA"/>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521"/>
    <w:rsid w:val="00FB610D"/>
    <w:rsid w:val="00FB626E"/>
    <w:rsid w:val="00FB6CA8"/>
    <w:rsid w:val="00FC1E4C"/>
    <w:rsid w:val="00FC4477"/>
    <w:rsid w:val="00FC46FB"/>
    <w:rsid w:val="00FC4DD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uiPriority w:val="99"/>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styleId="ListParagraph">
    <w:name w:val="List Paragraph"/>
    <w:basedOn w:val="Normal"/>
    <w:uiPriority w:val="1"/>
    <w:qFormat/>
    <w:rsid w:val="00635616"/>
    <w:pPr>
      <w:ind w:left="720"/>
      <w:contextualSpacing/>
    </w:pPr>
  </w:style>
  <w:style w:type="character" w:styleId="CommentReference">
    <w:name w:val="annotation reference"/>
    <w:rsid w:val="00846017"/>
    <w:rPr>
      <w:sz w:val="16"/>
      <w:szCs w:val="16"/>
    </w:rPr>
  </w:style>
  <w:style w:type="paragraph" w:styleId="CommentText">
    <w:name w:val="annotation text"/>
    <w:basedOn w:val="Normal"/>
    <w:link w:val="CommentTextChar"/>
    <w:rsid w:val="00846017"/>
    <w:pPr>
      <w:spacing w:line="260" w:lineRule="atLeast"/>
      <w:jc w:val="left"/>
    </w:pPr>
    <w:rPr>
      <w:rFonts w:ascii="Arial" w:hAnsi="Arial"/>
      <w:sz w:val="20"/>
      <w:szCs w:val="20"/>
      <w:lang w:val="de-DE"/>
    </w:rPr>
  </w:style>
  <w:style w:type="character" w:customStyle="1" w:styleId="CommentTextChar">
    <w:name w:val="Comment Text Char"/>
    <w:basedOn w:val="DefaultParagraphFont"/>
    <w:link w:val="CommentText"/>
    <w:rsid w:val="00846017"/>
    <w:rPr>
      <w:rFonts w:ascii="Arial" w:hAnsi="Arial"/>
      <w:sz w:val="20"/>
      <w:szCs w:val="20"/>
      <w:lang w:val="de-DE"/>
    </w:rPr>
  </w:style>
  <w:style w:type="paragraph" w:styleId="CommentSubject">
    <w:name w:val="annotation subject"/>
    <w:basedOn w:val="CommentText"/>
    <w:next w:val="CommentText"/>
    <w:link w:val="CommentSubjectChar"/>
    <w:rsid w:val="0020528D"/>
    <w:pPr>
      <w:spacing w:line="240" w:lineRule="auto"/>
      <w:jc w:val="both"/>
    </w:pPr>
    <w:rPr>
      <w:rFonts w:ascii="Segoe UI" w:hAnsi="Segoe UI"/>
      <w:b/>
      <w:bCs/>
      <w:lang w:val="en-US"/>
    </w:rPr>
  </w:style>
  <w:style w:type="character" w:customStyle="1" w:styleId="CommentSubjectChar">
    <w:name w:val="Comment Subject Char"/>
    <w:basedOn w:val="CommentTextChar"/>
    <w:link w:val="CommentSubject"/>
    <w:rsid w:val="0020528D"/>
    <w:rPr>
      <w:rFonts w:ascii="Arial" w:hAnsi="Arial"/>
      <w:b/>
      <w:bCs/>
      <w:sz w:val="20"/>
      <w:szCs w:val="20"/>
      <w:lang w:val="de-DE"/>
    </w:rPr>
  </w:style>
  <w:style w:type="paragraph" w:styleId="Re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lang w:val="de-DE"/>
      <w14:numForm w14:val="lining"/>
    </w:rPr>
  </w:style>
  <w:style w:type="character" w:styleId="FootnoteReference">
    <w:name w:val="footnote reference"/>
    <w:basedOn w:val="DefaultParagraphFon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lang w:val="de-DE"/>
    </w:rPr>
  </w:style>
  <w:style w:type="character" w:customStyle="1" w:styleId="He05FettZchn">
    <w:name w:val="_He_05_Fett Zchn"/>
    <w:basedOn w:val="DefaultParagraphFont"/>
    <w:link w:val="He05Fett"/>
    <w:rsid w:val="00A92FCD"/>
    <w:rPr>
      <w:rFonts w:eastAsiaTheme="minorHAnsi" w:cstheme="minorBidi"/>
      <w:b/>
      <w:szCs w:val="22"/>
      <w:lang w:val="de-DE"/>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lang w:val="de-DE"/>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val="de-DE" w:eastAsia="de-DE"/>
    </w:rPr>
  </w:style>
  <w:style w:type="paragraph" w:styleId="FootnoteText">
    <w:name w:val="footnote text"/>
    <w:basedOn w:val="Normal"/>
    <w:link w:val="FootnoteTextChar"/>
    <w:uiPriority w:val="99"/>
    <w:unhideWhenUsed/>
    <w:rsid w:val="00C76008"/>
    <w:pPr>
      <w:spacing w:line="240" w:lineRule="auto"/>
      <w:jc w:val="left"/>
    </w:pPr>
    <w:rPr>
      <w:rFonts w:eastAsiaTheme="minorHAnsi" w:cstheme="minorBidi"/>
      <w:szCs w:val="20"/>
      <w:lang w:val="de-DE"/>
    </w:rPr>
  </w:style>
  <w:style w:type="character" w:customStyle="1" w:styleId="FootnoteTextChar">
    <w:name w:val="Footnote Text Char"/>
    <w:basedOn w:val="DefaultParagraphFont"/>
    <w:link w:val="FootnoteText"/>
    <w:uiPriority w:val="99"/>
    <w:rsid w:val="00C76008"/>
    <w:rPr>
      <w:rFonts w:eastAsiaTheme="minorHAnsi" w:cstheme="minorBidi"/>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eslie.iltgen@henkel.com" TargetMode="External"/><Relationship Id="rId18" Type="http://schemas.openxmlformats.org/officeDocument/2006/relationships/hyperlink" Target="mailto:jennifer.ott@henk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hyperlink" Target="mailto:hanna.philipps@henk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ulf.klueppelholz@henkel.com" TargetMode="External"/><Relationship Id="rId20" Type="http://schemas.openxmlformats.org/officeDocument/2006/relationships/hyperlink" Target="http://www.henkel.com/i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dennis.starke@henkel.com"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henkel.com/pr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rs.witteck@henkel.com"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3.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4.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C:\Users\frohng\AppData\Local\Temp\Temp1_Completed.zip\Completed\segoe-Henkel-press-release-template-2020-english.dotx</Template>
  <TotalTime>0</TotalTime>
  <Pages>8</Pages>
  <Words>2833</Words>
  <Characters>17694</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20487</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Irina Brunner</cp:lastModifiedBy>
  <cp:revision>4</cp:revision>
  <cp:lastPrinted>2026-02-11T08:17:00Z</cp:lastPrinted>
  <dcterms:created xsi:type="dcterms:W3CDTF">2026-08-05T12:57:00Z</dcterms:created>
  <dcterms:modified xsi:type="dcterms:W3CDTF">2026-08-07T11:29:00Z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ies>
</file>