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D5E39A" w14:textId="1620CBA6" w:rsidR="00B422EC" w:rsidRPr="002920E0" w:rsidRDefault="00081692" w:rsidP="00081692">
      <w:pPr>
        <w:pStyle w:val="MonthDayYear"/>
        <w:tabs>
          <w:tab w:val="left" w:pos="7371"/>
        </w:tabs>
        <w:jc w:val="left"/>
      </w:pPr>
      <w:r w:rsidRPr="002920E0">
        <w:tab/>
        <w:t xml:space="preserve">    6 août 2026</w:t>
      </w:r>
    </w:p>
    <w:p w14:paraId="166A9534" w14:textId="0E9371DF" w:rsidR="00497D5E" w:rsidRPr="002920E0" w:rsidRDefault="007A2FB6" w:rsidP="00790993">
      <w:pPr>
        <w:pStyle w:val="Topline"/>
        <w:spacing w:after="240"/>
        <w:rPr>
          <w:rFonts w:asciiTheme="majorHAnsi" w:hAnsiTheme="majorHAnsi" w:cstheme="majorHAnsi"/>
        </w:rPr>
      </w:pPr>
      <w:bookmarkStart w:id="0" w:name="_Hlk190695874"/>
      <w:r w:rsidRPr="002920E0">
        <w:rPr>
          <w:rFonts w:asciiTheme="majorHAnsi" w:hAnsiTheme="majorHAnsi"/>
        </w:rPr>
        <w:t>Henkel poursuit son programme de croissance : investissements dans les marques, innovation et fusions-acquisitions</w:t>
      </w:r>
    </w:p>
    <w:bookmarkEnd w:id="0"/>
    <w:p w14:paraId="3FE075DA" w14:textId="76F97B95" w:rsidR="00633B49" w:rsidRPr="002920E0" w:rsidRDefault="0012714C" w:rsidP="00C208E2">
      <w:pPr>
        <w:jc w:val="left"/>
        <w:rPr>
          <w:rStyle w:val="Headline"/>
          <w:rFonts w:asciiTheme="majorHAnsi" w:hAnsiTheme="majorHAnsi" w:cstheme="majorHAnsi"/>
        </w:rPr>
      </w:pPr>
      <w:r w:rsidRPr="002920E0">
        <w:rPr>
          <w:rStyle w:val="Headline"/>
          <w:rFonts w:asciiTheme="majorHAnsi" w:hAnsiTheme="majorHAnsi"/>
        </w:rPr>
        <w:t>Henkel enregistre de solides performances en termes de ventes et de bénéfices au premier semestre et revoit à la hausse ses prévisions de chiffre d'affaires pour 2026</w:t>
      </w:r>
    </w:p>
    <w:p w14:paraId="5E22EDC4" w14:textId="77777777" w:rsidR="00A54C2A" w:rsidRPr="002920E0" w:rsidRDefault="00A54C2A" w:rsidP="00C65957">
      <w:pPr>
        <w:spacing w:line="240" w:lineRule="auto"/>
        <w:jc w:val="left"/>
        <w:rPr>
          <w:sz w:val="16"/>
          <w:szCs w:val="16"/>
        </w:rPr>
      </w:pPr>
    </w:p>
    <w:p w14:paraId="55670377" w14:textId="7F0FACE7"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bookmarkStart w:id="1" w:name="_Hlk64363173"/>
      <w:bookmarkStart w:id="2" w:name="_Hlk43712519"/>
      <w:r w:rsidRPr="002920E0">
        <w:rPr>
          <w:rFonts w:asciiTheme="majorHAnsi" w:hAnsiTheme="majorHAnsi"/>
          <w:b/>
        </w:rPr>
        <w:t>Les ventes du Groupe au premier semestre de l'année ont enregistré une forte croissance organique de 3,2 %, atteignant 10,3 milliards d'euros</w:t>
      </w:r>
    </w:p>
    <w:p w14:paraId="6BFCBE6D" w14:textId="642AA32D" w:rsidR="00DC34C4" w:rsidRPr="002920E0" w:rsidRDefault="0087393A"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Forte croissance soutenue par une dynamique positive des prix et des volumes dans toutes les divisions</w:t>
      </w:r>
    </w:p>
    <w:p w14:paraId="5A223F67" w14:textId="41EEB7C6"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Le bénéfice d’exploitation (EBIT)* augmente pour atteindre 1 620 millions d’euros (+0,3 %)</w:t>
      </w:r>
    </w:p>
    <w:p w14:paraId="6EE72A28" w14:textId="6890DDDF"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Forte marge EBIT* de 15,7 % (+10 points de base), soutenue par les deux divisions, ce qui démontre la solidité des activités</w:t>
      </w:r>
    </w:p>
    <w:p w14:paraId="35493545" w14:textId="0741286E"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Bénéfice par action pr</w:t>
      </w:r>
      <w:r w:rsidR="00C87D17">
        <w:rPr>
          <w:rFonts w:asciiTheme="majorHAnsi" w:hAnsiTheme="majorHAnsi"/>
          <w:b/>
        </w:rPr>
        <w:t xml:space="preserve">ivilégiée </w:t>
      </w:r>
      <w:r w:rsidRPr="002920E0">
        <w:rPr>
          <w:rFonts w:asciiTheme="majorHAnsi" w:hAnsiTheme="majorHAnsi"/>
          <w:b/>
        </w:rPr>
        <w:t>(EPS)* passé à 2,86 euros, soit +7,1 % (à taux de change constant)</w:t>
      </w:r>
    </w:p>
    <w:p w14:paraId="55DDFC3A" w14:textId="35060543"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Mise en œuvre réussie de la stratégie de croissance par fusions et acquisitions au premier semestre de l'année, avec les premières contributions positives aux ventes et aux bénéfices en 2026</w:t>
      </w:r>
    </w:p>
    <w:bookmarkEnd w:id="1"/>
    <w:bookmarkEnd w:id="2"/>
    <w:p w14:paraId="1D293644" w14:textId="136E2BE2" w:rsidR="00DC34C4" w:rsidRPr="002920E0"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 xml:space="preserve">Prévisions pour l’exercice 2026 : Revue à la hausse des prévisions de chiffre d'affaires pour le Groupe et </w:t>
      </w:r>
      <w:proofErr w:type="spellStart"/>
      <w:r w:rsidRPr="002920E0">
        <w:rPr>
          <w:rFonts w:asciiTheme="majorHAnsi" w:hAnsiTheme="majorHAnsi"/>
          <w:b/>
        </w:rPr>
        <w:t>Adhesive</w:t>
      </w:r>
      <w:proofErr w:type="spellEnd"/>
      <w:r w:rsidRPr="002920E0">
        <w:rPr>
          <w:rFonts w:asciiTheme="majorHAnsi" w:hAnsiTheme="majorHAnsi"/>
          <w:b/>
        </w:rPr>
        <w:t xml:space="preserve"> Technologies</w:t>
      </w:r>
    </w:p>
    <w:p w14:paraId="5113870C" w14:textId="6CB987D0" w:rsidR="00DC34C4" w:rsidRPr="002920E0"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sidRPr="002920E0">
        <w:t>Croissance organique des ventes : 1,5 à 3,5 % (précédemment : 1,0 à 3,0 %)</w:t>
      </w:r>
    </w:p>
    <w:p w14:paraId="7530C7F9" w14:textId="581E6AEB" w:rsidR="00DC34C4" w:rsidRPr="002920E0"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sidRPr="002920E0">
        <w:t>Rentabilité ajustée des ventes : 14,5 à 16,0 %</w:t>
      </w:r>
    </w:p>
    <w:p w14:paraId="738D13D3" w14:textId="483DD2A0" w:rsidR="00DC34C4" w:rsidRPr="002920E0" w:rsidRDefault="00DC34C4" w:rsidP="00026124">
      <w:pPr>
        <w:pStyle w:val="ListParagraph"/>
        <w:widowControl w:val="0"/>
        <w:numPr>
          <w:ilvl w:val="1"/>
          <w:numId w:val="7"/>
        </w:numPr>
        <w:tabs>
          <w:tab w:val="left" w:pos="702"/>
        </w:tabs>
        <w:autoSpaceDE w:val="0"/>
        <w:autoSpaceDN w:val="0"/>
        <w:spacing w:before="113" w:line="240" w:lineRule="auto"/>
        <w:ind w:left="702"/>
        <w:contextualSpacing w:val="0"/>
        <w:jc w:val="left"/>
      </w:pPr>
      <w:r w:rsidRPr="002920E0">
        <w:t>Bénéfice ajusté par action privilégiée (EPS) : augmentation de l’ordre d’un pourcentage à un chiffre, dans le bas ou dans le haut de la fourchette (à taux d</w:t>
      </w:r>
      <w:r w:rsidR="00E63B67">
        <w:t>e change</w:t>
      </w:r>
      <w:r w:rsidRPr="002920E0">
        <w:t xml:space="preserve"> constants)</w:t>
      </w:r>
    </w:p>
    <w:p w14:paraId="0E973721" w14:textId="3F3EF3D0" w:rsidR="00D93B82" w:rsidRPr="002920E0" w:rsidRDefault="00D93B82" w:rsidP="00037396">
      <w:pPr>
        <w:rPr>
          <w:rFonts w:cs="Segoe UI"/>
          <w:b/>
          <w:bCs/>
          <w:szCs w:val="22"/>
        </w:rPr>
      </w:pPr>
    </w:p>
    <w:p w14:paraId="1F0E6762" w14:textId="6888926B" w:rsidR="002566B2" w:rsidRPr="002920E0" w:rsidRDefault="00F26F5F" w:rsidP="002566B2">
      <w:pPr>
        <w:rPr>
          <w:rFonts w:cs="Segoe UI"/>
          <w:szCs w:val="22"/>
        </w:rPr>
      </w:pPr>
      <w:r w:rsidRPr="002920E0">
        <w:lastRenderedPageBreak/>
        <w:t>Düsseldorf -</w:t>
      </w:r>
      <w:r w:rsidRPr="002920E0">
        <w:rPr>
          <w:b/>
        </w:rPr>
        <w:t xml:space="preserve"> </w:t>
      </w:r>
      <w:r w:rsidRPr="002920E0">
        <w:t xml:space="preserve">Henkel a enregistré une forte croissance organique de ses ventes et de très bons résultats au premier semestre 2026, malgré un environnement économique toujours très difficile. « La croissance organique des ventes a de nouveau été portée par les deux </w:t>
      </w:r>
      <w:r w:rsidR="00C41B43">
        <w:t>branches d’activités</w:t>
      </w:r>
      <w:r w:rsidRPr="002920E0">
        <w:t xml:space="preserve">, qui ont chacune enregistré une évolution positive des prix et des volumes. Dans la branche </w:t>
      </w:r>
      <w:proofErr w:type="spellStart"/>
      <w:r w:rsidRPr="002920E0">
        <w:t>Adhesive</w:t>
      </w:r>
      <w:proofErr w:type="spellEnd"/>
      <w:r w:rsidRPr="002920E0">
        <w:t xml:space="preserve"> Technologies, l'amélioration des ventes et des bénéfices a également été soutenue par l'exécution cohérente et rapide d'initiatives tarifaires visant à compenser la hausse des prix des matières premières », a déclaré Carsten Knobel,</w:t>
      </w:r>
      <w:r w:rsidR="0006594E">
        <w:t xml:space="preserve"> président du comité de direction</w:t>
      </w:r>
      <w:r w:rsidRPr="002920E0">
        <w:t xml:space="preserve"> de Henkel. « Au sein de </w:t>
      </w:r>
      <w:r w:rsidR="00C41B43">
        <w:t xml:space="preserve">la branche </w:t>
      </w:r>
      <w:r w:rsidRPr="002920E0">
        <w:t>Consumer Brands, l'activité Hair a maintenu sa très forte dynamique de croissance, tandis que l’activité Laundry Care a renoué avec la croissance. »</w:t>
      </w:r>
    </w:p>
    <w:p w14:paraId="341CB32D" w14:textId="06A0E23D" w:rsidR="002566B2" w:rsidRPr="002920E0" w:rsidRDefault="002566B2" w:rsidP="002566B2">
      <w:pPr>
        <w:rPr>
          <w:rFonts w:cs="Segoe UI"/>
          <w:szCs w:val="22"/>
        </w:rPr>
      </w:pPr>
    </w:p>
    <w:p w14:paraId="4C128449" w14:textId="264E4819" w:rsidR="002566B2" w:rsidRPr="002920E0" w:rsidRDefault="002566B2" w:rsidP="008530DF">
      <w:pPr>
        <w:rPr>
          <w:rFonts w:cs="Segoe UI"/>
          <w:szCs w:val="22"/>
        </w:rPr>
      </w:pPr>
      <w:r w:rsidRPr="002920E0">
        <w:t xml:space="preserve">« Nous mettons en œuvre notre stratégie de manière cohérente en mettant clairement l'accent sur une croissance ciblée, et nos résultats montrent le succès de cette approche. Au cours du premier semestre, nous avons enregistré de très bonnes performances commerciales dans l'ensemble, tout en continuant d'investir de manière significative dans notre avenir, notamment dans nos marques, nos technologies et nos innovations. En outre, nous avons considérablement accéléré nos activités de fusions et d'acquisitions. Nous avons </w:t>
      </w:r>
      <w:r w:rsidR="00EC4C1D">
        <w:t>annoncé</w:t>
      </w:r>
      <w:r w:rsidRPr="002920E0">
        <w:t xml:space="preserve"> cinq acquisitions d'une valeur totale d'environ 5 milliards d'euros, qui renforceront considérablement nos deux branches d’activité. Quatre de ces acquisitions ont déjà été finalisées. Au cours des prochaines années, les activités acquises devraient enregistrer une croissance supérieure à la moyenne, de l’ordre d</w:t>
      </w:r>
      <w:r w:rsidR="00B873CB">
        <w:t>u milieu au haut d’une fourchette d’un pourcentage à un chiffre,</w:t>
      </w:r>
      <w:r w:rsidRPr="002920E0">
        <w:t>, et générer environ 2 milliards d’euros de chiffre d’affaires annuel supplémentaire. Il s'agit d'une nouvelle étape importante dans la progression durable de notre programme de croissance », a poursuivi Carsten Knobel.</w:t>
      </w:r>
    </w:p>
    <w:p w14:paraId="68E01B8E" w14:textId="77777777" w:rsidR="002566B2" w:rsidRPr="002920E0" w:rsidRDefault="002566B2" w:rsidP="002566B2">
      <w:pPr>
        <w:rPr>
          <w:rFonts w:cs="Segoe UI"/>
          <w:szCs w:val="22"/>
        </w:rPr>
      </w:pPr>
    </w:p>
    <w:p w14:paraId="33735EE5" w14:textId="1A17EBBA" w:rsidR="002566B2" w:rsidRPr="002920E0" w:rsidRDefault="002566B2" w:rsidP="002566B2">
      <w:pPr>
        <w:rPr>
          <w:rFonts w:cs="Segoe UI"/>
          <w:szCs w:val="22"/>
        </w:rPr>
      </w:pPr>
      <w:r w:rsidRPr="002920E0">
        <w:t xml:space="preserve">« Compte tenu de nos bonnes performances au premier semestre, nous avons revu à la hausse nos prévisions de chiffre d'affaires, tant pour le Groupe que pour la branche d'activité </w:t>
      </w:r>
      <w:proofErr w:type="spellStart"/>
      <w:r w:rsidRPr="002920E0">
        <w:t>Adhesive</w:t>
      </w:r>
      <w:proofErr w:type="spellEnd"/>
      <w:r w:rsidRPr="002920E0">
        <w:t xml:space="preserve"> Technologies. Au niveau du Groupe, nous prévoyons désormais une croissance organique des ventes de 1,5 à 3,5 %, contre 1 à 3 % dans nos prévisions précédentes. Pour la branche d'activité </w:t>
      </w:r>
      <w:proofErr w:type="spellStart"/>
      <w:r w:rsidRPr="002920E0">
        <w:t>Adhesive</w:t>
      </w:r>
      <w:proofErr w:type="spellEnd"/>
      <w:r w:rsidRPr="002920E0">
        <w:t xml:space="preserve"> Technologies, nous avons revu à la hausse nos prévisions de croissance organique des ventes, qui passent de 1 à 3 % à 2 à 4 %. Ainsi, nous continuons de considérer que Henkel est sur la bonne voie pour générer une croissance durable et rentable. »</w:t>
      </w:r>
    </w:p>
    <w:p w14:paraId="59F5F4F0" w14:textId="77777777" w:rsidR="006D4D0C" w:rsidRPr="002920E0" w:rsidRDefault="006D4D0C" w:rsidP="001274FA">
      <w:pPr>
        <w:spacing w:after="120"/>
        <w:rPr>
          <w:rFonts w:cs="Segoe UI"/>
          <w:b/>
          <w:bCs/>
          <w:szCs w:val="22"/>
          <w:lang w:eastAsia="de-DE"/>
        </w:rPr>
      </w:pPr>
    </w:p>
    <w:p w14:paraId="2706BE4B" w14:textId="555EEA54" w:rsidR="000C47D1" w:rsidRPr="002920E0" w:rsidRDefault="006D4D0C" w:rsidP="001274FA">
      <w:pPr>
        <w:spacing w:after="120"/>
        <w:rPr>
          <w:rFonts w:cs="Segoe UI"/>
          <w:b/>
          <w:bCs/>
          <w:szCs w:val="22"/>
        </w:rPr>
      </w:pPr>
      <w:r w:rsidRPr="002920E0">
        <w:rPr>
          <w:b/>
        </w:rPr>
        <w:t>Évolution des ventes et des bénéfices du Groupe au premier semestre 2026</w:t>
      </w:r>
    </w:p>
    <w:p w14:paraId="0C3735E3" w14:textId="7B9A0418" w:rsidR="00E812A3" w:rsidRPr="002920E0" w:rsidRDefault="00C41B43" w:rsidP="00E812A3">
      <w:pPr>
        <w:rPr>
          <w:rFonts w:cs="Segoe UI"/>
          <w:szCs w:val="22"/>
        </w:rPr>
      </w:pPr>
      <w:r w:rsidRPr="002920E0">
        <w:rPr>
          <w:noProof/>
          <w:sz w:val="24"/>
        </w:rPr>
        <mc:AlternateContent>
          <mc:Choice Requires="wps">
            <w:drawing>
              <wp:anchor distT="45720" distB="45720" distL="114300" distR="114300" simplePos="0" relativeHeight="251656192" behindDoc="0" locked="0" layoutInCell="1" allowOverlap="1" wp14:anchorId="3117CDF1" wp14:editId="7CCE3D2B">
                <wp:simplePos x="0" y="0"/>
                <wp:positionH relativeFrom="margin">
                  <wp:posOffset>-245349</wp:posOffset>
                </wp:positionH>
                <wp:positionV relativeFrom="paragraph">
                  <wp:posOffset>1507188</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1C7" w14:textId="77777777" w:rsidR="00E810D3" w:rsidRPr="00CF56F5" w:rsidRDefault="00E810D3" w:rsidP="00E810D3">
                            <w:pPr>
                              <w:pStyle w:val="He04Funote"/>
                              <w:rPr>
                                <w:sz w:val="12"/>
                                <w:szCs w:val="12"/>
                              </w:rPr>
                            </w:pPr>
                            <w:r>
                              <w:rPr>
                                <w:sz w:val="12"/>
                              </w:rPr>
                              <w:t>* Ajusté pour tenir compte des dépenses et des revenus ponctuels, ainsi que des frais de restructuration.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7CDF1" id="_x0000_t202" coordsize="21600,21600" o:spt="202" path="m,l,21600r21600,l21600,xe">
                <v:stroke joinstyle="miter"/>
                <v:path gradientshapeok="t" o:connecttype="rect"/>
              </v:shapetype>
              <v:shape id="Textfeld 214901967" o:spid="_x0000_s1026" type="#_x0000_t202" style="position:absolute;left:0;text-align:left;margin-left:-19.3pt;margin-top:118.7pt;width:426.3pt;height:18.3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" stroked="f">
                <v:textbox>
                  <w:txbxContent>
                    <w:p w14:paraId="1E3A01C7" w14:textId="77777777" w:rsidR="00E810D3" w:rsidRPr="00CF56F5" w:rsidRDefault="00E810D3" w:rsidP="00E810D3">
                      <w:pPr>
                        <w:pStyle w:val="He04Funote"/>
                        <w:rPr>
                          <w:sz w:val="12"/>
                          <w:szCs w:val="12"/>
                        </w:rPr>
                      </w:pPr>
                      <w:r>
                        <w:rPr>
                          <w:sz w:val="12"/>
                        </w:rPr>
                        <w:t>* Ajusté pour tenir compte des dépenses et des revenus ponctuels, ainsi que des frais de restructuration.</w:t>
                      </w:r>
                    </w:p>
                  </w:txbxContent>
                </v:textbox>
                <w10:wrap anchorx="margin"/>
              </v:shape>
            </w:pict>
          </mc:Fallback>
        </mc:AlternateContent>
      </w:r>
      <w:r w:rsidR="00E812A3" w:rsidRPr="002920E0">
        <w:t xml:space="preserve">Henkel a réalisé un </w:t>
      </w:r>
      <w:r w:rsidR="00E812A3" w:rsidRPr="002920E0">
        <w:rPr>
          <w:b/>
        </w:rPr>
        <w:t>chiffre d’affaires</w:t>
      </w:r>
      <w:r w:rsidR="00E812A3" w:rsidRPr="002920E0">
        <w:t xml:space="preserve"> de 10 348 million</w:t>
      </w:r>
      <w:r w:rsidR="00C87D17">
        <w:t>s</w:t>
      </w:r>
      <w:r w:rsidR="00E812A3" w:rsidRPr="002920E0">
        <w:t xml:space="preserve"> d’euros au premier semestre 2026, soit une baisse nominale de 0,5 % (T2 : 5 396 millions d’euros, +4,6 %). Les effets de change ont diminué les ventes de -3,9 % (T2 : -2,6 %). Les acquisitions et les désinvestissements ont eu un impact légèrement positif sur les ventes de 0,2 % (T2 : +2,5 %). Bien que la cession de l’activité marques de distribut</w:t>
      </w:r>
      <w:r w:rsidR="000600A1">
        <w:t>eurs</w:t>
      </w:r>
      <w:r w:rsidR="00E812A3" w:rsidRPr="002920E0">
        <w:t xml:space="preserve"> en Amérique du Nord, intervenue en avril 2025, ait eu un </w:t>
      </w:r>
      <w:r w:rsidR="00E812A3" w:rsidRPr="002920E0">
        <w:lastRenderedPageBreak/>
        <w:t xml:space="preserve">impact défavorable, les acquisitions réalisées dans les divisions au premier semestre 2026 – en particulier ATP </w:t>
      </w:r>
      <w:proofErr w:type="spellStart"/>
      <w:r w:rsidR="00E812A3" w:rsidRPr="002920E0">
        <w:t>Adhesive</w:t>
      </w:r>
      <w:proofErr w:type="spellEnd"/>
      <w:r w:rsidR="00E812A3" w:rsidRPr="002920E0">
        <w:t xml:space="preserve"> </w:t>
      </w:r>
      <w:proofErr w:type="spellStart"/>
      <w:r w:rsidR="00E812A3" w:rsidRPr="002920E0">
        <w:t>Systems</w:t>
      </w:r>
      <w:proofErr w:type="spellEnd"/>
      <w:r w:rsidR="00E812A3" w:rsidRPr="002920E0">
        <w:t xml:space="preserve"> et Not </w:t>
      </w:r>
      <w:proofErr w:type="spellStart"/>
      <w:r w:rsidR="00E812A3" w:rsidRPr="002920E0">
        <w:t>Your</w:t>
      </w:r>
      <w:proofErr w:type="spellEnd"/>
      <w:r w:rsidR="00E812A3" w:rsidRPr="002920E0">
        <w:t xml:space="preserve"> </w:t>
      </w:r>
      <w:proofErr w:type="spellStart"/>
      <w:r w:rsidR="00E812A3" w:rsidRPr="002920E0">
        <w:t>Mother’s</w:t>
      </w:r>
      <w:proofErr w:type="spellEnd"/>
      <w:r w:rsidR="00E812A3" w:rsidRPr="002920E0">
        <w:t xml:space="preserve"> – ont eu un effet positif. En termes organiques, c'est-à-dire corrigés des effets de change et des acquisitions/désinvestissements, Henkel a enregistré une forte croissance des ventes de 3,2 % (T2 : +4,7 %).</w:t>
      </w:r>
    </w:p>
    <w:p w14:paraId="5125CC31" w14:textId="77777777" w:rsidR="00E812A3" w:rsidRPr="002920E0" w:rsidRDefault="00E812A3" w:rsidP="00E812A3">
      <w:pPr>
        <w:rPr>
          <w:rFonts w:cs="Segoe UI"/>
          <w:szCs w:val="22"/>
        </w:rPr>
      </w:pPr>
    </w:p>
    <w:p w14:paraId="4EB6CF32" w14:textId="36EF4A67" w:rsidR="00E812A3" w:rsidRPr="002920E0" w:rsidRDefault="00E812A3" w:rsidP="00E812A3">
      <w:pPr>
        <w:rPr>
          <w:rFonts w:cs="Segoe UI"/>
          <w:szCs w:val="22"/>
        </w:rPr>
      </w:pPr>
      <w:r w:rsidRPr="002920E0">
        <w:t xml:space="preserve">La branche </w:t>
      </w:r>
      <w:proofErr w:type="spellStart"/>
      <w:r w:rsidRPr="002920E0">
        <w:rPr>
          <w:b/>
        </w:rPr>
        <w:t>Adhesive</w:t>
      </w:r>
      <w:proofErr w:type="spellEnd"/>
      <w:r w:rsidRPr="002920E0">
        <w:rPr>
          <w:b/>
        </w:rPr>
        <w:t xml:space="preserve"> Technologies </w:t>
      </w:r>
      <w:r w:rsidRPr="002920E0">
        <w:t xml:space="preserve">a enregistré une très forte croissance organique des ventes de 4,5 % (T2 : +7,4 %), au premier semestre 2026, principalement portée par l'activité </w:t>
      </w:r>
      <w:proofErr w:type="spellStart"/>
      <w:r w:rsidRPr="002920E0">
        <w:t>Mobility</w:t>
      </w:r>
      <w:proofErr w:type="spellEnd"/>
      <w:r w:rsidRPr="002920E0">
        <w:t xml:space="preserve"> &amp; Electronics. La branche </w:t>
      </w:r>
      <w:r w:rsidRPr="002920E0">
        <w:rPr>
          <w:b/>
        </w:rPr>
        <w:t xml:space="preserve">Consumer Brands </w:t>
      </w:r>
      <w:r w:rsidRPr="002920E0">
        <w:t>a également enregistré une évolution positive, avec une bonne croissance organique des ventes de 1,7 % (T2 : +1,6 %), notamment grâce à une très forte augmentation dans l'activité Hair.</w:t>
      </w:r>
    </w:p>
    <w:p w14:paraId="25B9A9F2" w14:textId="744AD424" w:rsidR="00211BA0" w:rsidRPr="002920E0" w:rsidRDefault="00211BA0" w:rsidP="00211BA0">
      <w:pPr>
        <w:rPr>
          <w:rFonts w:cs="Segoe UI"/>
          <w:szCs w:val="22"/>
        </w:rPr>
      </w:pPr>
      <w:r w:rsidRPr="002920E0">
        <w:t xml:space="preserve">La région </w:t>
      </w:r>
      <w:r w:rsidRPr="002920E0">
        <w:rPr>
          <w:b/>
        </w:rPr>
        <w:t>Europe</w:t>
      </w:r>
      <w:r w:rsidRPr="002920E0">
        <w:t xml:space="preserve"> a enregistré une évolution organique négative de ses ventes de -1,5 % (T2 : +0,4 %). En revanche, l'</w:t>
      </w:r>
      <w:r w:rsidRPr="002920E0">
        <w:rPr>
          <w:b/>
        </w:rPr>
        <w:t>Amérique du Nord</w:t>
      </w:r>
      <w:r w:rsidRPr="002920E0">
        <w:t xml:space="preserve"> a enregistré une bonne croissance organique de 2,4 % (T2 : +3,9 %). Dans les régions </w:t>
      </w:r>
      <w:r w:rsidRPr="002920E0">
        <w:rPr>
          <w:b/>
        </w:rPr>
        <w:t>IMEA</w:t>
      </w:r>
      <w:r w:rsidRPr="002920E0">
        <w:t xml:space="preserve"> et </w:t>
      </w:r>
      <w:r w:rsidRPr="002920E0">
        <w:rPr>
          <w:b/>
        </w:rPr>
        <w:t>Asie-Pacifique</w:t>
      </w:r>
      <w:r w:rsidRPr="002920E0">
        <w:t xml:space="preserve">, Henkel a enregistré une croissance organique des ventes à deux chiffres de 14,9 % (T2 : +17,4 %) et 10,3 % (T2 : +10,3 %), respectivement. La région </w:t>
      </w:r>
      <w:r w:rsidRPr="002920E0">
        <w:rPr>
          <w:b/>
        </w:rPr>
        <w:t>Amérique latine</w:t>
      </w:r>
      <w:r w:rsidRPr="002920E0">
        <w:t>, en revanche, a enregistré une évolution organique légèrement négative de ses ventes de -1,3 % (T2 : +0,5 %).</w:t>
      </w:r>
    </w:p>
    <w:p w14:paraId="0C44AA06" w14:textId="77777777" w:rsidR="00211BA0" w:rsidRPr="002920E0" w:rsidRDefault="00211BA0" w:rsidP="00211BA0">
      <w:pPr>
        <w:rPr>
          <w:rFonts w:cs="Segoe UI"/>
          <w:szCs w:val="22"/>
        </w:rPr>
      </w:pPr>
    </w:p>
    <w:p w14:paraId="722810C9" w14:textId="5EB97830" w:rsidR="000311F4" w:rsidRPr="002920E0" w:rsidRDefault="003663FD" w:rsidP="00211BA0">
      <w:pPr>
        <w:rPr>
          <w:rFonts w:cs="Segoe UI"/>
          <w:szCs w:val="22"/>
        </w:rPr>
      </w:pPr>
      <w:r w:rsidRPr="002920E0">
        <w:t xml:space="preserve">Le </w:t>
      </w:r>
      <w:r w:rsidRPr="002920E0">
        <w:rPr>
          <w:b/>
        </w:rPr>
        <w:t>bénéfice d'exploitation ajusté (EBIT ajusté)</w:t>
      </w:r>
      <w:r w:rsidRPr="002920E0">
        <w:t xml:space="preserve"> s'est établi à 1 620 millions d'euros, légèrement supérieur au chiffre de l'année précédente, qui était de 1 614 millions d'euros. </w:t>
      </w:r>
    </w:p>
    <w:p w14:paraId="02E68EC1" w14:textId="77777777" w:rsidR="000311F4" w:rsidRPr="002920E0" w:rsidRDefault="000311F4" w:rsidP="000311F4">
      <w:pPr>
        <w:rPr>
          <w:rFonts w:cs="Segoe UI"/>
          <w:szCs w:val="22"/>
        </w:rPr>
      </w:pPr>
    </w:p>
    <w:p w14:paraId="7D455914" w14:textId="0DD4C61B" w:rsidR="000311F4" w:rsidRPr="002920E0" w:rsidRDefault="000311F4" w:rsidP="000311F4">
      <w:pPr>
        <w:rPr>
          <w:rFonts w:cs="Segoe UI"/>
          <w:szCs w:val="22"/>
        </w:rPr>
      </w:pPr>
      <w:r w:rsidRPr="002920E0">
        <w:t xml:space="preserve">La </w:t>
      </w:r>
      <w:r w:rsidRPr="002920E0">
        <w:rPr>
          <w:b/>
        </w:rPr>
        <w:t>rentabilité ajustée des ventes (marge EBIT ajustée)</w:t>
      </w:r>
      <w:r w:rsidRPr="002920E0">
        <w:t xml:space="preserve"> du Groupe Henkel a également augmenté à 15,7 % (année précédente : 15,5 %).</w:t>
      </w:r>
    </w:p>
    <w:p w14:paraId="4415DB2B" w14:textId="77777777" w:rsidR="000311F4" w:rsidRPr="002920E0" w:rsidRDefault="000311F4" w:rsidP="000311F4">
      <w:pPr>
        <w:rPr>
          <w:rFonts w:cs="Segoe UI"/>
          <w:szCs w:val="22"/>
        </w:rPr>
      </w:pPr>
    </w:p>
    <w:p w14:paraId="4F5EEB63" w14:textId="36C0AA4A" w:rsidR="000311F4" w:rsidRPr="002920E0" w:rsidRDefault="003663FD" w:rsidP="000311F4">
      <w:pPr>
        <w:rPr>
          <w:rFonts w:cs="Segoe UI"/>
          <w:szCs w:val="22"/>
        </w:rPr>
      </w:pPr>
      <w:bookmarkStart w:id="3" w:name="_Hlk190081485"/>
      <w:r w:rsidRPr="002920E0">
        <w:t xml:space="preserve">Le </w:t>
      </w:r>
      <w:r w:rsidRPr="002920E0">
        <w:rPr>
          <w:b/>
        </w:rPr>
        <w:t>bénéfice ajusté par action privilégiée</w:t>
      </w:r>
      <w:r w:rsidRPr="002920E0">
        <w:t xml:space="preserve"> a augmenté de 1,8 % pour atteindre 2,86 euros (année précédente : 2,81 euros). À taux de change constants, le bénéfice ajusté par action privilégiée a augmenté de 7,1 %.</w:t>
      </w:r>
    </w:p>
    <w:p w14:paraId="4A7BE388" w14:textId="77777777" w:rsidR="000311F4" w:rsidRPr="002920E0" w:rsidRDefault="000311F4" w:rsidP="000311F4">
      <w:pPr>
        <w:rPr>
          <w:rFonts w:cs="Segoe UI"/>
          <w:szCs w:val="22"/>
        </w:rPr>
      </w:pPr>
    </w:p>
    <w:bookmarkEnd w:id="3"/>
    <w:p w14:paraId="2D4BE88B" w14:textId="55EB6419" w:rsidR="000311F4" w:rsidRPr="002920E0" w:rsidRDefault="003663FD" w:rsidP="000311F4">
      <w:pPr>
        <w:rPr>
          <w:rFonts w:cs="Segoe UI"/>
          <w:szCs w:val="22"/>
        </w:rPr>
      </w:pPr>
      <w:r w:rsidRPr="002920E0">
        <w:t xml:space="preserve">Le </w:t>
      </w:r>
      <w:r w:rsidRPr="002920E0">
        <w:rPr>
          <w:b/>
        </w:rPr>
        <w:t>fonds de roulement net</w:t>
      </w:r>
      <w:r w:rsidRPr="002920E0">
        <w:t xml:space="preserve"> en pourcentage des ventes du deuxième trimestre est passé de 6,0 % à 7,0 % par rapport à la période de l'année précédente, en partie grâce aux acquisitions.</w:t>
      </w:r>
    </w:p>
    <w:p w14:paraId="5424E5ED" w14:textId="77777777" w:rsidR="000311F4" w:rsidRPr="002920E0" w:rsidRDefault="000311F4" w:rsidP="000311F4">
      <w:pPr>
        <w:rPr>
          <w:rFonts w:cs="Segoe UI"/>
          <w:szCs w:val="22"/>
        </w:rPr>
      </w:pPr>
    </w:p>
    <w:p w14:paraId="52A4DE57" w14:textId="1B8FCC29" w:rsidR="000311F4" w:rsidRPr="002920E0" w:rsidRDefault="005D4737" w:rsidP="005D4737">
      <w:pPr>
        <w:rPr>
          <w:rFonts w:cs="Segoe UI"/>
          <w:szCs w:val="22"/>
        </w:rPr>
      </w:pPr>
      <w:r w:rsidRPr="002920E0">
        <w:t xml:space="preserve">Le </w:t>
      </w:r>
      <w:r w:rsidRPr="002920E0">
        <w:rPr>
          <w:b/>
        </w:rPr>
        <w:t xml:space="preserve">flux de trésorerie disponible </w:t>
      </w:r>
      <w:r w:rsidRPr="002920E0">
        <w:t>a augmenté pour atteindre 612 millions d'euros (premier semestre 2025 : 485 millions d'euros),</w:t>
      </w:r>
      <w:r w:rsidRPr="002920E0">
        <w:rPr>
          <w:b/>
        </w:rPr>
        <w:t xml:space="preserve"> </w:t>
      </w:r>
      <w:r w:rsidRPr="002920E0">
        <w:t>principalement en raison de l'augmentation du flux de trésorerie provenant des activités d'exploitation.</w:t>
      </w:r>
    </w:p>
    <w:p w14:paraId="2DA96DA1" w14:textId="77777777" w:rsidR="005D4737" w:rsidRPr="002920E0" w:rsidRDefault="005D4737" w:rsidP="005D4737">
      <w:pPr>
        <w:rPr>
          <w:rFonts w:cs="Segoe UI"/>
          <w:szCs w:val="22"/>
        </w:rPr>
      </w:pPr>
    </w:p>
    <w:p w14:paraId="64A8E4B0" w14:textId="224C8E3D" w:rsidR="000311F4" w:rsidRDefault="000311F4" w:rsidP="000311F4">
      <w:r w:rsidRPr="002920E0">
        <w:t xml:space="preserve">La </w:t>
      </w:r>
      <w:r w:rsidRPr="002920E0">
        <w:rPr>
          <w:b/>
        </w:rPr>
        <w:t>position financière nette</w:t>
      </w:r>
      <w:r w:rsidRPr="002920E0">
        <w:t xml:space="preserve"> était de -1 855 millions d'euros au 30 juin 2026 (31 décembre 2025 : 109 millions d'euros), reflétant principalement les sorties de trésorerie liées aux acquisitions récemment conclues et au programme de rachat d'actions.</w:t>
      </w:r>
    </w:p>
    <w:p w14:paraId="3AE5C6B3" w14:textId="77777777" w:rsidR="00EF2AFC" w:rsidRPr="002920E0" w:rsidRDefault="00EF2AFC" w:rsidP="000311F4">
      <w:pPr>
        <w:rPr>
          <w:rFonts w:cs="Segoe UI"/>
          <w:szCs w:val="22"/>
        </w:rPr>
      </w:pPr>
    </w:p>
    <w:p w14:paraId="247B272B" w14:textId="77777777" w:rsidR="000311F4" w:rsidRPr="002920E0" w:rsidRDefault="000311F4" w:rsidP="000311F4">
      <w:pPr>
        <w:rPr>
          <w:rFonts w:cs="Segoe UI"/>
          <w:szCs w:val="22"/>
        </w:rPr>
      </w:pPr>
    </w:p>
    <w:p w14:paraId="4649C4D4" w14:textId="46CA7450" w:rsidR="00846017" w:rsidRPr="002920E0" w:rsidRDefault="00DE4DB3" w:rsidP="00CD1F32">
      <w:pPr>
        <w:spacing w:after="120"/>
        <w:rPr>
          <w:rFonts w:cs="Segoe UI"/>
          <w:b/>
          <w:bCs/>
          <w:szCs w:val="22"/>
        </w:rPr>
      </w:pPr>
      <w:r w:rsidRPr="002920E0">
        <w:rPr>
          <w:b/>
        </w:rPr>
        <w:t>Performance des</w:t>
      </w:r>
      <w:r w:rsidR="00EF2AFC">
        <w:rPr>
          <w:b/>
        </w:rPr>
        <w:t xml:space="preserve"> branches d’activité</w:t>
      </w:r>
      <w:r w:rsidRPr="002920E0">
        <w:rPr>
          <w:b/>
        </w:rPr>
        <w:t xml:space="preserve"> au premier semestre de l'exercice 2026</w:t>
      </w:r>
    </w:p>
    <w:p w14:paraId="6A3D995D" w14:textId="00FB819D" w:rsidR="005D4737" w:rsidRPr="002920E0" w:rsidRDefault="00B312F1" w:rsidP="00B312F1">
      <w:pPr>
        <w:rPr>
          <w:rFonts w:cs="Segoe UI"/>
          <w:szCs w:val="22"/>
        </w:rPr>
      </w:pPr>
      <w:r w:rsidRPr="002920E0">
        <w:t xml:space="preserve">Les </w:t>
      </w:r>
      <w:r w:rsidRPr="002920E0">
        <w:rPr>
          <w:b/>
        </w:rPr>
        <w:t>ventes</w:t>
      </w:r>
      <w:r w:rsidRPr="002920E0">
        <w:t xml:space="preserve"> de l</w:t>
      </w:r>
      <w:r w:rsidR="00EF2AFC">
        <w:t>a branche</w:t>
      </w:r>
      <w:r w:rsidRPr="002920E0">
        <w:t xml:space="preserve"> </w:t>
      </w:r>
      <w:proofErr w:type="spellStart"/>
      <w:r w:rsidRPr="002920E0">
        <w:rPr>
          <w:b/>
        </w:rPr>
        <w:t>Adhesive</w:t>
      </w:r>
      <w:proofErr w:type="spellEnd"/>
      <w:r w:rsidRPr="002920E0">
        <w:rPr>
          <w:b/>
        </w:rPr>
        <w:t xml:space="preserve"> Technologies</w:t>
      </w:r>
      <w:r w:rsidRPr="002920E0">
        <w:t xml:space="preserve"> ont augmenté de 2,2 % et atteint 5 534 millions d’euros au cours du premier semestre 2026 (T2 : 2 908 millions d’euros, +7,6 %). Sur le plan </w:t>
      </w:r>
      <w:r w:rsidRPr="002920E0">
        <w:rPr>
          <w:b/>
        </w:rPr>
        <w:t>organique</w:t>
      </w:r>
      <w:r w:rsidRPr="002920E0">
        <w:t xml:space="preserve">, </w:t>
      </w:r>
      <w:proofErr w:type="spellStart"/>
      <w:r w:rsidRPr="002920E0">
        <w:t>Adhesive</w:t>
      </w:r>
      <w:proofErr w:type="spellEnd"/>
      <w:r w:rsidRPr="002920E0">
        <w:t xml:space="preserve"> Technologies a enregistré une très forte croissance des ventes de 4,5 % (T2 : +7,4 %). Cette augmentation s’explique par une évolution favorable à la fois des prix et des volumes.</w:t>
      </w:r>
    </w:p>
    <w:p w14:paraId="7DCABAF6" w14:textId="77777777" w:rsidR="005D4737" w:rsidRPr="002920E0" w:rsidRDefault="005D4737" w:rsidP="00B312F1">
      <w:pPr>
        <w:rPr>
          <w:rFonts w:cs="Segoe UI"/>
          <w:szCs w:val="22"/>
        </w:rPr>
      </w:pPr>
    </w:p>
    <w:p w14:paraId="17A3AF2D" w14:textId="3C001CAB" w:rsidR="005D4737" w:rsidRPr="002920E0" w:rsidRDefault="005D4737" w:rsidP="005D4737">
      <w:pPr>
        <w:rPr>
          <w:rFonts w:eastAsia="Segoe UI" w:cs="Segoe UI"/>
          <w:szCs w:val="18"/>
        </w:rPr>
      </w:pPr>
      <w:r w:rsidRPr="002920E0">
        <w:t xml:space="preserve">Dans l'ensemble des secteurs d'activité, la croissance organique des ventes de la branche </w:t>
      </w:r>
      <w:proofErr w:type="spellStart"/>
      <w:r w:rsidRPr="002920E0">
        <w:t>Adhesive</w:t>
      </w:r>
      <w:proofErr w:type="spellEnd"/>
      <w:r w:rsidRPr="002920E0">
        <w:t xml:space="preserve"> Technologies au premier semestre a été notamment portée par une forte augmentation organique de 7,8 % des ventes dans l</w:t>
      </w:r>
      <w:r w:rsidR="00617B21">
        <w:t>e secteur</w:t>
      </w:r>
      <w:r w:rsidRPr="002920E0">
        <w:t xml:space="preserve"> </w:t>
      </w:r>
      <w:proofErr w:type="spellStart"/>
      <w:r w:rsidRPr="002920E0">
        <w:rPr>
          <w:b/>
        </w:rPr>
        <w:t>Mobility</w:t>
      </w:r>
      <w:proofErr w:type="spellEnd"/>
      <w:r w:rsidRPr="002920E0">
        <w:rPr>
          <w:b/>
        </w:rPr>
        <w:t xml:space="preserve"> &amp; Electronics </w:t>
      </w:r>
      <w:r w:rsidRPr="002920E0">
        <w:t xml:space="preserve">(T2 : +8,8 %). Cette croissance est due à la croissance organique à deux chiffres des ventes de la </w:t>
      </w:r>
      <w:r w:rsidR="00D155DD">
        <w:t>catégorie</w:t>
      </w:r>
      <w:r w:rsidRPr="002920E0">
        <w:t xml:space="preserve"> Electronics et à la forte croissance organique des ventes dans l</w:t>
      </w:r>
      <w:r w:rsidR="00D155DD">
        <w:t xml:space="preserve">a catégorie </w:t>
      </w:r>
      <w:proofErr w:type="spellStart"/>
      <w:r w:rsidRPr="002920E0">
        <w:t>Industrial</w:t>
      </w:r>
      <w:proofErr w:type="spellEnd"/>
      <w:r w:rsidRPr="002920E0">
        <w:t>. En revanche, l</w:t>
      </w:r>
      <w:r w:rsidR="004954F8">
        <w:t>a catégorie</w:t>
      </w:r>
      <w:r w:rsidRPr="002920E0">
        <w:t xml:space="preserve"> Automotive a globalement reculé au premier semestre, mais a affiché une amélioration au deuxième trimestre avec une bonne croissance organique des ventes. L</w:t>
      </w:r>
      <w:r w:rsidR="00617B21">
        <w:t>e secteur</w:t>
      </w:r>
      <w:r w:rsidRPr="002920E0">
        <w:t xml:space="preserve"> </w:t>
      </w:r>
      <w:r w:rsidRPr="002920E0">
        <w:rPr>
          <w:b/>
        </w:rPr>
        <w:t xml:space="preserve">Packaging &amp; Consumer Goods </w:t>
      </w:r>
      <w:r w:rsidRPr="002920E0">
        <w:t>a enregistré une très forte croissance organique de ses ventes de 4,7 %, grâce à une forte croissance de l</w:t>
      </w:r>
      <w:r w:rsidR="004954F8">
        <w:t>a catégorie</w:t>
      </w:r>
      <w:r w:rsidRPr="002920E0">
        <w:t xml:space="preserve"> Packaging et à une très forte augmentation organique des ventes de l</w:t>
      </w:r>
      <w:r w:rsidR="004954F8">
        <w:t>a catégorie</w:t>
      </w:r>
      <w:r w:rsidRPr="002920E0">
        <w:t xml:space="preserve"> Consumer Goods (T2 : +9,1 %). Cette évolution a également été soutenue par les achats à terme des clients en réponse aux incertitudes géopolitiques. L</w:t>
      </w:r>
      <w:r w:rsidR="00617B21">
        <w:t>e secteur</w:t>
      </w:r>
      <w:r w:rsidRPr="002920E0">
        <w:t xml:space="preserve"> </w:t>
      </w:r>
      <w:proofErr w:type="spellStart"/>
      <w:r w:rsidRPr="002920E0">
        <w:rPr>
          <w:b/>
        </w:rPr>
        <w:t>Craftsmen</w:t>
      </w:r>
      <w:proofErr w:type="spellEnd"/>
      <w:r w:rsidRPr="002920E0">
        <w:rPr>
          <w:b/>
        </w:rPr>
        <w:t>, Construction &amp; Professional</w:t>
      </w:r>
      <w:r w:rsidRPr="002920E0">
        <w:t xml:space="preserve"> a enregistré une croissance organique des ventes de 1,0 % (T2 : 4,4 %). Cette croissance est notamment due à une forte progression organique des ventes de l</w:t>
      </w:r>
      <w:r w:rsidR="004954F8">
        <w:t>a catégorie</w:t>
      </w:r>
      <w:r w:rsidR="00A83E44">
        <w:t xml:space="preserve"> </w:t>
      </w:r>
      <w:r w:rsidRPr="002920E0">
        <w:t xml:space="preserve">General </w:t>
      </w:r>
      <w:proofErr w:type="spellStart"/>
      <w:r w:rsidRPr="002920E0">
        <w:t>Manufacturing</w:t>
      </w:r>
      <w:proofErr w:type="spellEnd"/>
      <w:r w:rsidRPr="002920E0">
        <w:t xml:space="preserve"> &amp; Maintenance, tandis que l</w:t>
      </w:r>
      <w:r w:rsidR="004954F8">
        <w:t>a catégorie</w:t>
      </w:r>
      <w:r w:rsidR="00A83E44">
        <w:t xml:space="preserve"> </w:t>
      </w:r>
      <w:r w:rsidRPr="002920E0">
        <w:t>Consumer &amp; Construction a enregistré une évolution organique légèrement négative de ses ventes.</w:t>
      </w:r>
    </w:p>
    <w:p w14:paraId="27A9A0CF" w14:textId="77777777" w:rsidR="005D4737" w:rsidRPr="002920E0" w:rsidRDefault="005D4737" w:rsidP="00B312F1">
      <w:pPr>
        <w:rPr>
          <w:rFonts w:cs="Segoe UI"/>
          <w:szCs w:val="22"/>
          <w:highlight w:val="yellow"/>
        </w:rPr>
      </w:pPr>
      <w:bookmarkStart w:id="4" w:name="_Hlk190097207"/>
    </w:p>
    <w:p w14:paraId="70926E97" w14:textId="5FFE50AC" w:rsidR="005D4737" w:rsidRPr="002920E0" w:rsidRDefault="005D4737" w:rsidP="005D4737">
      <w:pPr>
        <w:rPr>
          <w:rFonts w:cs="Segoe UI"/>
          <w:szCs w:val="22"/>
        </w:rPr>
      </w:pPr>
      <w:r w:rsidRPr="002920E0">
        <w:t xml:space="preserve">Le </w:t>
      </w:r>
      <w:r w:rsidRPr="002920E0">
        <w:rPr>
          <w:b/>
        </w:rPr>
        <w:t xml:space="preserve">bénéfice d'exploitation ajusté </w:t>
      </w:r>
      <w:r w:rsidRPr="002920E0">
        <w:t>a dépassé le niveau de l'exercice précédent, à 982 millions d'euros, malgré les effets négatifs des taux de change.</w:t>
      </w:r>
      <w:r w:rsidRPr="002920E0">
        <w:rPr>
          <w:b/>
        </w:rPr>
        <w:t xml:space="preserve"> </w:t>
      </w:r>
      <w:r w:rsidRPr="002920E0">
        <w:t xml:space="preserve">Le </w:t>
      </w:r>
      <w:r w:rsidRPr="002920E0">
        <w:rPr>
          <w:b/>
        </w:rPr>
        <w:t>rendement ajusté des ventes</w:t>
      </w:r>
      <w:r w:rsidRPr="002920E0">
        <w:t xml:space="preserve"> a atteint 17,7 %, contre 17,2 % sur la même période au cours de l’exercice précédent. Dans ce domaine, les économies d'échelle résultant de la croissance en volume et du mix d'activités ont eu un impact favorable.</w:t>
      </w:r>
    </w:p>
    <w:p w14:paraId="4FF29955" w14:textId="77777777" w:rsidR="005D4737" w:rsidRPr="002920E0" w:rsidRDefault="005D4737" w:rsidP="005D4737">
      <w:pPr>
        <w:rPr>
          <w:rFonts w:cs="Segoe UI"/>
          <w:szCs w:val="22"/>
        </w:rPr>
      </w:pPr>
    </w:p>
    <w:bookmarkEnd w:id="4"/>
    <w:p w14:paraId="23ADC4EC" w14:textId="1DD5E8E6" w:rsidR="00A27073" w:rsidRPr="002920E0" w:rsidRDefault="00A27073" w:rsidP="00A27073">
      <w:pPr>
        <w:rPr>
          <w:rFonts w:cs="Segoe UI"/>
          <w:szCs w:val="22"/>
        </w:rPr>
      </w:pPr>
      <w:r w:rsidRPr="002920E0">
        <w:t>La branche d'activité</w:t>
      </w:r>
      <w:r w:rsidR="00A9136B">
        <w:t xml:space="preserve"> </w:t>
      </w:r>
      <w:r w:rsidRPr="002920E0">
        <w:rPr>
          <w:b/>
        </w:rPr>
        <w:t>Consumer Brands</w:t>
      </w:r>
      <w:r w:rsidRPr="002920E0">
        <w:t xml:space="preserve"> a réalisé des </w:t>
      </w:r>
      <w:r w:rsidRPr="002920E0">
        <w:rPr>
          <w:b/>
        </w:rPr>
        <w:t>ventes</w:t>
      </w:r>
      <w:r w:rsidRPr="002920E0">
        <w:t xml:space="preserve"> de 4 733 millions d'euros au cours du premier semestre 2026, ce qui équivaut à une baisse nominale de -3,5 % par rapport à la même période de l'année précédente (T2 : 2 448 millions d’euros, +1,1 %). Sur le plan </w:t>
      </w:r>
      <w:r w:rsidRPr="002920E0">
        <w:rPr>
          <w:b/>
        </w:rPr>
        <w:t>organique</w:t>
      </w:r>
      <w:r w:rsidRPr="002920E0">
        <w:t>, les ventes ont augmenté de 1,7 % (T2 : +1,6 %), l’activité enregistrant une évolution positive des prix et des volumes par rapport au premier semestre 2025.</w:t>
      </w:r>
    </w:p>
    <w:p w14:paraId="5EF78331" w14:textId="77777777" w:rsidR="00A27073" w:rsidRPr="002920E0" w:rsidRDefault="00A27073" w:rsidP="00521B13">
      <w:pPr>
        <w:rPr>
          <w:rFonts w:cs="Segoe UI"/>
          <w:szCs w:val="22"/>
          <w:highlight w:val="yellow"/>
        </w:rPr>
      </w:pPr>
    </w:p>
    <w:p w14:paraId="3BF6D58D" w14:textId="6B46E204" w:rsidR="00A27073" w:rsidRPr="002920E0" w:rsidRDefault="00A27073" w:rsidP="00A27073">
      <w:pPr>
        <w:rPr>
          <w:rFonts w:cs="Segoe UI"/>
          <w:szCs w:val="22"/>
          <w:highlight w:val="yellow"/>
        </w:rPr>
      </w:pPr>
      <w:r w:rsidRPr="002920E0">
        <w:lastRenderedPageBreak/>
        <w:t>Au premier semestre, l</w:t>
      </w:r>
      <w:r w:rsidR="00A9136B">
        <w:t>e secteur</w:t>
      </w:r>
      <w:r w:rsidRPr="002920E0">
        <w:t xml:space="preserve"> </w:t>
      </w:r>
      <w:r w:rsidRPr="002920E0">
        <w:rPr>
          <w:b/>
        </w:rPr>
        <w:t>Laundry &amp; Home Care</w:t>
      </w:r>
      <w:r w:rsidRPr="002920E0">
        <w:t xml:space="preserve"> a enregistré une croissance organique des ventes de 0,7 % (T2 : +1,3 %). L</w:t>
      </w:r>
      <w:r w:rsidR="00A9136B">
        <w:t>a catégorie</w:t>
      </w:r>
      <w:r w:rsidRPr="002920E0">
        <w:t xml:space="preserve"> Laundry Care a enregistré une croissance organique positive de ses ventes, grâce à une augmentation significative des ventes dans la catégorie </w:t>
      </w:r>
      <w:proofErr w:type="spellStart"/>
      <w:r w:rsidRPr="002920E0">
        <w:t>Fabric</w:t>
      </w:r>
      <w:proofErr w:type="spellEnd"/>
      <w:r w:rsidRPr="002920E0">
        <w:t xml:space="preserve"> Care et à une croissance positive dans la catégorie </w:t>
      </w:r>
      <w:proofErr w:type="spellStart"/>
      <w:r w:rsidRPr="002920E0">
        <w:t>Fabric</w:t>
      </w:r>
      <w:proofErr w:type="spellEnd"/>
      <w:r w:rsidRPr="002920E0">
        <w:t xml:space="preserve"> </w:t>
      </w:r>
      <w:proofErr w:type="spellStart"/>
      <w:r w:rsidRPr="002920E0">
        <w:t>Finisher</w:t>
      </w:r>
      <w:proofErr w:type="spellEnd"/>
      <w:r w:rsidRPr="002920E0">
        <w:t xml:space="preserve">. En revanche, la catégorie </w:t>
      </w:r>
      <w:proofErr w:type="spellStart"/>
      <w:r w:rsidRPr="002920E0">
        <w:t>Fabric</w:t>
      </w:r>
      <w:proofErr w:type="spellEnd"/>
      <w:r w:rsidRPr="002920E0">
        <w:t xml:space="preserve"> </w:t>
      </w:r>
      <w:proofErr w:type="spellStart"/>
      <w:r w:rsidRPr="002920E0">
        <w:t>Cleaning</w:t>
      </w:r>
      <w:proofErr w:type="spellEnd"/>
      <w:r w:rsidRPr="002920E0">
        <w:t xml:space="preserve"> a enregistré un léger recul. L</w:t>
      </w:r>
      <w:r w:rsidR="00A9136B">
        <w:t>a catégorie</w:t>
      </w:r>
      <w:r w:rsidRPr="002920E0">
        <w:t xml:space="preserve"> Home Care a enregistré une bonne croissance organique de ses ventes, grâce notamment à une augmentation à deux chiffres dans la catégorie Hand </w:t>
      </w:r>
      <w:proofErr w:type="spellStart"/>
      <w:r w:rsidRPr="002920E0">
        <w:t>Dishwashing</w:t>
      </w:r>
      <w:proofErr w:type="spellEnd"/>
      <w:r w:rsidRPr="002920E0">
        <w:t>. L</w:t>
      </w:r>
      <w:r w:rsidR="007B768D">
        <w:t>e secteur</w:t>
      </w:r>
      <w:r w:rsidRPr="002920E0">
        <w:t xml:space="preserve"> </w:t>
      </w:r>
      <w:r w:rsidRPr="002920E0">
        <w:rPr>
          <w:b/>
        </w:rPr>
        <w:t>Hair</w:t>
      </w:r>
      <w:r w:rsidRPr="002920E0">
        <w:t xml:space="preserve"> a enregistré une croissance organique des ventes à deux chiffres de 4,2 % (T2 : +3,3 %) et a donc été le principal moteur de croissance de l'activité Consumer Brands. Cette performance positive a été portée à la fois par l</w:t>
      </w:r>
      <w:r w:rsidR="007B768D">
        <w:t>a catégorie</w:t>
      </w:r>
      <w:r w:rsidRPr="002920E0">
        <w:t xml:space="preserve"> Consumer, qui a enregistré une forte croissance organique des ventes, et par l</w:t>
      </w:r>
      <w:r w:rsidR="007B768D">
        <w:t>a catégorie</w:t>
      </w:r>
      <w:r w:rsidRPr="002920E0">
        <w:t xml:space="preserve"> Professional, qui a enregistré une très forte progression. Au sein d</w:t>
      </w:r>
      <w:r w:rsidR="004E657C">
        <w:t>u secteur</w:t>
      </w:r>
      <w:r w:rsidRPr="002920E0">
        <w:t xml:space="preserve"> Consumer, toutes les catégories ont contribué à la croissance, les catégories Hair Colorants et Hair </w:t>
      </w:r>
      <w:proofErr w:type="spellStart"/>
      <w:r w:rsidRPr="002920E0">
        <w:t>Styling</w:t>
      </w:r>
      <w:proofErr w:type="spellEnd"/>
      <w:r w:rsidRPr="002920E0">
        <w:t xml:space="preserve"> ayant apporté les contributions les plus importantes. En revanche, l</w:t>
      </w:r>
      <w:r w:rsidR="004E657C">
        <w:t>e secteur</w:t>
      </w:r>
      <w:r w:rsidRPr="002920E0">
        <w:t xml:space="preserve"> </w:t>
      </w:r>
      <w:r w:rsidR="004E657C">
        <w:rPr>
          <w:b/>
        </w:rPr>
        <w:t>Autres activités consumer</w:t>
      </w:r>
      <w:r w:rsidRPr="002920E0">
        <w:t xml:space="preserve"> a enregistré une évolution organique négative de ses ventes de -2,1 % (T2 : -4,6 %) au premier semestre, principalement en raison de l'évolution de l</w:t>
      </w:r>
      <w:r w:rsidR="00B60A33">
        <w:t xml:space="preserve">a catégorie </w:t>
      </w:r>
      <w:r w:rsidRPr="002920E0">
        <w:t>Body Care dans la région Europe. La région Amérique du Nord a toutefois enregistré une bonne croissance organique de ses ventes.</w:t>
      </w:r>
    </w:p>
    <w:p w14:paraId="0101AD53" w14:textId="77777777" w:rsidR="00A27073" w:rsidRPr="002920E0" w:rsidRDefault="00A27073" w:rsidP="00521B13">
      <w:pPr>
        <w:rPr>
          <w:rFonts w:cs="Segoe UI"/>
          <w:szCs w:val="22"/>
        </w:rPr>
      </w:pPr>
      <w:bookmarkStart w:id="5" w:name="_Hlk190100714"/>
    </w:p>
    <w:p w14:paraId="2669D3B3" w14:textId="39BDE271" w:rsidR="005F2643" w:rsidRPr="002920E0" w:rsidRDefault="00A27073" w:rsidP="00A27073">
      <w:pPr>
        <w:rPr>
          <w:rFonts w:cs="Segoe UI"/>
          <w:szCs w:val="22"/>
        </w:rPr>
      </w:pPr>
      <w:r w:rsidRPr="002920E0">
        <w:t xml:space="preserve">Le </w:t>
      </w:r>
      <w:r w:rsidRPr="002920E0">
        <w:rPr>
          <w:b/>
        </w:rPr>
        <w:t xml:space="preserve">bénéfice d'exploitation ajusté </w:t>
      </w:r>
      <w:r w:rsidRPr="002920E0">
        <w:t xml:space="preserve">s'est chiffré à 724 millions d'euros et a donc été légèrement inférieur au niveau de l'année précédente, principalement en raison de la cession de l'activité des marques de distribution en Amérique du Nord, intervenue en avril 2025, et des effets de change négatifs. En revanche, le </w:t>
      </w:r>
      <w:r w:rsidRPr="002920E0">
        <w:rPr>
          <w:b/>
        </w:rPr>
        <w:t xml:space="preserve">rendement ajusté des ventes </w:t>
      </w:r>
      <w:r w:rsidRPr="002920E0">
        <w:t xml:space="preserve">est resté inchangé à 15,3 % par rapport à la même période au cours de l'exercice précédent. </w:t>
      </w:r>
      <w:bookmarkEnd w:id="5"/>
    </w:p>
    <w:p w14:paraId="45F7F611" w14:textId="6AC974FB" w:rsidR="00B05ECC" w:rsidRPr="002920E0" w:rsidRDefault="00B05ECC" w:rsidP="00B05ECC">
      <w:pPr>
        <w:rPr>
          <w:rFonts w:cs="Segoe UI"/>
          <w:szCs w:val="22"/>
        </w:rPr>
      </w:pPr>
    </w:p>
    <w:p w14:paraId="2024FF95" w14:textId="222DDBFE" w:rsidR="00E21F5D" w:rsidRPr="002920E0" w:rsidRDefault="00A811D8" w:rsidP="00E21F5D">
      <w:pPr>
        <w:spacing w:after="120"/>
        <w:rPr>
          <w:rFonts w:cs="Segoe UI"/>
          <w:b/>
          <w:bCs/>
          <w:szCs w:val="22"/>
        </w:rPr>
      </w:pPr>
      <w:r w:rsidRPr="002920E0">
        <w:rPr>
          <w:b/>
        </w:rPr>
        <w:t>Exécution réussie de la stratégie de croissance par fusions et acquisitions au premier semestre de l'année</w:t>
      </w:r>
    </w:p>
    <w:p w14:paraId="02BF1EFC" w14:textId="1E056B0C" w:rsidR="005110D3" w:rsidRPr="002920E0" w:rsidRDefault="00A811D8" w:rsidP="00A811D8">
      <w:pPr>
        <w:autoSpaceDE w:val="0"/>
        <w:autoSpaceDN w:val="0"/>
        <w:adjustRightInd w:val="0"/>
        <w:rPr>
          <w:rFonts w:cs="Segoe UI"/>
          <w:bCs/>
          <w:szCs w:val="22"/>
        </w:rPr>
      </w:pPr>
      <w:r w:rsidRPr="002920E0">
        <w:t xml:space="preserve">Au cours du premier semestre 2026, Henkel a également réalisé des progrès significatifs dans la mise en œuvre de sa stratégie de croissance par fusions et acquisitions, qui fait partie intégrante de la </w:t>
      </w:r>
      <w:r w:rsidRPr="002920E0">
        <w:rPr>
          <w:b/>
        </w:rPr>
        <w:t>stratégie de croissance</w:t>
      </w:r>
      <w:r w:rsidRPr="002920E0">
        <w:t xml:space="preserve"> globale de l’entreprise, dans les deux branches d’activité. Avec les acquisitions récemment annoncées, Henkel investit un total de 5 milliards d'euros et développe son activité avec des ventes annuelles combinées d'environ 1,6 milliard d'euros. À ce jour, Henkel a mené à bien quatre des cinq transactions : Wetherby </w:t>
      </w:r>
      <w:proofErr w:type="spellStart"/>
      <w:r w:rsidRPr="002920E0">
        <w:t>Laroc</w:t>
      </w:r>
      <w:proofErr w:type="spellEnd"/>
      <w:r w:rsidRPr="002920E0">
        <w:t xml:space="preserve"> et ATP </w:t>
      </w:r>
      <w:proofErr w:type="spellStart"/>
      <w:r w:rsidRPr="002920E0">
        <w:t>Adhesive</w:t>
      </w:r>
      <w:proofErr w:type="spellEnd"/>
      <w:r w:rsidRPr="002920E0">
        <w:t xml:space="preserve"> </w:t>
      </w:r>
      <w:proofErr w:type="spellStart"/>
      <w:r w:rsidRPr="002920E0">
        <w:t>Systems</w:t>
      </w:r>
      <w:proofErr w:type="spellEnd"/>
      <w:r w:rsidRPr="002920E0">
        <w:t xml:space="preserve"> dans la branche d’activité </w:t>
      </w:r>
      <w:proofErr w:type="spellStart"/>
      <w:r w:rsidRPr="002920E0">
        <w:t>Adhesive</w:t>
      </w:r>
      <w:proofErr w:type="spellEnd"/>
      <w:r w:rsidRPr="002920E0">
        <w:t xml:space="preserve"> Technologies, ainsi que Not </w:t>
      </w:r>
      <w:proofErr w:type="spellStart"/>
      <w:r w:rsidRPr="002920E0">
        <w:t>Your</w:t>
      </w:r>
      <w:proofErr w:type="spellEnd"/>
      <w:r w:rsidRPr="002920E0">
        <w:t xml:space="preserve"> </w:t>
      </w:r>
      <w:proofErr w:type="spellStart"/>
      <w:r w:rsidRPr="002920E0">
        <w:t>Mother’s</w:t>
      </w:r>
      <w:proofErr w:type="spellEnd"/>
      <w:r w:rsidRPr="002920E0">
        <w:t xml:space="preserve"> et, plus récemment, OLAPLEX dans la branche d’activité Consumer Brands. L'acquisition du groupe Stahl dans le secteur des adhésifs devrait être finalisée au cours du second semestre de l'exercice 2026.</w:t>
      </w:r>
    </w:p>
    <w:p w14:paraId="0F99C05C" w14:textId="77777777" w:rsidR="00E21F5D" w:rsidRPr="002920E0" w:rsidRDefault="00E21F5D" w:rsidP="008762E7">
      <w:pPr>
        <w:autoSpaceDE w:val="0"/>
        <w:autoSpaceDN w:val="0"/>
        <w:adjustRightInd w:val="0"/>
        <w:rPr>
          <w:rFonts w:cs="Segoe UI"/>
          <w:bCs/>
          <w:szCs w:val="22"/>
        </w:rPr>
      </w:pPr>
    </w:p>
    <w:p w14:paraId="77AA3405" w14:textId="5533E5D1" w:rsidR="00C76008" w:rsidRPr="002920E0" w:rsidRDefault="00C76008" w:rsidP="00C76008">
      <w:pPr>
        <w:autoSpaceDE w:val="0"/>
        <w:autoSpaceDN w:val="0"/>
        <w:adjustRightInd w:val="0"/>
        <w:rPr>
          <w:rFonts w:cs="Segoe UI"/>
          <w:bCs/>
          <w:szCs w:val="22"/>
        </w:rPr>
      </w:pPr>
      <w:r w:rsidRPr="002920E0">
        <w:lastRenderedPageBreak/>
        <w:t xml:space="preserve">Avec l'acquisition de la marque de soins capillaires haut de gamme </w:t>
      </w:r>
      <w:r w:rsidRPr="002920E0">
        <w:rPr>
          <w:b/>
        </w:rPr>
        <w:t>OLAPLEX</w:t>
      </w:r>
      <w:r w:rsidRPr="002920E0">
        <w:t xml:space="preserve">, qui contribue à hauteur d'environ 370 millions d'euros au chiffre d'affaires annuel, Henkel renforce encore sa présence mondiale dans le segment des soins capillaires haut de gamme et est désormais devenue le numéro deux mondial dans le secteur des soins capillaires professionnels. Le marché des soins capillaires haut de gamme est très attractif, avec un taux de croissance annuel composé prévu d'environ 5 % dans les années à venir. OLAPLEX est une marque de soins capillaires haut de gamme bien établie, dotée d'un portefeuille de produits hautement performants basés sur la science. En réalisant cette transaction, Henkel renforce davantage sa présence mondiale dans le secteur des soins capillaires, une catégorie essentielle de son activité Consumer Brands. </w:t>
      </w:r>
      <w:r w:rsidR="002C058A">
        <w:t xml:space="preserve">Le groupe </w:t>
      </w:r>
      <w:r w:rsidRPr="002920E0">
        <w:t>Henkel est convaincu qu</w:t>
      </w:r>
      <w:r w:rsidR="00150B89">
        <w:t xml:space="preserve">’OLAPLEX </w:t>
      </w:r>
      <w:r w:rsidRPr="002920E0">
        <w:t>peut développer considérablement l'activité en tirant parti des opportunités de vente croisée et en renforçant à la fois les canaux de vente au détail spécialisés et les salons de coiffure en tant que canaux de distribution. En outre, l'acquisition offre des opportunités intéressantes en matière d'innovation et de technologie.</w:t>
      </w:r>
    </w:p>
    <w:p w14:paraId="62E961AE" w14:textId="77777777" w:rsidR="00C76008" w:rsidRPr="002920E0" w:rsidRDefault="00C76008" w:rsidP="00C76008">
      <w:pPr>
        <w:autoSpaceDE w:val="0"/>
        <w:autoSpaceDN w:val="0"/>
        <w:adjustRightInd w:val="0"/>
        <w:rPr>
          <w:rFonts w:cs="Segoe UI"/>
          <w:bCs/>
          <w:szCs w:val="22"/>
        </w:rPr>
      </w:pPr>
    </w:p>
    <w:p w14:paraId="7B2072E3" w14:textId="22C71D14" w:rsidR="00C76008" w:rsidRPr="002920E0" w:rsidRDefault="00C76008" w:rsidP="00C76008">
      <w:pPr>
        <w:autoSpaceDE w:val="0"/>
        <w:autoSpaceDN w:val="0"/>
        <w:adjustRightInd w:val="0"/>
        <w:rPr>
          <w:rFonts w:cs="Segoe UI"/>
          <w:bCs/>
          <w:szCs w:val="22"/>
        </w:rPr>
      </w:pPr>
      <w:r w:rsidRPr="002920E0">
        <w:t>Grâce à l'acquisition d'</w:t>
      </w:r>
      <w:r w:rsidRPr="002920E0">
        <w:rPr>
          <w:b/>
        </w:rPr>
        <w:t xml:space="preserve">ATP </w:t>
      </w:r>
      <w:proofErr w:type="spellStart"/>
      <w:r w:rsidRPr="002920E0">
        <w:rPr>
          <w:b/>
        </w:rPr>
        <w:t>Adhesive</w:t>
      </w:r>
      <w:proofErr w:type="spellEnd"/>
      <w:r w:rsidRPr="002920E0">
        <w:rPr>
          <w:b/>
        </w:rPr>
        <w:t xml:space="preserve"> </w:t>
      </w:r>
      <w:proofErr w:type="spellStart"/>
      <w:r w:rsidRPr="002920E0">
        <w:rPr>
          <w:b/>
        </w:rPr>
        <w:t>Systems</w:t>
      </w:r>
      <w:proofErr w:type="spellEnd"/>
      <w:r w:rsidRPr="002920E0">
        <w:t>, qui génère un chiffre d'affaires annuel d'environ 270 millions d'euros, Henkel élargit son portefeuille au-delà des technologies liquides et établit une nouvelle plateforme de croissance pour les rubans spéciaux haute performance à base d'eau. Il s'agit d'un marché très attractif qui devrait connaître une croissance annuelle d'environ 7 %. Les rubans spéciaux à base d'eau gagnent des parts de marché en tant qu'alternative plus durable aux solutions à base de solvants. Ils peuvent réduire les émissions de composés organiques volatils (COV) jusqu'à 90 % et l'empreinte carbone jusqu'à 60 %. Les rubans spéciaux d’ATP sont utilisés, par exemple, dans l’industrie automobile pour les systèmes avancés d’aide à la conduite. Cette acquisition renforce également les capacités d’innovation de Henkel, crée des opportunités de vente croisée intéressantes et renforce encore la position de Henkel sur le marché des solutions adhésives durables.</w:t>
      </w:r>
    </w:p>
    <w:p w14:paraId="37C82585" w14:textId="77777777" w:rsidR="00754FF6" w:rsidRPr="002920E0" w:rsidRDefault="00754FF6" w:rsidP="00CD223C">
      <w:pPr>
        <w:rPr>
          <w:rFonts w:cs="Segoe UI"/>
          <w:bCs/>
          <w:szCs w:val="22"/>
        </w:rPr>
      </w:pPr>
    </w:p>
    <w:p w14:paraId="5FE9F64E" w14:textId="4BB3476E" w:rsidR="00CD223C" w:rsidRDefault="00C76008" w:rsidP="00CD223C">
      <w:r w:rsidRPr="002920E0">
        <w:t>Henkel s'attend à ce que les récentes acquisitions apportent leurs premières contributions positives aux ventes et aux bénéfices au cours de l'exercice en cours. En 2026, les activités acquises devraient contribuer à hauteur d'environ 700 millions d'euros au chiffre d'affaires.</w:t>
      </w:r>
      <w:r w:rsidRPr="002920E0">
        <w:rPr>
          <w:rStyle w:val="FootnoteReference"/>
          <w:rFonts w:cs="Segoe UI"/>
          <w:lang w:val="de-DE" w:eastAsia="de-DE"/>
        </w:rPr>
        <w:footnoteReference w:id="2"/>
      </w:r>
      <w:r w:rsidRPr="002920E0">
        <w:t xml:space="preserve"> À l'avenir, les cinq acquisitions devraient contribuer à une croissance supérieure à la moyenne, de l'ordre d'un pourcentage à un chiffre, dans le haut ou le milieu de la fourchette, et leurs ventes combinées devraient atteindre environ 2 milliards d'euros d'ici 2030. Du point de vue des bénéfices, Henkel s'attend à ce que les acquisitions contribuent à au moins 10 % du bénéfice ajusté par action privilégiée d'ici 2030.</w:t>
      </w:r>
    </w:p>
    <w:p w14:paraId="6C7F182B" w14:textId="77777777" w:rsidR="00542967" w:rsidRDefault="00542967" w:rsidP="00CD223C"/>
    <w:p w14:paraId="3FB83E82" w14:textId="77777777" w:rsidR="00542967" w:rsidRPr="002920E0" w:rsidRDefault="00542967" w:rsidP="00CD223C">
      <w:pPr>
        <w:rPr>
          <w:rFonts w:cs="Segoe UI"/>
          <w:bCs/>
          <w:szCs w:val="22"/>
        </w:rPr>
      </w:pPr>
    </w:p>
    <w:p w14:paraId="4DFD3C6C" w14:textId="77777777" w:rsidR="00211BA0" w:rsidRPr="002920E0" w:rsidRDefault="00211BA0" w:rsidP="00C76008">
      <w:pPr>
        <w:rPr>
          <w:rFonts w:cs="Segoe UI"/>
          <w:bCs/>
          <w:szCs w:val="22"/>
        </w:rPr>
      </w:pPr>
    </w:p>
    <w:p w14:paraId="2F2FD7C3" w14:textId="4AED9D90" w:rsidR="00E83A6D" w:rsidRPr="002920E0" w:rsidRDefault="00E83A6D" w:rsidP="00E83A6D">
      <w:pPr>
        <w:spacing w:after="80"/>
        <w:ind w:right="-108"/>
        <w:jc w:val="left"/>
        <w:rPr>
          <w:rFonts w:asciiTheme="majorHAnsi" w:hAnsiTheme="majorHAnsi" w:cstheme="majorHAnsi"/>
          <w:b/>
          <w:szCs w:val="22"/>
        </w:rPr>
      </w:pPr>
      <w:bookmarkStart w:id="6" w:name="_Hlk190182989"/>
      <w:r w:rsidRPr="002920E0">
        <w:rPr>
          <w:rFonts w:asciiTheme="majorHAnsi" w:hAnsiTheme="majorHAnsi"/>
          <w:b/>
        </w:rPr>
        <w:t xml:space="preserve">Prévisions pour l’exercice 2026 : Revue à la hausse des prévisions de chiffre d'affaires pour le Groupe et </w:t>
      </w:r>
      <w:proofErr w:type="spellStart"/>
      <w:r w:rsidRPr="002920E0">
        <w:rPr>
          <w:rFonts w:asciiTheme="majorHAnsi" w:hAnsiTheme="majorHAnsi"/>
          <w:b/>
        </w:rPr>
        <w:t>Adhesive</w:t>
      </w:r>
      <w:proofErr w:type="spellEnd"/>
      <w:r w:rsidRPr="002920E0">
        <w:rPr>
          <w:rFonts w:asciiTheme="majorHAnsi" w:hAnsiTheme="majorHAnsi"/>
          <w:b/>
        </w:rPr>
        <w:t xml:space="preserve"> Technologies</w:t>
      </w:r>
    </w:p>
    <w:p w14:paraId="3AFD25E5" w14:textId="639AFF30" w:rsidR="0061561D" w:rsidRPr="002920E0" w:rsidRDefault="008B00CA" w:rsidP="00E83A6D">
      <w:pPr>
        <w:rPr>
          <w:rFonts w:cs="Segoe UI"/>
          <w:szCs w:val="22"/>
        </w:rPr>
      </w:pPr>
      <w:r w:rsidRPr="002920E0">
        <w:t xml:space="preserve">Sur la base des bonnes performances du premier semestre, Henkel a revu à la hausse ses prévisions de chiffre d'affaires tant pour le Groupe que pour la branche d'activité </w:t>
      </w:r>
      <w:proofErr w:type="spellStart"/>
      <w:r w:rsidRPr="002920E0">
        <w:t>Adhesive</w:t>
      </w:r>
      <w:proofErr w:type="spellEnd"/>
      <w:r w:rsidRPr="002920E0">
        <w:t xml:space="preserve"> Technologies, tandis que les prévisions de marge EBIT ajustée et de croissance du BPA ajusté à taux de change constants restent inchangées.</w:t>
      </w:r>
    </w:p>
    <w:p w14:paraId="4CF8E151" w14:textId="77777777" w:rsidR="0061561D" w:rsidRPr="002920E0" w:rsidRDefault="0061561D" w:rsidP="00E83A6D">
      <w:pPr>
        <w:rPr>
          <w:rFonts w:cs="Segoe UI"/>
          <w:szCs w:val="22"/>
        </w:rPr>
      </w:pPr>
    </w:p>
    <w:p w14:paraId="13C33C91" w14:textId="219211B0" w:rsidR="00E83A6D" w:rsidRPr="002920E0" w:rsidRDefault="00E83A6D" w:rsidP="00E83A6D">
      <w:pPr>
        <w:rPr>
          <w:rFonts w:cs="Segoe UI"/>
          <w:szCs w:val="22"/>
        </w:rPr>
      </w:pPr>
      <w:r w:rsidRPr="002920E0">
        <w:t xml:space="preserve">Pour l’année en cours, Henkel prévoit maintenant une </w:t>
      </w:r>
      <w:r w:rsidRPr="002920E0">
        <w:rPr>
          <w:b/>
        </w:rPr>
        <w:t>croissance organique des ventes</w:t>
      </w:r>
      <w:r w:rsidRPr="002920E0">
        <w:t xml:space="preserve"> de 1,5 à 3,5 % (précédemment : 1,0 à 3,0 %). Pour la branche d'activité </w:t>
      </w:r>
      <w:proofErr w:type="spellStart"/>
      <w:r w:rsidRPr="002920E0">
        <w:t>Adhesive</w:t>
      </w:r>
      <w:proofErr w:type="spellEnd"/>
      <w:r w:rsidRPr="002920E0">
        <w:t xml:space="preserve"> Technologies, la croissance organique des ventes devrait désormais se situer entre 2,0 et 4,0 % (précédemment : 1,0 à 3,0 %). Pour la branche </w:t>
      </w:r>
      <w:r w:rsidR="00B91A81">
        <w:t xml:space="preserve">d’activité </w:t>
      </w:r>
      <w:r w:rsidRPr="002920E0">
        <w:t xml:space="preserve">Consumer Brands, la société prévoit une augmentation organique des ventes de 0,5 à 2,5 %. </w:t>
      </w:r>
    </w:p>
    <w:p w14:paraId="100C5C2D" w14:textId="77777777" w:rsidR="00E83A6D" w:rsidRPr="002920E0" w:rsidRDefault="00E83A6D" w:rsidP="00E83A6D">
      <w:pPr>
        <w:rPr>
          <w:rFonts w:cs="Segoe UI"/>
          <w:szCs w:val="22"/>
        </w:rPr>
      </w:pPr>
    </w:p>
    <w:p w14:paraId="43F73761" w14:textId="4EAAC17D" w:rsidR="00E83A6D" w:rsidRPr="002920E0" w:rsidRDefault="00E83A6D" w:rsidP="00E83A6D">
      <w:pPr>
        <w:rPr>
          <w:rFonts w:cs="Segoe UI"/>
          <w:szCs w:val="22"/>
        </w:rPr>
      </w:pPr>
      <w:r w:rsidRPr="002920E0">
        <w:t xml:space="preserve">La </w:t>
      </w:r>
      <w:r w:rsidRPr="002920E0">
        <w:rPr>
          <w:b/>
        </w:rPr>
        <w:t>rentabilité ajustée des ventes (marge EBIT ajustée)</w:t>
      </w:r>
      <w:r w:rsidRPr="002920E0">
        <w:t xml:space="preserve"> attendue continue à se situer entre 14,5 et 16,0 %. La rentabilité ajustée des ventes devrait se situer entre 16,5 et 18,0 % pour </w:t>
      </w:r>
      <w:proofErr w:type="spellStart"/>
      <w:r w:rsidRPr="002920E0">
        <w:t>Adhesive</w:t>
      </w:r>
      <w:proofErr w:type="spellEnd"/>
      <w:r w:rsidRPr="002920E0">
        <w:t xml:space="preserve"> Technologies et entre 14,0 et 15,5 % pour les Consumer Brands. </w:t>
      </w:r>
    </w:p>
    <w:p w14:paraId="312FBE80" w14:textId="77777777" w:rsidR="00E83A6D" w:rsidRPr="002920E0" w:rsidRDefault="00E83A6D" w:rsidP="00E83A6D">
      <w:pPr>
        <w:rPr>
          <w:rFonts w:cs="Segoe UI"/>
          <w:szCs w:val="22"/>
        </w:rPr>
      </w:pPr>
    </w:p>
    <w:p w14:paraId="5292E09C" w14:textId="5E9C13AA" w:rsidR="00E83A6D" w:rsidRPr="002920E0" w:rsidRDefault="00E83A6D" w:rsidP="00E83A6D">
      <w:pPr>
        <w:rPr>
          <w:rFonts w:cs="Segoe UI"/>
          <w:szCs w:val="22"/>
        </w:rPr>
      </w:pPr>
      <w:r w:rsidRPr="002920E0">
        <w:t xml:space="preserve">Pour le </w:t>
      </w:r>
      <w:r w:rsidRPr="002920E0">
        <w:rPr>
          <w:b/>
        </w:rPr>
        <w:t>bénéfice ajusté par action privilégiée</w:t>
      </w:r>
      <w:r w:rsidRPr="002920E0">
        <w:t xml:space="preserve"> (EPS), une augmentation à un chiffre est attendue, située soit dans la partie basse</w:t>
      </w:r>
      <w:r w:rsidR="002D16E7">
        <w:t xml:space="preserve"> </w:t>
      </w:r>
      <w:r w:rsidRPr="002920E0">
        <w:t>soit dans la partie haute de la fourchette, à taux de change constants.</w:t>
      </w:r>
    </w:p>
    <w:p w14:paraId="3E57D116" w14:textId="77777777" w:rsidR="00E83A6D" w:rsidRPr="002920E0" w:rsidRDefault="00E83A6D" w:rsidP="00E83A6D">
      <w:pPr>
        <w:rPr>
          <w:rFonts w:cs="Segoe UI"/>
          <w:szCs w:val="22"/>
        </w:rPr>
      </w:pPr>
    </w:p>
    <w:p w14:paraId="5D9C13CB" w14:textId="436675D0" w:rsidR="002E69DA" w:rsidRDefault="00E83A6D" w:rsidP="00E83A6D">
      <w:r w:rsidRPr="002920E0">
        <w:t xml:space="preserve">« La très bonne performance commerciale du premier semestre 2026, caractérisée par une forte croissance organique des ventes et une nouvelle amélioration de la marge et des bénéfices, montre que la transformation de Henkel porte ses fruits. Nous poursuivrons cette transformation afin de renforcer durablement notre compétitivité et de positionner l'entreprise pour son succès futur. Nous transformons Henkel pour assurer son avenir, et grâce à une stratégie claire, nous sommes sur la bonne voie pour </w:t>
      </w:r>
      <w:r w:rsidR="002D16E7">
        <w:t xml:space="preserve">continuer à </w:t>
      </w:r>
      <w:r w:rsidRPr="002920E0">
        <w:t>générer une</w:t>
      </w:r>
      <w:r w:rsidR="002D16E7">
        <w:t xml:space="preserve"> </w:t>
      </w:r>
      <w:r w:rsidRPr="002920E0">
        <w:t>croissance rentable », a déclaré Carsten Knobel.</w:t>
      </w:r>
    </w:p>
    <w:p w14:paraId="3D882E38" w14:textId="77777777" w:rsidR="002E69DA" w:rsidRDefault="002E69DA" w:rsidP="00E83A6D"/>
    <w:p w14:paraId="25FCFAAD" w14:textId="77777777" w:rsidR="002E69DA" w:rsidRDefault="002E69DA" w:rsidP="00E83A6D"/>
    <w:p w14:paraId="00095FD0" w14:textId="77777777" w:rsidR="002E69DA" w:rsidRPr="002920E0" w:rsidRDefault="002E69DA" w:rsidP="00E83A6D">
      <w:pPr>
        <w:rPr>
          <w:rFonts w:cs="Segoe UI"/>
          <w:szCs w:val="22"/>
        </w:rPr>
      </w:pPr>
    </w:p>
    <w:bookmarkEnd w:id="6"/>
    <w:p w14:paraId="33E22388" w14:textId="77777777" w:rsidR="00B312F1" w:rsidRPr="002920E0" w:rsidRDefault="00B312F1">
      <w:pPr>
        <w:spacing w:line="240" w:lineRule="auto"/>
        <w:jc w:val="left"/>
        <w:rPr>
          <w:rFonts w:eastAsia="PMingLiU"/>
          <w:b/>
          <w:bCs/>
          <w:sz w:val="18"/>
        </w:rPr>
      </w:pPr>
    </w:p>
    <w:p w14:paraId="1EE95EF2" w14:textId="77777777" w:rsidR="002E69DA" w:rsidRDefault="002E69DA" w:rsidP="00292C23">
      <w:pPr>
        <w:rPr>
          <w:b/>
          <w:sz w:val="18"/>
        </w:rPr>
      </w:pPr>
      <w:r w:rsidRPr="002E69DA">
        <w:rPr>
          <w:b/>
          <w:sz w:val="18"/>
        </w:rPr>
        <w:t xml:space="preserve">À propos de Henkel </w:t>
      </w:r>
    </w:p>
    <w:p w14:paraId="25DBBED5" w14:textId="168510A9" w:rsidR="00292C23" w:rsidRDefault="002E69DA" w:rsidP="00292C23">
      <w:pPr>
        <w:rPr>
          <w:bCs/>
          <w:sz w:val="18"/>
        </w:rPr>
      </w:pPr>
      <w:r w:rsidRPr="002E69DA">
        <w:rPr>
          <w:bCs/>
          <w:sz w:val="18"/>
        </w:rPr>
        <w:t xml:space="preserve">Grâce à ses marques, ses innovations et ses technologies, Henkel détient des positions mondiales fortes auprès des industriels comme des consommateurs. L’activité </w:t>
      </w:r>
      <w:proofErr w:type="spellStart"/>
      <w:r w:rsidRPr="002E69DA">
        <w:rPr>
          <w:bCs/>
          <w:sz w:val="18"/>
        </w:rPr>
        <w:t>Adhesive</w:t>
      </w:r>
      <w:proofErr w:type="spellEnd"/>
      <w:r w:rsidRPr="002E69DA">
        <w:rPr>
          <w:bCs/>
          <w:sz w:val="18"/>
        </w:rPr>
        <w:t xml:space="preserve"> Technologies est leader mondial des adhésifs, des produits d'étanchéité et des revêtements fonctionnels. Avec son activité Consumer Brands, Henkel détient des po </w:t>
      </w:r>
      <w:proofErr w:type="spellStart"/>
      <w:r w:rsidRPr="002E69DA">
        <w:rPr>
          <w:bCs/>
          <w:sz w:val="18"/>
        </w:rPr>
        <w:t>sitions</w:t>
      </w:r>
      <w:proofErr w:type="spellEnd"/>
      <w:r w:rsidRPr="002E69DA">
        <w:rPr>
          <w:bCs/>
          <w:sz w:val="18"/>
        </w:rPr>
        <w:t xml:space="preserve"> de leader sur de nombreux marchés et catégories dans le monde, en particulier pour les soins des cheveux et pour les lessives et produits d’entretien. Les trois premières marques internationales du Groupe sont </w:t>
      </w:r>
      <w:proofErr w:type="spellStart"/>
      <w:r w:rsidRPr="002E69DA">
        <w:rPr>
          <w:bCs/>
          <w:sz w:val="18"/>
        </w:rPr>
        <w:t>Loctite</w:t>
      </w:r>
      <w:proofErr w:type="spellEnd"/>
      <w:r w:rsidRPr="002E69DA">
        <w:rPr>
          <w:bCs/>
          <w:sz w:val="18"/>
        </w:rPr>
        <w:t xml:space="preserve">, Persil (Le Chat en France) et Schwarzkopf. En 2025, Henkel a réalisé un chiffre d’affaires de près de 20,5 milliards d’euros </w:t>
      </w:r>
      <w:r w:rsidRPr="002E69DA">
        <w:rPr>
          <w:bCs/>
          <w:sz w:val="18"/>
        </w:rPr>
        <w:lastRenderedPageBreak/>
        <w:t xml:space="preserve">et un bénéfice d’exploitation ajusté d’environ 3,0 milliards d’euros. Les actions préférentielles Henkel sont listées à l’indice boursier allemand DAX. Le développement durable fait partie intégrante de l’histoire de Henkel et le Groupe a dans ce domaine une stratégie claire avec des objectifs concrets. Fondé en 1876, Henkel s’appuie au jourd’hui sur une équipe empreinte de diversité, de près de 47 000 personnes à travers le monde – unies par une culture forte, des valeurs d’entreprise et une raison d’être partagées : « </w:t>
      </w:r>
      <w:proofErr w:type="spellStart"/>
      <w:r w:rsidRPr="002E69DA">
        <w:rPr>
          <w:bCs/>
          <w:sz w:val="18"/>
        </w:rPr>
        <w:t>Pioneers</w:t>
      </w:r>
      <w:proofErr w:type="spellEnd"/>
      <w:r w:rsidRPr="002E69DA">
        <w:rPr>
          <w:bCs/>
          <w:sz w:val="18"/>
        </w:rPr>
        <w:t xml:space="preserve"> at </w:t>
      </w:r>
      <w:proofErr w:type="spellStart"/>
      <w:r w:rsidRPr="002E69DA">
        <w:rPr>
          <w:bCs/>
          <w:sz w:val="18"/>
        </w:rPr>
        <w:t>heart</w:t>
      </w:r>
      <w:proofErr w:type="spellEnd"/>
      <w:r w:rsidRPr="002E69DA">
        <w:rPr>
          <w:bCs/>
          <w:sz w:val="18"/>
        </w:rPr>
        <w:t xml:space="preserve"> for the good of </w:t>
      </w:r>
      <w:proofErr w:type="spellStart"/>
      <w:r w:rsidRPr="002E69DA">
        <w:rPr>
          <w:bCs/>
          <w:sz w:val="18"/>
        </w:rPr>
        <w:t>genera</w:t>
      </w:r>
      <w:proofErr w:type="spellEnd"/>
      <w:r w:rsidRPr="002E69DA">
        <w:rPr>
          <w:bCs/>
          <w:sz w:val="18"/>
        </w:rPr>
        <w:t xml:space="preserve"> tions ». Pour en savoir plus, rendez-vous sur </w:t>
      </w:r>
      <w:hyperlink r:id="rId12" w:history="1">
        <w:r w:rsidR="00876B5A">
          <w:rPr>
            <w:rStyle w:val="Hyperlink"/>
            <w:bCs/>
            <w:szCs w:val="24"/>
          </w:rPr>
          <w:t>http://www.henkel.be/</w:t>
        </w:r>
      </w:hyperlink>
    </w:p>
    <w:p w14:paraId="3A61A03F" w14:textId="77777777" w:rsidR="002E69DA" w:rsidRPr="009238AC" w:rsidRDefault="002E69DA" w:rsidP="00292C23">
      <w:pPr>
        <w:rPr>
          <w:bCs/>
          <w:sz w:val="14"/>
          <w:szCs w:val="14"/>
        </w:rPr>
      </w:pPr>
    </w:p>
    <w:p w14:paraId="58703F6E" w14:textId="77777777" w:rsidR="009238AC" w:rsidRPr="009238AC" w:rsidRDefault="009238AC" w:rsidP="009238AC">
      <w:pPr>
        <w:tabs>
          <w:tab w:val="left" w:pos="1080"/>
          <w:tab w:val="left" w:pos="4500"/>
        </w:tabs>
        <w:spacing w:line="264" w:lineRule="auto"/>
        <w:rPr>
          <w:sz w:val="14"/>
        </w:rPr>
      </w:pPr>
      <w:r w:rsidRPr="009238AC">
        <w:rPr>
          <w:sz w:val="14"/>
        </w:rPr>
        <w:t xml:space="preserve">Ce document contient des déclarations relatives à l’évolution future de l’activité, aux performances financières et à d’autres événements ou </w:t>
      </w:r>
      <w:proofErr w:type="spellStart"/>
      <w:r w:rsidRPr="009238AC">
        <w:rPr>
          <w:sz w:val="14"/>
        </w:rPr>
        <w:t>évolu</w:t>
      </w:r>
      <w:proofErr w:type="spellEnd"/>
    </w:p>
    <w:p w14:paraId="653E37AD" w14:textId="77777777" w:rsidR="009238AC" w:rsidRPr="009238AC" w:rsidRDefault="009238AC" w:rsidP="009238AC">
      <w:pPr>
        <w:tabs>
          <w:tab w:val="left" w:pos="1080"/>
          <w:tab w:val="left" w:pos="4500"/>
        </w:tabs>
        <w:spacing w:line="264" w:lineRule="auto"/>
        <w:rPr>
          <w:sz w:val="14"/>
        </w:rPr>
      </w:pPr>
      <w:r w:rsidRPr="009238AC">
        <w:rPr>
          <w:sz w:val="14"/>
        </w:rPr>
        <w:t>tions futures pour Henkel qui peuvent constituer des déclarations prévisionnelles. Les déclarations relatives à l'avenir se caractérisent par l'utilisa</w:t>
      </w:r>
    </w:p>
    <w:p w14:paraId="1EEAC416" w14:textId="77777777" w:rsidR="009238AC" w:rsidRPr="009238AC" w:rsidRDefault="009238AC" w:rsidP="009238AC">
      <w:pPr>
        <w:tabs>
          <w:tab w:val="left" w:pos="1080"/>
          <w:tab w:val="left" w:pos="4500"/>
        </w:tabs>
        <w:spacing w:line="264" w:lineRule="auto"/>
        <w:rPr>
          <w:sz w:val="14"/>
        </w:rPr>
      </w:pPr>
      <w:r w:rsidRPr="009238AC">
        <w:rPr>
          <w:sz w:val="14"/>
        </w:rPr>
        <w:t xml:space="preserve">tion de termes tels que « s'attendre à », « avoir l'intention de », « planifier », « anticiper », « croire », « estimer » et d'autres termes similaires. Ces </w:t>
      </w:r>
    </w:p>
    <w:p w14:paraId="2F714A79" w14:textId="77777777" w:rsidR="009238AC" w:rsidRPr="009238AC" w:rsidRDefault="009238AC" w:rsidP="009238AC">
      <w:pPr>
        <w:tabs>
          <w:tab w:val="left" w:pos="1080"/>
          <w:tab w:val="left" w:pos="4500"/>
        </w:tabs>
        <w:spacing w:line="264" w:lineRule="auto"/>
        <w:rPr>
          <w:sz w:val="14"/>
        </w:rPr>
      </w:pPr>
      <w:r w:rsidRPr="009238AC">
        <w:rPr>
          <w:sz w:val="14"/>
        </w:rPr>
        <w:t xml:space="preserve">déclarations sont basées sur les estimations et les hypothèses actuelles de la direction de Henkel AG &amp; Co. </w:t>
      </w:r>
      <w:proofErr w:type="spellStart"/>
      <w:r w:rsidRPr="009238AC">
        <w:rPr>
          <w:sz w:val="14"/>
        </w:rPr>
        <w:t>KGaA</w:t>
      </w:r>
      <w:proofErr w:type="spellEnd"/>
      <w:r w:rsidRPr="009238AC">
        <w:rPr>
          <w:sz w:val="14"/>
        </w:rPr>
        <w:t xml:space="preserve">. Ces déclarations ne doivent pas </w:t>
      </w:r>
    </w:p>
    <w:p w14:paraId="2842CC90" w14:textId="77777777" w:rsidR="009238AC" w:rsidRPr="009238AC" w:rsidRDefault="009238AC" w:rsidP="009238AC">
      <w:pPr>
        <w:tabs>
          <w:tab w:val="left" w:pos="1080"/>
          <w:tab w:val="left" w:pos="4500"/>
        </w:tabs>
        <w:spacing w:line="264" w:lineRule="auto"/>
        <w:rPr>
          <w:sz w:val="14"/>
        </w:rPr>
      </w:pPr>
      <w:r w:rsidRPr="009238AC">
        <w:rPr>
          <w:sz w:val="14"/>
        </w:rPr>
        <w:t xml:space="preserve">être interprétées comme garantissant de quelque manière que ce soit que ces attentes se révéleront exactes. Les performances futures et les </w:t>
      </w:r>
      <w:proofErr w:type="spellStart"/>
      <w:r w:rsidRPr="009238AC">
        <w:rPr>
          <w:sz w:val="14"/>
        </w:rPr>
        <w:t>résul</w:t>
      </w:r>
      <w:proofErr w:type="spellEnd"/>
    </w:p>
    <w:p w14:paraId="25AE8A87" w14:textId="77777777" w:rsidR="009238AC" w:rsidRPr="009238AC" w:rsidRDefault="009238AC" w:rsidP="009238AC">
      <w:pPr>
        <w:tabs>
          <w:tab w:val="left" w:pos="1080"/>
          <w:tab w:val="left" w:pos="4500"/>
        </w:tabs>
        <w:spacing w:line="264" w:lineRule="auto"/>
        <w:rPr>
          <w:sz w:val="14"/>
        </w:rPr>
      </w:pPr>
      <w:proofErr w:type="spellStart"/>
      <w:r w:rsidRPr="009238AC">
        <w:rPr>
          <w:sz w:val="14"/>
        </w:rPr>
        <w:t>tats</w:t>
      </w:r>
      <w:proofErr w:type="spellEnd"/>
      <w:r w:rsidRPr="009238AC">
        <w:rPr>
          <w:sz w:val="14"/>
        </w:rPr>
        <w:t xml:space="preserve"> effectivement obtenus par Henkel AG &amp; Co. </w:t>
      </w:r>
      <w:proofErr w:type="spellStart"/>
      <w:r w:rsidRPr="009238AC">
        <w:rPr>
          <w:sz w:val="14"/>
        </w:rPr>
        <w:t>KGaA</w:t>
      </w:r>
      <w:proofErr w:type="spellEnd"/>
      <w:r w:rsidRPr="009238AC">
        <w:rPr>
          <w:sz w:val="14"/>
        </w:rPr>
        <w:t xml:space="preserve"> et ses sociétés affiliées dépendent d’un certain nombre de risques et d’incertitudes et peu</w:t>
      </w:r>
    </w:p>
    <w:p w14:paraId="34052B32" w14:textId="77777777" w:rsidR="009238AC" w:rsidRPr="009238AC" w:rsidRDefault="009238AC" w:rsidP="009238AC">
      <w:pPr>
        <w:tabs>
          <w:tab w:val="left" w:pos="1080"/>
          <w:tab w:val="left" w:pos="4500"/>
        </w:tabs>
        <w:spacing w:line="264" w:lineRule="auto"/>
        <w:rPr>
          <w:sz w:val="14"/>
        </w:rPr>
      </w:pPr>
      <w:r w:rsidRPr="009238AC">
        <w:rPr>
          <w:sz w:val="14"/>
        </w:rPr>
        <w:t xml:space="preserve">vent donc différer matériellement (à la fois positivement et négativement) des déclarations prévisionnelles. Beaucoup de ces facteurs sont hors du </w:t>
      </w:r>
    </w:p>
    <w:p w14:paraId="4556E1F3" w14:textId="77777777" w:rsidR="009238AC" w:rsidRPr="009238AC" w:rsidRDefault="009238AC" w:rsidP="009238AC">
      <w:pPr>
        <w:tabs>
          <w:tab w:val="left" w:pos="1080"/>
          <w:tab w:val="left" w:pos="4500"/>
        </w:tabs>
        <w:spacing w:line="264" w:lineRule="auto"/>
        <w:rPr>
          <w:sz w:val="14"/>
        </w:rPr>
      </w:pPr>
      <w:r w:rsidRPr="009238AC">
        <w:rPr>
          <w:sz w:val="14"/>
        </w:rPr>
        <w:t xml:space="preserve">contrôle de Henkel et ne peuvent être estimés avec précision à l'avance, tels que l'environnement économique futur et les actions des concurrents </w:t>
      </w:r>
    </w:p>
    <w:p w14:paraId="3126F760" w14:textId="77777777" w:rsidR="009238AC" w:rsidRPr="009238AC" w:rsidRDefault="009238AC" w:rsidP="009238AC">
      <w:pPr>
        <w:tabs>
          <w:tab w:val="left" w:pos="1080"/>
          <w:tab w:val="left" w:pos="4500"/>
        </w:tabs>
        <w:spacing w:line="264" w:lineRule="auto"/>
        <w:rPr>
          <w:sz w:val="14"/>
        </w:rPr>
      </w:pPr>
      <w:r w:rsidRPr="009238AC">
        <w:rPr>
          <w:sz w:val="14"/>
        </w:rPr>
        <w:t xml:space="preserve">et autres acteurs du marché. Henkel ne prévoit ni ne s'engage à mettre à jour les déclarations prévisionnelles. </w:t>
      </w:r>
    </w:p>
    <w:p w14:paraId="2C5D4CE5" w14:textId="77777777" w:rsidR="009238AC" w:rsidRPr="009238AC" w:rsidRDefault="009238AC" w:rsidP="009238AC">
      <w:pPr>
        <w:tabs>
          <w:tab w:val="left" w:pos="1080"/>
          <w:tab w:val="left" w:pos="4500"/>
        </w:tabs>
        <w:spacing w:line="264" w:lineRule="auto"/>
        <w:rPr>
          <w:sz w:val="14"/>
        </w:rPr>
      </w:pPr>
    </w:p>
    <w:p w14:paraId="3EECFE62" w14:textId="77777777" w:rsidR="009238AC" w:rsidRPr="009238AC" w:rsidRDefault="009238AC" w:rsidP="009238AC">
      <w:pPr>
        <w:tabs>
          <w:tab w:val="left" w:pos="1080"/>
          <w:tab w:val="left" w:pos="4500"/>
        </w:tabs>
        <w:spacing w:line="264" w:lineRule="auto"/>
        <w:rPr>
          <w:sz w:val="14"/>
        </w:rPr>
      </w:pPr>
      <w:r w:rsidRPr="009238AC">
        <w:rPr>
          <w:sz w:val="14"/>
        </w:rPr>
        <w:t>Ce document comprend des indicateurs financiers supplémentaires qui ne sont pas clairement définis dans le cadre d'information financière appli</w:t>
      </w:r>
    </w:p>
    <w:p w14:paraId="24E7CDA5" w14:textId="77777777" w:rsidR="009238AC" w:rsidRPr="009238AC" w:rsidRDefault="009238AC" w:rsidP="009238AC">
      <w:pPr>
        <w:tabs>
          <w:tab w:val="left" w:pos="1080"/>
          <w:tab w:val="left" w:pos="4500"/>
        </w:tabs>
        <w:spacing w:line="264" w:lineRule="auto"/>
        <w:rPr>
          <w:sz w:val="14"/>
        </w:rPr>
      </w:pPr>
      <w:proofErr w:type="spellStart"/>
      <w:r w:rsidRPr="009238AC">
        <w:rPr>
          <w:sz w:val="14"/>
        </w:rPr>
        <w:t>cable</w:t>
      </w:r>
      <w:proofErr w:type="spellEnd"/>
      <w:r w:rsidRPr="009238AC">
        <w:rPr>
          <w:sz w:val="14"/>
        </w:rPr>
        <w:t xml:space="preserve"> et qui sont ou peuvent être des mesures de performance alternatives. Ces indicateurs financiers supplémentaires ne doivent pas être </w:t>
      </w:r>
      <w:proofErr w:type="spellStart"/>
      <w:r w:rsidRPr="009238AC">
        <w:rPr>
          <w:sz w:val="14"/>
        </w:rPr>
        <w:t>consi</w:t>
      </w:r>
      <w:proofErr w:type="spellEnd"/>
    </w:p>
    <w:p w14:paraId="6BC8F6D3" w14:textId="77777777" w:rsidR="009238AC" w:rsidRPr="009238AC" w:rsidRDefault="009238AC" w:rsidP="009238AC">
      <w:pPr>
        <w:tabs>
          <w:tab w:val="left" w:pos="1080"/>
          <w:tab w:val="left" w:pos="4500"/>
        </w:tabs>
        <w:spacing w:line="264" w:lineRule="auto"/>
        <w:rPr>
          <w:sz w:val="14"/>
        </w:rPr>
      </w:pPr>
      <w:proofErr w:type="spellStart"/>
      <w:r w:rsidRPr="009238AC">
        <w:rPr>
          <w:sz w:val="14"/>
        </w:rPr>
        <w:t>dérés</w:t>
      </w:r>
      <w:proofErr w:type="spellEnd"/>
      <w:r w:rsidRPr="009238AC">
        <w:rPr>
          <w:sz w:val="14"/>
        </w:rPr>
        <w:t xml:space="preserve"> isolément ou comme des alternatives aux mesures de l'actif net et de la position financière de Henkel ou des résultats d'exploitation </w:t>
      </w:r>
      <w:proofErr w:type="spellStart"/>
      <w:r w:rsidRPr="009238AC">
        <w:rPr>
          <w:sz w:val="14"/>
        </w:rPr>
        <w:t>présen</w:t>
      </w:r>
      <w:proofErr w:type="spellEnd"/>
    </w:p>
    <w:p w14:paraId="17B1EC39" w14:textId="77777777" w:rsidR="009238AC" w:rsidRPr="009238AC" w:rsidRDefault="009238AC" w:rsidP="009238AC">
      <w:pPr>
        <w:tabs>
          <w:tab w:val="left" w:pos="1080"/>
          <w:tab w:val="left" w:pos="4500"/>
        </w:tabs>
        <w:spacing w:line="264" w:lineRule="auto"/>
        <w:rPr>
          <w:sz w:val="14"/>
        </w:rPr>
      </w:pPr>
      <w:r w:rsidRPr="009238AC">
        <w:rPr>
          <w:sz w:val="14"/>
        </w:rPr>
        <w:t>tés conformément au cadre d'information financière applicable dans ses états financiers consolidés. D’autres entreprises qui rapportent ou décri</w:t>
      </w:r>
    </w:p>
    <w:p w14:paraId="1FC00C05" w14:textId="77777777" w:rsidR="009238AC" w:rsidRDefault="009238AC" w:rsidP="009238AC">
      <w:pPr>
        <w:tabs>
          <w:tab w:val="left" w:pos="1080"/>
          <w:tab w:val="left" w:pos="4500"/>
        </w:tabs>
        <w:spacing w:line="264" w:lineRule="auto"/>
        <w:rPr>
          <w:sz w:val="14"/>
        </w:rPr>
      </w:pPr>
      <w:r w:rsidRPr="009238AC">
        <w:rPr>
          <w:sz w:val="14"/>
        </w:rPr>
        <w:t xml:space="preserve">vent des mesures de performance alternatives intitulées de manière similaire peuvent les calculer différemment. </w:t>
      </w:r>
    </w:p>
    <w:p w14:paraId="622C5AE7" w14:textId="77777777" w:rsidR="009238AC" w:rsidRPr="009238AC" w:rsidRDefault="009238AC" w:rsidP="009238AC">
      <w:pPr>
        <w:tabs>
          <w:tab w:val="left" w:pos="1080"/>
          <w:tab w:val="left" w:pos="4500"/>
        </w:tabs>
        <w:spacing w:line="264" w:lineRule="auto"/>
        <w:rPr>
          <w:sz w:val="14"/>
        </w:rPr>
      </w:pPr>
    </w:p>
    <w:p w14:paraId="2599CFF8" w14:textId="77777777" w:rsidR="009238AC" w:rsidRPr="009238AC" w:rsidRDefault="009238AC" w:rsidP="009238AC">
      <w:pPr>
        <w:tabs>
          <w:tab w:val="left" w:pos="1080"/>
          <w:tab w:val="left" w:pos="4500"/>
        </w:tabs>
        <w:spacing w:line="264" w:lineRule="auto"/>
        <w:rPr>
          <w:sz w:val="14"/>
        </w:rPr>
      </w:pPr>
      <w:r w:rsidRPr="009238AC">
        <w:rPr>
          <w:sz w:val="14"/>
        </w:rPr>
        <w:t xml:space="preserve">Ce document a été publié à des fins d’information uniquement et n’est pas destiné à constituer un conseil en investissement ou une offre de vente, </w:t>
      </w:r>
    </w:p>
    <w:p w14:paraId="6626B667" w14:textId="18CC20C2" w:rsidR="00292C23" w:rsidRPr="009238AC" w:rsidRDefault="009238AC" w:rsidP="009238AC">
      <w:pPr>
        <w:tabs>
          <w:tab w:val="left" w:pos="1080"/>
          <w:tab w:val="left" w:pos="4500"/>
        </w:tabs>
        <w:spacing w:line="264" w:lineRule="auto"/>
        <w:rPr>
          <w:rFonts w:asciiTheme="majorHAnsi" w:eastAsia="PMingLiU" w:hAnsiTheme="majorHAnsi" w:cs="Calibri Light"/>
          <w:b/>
          <w:sz w:val="18"/>
          <w:szCs w:val="18"/>
        </w:rPr>
      </w:pPr>
      <w:r w:rsidRPr="009238AC">
        <w:rPr>
          <w:sz w:val="14"/>
        </w:rPr>
        <w:t>ou une sollicitation d’une offre d’achat, de titres.</w:t>
      </w:r>
    </w:p>
    <w:p w14:paraId="763085E6" w14:textId="0579D4F4" w:rsidR="00292C23" w:rsidRPr="009238AC" w:rsidRDefault="00292C23" w:rsidP="00292C23">
      <w:pPr>
        <w:spacing w:line="240" w:lineRule="auto"/>
        <w:jc w:val="left"/>
        <w:rPr>
          <w:rFonts w:asciiTheme="majorHAnsi" w:hAnsiTheme="majorHAnsi" w:cs="Calibri Light"/>
          <w:b/>
          <w:sz w:val="18"/>
          <w:szCs w:val="18"/>
        </w:rPr>
      </w:pPr>
    </w:p>
    <w:p w14:paraId="16D341FE" w14:textId="77777777" w:rsidR="00876B5A" w:rsidRPr="00292C23" w:rsidRDefault="00876B5A" w:rsidP="00876B5A">
      <w:pPr>
        <w:spacing w:line="240" w:lineRule="auto"/>
        <w:jc w:val="left"/>
        <w:rPr>
          <w:rFonts w:asciiTheme="majorHAnsi" w:hAnsiTheme="majorHAnsi" w:cs="Calibri Light"/>
          <w:b/>
          <w:sz w:val="18"/>
          <w:szCs w:val="18"/>
        </w:rPr>
      </w:pPr>
      <w:r>
        <w:rPr>
          <w:rFonts w:asciiTheme="majorHAnsi" w:hAnsiTheme="majorHAnsi" w:cs="Calibri Light"/>
          <w:b/>
          <w:bCs/>
          <w:sz w:val="18"/>
          <w:szCs w:val="18"/>
          <w:lang w:val="nl"/>
        </w:rPr>
        <w:t>Contact</w:t>
      </w:r>
    </w:p>
    <w:p w14:paraId="4197694B" w14:textId="77777777" w:rsidR="00876B5A" w:rsidRPr="00292C23" w:rsidRDefault="00876B5A" w:rsidP="00876B5A">
      <w:pPr>
        <w:tabs>
          <w:tab w:val="left" w:pos="1080"/>
          <w:tab w:val="left" w:pos="4500"/>
        </w:tabs>
        <w:spacing w:line="264" w:lineRule="auto"/>
        <w:rPr>
          <w:rFonts w:asciiTheme="majorHAnsi" w:hAnsiTheme="majorHAnsi" w:cs="Calibri Light"/>
          <w:b/>
          <w:sz w:val="16"/>
          <w:szCs w:val="16"/>
        </w:rPr>
      </w:pPr>
    </w:p>
    <w:p w14:paraId="68AF28AD" w14:textId="5B400E03" w:rsidR="00876B5A" w:rsidRPr="00292C23" w:rsidRDefault="00876B5A" w:rsidP="00876B5A">
      <w:pPr>
        <w:tabs>
          <w:tab w:val="left" w:pos="1080"/>
          <w:tab w:val="left" w:pos="4500"/>
        </w:tabs>
        <w:spacing w:line="264" w:lineRule="auto"/>
        <w:rPr>
          <w:rFonts w:asciiTheme="majorHAnsi" w:hAnsiTheme="majorHAnsi" w:cs="Calibri Light"/>
          <w:b/>
          <w:sz w:val="18"/>
          <w:szCs w:val="18"/>
        </w:rPr>
      </w:pPr>
      <w:r w:rsidRPr="00876B5A">
        <w:rPr>
          <w:rFonts w:asciiTheme="majorHAnsi" w:hAnsiTheme="majorHAnsi" w:cs="Calibri Light"/>
          <w:b/>
          <w:bCs/>
          <w:sz w:val="18"/>
          <w:szCs w:val="18"/>
          <w:lang w:val="nl"/>
        </w:rPr>
        <w:t xml:space="preserve">Investisseurs </w:t>
      </w:r>
      <w:r>
        <w:rPr>
          <w:rFonts w:asciiTheme="majorHAnsi" w:hAnsiTheme="majorHAnsi" w:cs="Calibri Light"/>
          <w:b/>
          <w:bCs/>
          <w:sz w:val="18"/>
          <w:szCs w:val="18"/>
          <w:lang w:val="nl"/>
        </w:rPr>
        <w:t>&amp;</w:t>
      </w:r>
      <w:r w:rsidRPr="00876B5A">
        <w:rPr>
          <w:rFonts w:asciiTheme="majorHAnsi" w:hAnsiTheme="majorHAnsi" w:cs="Calibri Light"/>
          <w:b/>
          <w:bCs/>
          <w:sz w:val="18"/>
          <w:szCs w:val="18"/>
          <w:lang w:val="nl"/>
        </w:rPr>
        <w:t xml:space="preserve"> analystes</w:t>
      </w:r>
      <w:r>
        <w:rPr>
          <w:rFonts w:asciiTheme="majorHAnsi" w:hAnsiTheme="majorHAnsi" w:cs="Calibri Light"/>
          <w:b/>
          <w:bCs/>
          <w:sz w:val="18"/>
          <w:szCs w:val="18"/>
          <w:lang w:val="nl"/>
        </w:rPr>
        <w:tab/>
      </w:r>
      <w:r w:rsidRPr="00876B5A">
        <w:rPr>
          <w:rFonts w:asciiTheme="majorHAnsi" w:hAnsiTheme="majorHAnsi" w:cs="Calibri Light"/>
          <w:b/>
          <w:bCs/>
          <w:sz w:val="18"/>
          <w:szCs w:val="18"/>
          <w:lang w:val="nl"/>
        </w:rPr>
        <w:t>Presse &amp; Médias</w:t>
      </w:r>
    </w:p>
    <w:p w14:paraId="22B86B29" w14:textId="77777777" w:rsidR="00876B5A" w:rsidRPr="00292C23" w:rsidRDefault="00876B5A" w:rsidP="00876B5A">
      <w:pPr>
        <w:tabs>
          <w:tab w:val="left" w:pos="1080"/>
          <w:tab w:val="left" w:pos="4500"/>
        </w:tabs>
        <w:spacing w:line="264" w:lineRule="auto"/>
        <w:rPr>
          <w:rFonts w:asciiTheme="majorHAnsi" w:hAnsiTheme="majorHAnsi" w:cs="Calibri Light"/>
          <w:b/>
          <w:sz w:val="16"/>
          <w:szCs w:val="16"/>
        </w:rPr>
      </w:pPr>
    </w:p>
    <w:p w14:paraId="17F3D678" w14:textId="77777777" w:rsidR="00876B5A" w:rsidRPr="00292C23" w:rsidRDefault="00876B5A" w:rsidP="00876B5A">
      <w:pPr>
        <w:tabs>
          <w:tab w:val="left" w:pos="1080"/>
          <w:tab w:val="left" w:pos="4500"/>
        </w:tabs>
        <w:spacing w:line="264" w:lineRule="auto"/>
        <w:rPr>
          <w:rFonts w:asciiTheme="majorHAnsi" w:hAnsiTheme="majorHAnsi" w:cs="Calibri Light"/>
          <w:b/>
          <w:sz w:val="18"/>
          <w:szCs w:val="18"/>
        </w:rPr>
      </w:pPr>
      <w:r>
        <w:rPr>
          <w:rFonts w:asciiTheme="majorHAnsi" w:hAnsiTheme="majorHAnsi" w:cs="Calibri Light"/>
          <w:b/>
          <w:bCs/>
          <w:sz w:val="18"/>
          <w:szCs w:val="18"/>
          <w:lang w:val="nl"/>
        </w:rPr>
        <w:t>Leslie Iltgen</w:t>
      </w:r>
      <w:r>
        <w:rPr>
          <w:rFonts w:asciiTheme="majorHAnsi" w:hAnsiTheme="majorHAnsi" w:cs="Calibri Light"/>
          <w:b/>
          <w:bCs/>
          <w:sz w:val="18"/>
          <w:szCs w:val="18"/>
          <w:lang w:val="nl"/>
        </w:rPr>
        <w:tab/>
      </w:r>
      <w:r>
        <w:rPr>
          <w:rFonts w:asciiTheme="majorHAnsi" w:hAnsiTheme="majorHAnsi" w:cs="Calibri Light"/>
          <w:b/>
          <w:bCs/>
          <w:sz w:val="18"/>
          <w:szCs w:val="18"/>
          <w:lang w:val="nl"/>
        </w:rPr>
        <w:tab/>
        <w:t>Lars Witteck</w:t>
      </w:r>
    </w:p>
    <w:p w14:paraId="00777384" w14:textId="77777777" w:rsidR="00876B5A" w:rsidRPr="00292C23" w:rsidRDefault="00876B5A" w:rsidP="00876B5A">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Tel.:</w:t>
      </w:r>
      <w:r>
        <w:rPr>
          <w:rFonts w:asciiTheme="majorHAnsi" w:hAnsiTheme="majorHAnsi" w:cs="Calibri Light"/>
          <w:sz w:val="18"/>
          <w:szCs w:val="18"/>
          <w:lang w:val="nl"/>
        </w:rPr>
        <w:tab/>
        <w:t>+49 211 797 - 1631</w:t>
      </w:r>
      <w:r>
        <w:rPr>
          <w:rFonts w:asciiTheme="majorHAnsi" w:hAnsiTheme="majorHAnsi" w:cs="Calibri Light"/>
          <w:sz w:val="18"/>
          <w:szCs w:val="18"/>
          <w:lang w:val="nl"/>
        </w:rPr>
        <w:tab/>
        <w:t>Tel.:</w:t>
      </w:r>
      <w:r>
        <w:rPr>
          <w:rFonts w:asciiTheme="majorHAnsi" w:hAnsiTheme="majorHAnsi" w:cs="Calibri Light"/>
          <w:sz w:val="18"/>
          <w:szCs w:val="18"/>
          <w:lang w:val="nl"/>
        </w:rPr>
        <w:tab/>
        <w:t>+49 211 797 - 2606</w:t>
      </w:r>
    </w:p>
    <w:p w14:paraId="01975218" w14:textId="77777777" w:rsidR="00876B5A" w:rsidRPr="00292C23" w:rsidRDefault="00876B5A" w:rsidP="00876B5A">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 xml:space="preserve">E-mail: </w:t>
      </w:r>
      <w:r>
        <w:rPr>
          <w:rFonts w:asciiTheme="majorHAnsi" w:hAnsiTheme="majorHAnsi" w:cs="Calibri Light"/>
          <w:sz w:val="18"/>
          <w:szCs w:val="18"/>
          <w:lang w:val="nl"/>
        </w:rPr>
        <w:tab/>
      </w:r>
      <w:hyperlink r:id="rId13" w:history="1">
        <w:r>
          <w:rPr>
            <w:rFonts w:asciiTheme="majorHAnsi" w:hAnsiTheme="majorHAnsi" w:cs="Calibri Light"/>
            <w:color w:val="0000FF"/>
            <w:sz w:val="18"/>
            <w:szCs w:val="18"/>
            <w:u w:val="single"/>
            <w:lang w:val="nl"/>
          </w:rPr>
          <w:t>leslie.iltgen@henkel.com</w:t>
        </w:r>
      </w:hyperlink>
      <w:r>
        <w:rPr>
          <w:rFonts w:asciiTheme="majorHAnsi" w:hAnsiTheme="majorHAnsi" w:cs="Calibri Light"/>
          <w:sz w:val="18"/>
          <w:szCs w:val="18"/>
          <w:lang w:val="nl"/>
        </w:rPr>
        <w:tab/>
        <w:t>E-mail:</w:t>
      </w:r>
      <w:r>
        <w:rPr>
          <w:rFonts w:asciiTheme="majorHAnsi" w:hAnsiTheme="majorHAnsi" w:cs="Calibri Light"/>
          <w:sz w:val="18"/>
          <w:szCs w:val="18"/>
          <w:lang w:val="nl"/>
        </w:rPr>
        <w:tab/>
      </w:r>
      <w:hyperlink r:id="rId14" w:history="1">
        <w:r>
          <w:rPr>
            <w:rFonts w:asciiTheme="majorHAnsi" w:hAnsiTheme="majorHAnsi" w:cs="Calibri Light"/>
            <w:color w:val="0000FF"/>
            <w:sz w:val="18"/>
            <w:szCs w:val="18"/>
            <w:u w:val="single"/>
            <w:lang w:val="nl"/>
          </w:rPr>
          <w:t>lars.witteck@henkel.com</w:t>
        </w:r>
      </w:hyperlink>
    </w:p>
    <w:p w14:paraId="25350C9B" w14:textId="77777777" w:rsidR="00876B5A" w:rsidRPr="00292C23" w:rsidRDefault="00876B5A" w:rsidP="00876B5A">
      <w:pPr>
        <w:tabs>
          <w:tab w:val="left" w:pos="1080"/>
          <w:tab w:val="left" w:pos="4500"/>
        </w:tabs>
        <w:spacing w:line="264" w:lineRule="auto"/>
        <w:rPr>
          <w:rFonts w:asciiTheme="majorHAnsi" w:hAnsiTheme="majorHAnsi" w:cs="Calibri Light"/>
          <w:sz w:val="16"/>
          <w:szCs w:val="16"/>
        </w:rPr>
      </w:pPr>
    </w:p>
    <w:p w14:paraId="7F3169E3" w14:textId="77777777" w:rsidR="00876B5A" w:rsidRPr="00292C23" w:rsidRDefault="00876B5A" w:rsidP="00876B5A">
      <w:pPr>
        <w:tabs>
          <w:tab w:val="left" w:pos="1080"/>
          <w:tab w:val="left" w:pos="4500"/>
        </w:tabs>
        <w:spacing w:line="264" w:lineRule="auto"/>
        <w:rPr>
          <w:rFonts w:asciiTheme="majorHAnsi" w:hAnsiTheme="majorHAnsi" w:cs="Calibri Light"/>
          <w:sz w:val="18"/>
          <w:szCs w:val="18"/>
        </w:rPr>
      </w:pPr>
      <w:r>
        <w:rPr>
          <w:rFonts w:asciiTheme="majorHAnsi" w:hAnsiTheme="majorHAnsi" w:cs="Calibri Light"/>
          <w:b/>
          <w:bCs/>
          <w:sz w:val="18"/>
          <w:szCs w:val="18"/>
          <w:lang w:val="nl"/>
        </w:rPr>
        <w:t xml:space="preserve">Dr. Dennis Starke </w:t>
      </w:r>
      <w:r>
        <w:rPr>
          <w:rFonts w:asciiTheme="majorHAnsi" w:hAnsiTheme="majorHAnsi" w:cs="Calibri Light"/>
          <w:b/>
          <w:bCs/>
          <w:sz w:val="18"/>
          <w:szCs w:val="18"/>
          <w:lang w:val="nl"/>
        </w:rPr>
        <w:tab/>
        <w:t>Wulf Klüppelholz</w:t>
      </w:r>
    </w:p>
    <w:p w14:paraId="25B81746" w14:textId="77777777" w:rsidR="00876B5A" w:rsidRPr="00292C23" w:rsidRDefault="00876B5A" w:rsidP="00876B5A">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Tel.:</w:t>
      </w:r>
      <w:r>
        <w:rPr>
          <w:rFonts w:asciiTheme="majorHAnsi" w:hAnsiTheme="majorHAnsi" w:cs="Calibri Light"/>
          <w:sz w:val="18"/>
          <w:szCs w:val="18"/>
          <w:lang w:val="nl"/>
        </w:rPr>
        <w:tab/>
        <w:t>+49 211 797 - 5601</w:t>
      </w:r>
      <w:r>
        <w:rPr>
          <w:rFonts w:asciiTheme="majorHAnsi" w:hAnsiTheme="majorHAnsi" w:cs="Calibri Light"/>
          <w:sz w:val="18"/>
          <w:szCs w:val="18"/>
          <w:lang w:val="nl"/>
        </w:rPr>
        <w:tab/>
        <w:t>Tel.:</w:t>
      </w:r>
      <w:r>
        <w:rPr>
          <w:rFonts w:asciiTheme="majorHAnsi" w:hAnsiTheme="majorHAnsi" w:cs="Calibri Light"/>
          <w:sz w:val="18"/>
          <w:szCs w:val="18"/>
          <w:lang w:val="nl"/>
        </w:rPr>
        <w:tab/>
        <w:t>+49 211 797 - 1875</w:t>
      </w:r>
    </w:p>
    <w:p w14:paraId="2261A695" w14:textId="77777777" w:rsidR="00876B5A" w:rsidRPr="00292C23" w:rsidRDefault="00876B5A" w:rsidP="00876B5A">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 xml:space="preserve">E-mail: </w:t>
      </w:r>
      <w:r>
        <w:rPr>
          <w:rFonts w:asciiTheme="majorHAnsi" w:hAnsiTheme="majorHAnsi" w:cs="Calibri Light"/>
          <w:sz w:val="18"/>
          <w:szCs w:val="18"/>
          <w:lang w:val="nl"/>
        </w:rPr>
        <w:tab/>
      </w:r>
      <w:hyperlink r:id="rId15" w:history="1">
        <w:r>
          <w:rPr>
            <w:rFonts w:asciiTheme="majorHAnsi" w:hAnsiTheme="majorHAnsi" w:cs="Calibri Light"/>
            <w:color w:val="0000FF"/>
            <w:sz w:val="18"/>
            <w:szCs w:val="18"/>
            <w:u w:val="single"/>
            <w:lang w:val="nl"/>
          </w:rPr>
          <w:t>dennis.starke@henkel.com</w:t>
        </w:r>
      </w:hyperlink>
      <w:r>
        <w:rPr>
          <w:rFonts w:asciiTheme="majorHAnsi" w:hAnsiTheme="majorHAnsi" w:cs="Calibri Light"/>
          <w:sz w:val="18"/>
          <w:szCs w:val="18"/>
          <w:lang w:val="nl"/>
        </w:rPr>
        <w:tab/>
        <w:t>E-mail:</w:t>
      </w:r>
      <w:r>
        <w:rPr>
          <w:rFonts w:asciiTheme="majorHAnsi" w:hAnsiTheme="majorHAnsi" w:cs="Calibri Light"/>
          <w:sz w:val="18"/>
          <w:szCs w:val="18"/>
          <w:lang w:val="nl"/>
        </w:rPr>
        <w:tab/>
      </w:r>
      <w:hyperlink r:id="rId16" w:history="1">
        <w:r>
          <w:rPr>
            <w:rFonts w:asciiTheme="majorHAnsi" w:hAnsiTheme="majorHAnsi" w:cs="Calibri Light"/>
            <w:color w:val="0000FF"/>
            <w:sz w:val="18"/>
            <w:szCs w:val="18"/>
            <w:u w:val="single"/>
            <w:lang w:val="nl"/>
          </w:rPr>
          <w:t>wulf.klueppelholz@henkel.com</w:t>
        </w:r>
      </w:hyperlink>
    </w:p>
    <w:p w14:paraId="174066EA" w14:textId="77777777" w:rsidR="00876B5A" w:rsidRPr="00292C23" w:rsidRDefault="00876B5A" w:rsidP="00876B5A">
      <w:pPr>
        <w:tabs>
          <w:tab w:val="left" w:pos="1080"/>
          <w:tab w:val="left" w:pos="4500"/>
        </w:tabs>
        <w:spacing w:line="264" w:lineRule="auto"/>
        <w:rPr>
          <w:rFonts w:asciiTheme="majorHAnsi" w:hAnsiTheme="majorHAnsi" w:cs="Calibri Light"/>
          <w:sz w:val="16"/>
          <w:szCs w:val="16"/>
        </w:rPr>
      </w:pPr>
    </w:p>
    <w:p w14:paraId="1CB8EF1C" w14:textId="77777777" w:rsidR="00876B5A" w:rsidRPr="00292C23" w:rsidRDefault="00876B5A" w:rsidP="00876B5A">
      <w:pPr>
        <w:tabs>
          <w:tab w:val="left" w:pos="709"/>
          <w:tab w:val="left" w:pos="4500"/>
          <w:tab w:val="left" w:pos="5245"/>
        </w:tabs>
        <w:spacing w:line="264" w:lineRule="auto"/>
        <w:rPr>
          <w:rFonts w:asciiTheme="majorHAnsi" w:eastAsia="PMingLiU" w:hAnsiTheme="majorHAnsi" w:cs="Calibri Light"/>
          <w:b/>
          <w:bCs/>
          <w:sz w:val="18"/>
          <w:szCs w:val="18"/>
        </w:rPr>
      </w:pPr>
      <w:r>
        <w:rPr>
          <w:rFonts w:asciiTheme="majorHAnsi" w:hAnsiTheme="majorHAnsi"/>
          <w:b/>
          <w:bCs/>
          <w:sz w:val="18"/>
          <w:szCs w:val="18"/>
          <w:lang w:val="nl"/>
        </w:rPr>
        <w:t xml:space="preserve">Dr. Sascha Kieback </w:t>
      </w:r>
      <w:r>
        <w:rPr>
          <w:rFonts w:asciiTheme="majorHAnsi" w:hAnsiTheme="majorHAnsi"/>
          <w:b/>
          <w:bCs/>
          <w:sz w:val="18"/>
          <w:szCs w:val="18"/>
          <w:lang w:val="nl"/>
        </w:rPr>
        <w:tab/>
        <w:t>Hanna Philipps</w:t>
      </w:r>
    </w:p>
    <w:p w14:paraId="7DB9BF50" w14:textId="77777777" w:rsidR="00876B5A" w:rsidRPr="00292C23" w:rsidRDefault="00876B5A" w:rsidP="00876B5A">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hAnsiTheme="majorHAnsi"/>
          <w:sz w:val="18"/>
          <w:lang w:val="nl"/>
        </w:rPr>
        <w:t>Tel.:</w:t>
      </w:r>
      <w:r>
        <w:rPr>
          <w:rFonts w:asciiTheme="majorHAnsi" w:hAnsiTheme="majorHAnsi"/>
          <w:sz w:val="18"/>
          <w:lang w:val="nl"/>
        </w:rPr>
        <w:tab/>
        <w:t>+49 211 797 - 1810</w:t>
      </w:r>
      <w:r>
        <w:rPr>
          <w:rFonts w:asciiTheme="majorHAnsi" w:hAnsiTheme="majorHAnsi"/>
          <w:sz w:val="18"/>
          <w:lang w:val="nl"/>
        </w:rPr>
        <w:tab/>
        <w:t>Tel.:</w:t>
      </w:r>
      <w:r>
        <w:rPr>
          <w:rFonts w:asciiTheme="majorHAnsi" w:hAnsiTheme="majorHAnsi"/>
          <w:sz w:val="18"/>
          <w:lang w:val="nl"/>
        </w:rPr>
        <w:tab/>
        <w:t>+49 211 797 - 3626</w:t>
      </w:r>
    </w:p>
    <w:p w14:paraId="59ED5E77" w14:textId="77777777" w:rsidR="00876B5A" w:rsidRDefault="00876B5A" w:rsidP="00876B5A">
      <w:pPr>
        <w:tabs>
          <w:tab w:val="left" w:pos="709"/>
          <w:tab w:val="left" w:pos="4500"/>
          <w:tab w:val="left" w:pos="5245"/>
        </w:tabs>
        <w:spacing w:line="264" w:lineRule="auto"/>
      </w:pPr>
      <w:r>
        <w:rPr>
          <w:rFonts w:asciiTheme="majorHAnsi" w:hAnsiTheme="majorHAnsi"/>
          <w:sz w:val="18"/>
          <w:lang w:val="nl"/>
        </w:rPr>
        <w:t xml:space="preserve">E-mail: </w:t>
      </w:r>
      <w:r>
        <w:rPr>
          <w:lang w:val="nl"/>
        </w:rPr>
        <w:tab/>
      </w:r>
      <w:r>
        <w:rPr>
          <w:rFonts w:asciiTheme="majorHAnsi" w:hAnsiTheme="majorHAnsi"/>
          <w:color w:val="0000FF"/>
          <w:sz w:val="18"/>
          <w:szCs w:val="18"/>
          <w:u w:val="single"/>
          <w:lang w:val="nl"/>
        </w:rPr>
        <w:t>sascha.kieback@henkel.com</w:t>
      </w:r>
      <w:r>
        <w:rPr>
          <w:lang w:val="nl"/>
        </w:rPr>
        <w:tab/>
      </w:r>
      <w:r>
        <w:rPr>
          <w:rFonts w:asciiTheme="majorHAnsi" w:hAnsiTheme="majorHAnsi"/>
          <w:sz w:val="18"/>
          <w:lang w:val="nl"/>
        </w:rPr>
        <w:t>E-mail:</w:t>
      </w:r>
      <w:r>
        <w:rPr>
          <w:lang w:val="nl"/>
        </w:rPr>
        <w:tab/>
      </w:r>
      <w:hyperlink r:id="rId17" w:history="1">
        <w:r>
          <w:rPr>
            <w:rStyle w:val="Hyperlink"/>
            <w:rFonts w:asciiTheme="majorHAnsi" w:eastAsia="PMingLiU" w:hAnsiTheme="majorHAnsi" w:cs="Calibri Light"/>
            <w:lang w:val="nl"/>
          </w:rPr>
          <w:t>hanna.philipps@henkel.com</w:t>
        </w:r>
      </w:hyperlink>
    </w:p>
    <w:p w14:paraId="024DE58F" w14:textId="77777777" w:rsidR="00876B5A" w:rsidRDefault="00876B5A" w:rsidP="00876B5A">
      <w:pPr>
        <w:tabs>
          <w:tab w:val="left" w:pos="709"/>
          <w:tab w:val="left" w:pos="4500"/>
          <w:tab w:val="left" w:pos="5245"/>
        </w:tabs>
        <w:spacing w:line="264" w:lineRule="auto"/>
      </w:pPr>
    </w:p>
    <w:p w14:paraId="016C48C3" w14:textId="77777777" w:rsidR="00876B5A" w:rsidRPr="001F3E04" w:rsidRDefault="00876B5A" w:rsidP="00876B5A">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eastAsia="PMingLiU" w:hAnsiTheme="majorHAnsi" w:cs="Calibri Light"/>
          <w:b/>
          <w:bCs/>
          <w:sz w:val="18"/>
          <w:szCs w:val="18"/>
          <w:lang w:val="nl"/>
        </w:rPr>
        <w:t>Jennifer Ott</w:t>
      </w:r>
      <w:r>
        <w:rPr>
          <w:rFonts w:asciiTheme="majorHAnsi" w:eastAsia="PMingLiU" w:hAnsiTheme="majorHAnsi" w:cs="Calibri Light"/>
          <w:sz w:val="18"/>
          <w:szCs w:val="18"/>
          <w:lang w:val="nl"/>
        </w:rPr>
        <w:tab/>
      </w:r>
    </w:p>
    <w:p w14:paraId="323021F5" w14:textId="77777777" w:rsidR="00876B5A" w:rsidRPr="001F3E04" w:rsidRDefault="00876B5A" w:rsidP="00876B5A">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eastAsia="PMingLiU" w:hAnsiTheme="majorHAnsi" w:cs="Calibri Light"/>
          <w:sz w:val="18"/>
          <w:szCs w:val="18"/>
          <w:lang w:val="nl"/>
        </w:rPr>
        <w:t xml:space="preserve">Tel.: </w:t>
      </w:r>
      <w:r>
        <w:rPr>
          <w:rFonts w:asciiTheme="majorHAnsi" w:eastAsia="PMingLiU" w:hAnsiTheme="majorHAnsi" w:cs="Calibri Light"/>
          <w:sz w:val="18"/>
          <w:szCs w:val="18"/>
          <w:lang w:val="nl"/>
        </w:rPr>
        <w:tab/>
        <w:t>+49 211 797 - 2756</w:t>
      </w:r>
      <w:r>
        <w:rPr>
          <w:rFonts w:asciiTheme="majorHAnsi" w:eastAsia="PMingLiU" w:hAnsiTheme="majorHAnsi" w:cs="Calibri Light"/>
          <w:sz w:val="18"/>
          <w:szCs w:val="18"/>
          <w:lang w:val="nl"/>
        </w:rPr>
        <w:tab/>
      </w:r>
    </w:p>
    <w:p w14:paraId="7B93788E" w14:textId="77777777" w:rsidR="00876B5A" w:rsidRPr="001F3E04" w:rsidRDefault="00876B5A" w:rsidP="00876B5A">
      <w:pPr>
        <w:tabs>
          <w:tab w:val="left" w:pos="709"/>
          <w:tab w:val="left" w:pos="4500"/>
          <w:tab w:val="left" w:pos="5245"/>
        </w:tabs>
        <w:spacing w:line="264" w:lineRule="auto"/>
        <w:rPr>
          <w:rFonts w:asciiTheme="majorHAnsi" w:eastAsia="PMingLiU" w:hAnsiTheme="majorHAnsi" w:cs="Calibri Light"/>
          <w:color w:val="0000FF"/>
          <w:sz w:val="18"/>
          <w:szCs w:val="18"/>
          <w:u w:val="single"/>
        </w:rPr>
      </w:pPr>
      <w:r>
        <w:rPr>
          <w:rFonts w:asciiTheme="majorHAnsi" w:eastAsia="PMingLiU" w:hAnsiTheme="majorHAnsi" w:cs="Calibri Light"/>
          <w:sz w:val="18"/>
          <w:szCs w:val="18"/>
          <w:lang w:val="nl"/>
        </w:rPr>
        <w:t xml:space="preserve">E-mail: </w:t>
      </w:r>
      <w:r>
        <w:rPr>
          <w:rFonts w:asciiTheme="majorHAnsi" w:eastAsia="PMingLiU" w:hAnsiTheme="majorHAnsi" w:cs="Calibri Light"/>
          <w:sz w:val="18"/>
          <w:szCs w:val="18"/>
          <w:lang w:val="nl"/>
        </w:rPr>
        <w:tab/>
      </w:r>
      <w:hyperlink r:id="rId18" w:history="1">
        <w:r>
          <w:rPr>
            <w:rFonts w:asciiTheme="majorHAnsi" w:eastAsia="PMingLiU" w:hAnsiTheme="majorHAnsi" w:cs="Calibri Light"/>
            <w:color w:val="0000FF"/>
            <w:sz w:val="18"/>
            <w:szCs w:val="18"/>
            <w:u w:val="single"/>
            <w:lang w:val="nl"/>
          </w:rPr>
          <w:t>jennifer.ott@henkel.com</w:t>
        </w:r>
      </w:hyperlink>
    </w:p>
    <w:p w14:paraId="6384D466" w14:textId="77777777" w:rsidR="00876B5A" w:rsidRPr="001F3E04" w:rsidRDefault="00876B5A" w:rsidP="00876B5A">
      <w:pPr>
        <w:tabs>
          <w:tab w:val="left" w:pos="709"/>
          <w:tab w:val="left" w:pos="4500"/>
          <w:tab w:val="left" w:pos="5245"/>
        </w:tabs>
        <w:spacing w:line="264" w:lineRule="auto"/>
        <w:rPr>
          <w:rFonts w:asciiTheme="majorHAnsi" w:hAnsiTheme="majorHAnsi" w:cs="Calibri Light"/>
          <w:sz w:val="16"/>
          <w:szCs w:val="16"/>
        </w:rPr>
      </w:pPr>
    </w:p>
    <w:p w14:paraId="79D52DC9" w14:textId="77777777" w:rsidR="00876B5A" w:rsidRPr="001F3E04" w:rsidRDefault="00876B5A" w:rsidP="00876B5A">
      <w:pPr>
        <w:tabs>
          <w:tab w:val="left" w:pos="1080"/>
          <w:tab w:val="left" w:pos="4500"/>
        </w:tabs>
        <w:spacing w:line="264" w:lineRule="auto"/>
      </w:pPr>
      <w:hyperlink r:id="rId19" w:history="1">
        <w:r>
          <w:rPr>
            <w:rFonts w:asciiTheme="majorHAnsi" w:hAnsiTheme="majorHAnsi" w:cs="Calibri Light"/>
            <w:color w:val="0000FF"/>
            <w:sz w:val="18"/>
            <w:szCs w:val="18"/>
            <w:u w:val="single"/>
            <w:lang w:val="nl"/>
          </w:rPr>
          <w:t>www.henkel.com/press</w:t>
        </w:r>
      </w:hyperlink>
    </w:p>
    <w:p w14:paraId="024A64F8" w14:textId="77777777" w:rsidR="00876B5A" w:rsidRPr="001F3E04" w:rsidRDefault="00876B5A" w:rsidP="00876B5A">
      <w:pPr>
        <w:tabs>
          <w:tab w:val="left" w:pos="1080"/>
          <w:tab w:val="left" w:pos="4500"/>
        </w:tabs>
        <w:spacing w:line="264" w:lineRule="auto"/>
        <w:rPr>
          <w:rStyle w:val="Hyperlink"/>
        </w:rPr>
      </w:pPr>
      <w:hyperlink r:id="rId20" w:history="1">
        <w:r>
          <w:rPr>
            <w:rFonts w:asciiTheme="majorHAnsi" w:hAnsiTheme="majorHAnsi" w:cs="Calibri Light"/>
            <w:color w:val="0000FF"/>
            <w:sz w:val="18"/>
            <w:szCs w:val="18"/>
            <w:u w:val="single"/>
            <w:lang w:val="nl"/>
          </w:rPr>
          <w:t>www.henkel.com/ir</w:t>
        </w:r>
      </w:hyperlink>
    </w:p>
    <w:p w14:paraId="0255CEFE" w14:textId="77777777" w:rsidR="009238AC" w:rsidRPr="001F3E04" w:rsidRDefault="009238AC" w:rsidP="00997239">
      <w:pPr>
        <w:tabs>
          <w:tab w:val="left" w:pos="1080"/>
          <w:tab w:val="left" w:pos="4500"/>
        </w:tabs>
        <w:spacing w:line="264" w:lineRule="auto"/>
        <w:rPr>
          <w:rStyle w:val="Hyperlink"/>
        </w:rPr>
      </w:pPr>
    </w:p>
    <w:sectPr w:rsidR="009238AC" w:rsidRPr="001F3E04" w:rsidSect="00C65957">
      <w:headerReference w:type="even" r:id="rId21"/>
      <w:footerReference w:type="default" r:id="rId22"/>
      <w:headerReference w:type="first" r:id="rId23"/>
      <w:footerReference w:type="first" r:id="rId24"/>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69057" w14:textId="77777777" w:rsidR="00F44132" w:rsidRDefault="00F44132">
      <w:r>
        <w:separator/>
      </w:r>
    </w:p>
  </w:endnote>
  <w:endnote w:type="continuationSeparator" w:id="0">
    <w:p w14:paraId="57E87E95" w14:textId="77777777" w:rsidR="00F44132" w:rsidRDefault="00F44132">
      <w:r>
        <w:continuationSeparator/>
      </w:r>
    </w:p>
  </w:endnote>
  <w:endnote w:type="continuationNotice" w:id="1">
    <w:p w14:paraId="5DC7D0CA" w14:textId="77777777" w:rsidR="00F44132" w:rsidRDefault="00F441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7D10C9" w14:textId="374CEDE3" w:rsidR="00CF6F33" w:rsidRPr="00112A28" w:rsidRDefault="00112A28" w:rsidP="00112A28">
    <w:pPr>
      <w:pStyle w:val="Footer"/>
      <w:tabs>
        <w:tab w:val="clear" w:pos="7083"/>
        <w:tab w:val="clear" w:pos="8640"/>
        <w:tab w:val="right" w:pos="9071"/>
      </w:tabs>
      <w:jc w:val="both"/>
    </w:pPr>
    <w:r>
      <w:t>Henkel AG &amp; Co. KGaA</w:t>
    </w:r>
    <w:r>
      <w:tab/>
      <w:t xml:space="preserve">Page </w:t>
    </w:r>
    <w:r w:rsidRPr="00BF6E82">
      <w:fldChar w:fldCharType="begin"/>
    </w:r>
    <w:r w:rsidRPr="00BF6E82">
      <w:instrText xml:space="preserve"> PAGE  \* Arabic  \* MERGEFORMAT </w:instrText>
    </w:r>
    <w:r w:rsidRPr="00BF6E82">
      <w:fldChar w:fldCharType="separate"/>
    </w:r>
    <w:r>
      <w:t>2</w:t>
    </w:r>
    <w:r w:rsidRPr="00BF6E82">
      <w:fldChar w:fldCharType="end"/>
    </w:r>
    <w:r>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E3A8E" w14:textId="77777777" w:rsidR="0008053C" w:rsidRDefault="0008053C" w:rsidP="00992A11">
    <w:pPr>
      <w:pStyle w:val="Footer"/>
    </w:pPr>
  </w:p>
  <w:p w14:paraId="577A058E" w14:textId="699B4FE4" w:rsidR="00CF6F33" w:rsidRPr="00992A11" w:rsidRDefault="00C016CC" w:rsidP="00992A11">
    <w:pPr>
      <w:pStyle w:val="Footer"/>
    </w:pPr>
    <w:r>
      <w:rPr>
        <w:b/>
        <w:sz w:val="24"/>
      </w:rPr>
      <mc:AlternateContent>
        <mc:Choice Requires="wps">
          <w:drawing>
            <wp:anchor distT="45720" distB="45720" distL="114300" distR="114300" simplePos="0" relativeHeight="251660288"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C016CC" w:rsidRPr="00CF56F5" w:rsidRDefault="00C016CC" w:rsidP="00C016CC">
                          <w:pPr>
                            <w:pStyle w:val="He04Funote"/>
                            <w:rPr>
                              <w:sz w:val="12"/>
                              <w:szCs w:val="12"/>
                            </w:rPr>
                          </w:pPr>
                          <w:r>
                            <w:rPr>
                              <w:sz w:val="12"/>
                            </w:rPr>
                            <w:t>* Ajusté pour tenir compte des dépenses et des revenus ponctuels, ainsi que des frais de restructuration.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7" type="#_x0000_t202" style="position:absolute;left:0;text-align:left;margin-left:0;margin-top:3.55pt;width:426.3pt;height:18.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77777777" w:rsidR="00C016CC" w:rsidRPr="00CF56F5" w:rsidRDefault="00C016CC" w:rsidP="00C016CC">
                    <w:pPr>
                      <w:pStyle w:val="He04Funote"/>
                      <w:rPr>
                        <w:sz w:val="12"/>
                        <w:szCs w:val="12"/>
                      </w:rPr>
                    </w:pPr>
                    <w:r>
                      <w:rPr>
                        <w:sz w:val="12"/>
                      </w:rPr>
                      <w:t>* Ajusté pour tenir compte des dépenses et des revenus ponctuels, ainsi que des frais de restructuration.</w:t>
                    </w:r>
                  </w:p>
                </w:txbxContent>
              </v:textbox>
              <w10:wrap anchorx="margin"/>
            </v:shape>
          </w:pict>
        </mc:Fallback>
      </mc:AlternateContent>
    </w:r>
    <w:r>
      <w:t xml:space="preserve">Page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DA389F" w14:textId="77777777" w:rsidR="00F44132" w:rsidRDefault="00F44132">
      <w:r>
        <w:separator/>
      </w:r>
    </w:p>
  </w:footnote>
  <w:footnote w:type="continuationSeparator" w:id="0">
    <w:p w14:paraId="265F3943" w14:textId="77777777" w:rsidR="00F44132" w:rsidRDefault="00F44132">
      <w:r>
        <w:continuationSeparator/>
      </w:r>
    </w:p>
  </w:footnote>
  <w:footnote w:type="continuationNotice" w:id="1">
    <w:p w14:paraId="4ACDC5A3" w14:textId="77777777" w:rsidR="00F44132" w:rsidRDefault="00F44132">
      <w:pPr>
        <w:spacing w:line="240" w:lineRule="auto"/>
      </w:pPr>
    </w:p>
  </w:footnote>
  <w:footnote w:id="2">
    <w:p w14:paraId="798A1A37" w14:textId="79A404DD" w:rsidR="00C76008" w:rsidRPr="00C76008" w:rsidRDefault="00C76008" w:rsidP="00C76008">
      <w:pPr>
        <w:pStyle w:val="FootnoteText"/>
        <w:rPr>
          <w:sz w:val="18"/>
          <w:szCs w:val="16"/>
        </w:rPr>
      </w:pPr>
      <w:r>
        <w:rPr>
          <w:rStyle w:val="FootnoteReference"/>
          <w:sz w:val="18"/>
          <w:szCs w:val="16"/>
        </w:rPr>
        <w:footnoteRef/>
      </w:r>
      <w:r>
        <w:rPr>
          <w:sz w:val="18"/>
        </w:rPr>
        <w:t xml:space="preserve"> Y compris l'acquisition du groupe Stahl, qui n'a pas encore été finalisée.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86010" w14:textId="05DAD93D" w:rsidR="00CF6F33" w:rsidRPr="00EB46D9" w:rsidRDefault="0059722C" w:rsidP="00EB46D9">
    <w:pPr>
      <w:pStyle w:val="Header"/>
    </w:pPr>
    <w:r>
      <w:rPr>
        <w:noProof/>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108C3AB4"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1322993">
    <w:abstractNumId w:val="1"/>
  </w:num>
  <w:num w:numId="2" w16cid:durableId="165293174">
    <w:abstractNumId w:val="0"/>
  </w:num>
  <w:num w:numId="3" w16cid:durableId="1508134485">
    <w:abstractNumId w:val="7"/>
  </w:num>
  <w:num w:numId="4" w16cid:durableId="1234970366">
    <w:abstractNumId w:val="4"/>
  </w:num>
  <w:num w:numId="5" w16cid:durableId="1008554684">
    <w:abstractNumId w:val="2"/>
  </w:num>
  <w:num w:numId="6" w16cid:durableId="933825870">
    <w:abstractNumId w:val="5"/>
  </w:num>
  <w:num w:numId="7" w16cid:durableId="912852597">
    <w:abstractNumId w:val="3"/>
  </w:num>
  <w:num w:numId="8" w16cid:durableId="162569852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00A1"/>
    <w:rsid w:val="000618FC"/>
    <w:rsid w:val="00062741"/>
    <w:rsid w:val="0006442E"/>
    <w:rsid w:val="00065466"/>
    <w:rsid w:val="0006594E"/>
    <w:rsid w:val="000665F3"/>
    <w:rsid w:val="00066A9C"/>
    <w:rsid w:val="00067071"/>
    <w:rsid w:val="00067F67"/>
    <w:rsid w:val="00070652"/>
    <w:rsid w:val="00070757"/>
    <w:rsid w:val="00071284"/>
    <w:rsid w:val="0007275A"/>
    <w:rsid w:val="00073AED"/>
    <w:rsid w:val="000751A7"/>
    <w:rsid w:val="000759DC"/>
    <w:rsid w:val="0007746E"/>
    <w:rsid w:val="00077AF9"/>
    <w:rsid w:val="0008053C"/>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41C7"/>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50A1"/>
    <w:rsid w:val="000C56DD"/>
    <w:rsid w:val="000C63F4"/>
    <w:rsid w:val="000C7609"/>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149"/>
    <w:rsid w:val="000F1757"/>
    <w:rsid w:val="000F225B"/>
    <w:rsid w:val="000F333E"/>
    <w:rsid w:val="000F3949"/>
    <w:rsid w:val="000F41BC"/>
    <w:rsid w:val="000F48E9"/>
    <w:rsid w:val="000F4DAE"/>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E09"/>
    <w:rsid w:val="00150B8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0E0"/>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058A"/>
    <w:rsid w:val="002C1344"/>
    <w:rsid w:val="002C252E"/>
    <w:rsid w:val="002C3A2A"/>
    <w:rsid w:val="002C458A"/>
    <w:rsid w:val="002C6093"/>
    <w:rsid w:val="002C6552"/>
    <w:rsid w:val="002C672A"/>
    <w:rsid w:val="002C6773"/>
    <w:rsid w:val="002C6F51"/>
    <w:rsid w:val="002C73EC"/>
    <w:rsid w:val="002D0FE0"/>
    <w:rsid w:val="002D16E7"/>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9DA"/>
    <w:rsid w:val="002E6E2F"/>
    <w:rsid w:val="002E7DED"/>
    <w:rsid w:val="002F0334"/>
    <w:rsid w:val="002F2A7B"/>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30E"/>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37C0"/>
    <w:rsid w:val="004138F3"/>
    <w:rsid w:val="00420F5B"/>
    <w:rsid w:val="00421F20"/>
    <w:rsid w:val="0042238F"/>
    <w:rsid w:val="00423B63"/>
    <w:rsid w:val="00427BEA"/>
    <w:rsid w:val="00430120"/>
    <w:rsid w:val="004313E7"/>
    <w:rsid w:val="00432542"/>
    <w:rsid w:val="004339B2"/>
    <w:rsid w:val="00437F32"/>
    <w:rsid w:val="00440E7A"/>
    <w:rsid w:val="004433D5"/>
    <w:rsid w:val="0044344E"/>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DBE"/>
    <w:rsid w:val="004954F8"/>
    <w:rsid w:val="00495CE6"/>
    <w:rsid w:val="00497D5E"/>
    <w:rsid w:val="00497EB9"/>
    <w:rsid w:val="004A144D"/>
    <w:rsid w:val="004A1D27"/>
    <w:rsid w:val="004A2176"/>
    <w:rsid w:val="004A2703"/>
    <w:rsid w:val="004A323C"/>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657C"/>
    <w:rsid w:val="004E7BE2"/>
    <w:rsid w:val="004E7E3A"/>
    <w:rsid w:val="004F10C1"/>
    <w:rsid w:val="004F1A34"/>
    <w:rsid w:val="004F1C5E"/>
    <w:rsid w:val="004F3032"/>
    <w:rsid w:val="004F3E47"/>
    <w:rsid w:val="004F4CC8"/>
    <w:rsid w:val="004F4F5A"/>
    <w:rsid w:val="004F51FF"/>
    <w:rsid w:val="004F5AD9"/>
    <w:rsid w:val="0050159C"/>
    <w:rsid w:val="005022B7"/>
    <w:rsid w:val="00502E62"/>
    <w:rsid w:val="005044C2"/>
    <w:rsid w:val="00506B8A"/>
    <w:rsid w:val="005110D3"/>
    <w:rsid w:val="00511161"/>
    <w:rsid w:val="00512222"/>
    <w:rsid w:val="0051413C"/>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96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B7817"/>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258B"/>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17B21"/>
    <w:rsid w:val="0062077F"/>
    <w:rsid w:val="00621BC7"/>
    <w:rsid w:val="00622033"/>
    <w:rsid w:val="0062460B"/>
    <w:rsid w:val="00630644"/>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263C7"/>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8D"/>
    <w:rsid w:val="007B76D8"/>
    <w:rsid w:val="007C0646"/>
    <w:rsid w:val="007C0ED6"/>
    <w:rsid w:val="007C1ACD"/>
    <w:rsid w:val="007C1E5E"/>
    <w:rsid w:val="007C1E9D"/>
    <w:rsid w:val="007C3AE3"/>
    <w:rsid w:val="007C6C51"/>
    <w:rsid w:val="007D0000"/>
    <w:rsid w:val="007D2A02"/>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7082E"/>
    <w:rsid w:val="008712FE"/>
    <w:rsid w:val="0087142D"/>
    <w:rsid w:val="00872928"/>
    <w:rsid w:val="00872DA6"/>
    <w:rsid w:val="00873416"/>
    <w:rsid w:val="0087393A"/>
    <w:rsid w:val="00873956"/>
    <w:rsid w:val="0087538C"/>
    <w:rsid w:val="00875495"/>
    <w:rsid w:val="00875A71"/>
    <w:rsid w:val="00875CB0"/>
    <w:rsid w:val="008762E7"/>
    <w:rsid w:val="00876B5A"/>
    <w:rsid w:val="008770CC"/>
    <w:rsid w:val="00877800"/>
    <w:rsid w:val="00877C32"/>
    <w:rsid w:val="00880580"/>
    <w:rsid w:val="0088094B"/>
    <w:rsid w:val="00880E5C"/>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4FAA"/>
    <w:rsid w:val="00906292"/>
    <w:rsid w:val="0091352F"/>
    <w:rsid w:val="00914B5B"/>
    <w:rsid w:val="009152B8"/>
    <w:rsid w:val="00917162"/>
    <w:rsid w:val="009172B9"/>
    <w:rsid w:val="009178AA"/>
    <w:rsid w:val="00920430"/>
    <w:rsid w:val="00920544"/>
    <w:rsid w:val="00921C0C"/>
    <w:rsid w:val="00923001"/>
    <w:rsid w:val="0092358D"/>
    <w:rsid w:val="009238AC"/>
    <w:rsid w:val="009238BF"/>
    <w:rsid w:val="009251CC"/>
    <w:rsid w:val="0092680D"/>
    <w:rsid w:val="0092714E"/>
    <w:rsid w:val="00927661"/>
    <w:rsid w:val="00931E24"/>
    <w:rsid w:val="009324F0"/>
    <w:rsid w:val="00933130"/>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3E44"/>
    <w:rsid w:val="00A842D5"/>
    <w:rsid w:val="00A87870"/>
    <w:rsid w:val="00A903F3"/>
    <w:rsid w:val="00A90F18"/>
    <w:rsid w:val="00A90FFB"/>
    <w:rsid w:val="00A9136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4536"/>
    <w:rsid w:val="00AD5A37"/>
    <w:rsid w:val="00AD6B50"/>
    <w:rsid w:val="00AE05A4"/>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0A33"/>
    <w:rsid w:val="00B61117"/>
    <w:rsid w:val="00B614C0"/>
    <w:rsid w:val="00B61EBB"/>
    <w:rsid w:val="00B634AB"/>
    <w:rsid w:val="00B63624"/>
    <w:rsid w:val="00B671E3"/>
    <w:rsid w:val="00B7037B"/>
    <w:rsid w:val="00B719F6"/>
    <w:rsid w:val="00B72495"/>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CB"/>
    <w:rsid w:val="00B873D9"/>
    <w:rsid w:val="00B91786"/>
    <w:rsid w:val="00B91A81"/>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1B43"/>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5D7C"/>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87D17"/>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0A0A"/>
    <w:rsid w:val="00D02248"/>
    <w:rsid w:val="00D04429"/>
    <w:rsid w:val="00D04B47"/>
    <w:rsid w:val="00D04E37"/>
    <w:rsid w:val="00D063B8"/>
    <w:rsid w:val="00D06825"/>
    <w:rsid w:val="00D0702E"/>
    <w:rsid w:val="00D07467"/>
    <w:rsid w:val="00D076E6"/>
    <w:rsid w:val="00D1044F"/>
    <w:rsid w:val="00D106BD"/>
    <w:rsid w:val="00D14E64"/>
    <w:rsid w:val="00D155DD"/>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7D48"/>
    <w:rsid w:val="00DD0253"/>
    <w:rsid w:val="00DD145A"/>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3B67"/>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4C1D"/>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AFC"/>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3FA4"/>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132"/>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D03"/>
    <w:rsid w:val="00F64EFA"/>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521"/>
    <w:rsid w:val="00FB610D"/>
    <w:rsid w:val="00FB626E"/>
    <w:rsid w:val="00FB6CA8"/>
    <w:rsid w:val="00FC1E4C"/>
    <w:rsid w:val="00FC4477"/>
    <w:rsid w:val="00FC46FB"/>
    <w:rsid w:val="00FC4DD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goe UI" w:eastAsia="Times New Roman" w:hAnsi="Segoe UI" w:cs="Times New Roman"/>
        <w:sz w:val="18"/>
        <w:szCs w:val="24"/>
        <w:lang w:val="fr-FR"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fr-FR"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fr-FR"/>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fr-FR"/>
    </w:rPr>
  </w:style>
  <w:style w:type="paragraph" w:customStyle="1" w:styleId="MittlereListe2-Akzent21">
    <w:name w:val="Mittlere Liste 2 - Akzent 21"/>
    <w:hidden/>
    <w:uiPriority w:val="99"/>
    <w:semiHidden/>
    <w:rsid w:val="002E0B17"/>
    <w:rPr>
      <w:rFonts w:ascii="Arial" w:hAnsi="Arial"/>
    </w:rPr>
  </w:style>
  <w:style w:type="character" w:customStyle="1" w:styleId="FooterChar">
    <w:name w:val="Footer Char"/>
    <w:link w:val="Footer"/>
    <w:uiPriority w:val="99"/>
    <w:rsid w:val="00992A11"/>
    <w:rPr>
      <w:rFonts w:ascii="Segoe UI" w:hAnsi="Segoe UI"/>
      <w:bCs/>
      <w:noProof/>
      <w:sz w:val="12"/>
      <w:szCs w:val="24"/>
      <w:lang w:val="fr-FR"/>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styleId="ListParagraph">
    <w:name w:val="List Paragraph"/>
    <w:basedOn w:val="Normal"/>
    <w:uiPriority w:val="1"/>
    <w:qFormat/>
    <w:rsid w:val="00635616"/>
    <w:pPr>
      <w:ind w:left="720"/>
      <w:contextualSpacing/>
    </w:pPr>
  </w:style>
  <w:style w:type="character" w:styleId="CommentReference">
    <w:name w:val="annotation reference"/>
    <w:rsid w:val="00846017"/>
    <w:rPr>
      <w:sz w:val="16"/>
      <w:szCs w:val="16"/>
    </w:rPr>
  </w:style>
  <w:style w:type="paragraph" w:styleId="CommentText">
    <w:name w:val="annotation text"/>
    <w:basedOn w:val="Normal"/>
    <w:link w:val="CommentTextChar"/>
    <w:rsid w:val="00846017"/>
    <w:pPr>
      <w:spacing w:line="260" w:lineRule="atLeast"/>
      <w:jc w:val="left"/>
    </w:pPr>
    <w:rPr>
      <w:rFonts w:ascii="Arial" w:hAnsi="Arial"/>
      <w:sz w:val="20"/>
      <w:szCs w:val="20"/>
    </w:rPr>
  </w:style>
  <w:style w:type="character" w:customStyle="1" w:styleId="CommentTextChar">
    <w:name w:val="Comment Text Char"/>
    <w:basedOn w:val="DefaultParagraphFont"/>
    <w:link w:val="CommentText"/>
    <w:rsid w:val="00846017"/>
    <w:rPr>
      <w:rFonts w:ascii="Arial" w:hAnsi="Arial"/>
      <w:sz w:val="20"/>
      <w:szCs w:val="20"/>
      <w:lang w:val="fr-FR"/>
    </w:rPr>
  </w:style>
  <w:style w:type="paragraph" w:styleId="CommentSubject">
    <w:name w:val="annotation subject"/>
    <w:basedOn w:val="CommentText"/>
    <w:next w:val="CommentText"/>
    <w:link w:val="CommentSubjectChar"/>
    <w:rsid w:val="0020528D"/>
    <w:pPr>
      <w:spacing w:line="240" w:lineRule="auto"/>
      <w:jc w:val="both"/>
    </w:pPr>
    <w:rPr>
      <w:rFonts w:ascii="Segoe UI" w:hAnsi="Segoe UI"/>
      <w:b/>
      <w:bCs/>
    </w:rPr>
  </w:style>
  <w:style w:type="character" w:customStyle="1" w:styleId="CommentSubjectChar">
    <w:name w:val="Comment Subject Char"/>
    <w:basedOn w:val="CommentTextChar"/>
    <w:link w:val="CommentSubject"/>
    <w:rsid w:val="0020528D"/>
    <w:rPr>
      <w:rFonts w:ascii="Arial" w:hAnsi="Arial"/>
      <w:b/>
      <w:bCs/>
      <w:sz w:val="20"/>
      <w:szCs w:val="20"/>
      <w:lang w:val="fr-FR"/>
    </w:rPr>
  </w:style>
  <w:style w:type="paragraph" w:styleId="Re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14:numForm w14:val="lining"/>
    </w:rPr>
  </w:style>
  <w:style w:type="character" w:styleId="FootnoteReference">
    <w:name w:val="footnote reference"/>
    <w:basedOn w:val="DefaultParagraphFon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rPr>
  </w:style>
  <w:style w:type="character" w:customStyle="1" w:styleId="He05FettZchn">
    <w:name w:val="_He_05_Fett Zchn"/>
    <w:basedOn w:val="DefaultParagraphFont"/>
    <w:link w:val="He05Fett"/>
    <w:rsid w:val="00A92FCD"/>
    <w:rPr>
      <w:rFonts w:eastAsiaTheme="minorHAnsi" w:cstheme="minorBidi"/>
      <w:b/>
      <w:szCs w:val="22"/>
      <w:lang w:val="fr-FR"/>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eastAsia="de-DE"/>
    </w:rPr>
  </w:style>
  <w:style w:type="paragraph" w:styleId="FootnoteText">
    <w:name w:val="footnote text"/>
    <w:basedOn w:val="Normal"/>
    <w:link w:val="FootnoteTextChar"/>
    <w:uiPriority w:val="99"/>
    <w:unhideWhenUsed/>
    <w:rsid w:val="00C76008"/>
    <w:pPr>
      <w:spacing w:line="240" w:lineRule="auto"/>
      <w:jc w:val="left"/>
    </w:pPr>
    <w:rPr>
      <w:rFonts w:eastAsiaTheme="minorHAnsi" w:cstheme="minorBidi"/>
      <w:szCs w:val="20"/>
    </w:rPr>
  </w:style>
  <w:style w:type="character" w:customStyle="1" w:styleId="FootnoteTextChar">
    <w:name w:val="Footnote Text Char"/>
    <w:basedOn w:val="DefaultParagraphFont"/>
    <w:link w:val="FootnoteText"/>
    <w:uiPriority w:val="99"/>
    <w:rsid w:val="00C76008"/>
    <w:rPr>
      <w:rFonts w:eastAsiaTheme="minorHAnsi" w:cstheme="minorBidi"/>
      <w:sz w:val="22"/>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eslie.iltgen@henkel.com" TargetMode="External"/><Relationship Id="rId18" Type="http://schemas.openxmlformats.org/officeDocument/2006/relationships/hyperlink" Target="mailto:jennifer.ott@henk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henkel.be/" TargetMode="External"/><Relationship Id="rId17" Type="http://schemas.openxmlformats.org/officeDocument/2006/relationships/hyperlink" Target="mailto:hanna.philipps@henk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ulf.klueppelholz@henkel.com" TargetMode="External"/><Relationship Id="rId20" Type="http://schemas.openxmlformats.org/officeDocument/2006/relationships/hyperlink" Target="http://www.henkel.com/i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dennis.starke@henkel.com"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henkel.com/pr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rs.witteck@henkel.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customXml/itemProps3.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5.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C:\Users\frohng\AppData\Local\Temp\Temp1_Completed.zip\Completed\segoe-Henkel-press-release-template-2020-english.dotx</Template>
  <TotalTime>2</TotalTime>
  <Pages>8</Pages>
  <Words>3394</Words>
  <Characters>18713</Characters>
  <Application>Microsoft Office Word</Application>
  <DocSecurity>0</DocSecurity>
  <Lines>155</Lines>
  <Paragraphs>44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22063</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Irina Brunner</cp:lastModifiedBy>
  <cp:revision>3</cp:revision>
  <cp:lastPrinted>2026-02-11T08:17:00Z</cp:lastPrinted>
  <dcterms:created xsi:type="dcterms:W3CDTF">2026-08-06T14:45:00Z</dcterms:created>
  <dcterms:modified xsi:type="dcterms:W3CDTF">2026-08-07T11:42:00Z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ies>
</file>