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5E39A" w14:textId="3AD3E0F6" w:rsidR="00B422EC" w:rsidRPr="00EF1330" w:rsidRDefault="00BF6E82" w:rsidP="00643D8A">
      <w:pPr>
        <w:pStyle w:val="MonthDayYear"/>
        <w:rPr>
          <w:lang w:eastAsia="zh-CN"/>
        </w:rPr>
      </w:pPr>
      <w:r w:rsidRPr="00795AF2">
        <w:rPr>
          <w:lang w:eastAsia="zh-CN"/>
        </w:rPr>
        <w:t>20</w:t>
      </w:r>
      <w:r w:rsidR="00F635FC" w:rsidRPr="00795AF2">
        <w:rPr>
          <w:lang w:eastAsia="zh-CN"/>
        </w:rPr>
        <w:t>2</w:t>
      </w:r>
      <w:r w:rsidR="007901F3">
        <w:rPr>
          <w:rFonts w:hint="eastAsia"/>
          <w:lang w:eastAsia="zh-CN"/>
        </w:rPr>
        <w:t>6</w:t>
      </w:r>
      <w:r w:rsidR="00CB10FD">
        <w:rPr>
          <w:rFonts w:hint="eastAsia"/>
          <w:lang w:eastAsia="zh-CN"/>
        </w:rPr>
        <w:t>年</w:t>
      </w:r>
      <w:r w:rsidR="002A290A">
        <w:rPr>
          <w:rFonts w:hint="eastAsia"/>
          <w:lang w:eastAsia="zh-CN"/>
        </w:rPr>
        <w:t>8</w:t>
      </w:r>
      <w:r w:rsidR="00733FE2">
        <w:rPr>
          <w:rFonts w:hint="eastAsia"/>
          <w:lang w:eastAsia="zh-CN"/>
        </w:rPr>
        <w:t>月</w:t>
      </w:r>
      <w:r w:rsidR="008575B6">
        <w:rPr>
          <w:rFonts w:hint="eastAsia"/>
          <w:lang w:eastAsia="zh-CN"/>
        </w:rPr>
        <w:t>6</w:t>
      </w:r>
      <w:r w:rsidR="00733FE2">
        <w:rPr>
          <w:rFonts w:hint="eastAsia"/>
          <w:lang w:eastAsia="zh-CN"/>
        </w:rPr>
        <w:t>日</w:t>
      </w:r>
    </w:p>
    <w:p w14:paraId="09896324" w14:textId="01F4B8A6" w:rsidR="007F0F63" w:rsidRPr="001F21E7" w:rsidRDefault="001F21E7" w:rsidP="009D1522">
      <w:pPr>
        <w:pStyle w:val="Topline"/>
        <w:rPr>
          <w:lang w:eastAsia="zh-CN"/>
        </w:rPr>
      </w:pPr>
      <w:r w:rsidRPr="001F21E7">
        <w:rPr>
          <w:lang w:eastAsia="zh-CN"/>
        </w:rPr>
        <w:t>支持</w:t>
      </w:r>
      <w:r>
        <w:rPr>
          <w:rFonts w:hint="eastAsia"/>
          <w:lang w:eastAsia="zh-CN"/>
        </w:rPr>
        <w:t>中国包装企业</w:t>
      </w:r>
      <w:r w:rsidRPr="001F21E7">
        <w:rPr>
          <w:lang w:eastAsia="zh-CN"/>
        </w:rPr>
        <w:t>应对欧盟包装法规要求</w:t>
      </w:r>
    </w:p>
    <w:p w14:paraId="76AD0789" w14:textId="3DB6E77B" w:rsidR="007F0F63" w:rsidRPr="00A3756F" w:rsidRDefault="00AE7AF9" w:rsidP="00A3756F">
      <w:pPr>
        <w:rPr>
          <w:rStyle w:val="Headline"/>
          <w:lang w:eastAsia="zh-CN"/>
        </w:rPr>
      </w:pPr>
      <w:r w:rsidRPr="00C66F78">
        <w:rPr>
          <w:rStyle w:val="Headline"/>
          <w:lang w:eastAsia="zh-CN"/>
        </w:rPr>
        <w:t>汉高</w:t>
      </w:r>
      <w:r w:rsidR="009262A3">
        <w:rPr>
          <w:rStyle w:val="Headline"/>
          <w:rFonts w:hint="eastAsia"/>
          <w:lang w:eastAsia="zh-CN"/>
        </w:rPr>
        <w:t>上海</w:t>
      </w:r>
      <w:r w:rsidRPr="00C66F78">
        <w:rPr>
          <w:rStyle w:val="Headline"/>
          <w:lang w:eastAsia="zh-CN"/>
        </w:rPr>
        <w:t>包装回收评估与测试中心获</w:t>
      </w:r>
      <w:r w:rsidR="004C15D7">
        <w:rPr>
          <w:rStyle w:val="Headline"/>
          <w:rFonts w:hint="eastAsia"/>
          <w:lang w:eastAsia="zh-CN"/>
        </w:rPr>
        <w:t>欧盟机构</w:t>
      </w:r>
      <w:r w:rsidRPr="00C66F78">
        <w:rPr>
          <w:rStyle w:val="Headline"/>
          <w:lang w:eastAsia="zh-CN"/>
        </w:rPr>
        <w:t>认证</w:t>
      </w:r>
    </w:p>
    <w:p w14:paraId="6706FA18" w14:textId="77777777" w:rsidR="00852511" w:rsidRPr="00795AF2" w:rsidRDefault="00852511" w:rsidP="00365E44">
      <w:pPr>
        <w:rPr>
          <w:lang w:eastAsia="zh-CN"/>
        </w:rPr>
      </w:pPr>
    </w:p>
    <w:p w14:paraId="11B55725" w14:textId="023914DD" w:rsidR="0055571E" w:rsidRDefault="00033CF1" w:rsidP="00643D8A">
      <w:pPr>
        <w:rPr>
          <w:rFonts w:cs="Segoe UI"/>
          <w:szCs w:val="22"/>
          <w:lang w:eastAsia="zh-CN"/>
        </w:rPr>
      </w:pPr>
      <w:r w:rsidRPr="00033CF1">
        <w:rPr>
          <w:rFonts w:cs="Segoe UI"/>
          <w:szCs w:val="22"/>
          <w:lang w:eastAsia="zh-CN"/>
        </w:rPr>
        <w:t>中国</w:t>
      </w:r>
      <w:proofErr w:type="gramStart"/>
      <w:r w:rsidRPr="00033CF1">
        <w:rPr>
          <w:rFonts w:cs="Segoe UI"/>
          <w:szCs w:val="22"/>
          <w:lang w:eastAsia="zh-CN"/>
        </w:rPr>
        <w:t>上海</w:t>
      </w:r>
      <w:r w:rsidR="00341406" w:rsidRPr="00795AF2">
        <w:rPr>
          <w:rFonts w:cs="Segoe UI"/>
          <w:szCs w:val="22"/>
          <w:lang w:eastAsia="zh-CN"/>
        </w:rPr>
        <w:t xml:space="preserve"> – </w:t>
      </w:r>
      <w:proofErr w:type="gramEnd"/>
      <w:r w:rsidR="008906C3" w:rsidRPr="008906C3">
        <w:rPr>
          <w:rFonts w:cs="Segoe UI"/>
          <w:szCs w:val="22"/>
          <w:lang w:eastAsia="zh-CN"/>
        </w:rPr>
        <w:t>汉高宣布</w:t>
      </w:r>
      <w:r w:rsidR="001F21E7">
        <w:rPr>
          <w:rFonts w:cs="Segoe UI" w:hint="eastAsia"/>
          <w:szCs w:val="22"/>
          <w:lang w:eastAsia="zh-CN"/>
        </w:rPr>
        <w:t>，其</w:t>
      </w:r>
      <w:r w:rsidR="008906C3" w:rsidRPr="008906C3">
        <w:rPr>
          <w:rFonts w:cs="Segoe UI"/>
          <w:szCs w:val="22"/>
          <w:lang w:eastAsia="zh-CN"/>
        </w:rPr>
        <w:t>位于上海的包装回收评估与测试中心（</w:t>
      </w:r>
      <w:r w:rsidR="008906C3" w:rsidRPr="008906C3">
        <w:rPr>
          <w:rFonts w:cs="Segoe UI"/>
          <w:szCs w:val="22"/>
          <w:lang w:eastAsia="zh-CN"/>
        </w:rPr>
        <w:t xml:space="preserve">Henkel </w:t>
      </w:r>
      <w:r w:rsidR="006065A6">
        <w:rPr>
          <w:rFonts w:cs="Segoe UI" w:hint="eastAsia"/>
          <w:szCs w:val="22"/>
          <w:lang w:eastAsia="zh-CN"/>
        </w:rPr>
        <w:t xml:space="preserve">Packaging </w:t>
      </w:r>
      <w:proofErr w:type="spellStart"/>
      <w:r w:rsidR="008906C3" w:rsidRPr="008906C3">
        <w:rPr>
          <w:rFonts w:cs="Segoe UI"/>
          <w:szCs w:val="22"/>
          <w:lang w:eastAsia="zh-CN"/>
        </w:rPr>
        <w:t>Recyclab</w:t>
      </w:r>
      <w:proofErr w:type="spellEnd"/>
      <w:r w:rsidR="008906C3" w:rsidRPr="008906C3">
        <w:rPr>
          <w:rFonts w:cs="Segoe UI"/>
          <w:szCs w:val="22"/>
          <w:lang w:eastAsia="zh-CN"/>
        </w:rPr>
        <w:t xml:space="preserve"> Shanghai</w:t>
      </w:r>
      <w:r w:rsidR="008906C3" w:rsidRPr="008906C3">
        <w:rPr>
          <w:rFonts w:cs="Segoe UI"/>
          <w:szCs w:val="22"/>
          <w:lang w:eastAsia="zh-CN"/>
        </w:rPr>
        <w:t>）正式通过德国</w:t>
      </w:r>
      <w:proofErr w:type="spellStart"/>
      <w:r w:rsidR="008906C3" w:rsidRPr="008906C3">
        <w:rPr>
          <w:rFonts w:cs="Segoe UI"/>
          <w:szCs w:val="22"/>
          <w:lang w:eastAsia="zh-CN"/>
        </w:rPr>
        <w:t>cyclos</w:t>
      </w:r>
      <w:proofErr w:type="spellEnd"/>
      <w:r w:rsidR="008906C3" w:rsidRPr="008906C3">
        <w:rPr>
          <w:rFonts w:cs="Segoe UI"/>
          <w:szCs w:val="22"/>
          <w:lang w:eastAsia="zh-CN"/>
        </w:rPr>
        <w:t>-HTP</w:t>
      </w:r>
      <w:r w:rsidR="008906C3" w:rsidRPr="008906C3">
        <w:rPr>
          <w:rFonts w:cs="Segoe UI"/>
          <w:szCs w:val="22"/>
          <w:lang w:eastAsia="zh-CN"/>
        </w:rPr>
        <w:t>研究所（</w:t>
      </w:r>
      <w:r w:rsidR="008906C3" w:rsidRPr="008906C3">
        <w:rPr>
          <w:rFonts w:cs="Segoe UI"/>
          <w:szCs w:val="22"/>
          <w:lang w:eastAsia="zh-CN"/>
        </w:rPr>
        <w:t>CHI</w:t>
      </w:r>
      <w:r w:rsidR="008906C3" w:rsidRPr="008906C3">
        <w:rPr>
          <w:rFonts w:cs="Segoe UI"/>
          <w:szCs w:val="22"/>
          <w:lang w:eastAsia="zh-CN"/>
        </w:rPr>
        <w:t>）的审核、授信</w:t>
      </w:r>
      <w:r w:rsidR="001F21E7">
        <w:rPr>
          <w:rFonts w:cs="Segoe UI" w:hint="eastAsia"/>
          <w:szCs w:val="22"/>
          <w:lang w:eastAsia="zh-CN"/>
        </w:rPr>
        <w:t>和</w:t>
      </w:r>
      <w:r w:rsidR="008906C3" w:rsidRPr="008906C3">
        <w:rPr>
          <w:rFonts w:cs="Segoe UI"/>
          <w:szCs w:val="22"/>
          <w:lang w:eastAsia="zh-CN"/>
        </w:rPr>
        <w:t>认证，成为国内首个拥有欧盟纸包装回收性能测试并对外出具对应测试评估报告资质的机构。</w:t>
      </w:r>
      <w:r w:rsidR="003A12F2">
        <w:rPr>
          <w:rFonts w:cs="Segoe UI" w:hint="eastAsia"/>
          <w:szCs w:val="22"/>
          <w:lang w:eastAsia="zh-CN"/>
        </w:rPr>
        <w:t>由此</w:t>
      </w:r>
      <w:r w:rsidR="000F09F2" w:rsidRPr="000F09F2">
        <w:rPr>
          <w:rFonts w:cs="Segoe UI"/>
          <w:szCs w:val="22"/>
          <w:lang w:eastAsia="zh-CN"/>
        </w:rPr>
        <w:t>，该中心同时具备</w:t>
      </w:r>
      <w:r w:rsidR="000F09F2" w:rsidRPr="000F09F2">
        <w:rPr>
          <w:rFonts w:cs="Segoe UI"/>
          <w:szCs w:val="22"/>
          <w:lang w:eastAsia="zh-CN"/>
        </w:rPr>
        <w:t xml:space="preserve"> CEPI </w:t>
      </w:r>
      <w:proofErr w:type="gramStart"/>
      <w:r w:rsidR="000F09F2" w:rsidRPr="000F09F2">
        <w:rPr>
          <w:rFonts w:cs="Segoe UI"/>
          <w:szCs w:val="22"/>
          <w:lang w:eastAsia="zh-CN"/>
        </w:rPr>
        <w:t xml:space="preserve">/ 4evergreen </w:t>
      </w:r>
      <w:proofErr w:type="gramEnd"/>
      <w:r w:rsidR="000F09F2" w:rsidRPr="000F09F2">
        <w:rPr>
          <w:rFonts w:cs="Segoe UI"/>
          <w:szCs w:val="22"/>
          <w:lang w:eastAsia="zh-CN"/>
        </w:rPr>
        <w:t>和</w:t>
      </w:r>
      <w:r w:rsidR="000F09F2" w:rsidRPr="000F09F2">
        <w:rPr>
          <w:rFonts w:cs="Segoe UI"/>
          <w:szCs w:val="22"/>
          <w:lang w:eastAsia="zh-CN"/>
        </w:rPr>
        <w:t xml:space="preserve"> </w:t>
      </w:r>
      <w:proofErr w:type="spellStart"/>
      <w:r w:rsidR="000F09F2" w:rsidRPr="000F09F2">
        <w:rPr>
          <w:rFonts w:cs="Segoe UI"/>
          <w:szCs w:val="22"/>
          <w:lang w:eastAsia="zh-CN"/>
        </w:rPr>
        <w:t>cyclos</w:t>
      </w:r>
      <w:proofErr w:type="spellEnd"/>
      <w:r w:rsidR="000F09F2" w:rsidRPr="000F09F2">
        <w:rPr>
          <w:rFonts w:cs="Segoe UI"/>
          <w:szCs w:val="22"/>
          <w:lang w:eastAsia="zh-CN"/>
        </w:rPr>
        <w:t xml:space="preserve">-HTP </w:t>
      </w:r>
      <w:r w:rsidR="000F09F2" w:rsidRPr="000F09F2">
        <w:rPr>
          <w:rFonts w:cs="Segoe UI"/>
          <w:szCs w:val="22"/>
          <w:lang w:eastAsia="zh-CN"/>
        </w:rPr>
        <w:t>两大欧洲权威体系的纸包装回收性能测试与评估能力，可为中国及亚太地区客户提供符合欧盟标准的本地化测试与评估服务。</w:t>
      </w:r>
    </w:p>
    <w:p w14:paraId="7071F7A1" w14:textId="77777777" w:rsidR="008906C3" w:rsidRDefault="008906C3" w:rsidP="00643D8A">
      <w:pPr>
        <w:rPr>
          <w:rFonts w:cs="Segoe UI"/>
          <w:szCs w:val="22"/>
          <w:lang w:eastAsia="zh-CN"/>
        </w:rPr>
      </w:pPr>
    </w:p>
    <w:p w14:paraId="015D336B" w14:textId="31DAA776" w:rsidR="00653FC6" w:rsidRPr="00653FC6" w:rsidRDefault="00653FC6" w:rsidP="00653FC6">
      <w:pPr>
        <w:rPr>
          <w:rFonts w:cs="Segoe UI"/>
          <w:szCs w:val="22"/>
          <w:lang w:eastAsia="zh-CN"/>
        </w:rPr>
      </w:pPr>
      <w:r w:rsidRPr="00653FC6">
        <w:rPr>
          <w:rFonts w:cs="Segoe UI"/>
          <w:szCs w:val="22"/>
          <w:lang w:eastAsia="zh-CN"/>
        </w:rPr>
        <w:t>随着欧盟《包装及包装废弃物法规》（</w:t>
      </w:r>
      <w:r w:rsidRPr="00653FC6">
        <w:rPr>
          <w:rFonts w:cs="Segoe UI"/>
          <w:szCs w:val="22"/>
          <w:lang w:eastAsia="zh-CN"/>
        </w:rPr>
        <w:t>PPWR</w:t>
      </w:r>
      <w:r w:rsidRPr="00653FC6">
        <w:rPr>
          <w:rFonts w:cs="Segoe UI"/>
          <w:szCs w:val="22"/>
          <w:lang w:eastAsia="zh-CN"/>
        </w:rPr>
        <w:t>）的逐步实施，包装合规要求正从企业自愿行动逐渐发展为</w:t>
      </w:r>
      <w:r w:rsidR="00E80751">
        <w:rPr>
          <w:rFonts w:cs="Segoe UI" w:hint="eastAsia"/>
          <w:szCs w:val="22"/>
          <w:lang w:eastAsia="zh-CN"/>
        </w:rPr>
        <w:t>面向欧盟出口</w:t>
      </w:r>
      <w:r w:rsidRPr="00653FC6">
        <w:rPr>
          <w:rFonts w:cs="Segoe UI"/>
          <w:szCs w:val="22"/>
          <w:lang w:eastAsia="zh-CN"/>
        </w:rPr>
        <w:t>的</w:t>
      </w:r>
      <w:r w:rsidR="00A90B94">
        <w:rPr>
          <w:rFonts w:cs="Segoe UI" w:hint="eastAsia"/>
          <w:szCs w:val="22"/>
          <w:lang w:eastAsia="zh-CN"/>
        </w:rPr>
        <w:t>合规性约束</w:t>
      </w:r>
      <w:r w:rsidRPr="00653FC6">
        <w:rPr>
          <w:rFonts w:cs="Segoe UI"/>
          <w:szCs w:val="22"/>
          <w:lang w:eastAsia="zh-CN"/>
        </w:rPr>
        <w:t>。</w:t>
      </w:r>
      <w:r w:rsidR="00281419" w:rsidRPr="00653FC6">
        <w:rPr>
          <w:rFonts w:cs="Segoe UI"/>
          <w:szCs w:val="22"/>
          <w:lang w:eastAsia="zh-CN"/>
        </w:rPr>
        <w:t>PPWR</w:t>
      </w:r>
      <w:r w:rsidRPr="00653FC6">
        <w:rPr>
          <w:rFonts w:cs="Segoe UI"/>
          <w:szCs w:val="22"/>
          <w:lang w:eastAsia="zh-CN"/>
        </w:rPr>
        <w:t>法规对</w:t>
      </w:r>
      <w:r w:rsidR="002957BC" w:rsidRPr="002957BC">
        <w:rPr>
          <w:rFonts w:cs="Segoe UI"/>
          <w:szCs w:val="22"/>
          <w:lang w:eastAsia="zh-CN"/>
        </w:rPr>
        <w:t>包装可回收性指标、再生材料占比、重复使用标准、生产者责任延伸制</w:t>
      </w:r>
      <w:r w:rsidRPr="00653FC6">
        <w:rPr>
          <w:rFonts w:cs="Segoe UI"/>
          <w:szCs w:val="22"/>
          <w:lang w:eastAsia="zh-CN"/>
        </w:rPr>
        <w:t>等方面提出了更高要求，也推动包装行业加速向循环经济转型。</w:t>
      </w:r>
    </w:p>
    <w:p w14:paraId="2CF28CD0" w14:textId="78B636B2" w:rsidR="008906C3" w:rsidRDefault="008906C3" w:rsidP="00643D8A">
      <w:pPr>
        <w:rPr>
          <w:rFonts w:cs="Segoe UI"/>
          <w:szCs w:val="22"/>
          <w:lang w:eastAsia="zh-CN"/>
        </w:rPr>
      </w:pPr>
    </w:p>
    <w:p w14:paraId="00A0766C" w14:textId="765F4385" w:rsidR="00D631EF" w:rsidRPr="00D631EF" w:rsidRDefault="00D631EF" w:rsidP="00D631EF">
      <w:pPr>
        <w:rPr>
          <w:rFonts w:cs="Segoe UI"/>
          <w:szCs w:val="22"/>
          <w:lang w:eastAsia="zh-CN"/>
        </w:rPr>
      </w:pPr>
      <w:r w:rsidRPr="00D631EF">
        <w:rPr>
          <w:rFonts w:cs="Segoe UI"/>
          <w:szCs w:val="22"/>
          <w:lang w:eastAsia="zh-CN"/>
        </w:rPr>
        <w:t>长期以来，由于缺少获得欧盟认可的本地测试平台，中国出口企业往往需要将样品送往欧洲进行测试和认证。这不仅增加了时间和成本，也给跨区域沟通和项目推进带来了挑战。获得</w:t>
      </w:r>
      <w:r w:rsidRPr="00D631EF">
        <w:rPr>
          <w:rFonts w:cs="Segoe UI"/>
          <w:szCs w:val="22"/>
          <w:lang w:eastAsia="zh-CN"/>
        </w:rPr>
        <w:t xml:space="preserve"> CHI </w:t>
      </w:r>
      <w:r w:rsidRPr="00D631EF">
        <w:rPr>
          <w:rFonts w:cs="Segoe UI"/>
          <w:szCs w:val="22"/>
          <w:lang w:eastAsia="zh-CN"/>
        </w:rPr>
        <w:t>认证后，汉高包装回收评估与测试中心能够依据相关标准开展纸包装回收性能测试与评估工作，为企业提供更加便捷和高效的支持。</w:t>
      </w:r>
    </w:p>
    <w:p w14:paraId="2456F191" w14:textId="77777777" w:rsidR="00D631EF" w:rsidRPr="00D631EF" w:rsidRDefault="00D631EF" w:rsidP="00643D8A">
      <w:pPr>
        <w:rPr>
          <w:rFonts w:cs="Segoe UI"/>
          <w:szCs w:val="22"/>
          <w:lang w:eastAsia="zh-CN"/>
        </w:rPr>
      </w:pPr>
    </w:p>
    <w:p w14:paraId="74DCD38C" w14:textId="7003F0F8" w:rsidR="007F0F63" w:rsidRDefault="00782760" w:rsidP="00643D8A">
      <w:pPr>
        <w:rPr>
          <w:rFonts w:cs="Segoe UI"/>
          <w:szCs w:val="22"/>
          <w:lang w:eastAsia="zh-CN"/>
        </w:rPr>
      </w:pPr>
      <w:r>
        <w:rPr>
          <w:rFonts w:cs="Segoe UI" w:hint="eastAsia"/>
          <w:szCs w:val="22"/>
          <w:lang w:eastAsia="zh-CN"/>
        </w:rPr>
        <w:t>“</w:t>
      </w:r>
      <w:r w:rsidRPr="00782760">
        <w:rPr>
          <w:rFonts w:cs="Segoe UI"/>
          <w:szCs w:val="22"/>
          <w:lang w:eastAsia="zh-CN"/>
        </w:rPr>
        <w:t>PPWR</w:t>
      </w:r>
      <w:r w:rsidRPr="00782760">
        <w:rPr>
          <w:rFonts w:cs="Segoe UI"/>
          <w:szCs w:val="22"/>
          <w:lang w:eastAsia="zh-CN"/>
        </w:rPr>
        <w:t>将</w:t>
      </w:r>
      <w:r w:rsidR="006065A6">
        <w:rPr>
          <w:rFonts w:cs="Segoe UI" w:hint="eastAsia"/>
          <w:szCs w:val="22"/>
          <w:lang w:eastAsia="zh-CN"/>
        </w:rPr>
        <w:t>重塑</w:t>
      </w:r>
      <w:r w:rsidRPr="00782760">
        <w:rPr>
          <w:rFonts w:cs="Segoe UI"/>
          <w:szCs w:val="22"/>
          <w:lang w:eastAsia="zh-CN"/>
        </w:rPr>
        <w:t>整个包装行业的</w:t>
      </w:r>
      <w:r w:rsidR="006065A6">
        <w:rPr>
          <w:rFonts w:cs="Segoe UI" w:hint="eastAsia"/>
          <w:szCs w:val="22"/>
          <w:lang w:eastAsia="zh-CN"/>
        </w:rPr>
        <w:t>格局</w:t>
      </w:r>
      <w:r w:rsidRPr="00782760">
        <w:rPr>
          <w:rFonts w:cs="Segoe UI"/>
          <w:szCs w:val="22"/>
          <w:lang w:eastAsia="zh-CN"/>
        </w:rPr>
        <w:t>。</w:t>
      </w:r>
      <w:r>
        <w:rPr>
          <w:rFonts w:cs="Segoe UI" w:hint="eastAsia"/>
          <w:szCs w:val="22"/>
          <w:lang w:eastAsia="zh-CN"/>
        </w:rPr>
        <w:t>”</w:t>
      </w:r>
      <w:r w:rsidRPr="00782760">
        <w:rPr>
          <w:rFonts w:cs="Segoe UI"/>
          <w:szCs w:val="22"/>
          <w:lang w:eastAsia="zh-CN"/>
        </w:rPr>
        <w:t>汉高粘合剂技术包装事业部亚太区负责人</w:t>
      </w:r>
      <w:r w:rsidRPr="00782760">
        <w:rPr>
          <w:rFonts w:cs="Segoe UI"/>
          <w:szCs w:val="22"/>
          <w:lang w:eastAsia="zh-CN"/>
        </w:rPr>
        <w:t xml:space="preserve"> Alejandro Schoenhoff</w:t>
      </w:r>
      <w:r w:rsidRPr="00782760">
        <w:rPr>
          <w:rFonts w:cs="Segoe UI"/>
          <w:szCs w:val="22"/>
          <w:lang w:eastAsia="zh-CN"/>
        </w:rPr>
        <w:t>博士表示，</w:t>
      </w:r>
      <w:r>
        <w:rPr>
          <w:rFonts w:cs="Segoe UI" w:hint="eastAsia"/>
          <w:szCs w:val="22"/>
          <w:lang w:eastAsia="zh-CN"/>
        </w:rPr>
        <w:t>“</w:t>
      </w:r>
      <w:r w:rsidRPr="00782760">
        <w:rPr>
          <w:rFonts w:cs="Segoe UI"/>
          <w:szCs w:val="22"/>
          <w:lang w:eastAsia="zh-CN"/>
        </w:rPr>
        <w:t>汉高包装回收评估与测试中心获得</w:t>
      </w:r>
      <w:r w:rsidRPr="00782760">
        <w:rPr>
          <w:rFonts w:cs="Segoe UI"/>
          <w:szCs w:val="22"/>
          <w:lang w:eastAsia="zh-CN"/>
        </w:rPr>
        <w:t>CHI</w:t>
      </w:r>
      <w:r w:rsidRPr="00782760">
        <w:rPr>
          <w:rFonts w:cs="Segoe UI"/>
          <w:szCs w:val="22"/>
          <w:lang w:eastAsia="zh-CN"/>
        </w:rPr>
        <w:t>认证，标志着汉高将欧洲权威的评估和测试能力引入中国。这是汉高对中国及亚太市场的长期承诺，更是助力本土企业应对全球市场准入挑战时迈出的关键一步。</w:t>
      </w:r>
      <w:r>
        <w:rPr>
          <w:rFonts w:cs="Segoe UI" w:hint="eastAsia"/>
          <w:szCs w:val="22"/>
          <w:lang w:eastAsia="zh-CN"/>
        </w:rPr>
        <w:t>”</w:t>
      </w:r>
    </w:p>
    <w:p w14:paraId="13157B68" w14:textId="3A2BEE11" w:rsidR="00385185" w:rsidRDefault="00385185" w:rsidP="00643D8A">
      <w:pPr>
        <w:rPr>
          <w:rFonts w:cs="Segoe UI"/>
          <w:szCs w:val="22"/>
          <w:lang w:eastAsia="zh-CN"/>
        </w:rPr>
      </w:pPr>
    </w:p>
    <w:p w14:paraId="6AF4E4EF" w14:textId="36BE8EDE" w:rsidR="00DC4ABA" w:rsidRDefault="00DC4ABA" w:rsidP="00643D8A">
      <w:pPr>
        <w:rPr>
          <w:rFonts w:cs="Segoe UI"/>
          <w:szCs w:val="22"/>
          <w:lang w:eastAsia="zh-CN"/>
        </w:rPr>
      </w:pPr>
      <w:r w:rsidRPr="00DC4ABA">
        <w:rPr>
          <w:rFonts w:cs="Segoe UI"/>
          <w:szCs w:val="22"/>
          <w:lang w:eastAsia="zh-CN"/>
        </w:rPr>
        <w:t>作为汉高全球第二座、欧洲以外唯一的包装回收评估与测试中心，该中心在设备配置、测试能力和运营标准方面与德国杜塞尔多夫总部实验室保持一致</w:t>
      </w:r>
      <w:r>
        <w:rPr>
          <w:rFonts w:cs="Segoe UI" w:hint="eastAsia"/>
          <w:szCs w:val="22"/>
          <w:lang w:eastAsia="zh-CN"/>
        </w:rPr>
        <w:t>，</w:t>
      </w:r>
      <w:r w:rsidRPr="00DC4ABA">
        <w:rPr>
          <w:rFonts w:cs="Segoe UI"/>
          <w:szCs w:val="22"/>
          <w:lang w:eastAsia="zh-CN"/>
        </w:rPr>
        <w:t>严格依据</w:t>
      </w:r>
      <w:r w:rsidRPr="00DC4ABA">
        <w:rPr>
          <w:rFonts w:cs="Segoe UI"/>
          <w:szCs w:val="22"/>
          <w:lang w:eastAsia="zh-CN"/>
        </w:rPr>
        <w:t xml:space="preserve"> </w:t>
      </w:r>
      <w:r w:rsidR="00CF3705" w:rsidRPr="00CF3705">
        <w:rPr>
          <w:rFonts w:cs="Segoe UI"/>
          <w:szCs w:val="22"/>
          <w:lang w:eastAsia="zh-CN"/>
        </w:rPr>
        <w:t>CHI-C6-Henkel</w:t>
      </w:r>
      <w:r w:rsidR="00CF3705" w:rsidRPr="00CF3705">
        <w:rPr>
          <w:rFonts w:cs="Segoe UI"/>
          <w:szCs w:val="22"/>
          <w:lang w:eastAsia="zh-CN"/>
        </w:rPr>
        <w:t>、</w:t>
      </w:r>
      <w:r w:rsidR="00CF3705" w:rsidRPr="00CF3705">
        <w:rPr>
          <w:rFonts w:cs="Segoe UI"/>
          <w:szCs w:val="22"/>
          <w:lang w:eastAsia="zh-CN"/>
        </w:rPr>
        <w:t xml:space="preserve">CEPI </w:t>
      </w:r>
      <w:proofErr w:type="gramStart"/>
      <w:r w:rsidR="00CF3705" w:rsidRPr="00CF3705">
        <w:rPr>
          <w:rFonts w:cs="Segoe UI"/>
          <w:szCs w:val="22"/>
          <w:lang w:eastAsia="zh-CN"/>
        </w:rPr>
        <w:t>/ 4evergreen</w:t>
      </w:r>
      <w:proofErr w:type="gramEnd"/>
      <w:r w:rsidRPr="00DC4ABA">
        <w:rPr>
          <w:rFonts w:cs="Segoe UI"/>
          <w:szCs w:val="22"/>
          <w:lang w:eastAsia="zh-CN"/>
        </w:rPr>
        <w:t>测试方法开展工作，并具备完整的纸包装回收性能测试与评估能力。</w:t>
      </w:r>
    </w:p>
    <w:p w14:paraId="19575E2A" w14:textId="77777777" w:rsidR="00DC4ABA" w:rsidRDefault="00DC4ABA" w:rsidP="00643D8A">
      <w:pPr>
        <w:rPr>
          <w:rFonts w:cs="Segoe UI"/>
          <w:szCs w:val="22"/>
          <w:lang w:eastAsia="zh-CN"/>
        </w:rPr>
      </w:pPr>
    </w:p>
    <w:p w14:paraId="637E2F4D" w14:textId="02EFC75E" w:rsidR="005A43EC" w:rsidRDefault="005A43EC" w:rsidP="00643D8A">
      <w:pPr>
        <w:rPr>
          <w:rFonts w:cs="Segoe UI"/>
          <w:szCs w:val="22"/>
          <w:lang w:eastAsia="zh-CN"/>
        </w:rPr>
      </w:pPr>
      <w:r w:rsidRPr="005A43EC">
        <w:rPr>
          <w:rFonts w:cs="Segoe UI"/>
          <w:szCs w:val="22"/>
          <w:lang w:eastAsia="zh-CN"/>
        </w:rPr>
        <w:lastRenderedPageBreak/>
        <w:t>PPWR</w:t>
      </w:r>
      <w:proofErr w:type="gramStart"/>
      <w:r w:rsidRPr="005A43EC">
        <w:rPr>
          <w:rFonts w:cs="Segoe UI"/>
          <w:szCs w:val="22"/>
          <w:lang w:eastAsia="zh-CN"/>
        </w:rPr>
        <w:t>提出的</w:t>
      </w:r>
      <w:r>
        <w:rPr>
          <w:rFonts w:cs="Segoe UI" w:hint="eastAsia"/>
          <w:szCs w:val="22"/>
          <w:lang w:eastAsia="zh-CN"/>
        </w:rPr>
        <w:t>“</w:t>
      </w:r>
      <w:proofErr w:type="gramEnd"/>
      <w:r w:rsidRPr="005A43EC">
        <w:rPr>
          <w:rFonts w:cs="Segoe UI"/>
          <w:szCs w:val="22"/>
          <w:lang w:eastAsia="zh-CN"/>
        </w:rPr>
        <w:t>Design for Recycling</w:t>
      </w:r>
      <w:r w:rsidRPr="005A43EC">
        <w:rPr>
          <w:rFonts w:cs="Segoe UI"/>
          <w:szCs w:val="22"/>
          <w:lang w:eastAsia="zh-CN"/>
        </w:rPr>
        <w:t>（设计为回收</w:t>
      </w:r>
      <w:proofErr w:type="gramStart"/>
      <w:r w:rsidRPr="005A43EC">
        <w:rPr>
          <w:rFonts w:cs="Segoe UI"/>
          <w:szCs w:val="22"/>
          <w:lang w:eastAsia="zh-CN"/>
        </w:rPr>
        <w:t>）</w:t>
      </w:r>
      <w:r>
        <w:rPr>
          <w:rFonts w:cs="Segoe UI" w:hint="eastAsia"/>
          <w:szCs w:val="22"/>
          <w:lang w:eastAsia="zh-CN"/>
        </w:rPr>
        <w:t>”</w:t>
      </w:r>
      <w:r w:rsidRPr="005A43EC">
        <w:rPr>
          <w:rFonts w:cs="Segoe UI"/>
          <w:szCs w:val="22"/>
          <w:lang w:eastAsia="zh-CN"/>
        </w:rPr>
        <w:t>理念</w:t>
      </w:r>
      <w:proofErr w:type="gramEnd"/>
      <w:r w:rsidRPr="005A43EC">
        <w:rPr>
          <w:rFonts w:cs="Segoe UI"/>
          <w:szCs w:val="22"/>
          <w:lang w:eastAsia="zh-CN"/>
        </w:rPr>
        <w:t>，要求企业在包装设计阶段即充分考虑产品在实际回收体系中的表现。相比传统仅关注材料是否具备理论回收可能性的模式，新法规更强调基于测试数据和实际回收结果的评价体系。</w:t>
      </w:r>
    </w:p>
    <w:p w14:paraId="3B14ED9A" w14:textId="77777777" w:rsidR="005A43EC" w:rsidRDefault="005A43EC" w:rsidP="00643D8A">
      <w:pPr>
        <w:rPr>
          <w:rFonts w:cs="Segoe UI"/>
          <w:szCs w:val="22"/>
          <w:lang w:eastAsia="zh-CN"/>
        </w:rPr>
      </w:pPr>
    </w:p>
    <w:p w14:paraId="3ED56F2F" w14:textId="42792EFD" w:rsidR="00D239D1" w:rsidRDefault="00D239D1" w:rsidP="00643D8A">
      <w:pPr>
        <w:rPr>
          <w:rFonts w:cs="Segoe UI"/>
          <w:szCs w:val="22"/>
          <w:lang w:eastAsia="zh-CN"/>
        </w:rPr>
      </w:pPr>
      <w:r w:rsidRPr="00D239D1">
        <w:rPr>
          <w:rFonts w:cs="Segoe UI"/>
          <w:szCs w:val="22"/>
          <w:lang w:eastAsia="zh-CN"/>
        </w:rPr>
        <w:t>依托</w:t>
      </w:r>
      <w:r w:rsidR="009262A3">
        <w:rPr>
          <w:rFonts w:cs="Segoe UI" w:hint="eastAsia"/>
          <w:szCs w:val="22"/>
          <w:lang w:eastAsia="zh-CN"/>
        </w:rPr>
        <w:t>上海</w:t>
      </w:r>
      <w:r w:rsidRPr="00D239D1">
        <w:rPr>
          <w:rFonts w:cs="Segoe UI"/>
          <w:szCs w:val="22"/>
          <w:lang w:eastAsia="zh-CN"/>
        </w:rPr>
        <w:t>包装回收评估与测试中心，企业能够在产品开发早期与汉高技术专家合作，通过模拟工业化回收流程开展评估和优化，从而在包装设计阶段提前识别潜在问题，并获得基于测试结果的</w:t>
      </w:r>
      <w:r w:rsidR="00105AE8" w:rsidRPr="00105AE8">
        <w:rPr>
          <w:rFonts w:cs="Segoe UI"/>
          <w:szCs w:val="22"/>
          <w:lang w:eastAsia="zh-CN"/>
        </w:rPr>
        <w:t>科学、量化的优化</w:t>
      </w:r>
      <w:r w:rsidR="00105AE8">
        <w:rPr>
          <w:rFonts w:cs="Segoe UI" w:hint="eastAsia"/>
          <w:szCs w:val="22"/>
          <w:lang w:eastAsia="zh-CN"/>
        </w:rPr>
        <w:t>建议</w:t>
      </w:r>
      <w:r w:rsidRPr="00D239D1">
        <w:rPr>
          <w:rFonts w:cs="Segoe UI"/>
          <w:szCs w:val="22"/>
          <w:lang w:eastAsia="zh-CN"/>
        </w:rPr>
        <w:t>和第三方评估支持。</w:t>
      </w:r>
    </w:p>
    <w:p w14:paraId="1ED73D09" w14:textId="77777777" w:rsidR="00D239D1" w:rsidRPr="005A43EC" w:rsidRDefault="00D239D1" w:rsidP="00643D8A">
      <w:pPr>
        <w:rPr>
          <w:rFonts w:cs="Segoe UI"/>
          <w:szCs w:val="22"/>
          <w:lang w:eastAsia="zh-CN"/>
        </w:rPr>
      </w:pPr>
    </w:p>
    <w:p w14:paraId="4258DF3D" w14:textId="26297F30" w:rsidR="00385185" w:rsidRDefault="00A71E2A" w:rsidP="00643D8A">
      <w:pPr>
        <w:rPr>
          <w:rFonts w:cs="Segoe UI"/>
          <w:szCs w:val="22"/>
          <w:lang w:eastAsia="zh-CN"/>
        </w:rPr>
      </w:pPr>
      <w:r>
        <w:rPr>
          <w:rFonts w:cs="Segoe UI" w:hint="eastAsia"/>
          <w:szCs w:val="22"/>
          <w:lang w:eastAsia="zh-CN"/>
        </w:rPr>
        <w:t>“</w:t>
      </w:r>
      <w:r w:rsidRPr="00A71E2A">
        <w:rPr>
          <w:rFonts w:cs="Segoe UI"/>
          <w:szCs w:val="22"/>
          <w:lang w:eastAsia="zh-CN"/>
        </w:rPr>
        <w:t>中国庞大的出口体量决定了我们必须直面挑战。</w:t>
      </w:r>
      <w:r>
        <w:rPr>
          <w:rFonts w:cs="Segoe UI" w:hint="eastAsia"/>
          <w:szCs w:val="22"/>
          <w:lang w:eastAsia="zh-CN"/>
        </w:rPr>
        <w:t>”</w:t>
      </w:r>
      <w:r w:rsidRPr="00A71E2A">
        <w:rPr>
          <w:rFonts w:cs="Segoe UI"/>
          <w:szCs w:val="22"/>
          <w:lang w:eastAsia="zh-CN"/>
        </w:rPr>
        <w:t xml:space="preserve"> </w:t>
      </w:r>
      <w:r w:rsidRPr="00A71E2A">
        <w:rPr>
          <w:rFonts w:cs="Segoe UI"/>
          <w:szCs w:val="22"/>
          <w:lang w:eastAsia="zh-CN"/>
        </w:rPr>
        <w:t>汉高</w:t>
      </w:r>
      <w:r w:rsidR="00903F4F" w:rsidRPr="00782760">
        <w:rPr>
          <w:rFonts w:cs="Segoe UI"/>
          <w:szCs w:val="22"/>
          <w:lang w:eastAsia="zh-CN"/>
        </w:rPr>
        <w:t>粘合剂技术包装事业部</w:t>
      </w:r>
      <w:r w:rsidRPr="00A71E2A">
        <w:rPr>
          <w:rFonts w:cs="Segoe UI"/>
          <w:szCs w:val="22"/>
          <w:lang w:eastAsia="zh-CN"/>
        </w:rPr>
        <w:t>亚太区可持续发展经理郑琰杰指出，</w:t>
      </w:r>
      <w:r>
        <w:rPr>
          <w:rFonts w:cs="Segoe UI" w:hint="eastAsia"/>
          <w:szCs w:val="22"/>
          <w:lang w:eastAsia="zh-CN"/>
        </w:rPr>
        <w:t>“</w:t>
      </w:r>
      <w:r w:rsidRPr="00A71E2A">
        <w:rPr>
          <w:rFonts w:cs="Segoe UI"/>
          <w:szCs w:val="22"/>
          <w:lang w:eastAsia="zh-CN"/>
        </w:rPr>
        <w:t>汉高已构建覆盖设计、生产应用、末端回收、合规认证的全生命周期一体化解决方案，全新授信的汉高包装回收评估与测试中心，为包装出口企业开辟出一条高效、可靠的</w:t>
      </w:r>
      <w:r>
        <w:rPr>
          <w:rFonts w:cs="Segoe UI" w:hint="eastAsia"/>
          <w:szCs w:val="22"/>
          <w:lang w:eastAsia="zh-CN"/>
        </w:rPr>
        <w:t>‘</w:t>
      </w:r>
      <w:r w:rsidRPr="00A71E2A">
        <w:rPr>
          <w:rFonts w:cs="Segoe UI"/>
          <w:szCs w:val="22"/>
          <w:lang w:eastAsia="zh-CN"/>
        </w:rPr>
        <w:t>绿色通道</w:t>
      </w:r>
      <w:r>
        <w:rPr>
          <w:rFonts w:cs="Segoe UI" w:hint="eastAsia"/>
          <w:szCs w:val="22"/>
          <w:lang w:eastAsia="zh-CN"/>
        </w:rPr>
        <w:t>’</w:t>
      </w:r>
      <w:r w:rsidRPr="00A71E2A">
        <w:rPr>
          <w:rFonts w:cs="Segoe UI"/>
          <w:szCs w:val="22"/>
          <w:lang w:eastAsia="zh-CN"/>
        </w:rPr>
        <w:t>。</w:t>
      </w:r>
      <w:r>
        <w:rPr>
          <w:rFonts w:cs="Segoe UI" w:hint="eastAsia"/>
          <w:szCs w:val="22"/>
          <w:lang w:eastAsia="zh-CN"/>
        </w:rPr>
        <w:t>”</w:t>
      </w:r>
    </w:p>
    <w:p w14:paraId="48D80950" w14:textId="22EA2066" w:rsidR="00385185" w:rsidRDefault="00385185" w:rsidP="00643D8A">
      <w:pPr>
        <w:rPr>
          <w:rFonts w:cs="Segoe UI"/>
          <w:szCs w:val="22"/>
          <w:lang w:eastAsia="zh-CN"/>
        </w:rPr>
      </w:pPr>
    </w:p>
    <w:p w14:paraId="0AE9B6D5" w14:textId="4D86C199" w:rsidR="00385185" w:rsidRPr="00784EB6" w:rsidRDefault="00571254" w:rsidP="00643D8A">
      <w:pPr>
        <w:rPr>
          <w:rFonts w:cs="Segoe UI"/>
          <w:szCs w:val="22"/>
          <w:lang w:eastAsia="zh-CN"/>
        </w:rPr>
      </w:pPr>
      <w:r>
        <w:rPr>
          <w:rFonts w:cs="Segoe UI" w:hint="eastAsia"/>
          <w:szCs w:val="22"/>
          <w:lang w:eastAsia="zh-CN"/>
        </w:rPr>
        <w:t>此次认证</w:t>
      </w:r>
      <w:r w:rsidRPr="00571254">
        <w:rPr>
          <w:rFonts w:cs="Segoe UI"/>
          <w:szCs w:val="22"/>
          <w:lang w:eastAsia="zh-CN"/>
        </w:rPr>
        <w:t>也进一步印证了汉高在包装可持续发展领域的长期投入。</w:t>
      </w:r>
      <w:r w:rsidR="00784EB6" w:rsidRPr="00784EB6">
        <w:rPr>
          <w:rFonts w:cs="Segoe UI"/>
          <w:szCs w:val="22"/>
          <w:lang w:eastAsia="zh-CN"/>
        </w:rPr>
        <w:t>汉高</w:t>
      </w:r>
      <w:r w:rsidR="00580896">
        <w:rPr>
          <w:rFonts w:cs="Segoe UI" w:hint="eastAsia"/>
          <w:szCs w:val="22"/>
          <w:lang w:eastAsia="zh-CN"/>
        </w:rPr>
        <w:t>粘合剂技术</w:t>
      </w:r>
      <w:r w:rsidR="00784EB6" w:rsidRPr="00784EB6">
        <w:rPr>
          <w:rFonts w:cs="Segoe UI"/>
          <w:szCs w:val="22"/>
          <w:lang w:eastAsia="zh-CN"/>
        </w:rPr>
        <w:t>长期深耕包装行业，并持续推动可持续包装创新。目前，上海汉高包装回收评估与测试中心已具备纸基包装材料回收性能测试能力，同时正在推进塑料包装回收性能评估能力建设。未来，该中心将逐步拓展测试服务范围，为更多包装应用场景提供支持，并助力行业绿色转型和循环经济发展。</w:t>
      </w:r>
    </w:p>
    <w:p w14:paraId="03D40B48" w14:textId="77777777" w:rsidR="00385185" w:rsidRDefault="00385185" w:rsidP="00643D8A">
      <w:pPr>
        <w:rPr>
          <w:rFonts w:cs="Segoe UI"/>
          <w:szCs w:val="22"/>
          <w:lang w:eastAsia="zh-CN"/>
        </w:rPr>
      </w:pPr>
    </w:p>
    <w:p w14:paraId="56AC8909" w14:textId="77777777" w:rsidR="002A2975" w:rsidRDefault="002A2975" w:rsidP="00643D8A">
      <w:pPr>
        <w:rPr>
          <w:rFonts w:cs="Segoe UI"/>
          <w:szCs w:val="22"/>
          <w:lang w:eastAsia="zh-CN"/>
        </w:rPr>
      </w:pPr>
    </w:p>
    <w:p w14:paraId="3411FCC1" w14:textId="0D2D3EA1" w:rsidR="00D06825" w:rsidRPr="004C6B79" w:rsidRDefault="00341406" w:rsidP="00D06825">
      <w:pPr>
        <w:rPr>
          <w:rStyle w:val="AboutandContactHeadline"/>
          <w:lang w:eastAsia="zh-CN"/>
        </w:rPr>
      </w:pPr>
      <w:r>
        <w:rPr>
          <w:rStyle w:val="AboutandContactHeadline"/>
          <w:rFonts w:hint="eastAsia"/>
          <w:lang w:eastAsia="zh-CN"/>
        </w:rPr>
        <w:t>关于汉高</w:t>
      </w:r>
    </w:p>
    <w:p w14:paraId="271EB515" w14:textId="631718BA" w:rsidR="00341406" w:rsidRPr="00620AC6" w:rsidRDefault="00341406" w:rsidP="00341406">
      <w:pPr>
        <w:rPr>
          <w:rStyle w:val="AboutandContactBody"/>
          <w:lang w:eastAsia="zh-CN"/>
        </w:rPr>
      </w:pPr>
      <w:r w:rsidRPr="00620AC6">
        <w:rPr>
          <w:rStyle w:val="AboutandContactBody"/>
          <w:rFonts w:hint="eastAsia"/>
          <w:lang w:eastAsia="zh-CN"/>
        </w:rPr>
        <w:t>汉高凭借其品牌、创新和技术，在全球工业和消费品领域中拥有领先的市场地位。汉高粘合剂技术业务部是全球粘合剂、密封剂和功能性涂层市场的领导者。</w:t>
      </w:r>
      <w:r w:rsidRPr="00596CED">
        <w:rPr>
          <w:rStyle w:val="AboutandContactBody"/>
          <w:rFonts w:hint="eastAsia"/>
          <w:lang w:eastAsia="zh-CN"/>
        </w:rPr>
        <w:t>汉高消费品牌</w:t>
      </w:r>
      <w:r w:rsidRPr="00620AC6">
        <w:rPr>
          <w:rStyle w:val="AboutandContactBody"/>
          <w:rFonts w:hint="eastAsia"/>
          <w:lang w:eastAsia="zh-CN"/>
        </w:rPr>
        <w:t>在各国市场和品类占据领先地位，在洗涤剂及家用护理和美发领域尤为突出。乐泰（</w:t>
      </w:r>
      <w:r w:rsidRPr="00620AC6">
        <w:rPr>
          <w:rStyle w:val="AboutandContactBody"/>
          <w:rFonts w:hint="eastAsia"/>
          <w:lang w:eastAsia="zh-CN"/>
        </w:rPr>
        <w:t>Loctite</w:t>
      </w:r>
      <w:r w:rsidRPr="00620AC6">
        <w:rPr>
          <w:rStyle w:val="AboutandContactBody"/>
          <w:rFonts w:hint="eastAsia"/>
          <w:lang w:eastAsia="zh-CN"/>
        </w:rPr>
        <w:t>）、宝莹</w:t>
      </w:r>
      <w:proofErr w:type="gramStart"/>
      <w:r w:rsidRPr="00620AC6">
        <w:rPr>
          <w:rStyle w:val="AboutandContactBody"/>
          <w:rFonts w:hint="eastAsia"/>
          <w:lang w:eastAsia="zh-CN"/>
        </w:rPr>
        <w:t>（</w:t>
      </w:r>
      <w:r w:rsidRPr="00620AC6">
        <w:rPr>
          <w:rStyle w:val="AboutandContactBody"/>
          <w:rFonts w:hint="eastAsia"/>
          <w:lang w:eastAsia="zh-CN"/>
        </w:rPr>
        <w:t xml:space="preserve"> </w:t>
      </w:r>
      <w:proofErr w:type="gramEnd"/>
      <w:r w:rsidRPr="00620AC6">
        <w:rPr>
          <w:rStyle w:val="AboutandContactBody"/>
          <w:rFonts w:hint="eastAsia"/>
          <w:lang w:eastAsia="zh-CN"/>
        </w:rPr>
        <w:t>Persil</w:t>
      </w:r>
      <w:r w:rsidRPr="00620AC6">
        <w:rPr>
          <w:rStyle w:val="AboutandContactBody"/>
          <w:rFonts w:hint="eastAsia"/>
          <w:lang w:eastAsia="zh-CN"/>
        </w:rPr>
        <w:t>）和施华蔻（</w:t>
      </w:r>
      <w:r w:rsidRPr="00620AC6">
        <w:rPr>
          <w:rStyle w:val="AboutandContactBody"/>
          <w:rFonts w:hint="eastAsia"/>
          <w:lang w:eastAsia="zh-CN"/>
        </w:rPr>
        <w:t>Schwarzkopf</w:t>
      </w:r>
      <w:r w:rsidRPr="00620AC6">
        <w:rPr>
          <w:rStyle w:val="AboutandContactBody"/>
          <w:rFonts w:hint="eastAsia"/>
          <w:lang w:eastAsia="zh-CN"/>
        </w:rPr>
        <w:t>）是公司的三大核心品牌。</w:t>
      </w:r>
      <w:r w:rsidRPr="00620AC6">
        <w:rPr>
          <w:rStyle w:val="AboutandContactBody"/>
          <w:rFonts w:hint="eastAsia"/>
          <w:lang w:eastAsia="zh-CN"/>
        </w:rPr>
        <w:t>202</w:t>
      </w:r>
      <w:r w:rsidR="007901F3">
        <w:rPr>
          <w:rStyle w:val="AboutandContactBody"/>
          <w:rFonts w:hint="eastAsia"/>
          <w:lang w:eastAsia="zh-CN"/>
        </w:rPr>
        <w:t>5</w:t>
      </w:r>
      <w:r w:rsidRPr="00620AC6">
        <w:rPr>
          <w:rStyle w:val="AboutandContactBody"/>
          <w:rFonts w:hint="eastAsia"/>
          <w:lang w:eastAsia="zh-CN"/>
        </w:rPr>
        <w:t>财年，汉高实现销售额</w:t>
      </w:r>
      <w:r w:rsidR="007901F3">
        <w:rPr>
          <w:rStyle w:val="AboutandContactBody"/>
          <w:rFonts w:hint="eastAsia"/>
          <w:lang w:eastAsia="zh-CN"/>
        </w:rPr>
        <w:t>达</w:t>
      </w:r>
      <w:r w:rsidRPr="00620AC6">
        <w:rPr>
          <w:rStyle w:val="AboutandContactBody"/>
          <w:rFonts w:hint="eastAsia"/>
          <w:lang w:eastAsia="zh-CN"/>
        </w:rPr>
        <w:t>2</w:t>
      </w:r>
      <w:r w:rsidR="007901F3">
        <w:rPr>
          <w:rStyle w:val="AboutandContactBody"/>
          <w:rFonts w:hint="eastAsia"/>
          <w:lang w:eastAsia="zh-CN"/>
        </w:rPr>
        <w:t>05</w:t>
      </w:r>
      <w:r w:rsidRPr="00620AC6">
        <w:rPr>
          <w:rStyle w:val="AboutandContactBody"/>
          <w:rFonts w:hint="eastAsia"/>
          <w:lang w:eastAsia="zh-CN"/>
        </w:rPr>
        <w:t>亿欧元，调整后营业利润</w:t>
      </w:r>
      <w:r>
        <w:rPr>
          <w:rStyle w:val="AboutandContactBody"/>
          <w:rFonts w:hint="eastAsia"/>
          <w:lang w:eastAsia="zh-CN"/>
        </w:rPr>
        <w:t>为</w:t>
      </w:r>
      <w:r w:rsidR="007671AF">
        <w:rPr>
          <w:rStyle w:val="AboutandContactBody"/>
          <w:rFonts w:hint="eastAsia"/>
          <w:lang w:eastAsia="zh-CN"/>
        </w:rPr>
        <w:t>3</w:t>
      </w:r>
      <w:r w:rsidR="007901F3">
        <w:rPr>
          <w:rStyle w:val="AboutandContactBody"/>
          <w:rFonts w:hint="eastAsia"/>
          <w:lang w:eastAsia="zh-CN"/>
        </w:rPr>
        <w:t>0</w:t>
      </w:r>
      <w:r w:rsidRPr="00620AC6">
        <w:rPr>
          <w:rStyle w:val="AboutandContactBody"/>
          <w:rFonts w:hint="eastAsia"/>
          <w:lang w:eastAsia="zh-CN"/>
        </w:rPr>
        <w:t>亿欧元。汉高的优先股已列入德国</w:t>
      </w:r>
      <w:r w:rsidRPr="00620AC6">
        <w:rPr>
          <w:rStyle w:val="AboutandContactBody"/>
          <w:rFonts w:hint="eastAsia"/>
          <w:lang w:eastAsia="zh-CN"/>
        </w:rPr>
        <w:t>DAX</w:t>
      </w:r>
      <w:r w:rsidRPr="00620AC6">
        <w:rPr>
          <w:rStyle w:val="AboutandContactBody"/>
          <w:rFonts w:hint="eastAsia"/>
          <w:lang w:eastAsia="zh-CN"/>
        </w:rPr>
        <w:t>指数。</w:t>
      </w:r>
      <w:r w:rsidR="002B3405" w:rsidRPr="002B3405">
        <w:rPr>
          <w:rStyle w:val="AboutandContactBody"/>
          <w:rFonts w:hint="eastAsia"/>
          <w:lang w:eastAsia="zh-CN"/>
        </w:rPr>
        <w:t>汉高</w:t>
      </w:r>
      <w:r w:rsidR="00E65A89">
        <w:rPr>
          <w:rStyle w:val="AboutandContactBody"/>
          <w:rFonts w:hint="eastAsia"/>
          <w:lang w:eastAsia="zh-CN"/>
        </w:rPr>
        <w:t>始终秉承</w:t>
      </w:r>
      <w:r w:rsidR="002B3405" w:rsidRPr="002B3405">
        <w:rPr>
          <w:rStyle w:val="AboutandContactBody"/>
          <w:rFonts w:hint="eastAsia"/>
          <w:lang w:eastAsia="zh-CN"/>
        </w:rPr>
        <w:t>可持续发展</w:t>
      </w:r>
      <w:r w:rsidR="00E65A89">
        <w:rPr>
          <w:rStyle w:val="AboutandContactBody"/>
          <w:rFonts w:hint="eastAsia"/>
          <w:lang w:eastAsia="zh-CN"/>
        </w:rPr>
        <w:t>的</w:t>
      </w:r>
      <w:r w:rsidR="002C58CB">
        <w:rPr>
          <w:rStyle w:val="AboutandContactBody"/>
          <w:rFonts w:hint="eastAsia"/>
          <w:lang w:eastAsia="zh-CN"/>
        </w:rPr>
        <w:t>传统</w:t>
      </w:r>
      <w:r w:rsidRPr="00620AC6">
        <w:rPr>
          <w:rStyle w:val="AboutandContactBody"/>
          <w:rFonts w:hint="eastAsia"/>
          <w:lang w:eastAsia="zh-CN"/>
        </w:rPr>
        <w:t>，</w:t>
      </w:r>
      <w:r w:rsidR="009A6744">
        <w:rPr>
          <w:rStyle w:val="AboutandContactBody"/>
          <w:rFonts w:hint="eastAsia"/>
          <w:lang w:eastAsia="zh-CN"/>
        </w:rPr>
        <w:t>并</w:t>
      </w:r>
      <w:r w:rsidRPr="00620AC6">
        <w:rPr>
          <w:rStyle w:val="AboutandContactBody"/>
          <w:rFonts w:hint="eastAsia"/>
          <w:lang w:eastAsia="zh-CN"/>
        </w:rPr>
        <w:t>确立</w:t>
      </w:r>
      <w:r w:rsidR="009A6744">
        <w:rPr>
          <w:rStyle w:val="AboutandContactBody"/>
          <w:rFonts w:hint="eastAsia"/>
          <w:lang w:eastAsia="zh-CN"/>
        </w:rPr>
        <w:t>了</w:t>
      </w:r>
      <w:r w:rsidR="006C3E09">
        <w:rPr>
          <w:rStyle w:val="AboutandContactBody"/>
          <w:rFonts w:hint="eastAsia"/>
          <w:lang w:eastAsia="zh-CN"/>
        </w:rPr>
        <w:t>清晰</w:t>
      </w:r>
      <w:r w:rsidRPr="00620AC6">
        <w:rPr>
          <w:rStyle w:val="AboutandContactBody"/>
          <w:rFonts w:hint="eastAsia"/>
          <w:lang w:eastAsia="zh-CN"/>
        </w:rPr>
        <w:t>的可持续发展战略和具体目标。成立于</w:t>
      </w:r>
      <w:r w:rsidRPr="00620AC6">
        <w:rPr>
          <w:rStyle w:val="AboutandContactBody"/>
          <w:rFonts w:hint="eastAsia"/>
          <w:lang w:eastAsia="zh-CN"/>
        </w:rPr>
        <w:t>1876</w:t>
      </w:r>
      <w:r w:rsidRPr="00620AC6">
        <w:rPr>
          <w:rStyle w:val="AboutandContactBody"/>
          <w:rFonts w:hint="eastAsia"/>
          <w:lang w:eastAsia="zh-CN"/>
        </w:rPr>
        <w:t>年</w:t>
      </w:r>
      <w:r>
        <w:rPr>
          <w:rStyle w:val="AboutandContactBody"/>
          <w:rFonts w:hint="eastAsia"/>
          <w:lang w:eastAsia="zh-CN"/>
        </w:rPr>
        <w:t>，汉高</w:t>
      </w:r>
      <w:r w:rsidRPr="00620AC6">
        <w:rPr>
          <w:rStyle w:val="AboutandContactBody"/>
          <w:rFonts w:hint="eastAsia"/>
          <w:lang w:eastAsia="zh-CN"/>
        </w:rPr>
        <w:t>如今在全球范围内约有</w:t>
      </w:r>
      <w:r w:rsidR="00BF0183">
        <w:rPr>
          <w:rStyle w:val="AboutandContactBody"/>
          <w:rFonts w:hint="eastAsia"/>
          <w:lang w:eastAsia="zh-CN"/>
        </w:rPr>
        <w:t>5</w:t>
      </w:r>
      <w:r w:rsidRPr="00620AC6">
        <w:rPr>
          <w:rStyle w:val="AboutandContactBody"/>
          <w:rFonts w:hint="eastAsia"/>
          <w:lang w:eastAsia="zh-CN"/>
        </w:rPr>
        <w:t>万名员工，在强大的企业文化、</w:t>
      </w:r>
      <w:proofErr w:type="gramStart"/>
      <w:r w:rsidRPr="00620AC6">
        <w:rPr>
          <w:rStyle w:val="AboutandContactBody"/>
          <w:rFonts w:hint="eastAsia"/>
          <w:lang w:eastAsia="zh-CN"/>
        </w:rPr>
        <w:t>共同的价值观与企业</w:t>
      </w:r>
      <w:r w:rsidR="00DD1A0E">
        <w:rPr>
          <w:rStyle w:val="AboutandContactBody"/>
          <w:rFonts w:hint="eastAsia"/>
          <w:lang w:eastAsia="zh-CN"/>
        </w:rPr>
        <w:t>宗旨</w:t>
      </w:r>
      <w:r w:rsidRPr="00620AC6">
        <w:rPr>
          <w:rStyle w:val="AboutandContactBody"/>
          <w:rFonts w:hint="eastAsia"/>
          <w:lang w:eastAsia="zh-CN"/>
        </w:rPr>
        <w:t>“</w:t>
      </w:r>
      <w:proofErr w:type="gramEnd"/>
      <w:r w:rsidRPr="00620AC6">
        <w:rPr>
          <w:rStyle w:val="AboutandContactBody"/>
          <w:rFonts w:hint="eastAsia"/>
          <w:lang w:eastAsia="zh-CN"/>
        </w:rPr>
        <w:t xml:space="preserve">Pioneers at heart for the good of </w:t>
      </w:r>
      <w:proofErr w:type="gramStart"/>
      <w:r w:rsidRPr="00620AC6">
        <w:rPr>
          <w:rStyle w:val="AboutandContactBody"/>
          <w:rFonts w:hint="eastAsia"/>
          <w:lang w:eastAsia="zh-CN"/>
        </w:rPr>
        <w:t>generations</w:t>
      </w:r>
      <w:r w:rsidRPr="00620AC6">
        <w:rPr>
          <w:rStyle w:val="AboutandContactBody"/>
          <w:rFonts w:hint="eastAsia"/>
          <w:lang w:eastAsia="zh-CN"/>
        </w:rPr>
        <w:t>”的引领下</w:t>
      </w:r>
      <w:proofErr w:type="gramEnd"/>
      <w:r w:rsidRPr="00620AC6">
        <w:rPr>
          <w:rStyle w:val="AboutandContactBody"/>
          <w:rFonts w:hint="eastAsia"/>
          <w:lang w:eastAsia="zh-CN"/>
        </w:rPr>
        <w:t>，融合为一支多元化的团队。更多资讯，敬请访问</w:t>
      </w:r>
      <w:r w:rsidRPr="00620AC6">
        <w:rPr>
          <w:rStyle w:val="AboutandContactBody"/>
          <w:rFonts w:hint="eastAsia"/>
          <w:lang w:eastAsia="zh-CN"/>
        </w:rPr>
        <w:t xml:space="preserve"> </w:t>
      </w:r>
      <w:hyperlink r:id="rId12" w:history="1">
        <w:r w:rsidR="00117CD1" w:rsidRPr="00E72D6F">
          <w:rPr>
            <w:rStyle w:val="Hyperlink"/>
            <w:rFonts w:hint="eastAsia"/>
            <w:lang w:eastAsia="zh-CN"/>
          </w:rPr>
          <w:t>www.henkel.cn</w:t>
        </w:r>
      </w:hyperlink>
      <w:r w:rsidRPr="00620AC6">
        <w:rPr>
          <w:rStyle w:val="AboutandContactBody"/>
          <w:rFonts w:hint="eastAsia"/>
          <w:lang w:eastAsia="zh-CN"/>
        </w:rPr>
        <w:t xml:space="preserve"> </w:t>
      </w:r>
    </w:p>
    <w:p w14:paraId="1FEEC7B3" w14:textId="77777777" w:rsidR="00BB5D0B" w:rsidRPr="00341406" w:rsidRDefault="00BB5D0B" w:rsidP="00BF6E82">
      <w:pPr>
        <w:rPr>
          <w:rStyle w:val="AboutandContactHeadline"/>
          <w:lang w:eastAsia="zh-TW"/>
        </w:rPr>
      </w:pPr>
    </w:p>
    <w:p w14:paraId="0BFF6B34" w14:textId="77777777" w:rsidR="00BF6E82" w:rsidRPr="00493327" w:rsidRDefault="00BF6E82" w:rsidP="00BF6E82">
      <w:pPr>
        <w:rPr>
          <w:rStyle w:val="AboutandContactBody"/>
          <w:lang w:eastAsia="zh-TW"/>
        </w:rPr>
      </w:pPr>
    </w:p>
    <w:p w14:paraId="15C10C28" w14:textId="14CD0F2B" w:rsidR="00F47E45" w:rsidRPr="00ED46E6" w:rsidRDefault="00341406" w:rsidP="00F47E45">
      <w:pPr>
        <w:spacing w:after="120"/>
        <w:rPr>
          <w:rStyle w:val="AboutandContactHeadline"/>
          <w:szCs w:val="28"/>
          <w:lang w:eastAsia="zh-TW"/>
        </w:rPr>
      </w:pPr>
      <w:r w:rsidRPr="00ED46E6">
        <w:rPr>
          <w:rStyle w:val="AboutandContactHeadline"/>
          <w:rFonts w:hint="eastAsia"/>
          <w:szCs w:val="28"/>
          <w:lang w:eastAsia="zh-CN"/>
        </w:rPr>
        <w:t>媒体联系人</w:t>
      </w:r>
    </w:p>
    <w:p w14:paraId="42FC5693" w14:textId="77777777" w:rsidR="00C14CC7" w:rsidRPr="00493327" w:rsidRDefault="00C14CC7" w:rsidP="00C14CC7">
      <w:pPr>
        <w:tabs>
          <w:tab w:val="left" w:pos="1080"/>
          <w:tab w:val="left" w:pos="4500"/>
        </w:tabs>
        <w:rPr>
          <w:rStyle w:val="AboutandContactBody"/>
          <w:lang w:eastAsia="zh-TW"/>
        </w:rPr>
      </w:pPr>
      <w:r w:rsidRPr="00ED46E6">
        <w:rPr>
          <w:rStyle w:val="AboutandContactBody"/>
          <w:rFonts w:hint="eastAsia"/>
          <w:lang w:eastAsia="zh-CN"/>
        </w:rPr>
        <w:t>姓名</w:t>
      </w:r>
      <w:r>
        <w:rPr>
          <w:rStyle w:val="AboutandContactBody"/>
          <w:rFonts w:hint="eastAsia"/>
          <w:lang w:eastAsia="zh-CN"/>
        </w:rPr>
        <w:t>：</w:t>
      </w:r>
      <w:r>
        <w:rPr>
          <w:rStyle w:val="AboutandContactBody"/>
          <w:lang w:eastAsia="zh-CN"/>
        </w:rPr>
        <w:t>Irene Pan</w:t>
      </w:r>
      <w:r w:rsidRPr="009942B3">
        <w:rPr>
          <w:rStyle w:val="AboutandContactBody"/>
        </w:rPr>
        <w:t xml:space="preserve"> </w:t>
      </w:r>
      <w:r w:rsidRPr="00493327">
        <w:rPr>
          <w:rStyle w:val="AboutandContactBody"/>
        </w:rPr>
        <w:tab/>
      </w:r>
      <w:r>
        <w:rPr>
          <w:rStyle w:val="AboutandContactBody"/>
          <w:rFonts w:hint="eastAsia"/>
          <w:lang w:eastAsia="zh-CN"/>
        </w:rPr>
        <w:t>Yanjie Zheng</w:t>
      </w:r>
    </w:p>
    <w:p w14:paraId="65921CD7" w14:textId="77777777" w:rsidR="00C14CC7" w:rsidRPr="00493327" w:rsidRDefault="00C14CC7" w:rsidP="00C14CC7">
      <w:pPr>
        <w:tabs>
          <w:tab w:val="left" w:pos="1080"/>
          <w:tab w:val="left" w:pos="4500"/>
        </w:tabs>
        <w:rPr>
          <w:rStyle w:val="AboutandContactBody"/>
          <w:lang w:eastAsia="zh-CN"/>
        </w:rPr>
      </w:pPr>
      <w:r>
        <w:rPr>
          <w:rStyle w:val="AboutandContactBody"/>
          <w:rFonts w:hint="eastAsia"/>
          <w:lang w:eastAsia="zh-CN"/>
        </w:rPr>
        <w:t>电话：</w:t>
      </w:r>
      <w:r>
        <w:rPr>
          <w:rStyle w:val="AboutandContactBody"/>
          <w:rFonts w:hint="eastAsia"/>
          <w:lang w:eastAsia="zh-CN"/>
        </w:rPr>
        <w:t>+</w:t>
      </w:r>
      <w:r>
        <w:rPr>
          <w:rStyle w:val="AboutandContactBody"/>
          <w:lang w:eastAsia="zh-CN"/>
        </w:rPr>
        <w:t xml:space="preserve">86 </w:t>
      </w:r>
      <w:r>
        <w:rPr>
          <w:rStyle w:val="AboutandContactBody"/>
          <w:rFonts w:hint="eastAsia"/>
          <w:lang w:eastAsia="zh-CN"/>
        </w:rPr>
        <w:t>21 28918811</w:t>
      </w:r>
      <w:r w:rsidRPr="00493327">
        <w:rPr>
          <w:rStyle w:val="AboutandContactBody"/>
          <w:lang w:eastAsia="zh-CN"/>
        </w:rPr>
        <w:tab/>
      </w:r>
      <w:r w:rsidRPr="00E14D0D">
        <w:rPr>
          <w:rStyle w:val="AboutandContactBody"/>
          <w:lang w:eastAsia="zh-CN"/>
        </w:rPr>
        <w:t>+</w:t>
      </w:r>
      <w:r w:rsidRPr="00E14D0D">
        <w:rPr>
          <w:rStyle w:val="AboutandContactBody"/>
          <w:rFonts w:hint="eastAsia"/>
          <w:lang w:eastAsia="zh-CN"/>
        </w:rPr>
        <w:t>86</w:t>
      </w:r>
      <w:r w:rsidRPr="00E14D0D">
        <w:rPr>
          <w:rStyle w:val="AboutandContactBody"/>
          <w:lang w:eastAsia="zh-CN"/>
        </w:rPr>
        <w:t xml:space="preserve"> </w:t>
      </w:r>
      <w:r>
        <w:rPr>
          <w:rStyle w:val="AboutandContactBody"/>
          <w:rFonts w:hint="eastAsia"/>
          <w:lang w:eastAsia="zh-CN"/>
        </w:rPr>
        <w:t>21 28918735</w:t>
      </w:r>
    </w:p>
    <w:p w14:paraId="31696356" w14:textId="77777777" w:rsidR="00C14CC7" w:rsidRPr="00493327" w:rsidRDefault="00C14CC7" w:rsidP="00C14CC7">
      <w:pPr>
        <w:tabs>
          <w:tab w:val="left" w:pos="1080"/>
          <w:tab w:val="left" w:pos="4500"/>
        </w:tabs>
        <w:rPr>
          <w:rStyle w:val="AboutandContactBody"/>
          <w:lang w:eastAsia="zh-CN"/>
        </w:rPr>
      </w:pPr>
      <w:r>
        <w:rPr>
          <w:rStyle w:val="AboutandContactBody"/>
          <w:rFonts w:hint="eastAsia"/>
          <w:lang w:eastAsia="zh-CN"/>
        </w:rPr>
        <w:t>邮箱地址：</w:t>
      </w:r>
      <w:r w:rsidRPr="00C75AB5">
        <w:rPr>
          <w:rStyle w:val="AboutandContactBody"/>
          <w:lang w:eastAsia="zh-CN"/>
        </w:rPr>
        <w:t>irene.pan@henkel.com</w:t>
      </w:r>
      <w:r w:rsidRPr="009942B3">
        <w:rPr>
          <w:rStyle w:val="AboutandContactBody"/>
          <w:lang w:eastAsia="zh-CN"/>
        </w:rPr>
        <w:t xml:space="preserve"> </w:t>
      </w:r>
      <w:r w:rsidRPr="00493327">
        <w:rPr>
          <w:rStyle w:val="AboutandContactBody"/>
          <w:lang w:eastAsia="zh-CN"/>
        </w:rPr>
        <w:tab/>
      </w:r>
      <w:r w:rsidRPr="00C66F78">
        <w:rPr>
          <w:rStyle w:val="AboutandContactBody"/>
          <w:rFonts w:hint="eastAsia"/>
          <w:lang w:eastAsia="zh-CN"/>
        </w:rPr>
        <w:t>yanjie.zheng</w:t>
      </w:r>
      <w:r w:rsidRPr="00C66F78">
        <w:rPr>
          <w:rStyle w:val="AboutandContactBody"/>
          <w:lang w:eastAsia="zh-CN"/>
        </w:rPr>
        <w:t>@henkel.com</w:t>
      </w:r>
    </w:p>
    <w:p w14:paraId="1CAE75D3" w14:textId="1FBA23CE" w:rsidR="00112A28" w:rsidRPr="00C14CC7" w:rsidRDefault="00112A28" w:rsidP="00F47E45">
      <w:pPr>
        <w:tabs>
          <w:tab w:val="left" w:pos="1080"/>
          <w:tab w:val="left" w:pos="4500"/>
        </w:tabs>
        <w:rPr>
          <w:rStyle w:val="AboutandContactBody"/>
          <w:lang w:eastAsia="zh-TW"/>
        </w:rPr>
      </w:pPr>
    </w:p>
    <w:sectPr w:rsidR="00112A28" w:rsidRPr="00C14CC7" w:rsidSect="00DC2465">
      <w:headerReference w:type="even" r:id="rId13"/>
      <w:footerReference w:type="default" r:id="rId14"/>
      <w:headerReference w:type="first" r:id="rId15"/>
      <w:footerReference w:type="first" r:id="rId16"/>
      <w:pgSz w:w="11907" w:h="16840" w:code="9"/>
      <w:pgMar w:top="1944" w:right="1411" w:bottom="1987" w:left="1411" w:header="1253" w:footer="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9BABD" w14:textId="77777777" w:rsidR="004A47A8" w:rsidRDefault="004A47A8">
      <w:r>
        <w:separator/>
      </w:r>
    </w:p>
  </w:endnote>
  <w:endnote w:type="continuationSeparator" w:id="0">
    <w:p w14:paraId="4719FDE5" w14:textId="77777777" w:rsidR="004A47A8" w:rsidRDefault="004A47A8">
      <w:r>
        <w:continuationSeparator/>
      </w:r>
    </w:p>
  </w:endnote>
  <w:endnote w:type="continuationNotice" w:id="1">
    <w:p w14:paraId="426A0114" w14:textId="77777777" w:rsidR="004A47A8" w:rsidRDefault="004A47A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D10C9" w14:textId="2DC5A480" w:rsidR="00CF6F33" w:rsidRPr="00112A28" w:rsidRDefault="00112A28" w:rsidP="00112A28">
    <w:pPr>
      <w:pStyle w:val="Footer"/>
      <w:tabs>
        <w:tab w:val="clear" w:pos="7083"/>
        <w:tab w:val="clear" w:pos="8640"/>
        <w:tab w:val="right" w:pos="9071"/>
      </w:tabs>
      <w:jc w:val="both"/>
    </w:pPr>
    <w:r w:rsidRPr="00BF6E82">
      <w:t>Henkel AG &amp; Co. KGaA</w:t>
    </w:r>
    <w:r>
      <w:tab/>
    </w:r>
    <w:r w:rsidRPr="00BF6E82">
      <w:t xml:space="preserve">Page </w:t>
    </w:r>
    <w:r w:rsidRPr="00BF6E82">
      <w:fldChar w:fldCharType="begin"/>
    </w:r>
    <w:r w:rsidRPr="00BF6E82">
      <w:instrText xml:space="preserve"> PAGE  \* Arabic  \* MERGEFORMAT </w:instrText>
    </w:r>
    <w:r w:rsidRPr="00BF6E82">
      <w:fldChar w:fldCharType="separate"/>
    </w:r>
    <w:r>
      <w:t>2</w:t>
    </w:r>
    <w:r w:rsidRPr="00BF6E82">
      <w:fldChar w:fldCharType="end"/>
    </w:r>
    <w:r w:rsidRPr="00BF6E82">
      <w:t>/</w:t>
    </w:r>
    <w:fldSimple w:instr=" NUMPAGES  \* Arabic  \* MERGEFORMAT ">
      <w: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A058E" w14:textId="2444175B" w:rsidR="00CF6F33" w:rsidRPr="00992A11" w:rsidRDefault="00B877DF" w:rsidP="00992A11">
    <w:pPr>
      <w:pStyle w:val="Footer"/>
    </w:pPr>
    <w:r w:rsidRPr="00E143D5">
      <w:drawing>
        <wp:inline distT="0" distB="0" distL="0" distR="0" wp14:anchorId="6340C670" wp14:editId="4709A25C">
          <wp:extent cx="5422789" cy="548296"/>
          <wp:effectExtent l="0" t="0" r="6985" b="4445"/>
          <wp:docPr id="1353966039" name="Grafik 1" descr="Ein Bild, das Text, Logo, Schrift,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966039" name="Grafik 1" descr="Ein Bild, das Text, Logo, Schrift, Symbol enthält.&#10;&#10;Automatisch generierte Beschreibung"/>
                  <pic:cNvPicPr/>
                </pic:nvPicPr>
                <pic:blipFill rotWithShape="1">
                  <a:blip r:embed="rId1"/>
                  <a:srcRect b="19511"/>
                  <a:stretch/>
                </pic:blipFill>
                <pic:spPr bwMode="auto">
                  <a:xfrm>
                    <a:off x="0" y="0"/>
                    <a:ext cx="5499004" cy="556002"/>
                  </a:xfrm>
                  <a:prstGeom prst="rect">
                    <a:avLst/>
                  </a:prstGeom>
                  <a:ln>
                    <a:noFill/>
                  </a:ln>
                  <a:extLst>
                    <a:ext uri="{53640926-AAD7-44D8-BBD7-CCE9431645EC}">
                      <a14:shadowObscured xmlns:a14="http://schemas.microsoft.com/office/drawing/2010/main"/>
                    </a:ext>
                  </a:extLst>
                </pic:spPr>
              </pic:pic>
            </a:graphicData>
          </a:graphic>
        </wp:inline>
      </w:drawing>
    </w:r>
    <w:r w:rsidR="00B422EC" w:rsidRPr="00992A11">
      <w:t>Page</w:t>
    </w:r>
    <w:r w:rsidR="00CF6F33" w:rsidRPr="00992A11">
      <w:t xml:space="preserve"> </w:t>
    </w:r>
    <w:r w:rsidR="00CF6F33" w:rsidRPr="00992A11">
      <w:fldChar w:fldCharType="begin"/>
    </w:r>
    <w:r w:rsidR="00CF6F33" w:rsidRPr="00992A11">
      <w:instrText xml:space="preserve"> </w:instrText>
    </w:r>
    <w:r w:rsidR="00262C05" w:rsidRPr="00992A11">
      <w:instrText>PAGE</w:instrText>
    </w:r>
    <w:r w:rsidR="00CF6F33" w:rsidRPr="00992A11">
      <w:instrText xml:space="preserve">  \* Arabic  \* MERGEFORMAT </w:instrText>
    </w:r>
    <w:r w:rsidR="00CF6F33" w:rsidRPr="00992A11">
      <w:fldChar w:fldCharType="separate"/>
    </w:r>
    <w:r w:rsidR="006A0A3C" w:rsidRPr="00992A11">
      <w:t>1</w:t>
    </w:r>
    <w:r w:rsidR="00CF6F33" w:rsidRPr="00992A11">
      <w:fldChar w:fldCharType="end"/>
    </w:r>
    <w:r w:rsidR="00CF6F33" w:rsidRPr="00992A11">
      <w:t>/</w:t>
    </w:r>
    <w:r w:rsidR="00CF6F33" w:rsidRPr="00992A11">
      <w:fldChar w:fldCharType="begin"/>
    </w:r>
    <w:r w:rsidR="00CF6F33" w:rsidRPr="00992A11">
      <w:instrText xml:space="preserve"> </w:instrText>
    </w:r>
    <w:r w:rsidR="00262C05" w:rsidRPr="00992A11">
      <w:instrText>NUMPAGES</w:instrText>
    </w:r>
    <w:r w:rsidR="00CF6F33" w:rsidRPr="00992A11">
      <w:instrText xml:space="preserve">  \* Arabic  \* MERGEFORMAT </w:instrText>
    </w:r>
    <w:r w:rsidR="00CF6F33" w:rsidRPr="00992A11">
      <w:fldChar w:fldCharType="separate"/>
    </w:r>
    <w:r w:rsidR="006A0A3C" w:rsidRPr="00992A11">
      <w:t>1</w:t>
    </w:r>
    <w:r w:rsidR="00CF6F33" w:rsidRPr="00992A1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E8123" w14:textId="77777777" w:rsidR="004A47A8" w:rsidRDefault="004A47A8">
      <w:r>
        <w:separator/>
      </w:r>
    </w:p>
  </w:footnote>
  <w:footnote w:type="continuationSeparator" w:id="0">
    <w:p w14:paraId="4554F4E6" w14:textId="77777777" w:rsidR="004A47A8" w:rsidRDefault="004A47A8">
      <w:r>
        <w:continuationSeparator/>
      </w:r>
    </w:p>
  </w:footnote>
  <w:footnote w:type="continuationNotice" w:id="1">
    <w:p w14:paraId="35D66D9B" w14:textId="77777777" w:rsidR="004A47A8" w:rsidRDefault="004A47A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ACE39" w14:textId="77777777" w:rsidR="00112A28" w:rsidRDefault="00112A28" w:rsidP="00112A28">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86010" w14:textId="12F2C247" w:rsidR="00CF6F33" w:rsidRPr="00EB46D9" w:rsidRDefault="0059722C" w:rsidP="00EB46D9">
    <w:pPr>
      <w:pStyle w:val="Header"/>
    </w:pPr>
    <w:r w:rsidRPr="00EB46D9">
      <w:rPr>
        <w:noProof/>
      </w:rPr>
      <w:drawing>
        <wp:anchor distT="0" distB="0" distL="114300" distR="114300" simplePos="0" relativeHeight="251672576" behindDoc="0" locked="1" layoutInCell="1" allowOverlap="1" wp14:anchorId="5559ED3E" wp14:editId="20ECCE45">
          <wp:simplePos x="0" y="0"/>
          <wp:positionH relativeFrom="margin">
            <wp:posOffset>5036820</wp:posOffset>
          </wp:positionH>
          <wp:positionV relativeFrom="margin">
            <wp:posOffset>-1478915</wp:posOffset>
          </wp:positionV>
          <wp:extent cx="1051560" cy="603250"/>
          <wp:effectExtent l="0" t="0" r="0" b="635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l="4736" t="10539" r="5063" b="12550"/>
                  <a:stretch>
                    <a:fillRect/>
                  </a:stretch>
                </pic:blipFill>
                <pic:spPr bwMode="auto">
                  <a:xfrm>
                    <a:off x="0" y="0"/>
                    <a:ext cx="1051560" cy="603250"/>
                  </a:xfrm>
                  <a:prstGeom prst="rect">
                    <a:avLst/>
                  </a:prstGeom>
                  <a:noFill/>
                </pic:spPr>
              </pic:pic>
            </a:graphicData>
          </a:graphic>
          <wp14:sizeRelH relativeFrom="page">
            <wp14:pctWidth>0</wp14:pctWidth>
          </wp14:sizeRelH>
          <wp14:sizeRelV relativeFrom="page">
            <wp14:pctHeight>0</wp14:pctHeight>
          </wp14:sizeRelV>
        </wp:anchor>
      </w:drawing>
    </w:r>
    <w:r w:rsidRPr="00EB46D9">
      <w:rPr>
        <w:noProof/>
      </w:rPr>
      <mc:AlternateContent>
        <mc:Choice Requires="wpg">
          <w:drawing>
            <wp:anchor distT="0" distB="0" distL="114300" distR="114300" simplePos="0" relativeHeight="251657216" behindDoc="0" locked="0" layoutInCell="1" allowOverlap="1" wp14:anchorId="76D561A9" wp14:editId="7310849B">
              <wp:simplePos x="0" y="0"/>
              <wp:positionH relativeFrom="page">
                <wp:posOffset>180340</wp:posOffset>
              </wp:positionH>
              <wp:positionV relativeFrom="page">
                <wp:posOffset>3780790</wp:posOffset>
              </wp:positionV>
              <wp:extent cx="179705" cy="3780155"/>
              <wp:effectExtent l="0" t="0" r="1905" b="11430"/>
              <wp:wrapNone/>
              <wp:docPr id="2" name="Gruppieren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705" cy="3780155"/>
                        <a:chOff x="0" y="5954"/>
                        <a:chExt cx="283" cy="5953"/>
                      </a:xfrm>
                    </wpg:grpSpPr>
                    <wps:wsp>
                      <wps:cNvPr id="3" name="Line 17"/>
                      <wps:cNvCnPr>
                        <a:cxnSpLocks noChangeShapeType="1"/>
                      </wps:cNvCnPr>
                      <wps:spPr bwMode="auto">
                        <a:xfrm>
                          <a:off x="0" y="5954"/>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s:wsp>
                      <wps:cNvPr id="4" name="Line 18"/>
                      <wps:cNvCnPr>
                        <a:cxnSpLocks noChangeShapeType="1"/>
                      </wps:cNvCnPr>
                      <wps:spPr bwMode="auto">
                        <a:xfrm>
                          <a:off x="0" y="8420"/>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s:wsp>
                      <wps:cNvPr id="5" name="Line 19"/>
                      <wps:cNvCnPr>
                        <a:cxnSpLocks noChangeShapeType="1"/>
                      </wps:cNvCnPr>
                      <wps:spPr bwMode="auto">
                        <a:xfrm>
                          <a:off x="0" y="11907"/>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g:wgp>
                </a:graphicData>
              </a:graphic>
              <wp14:sizeRelH relativeFrom="page">
                <wp14:pctWidth>0</wp14:pctWidth>
              </wp14:sizeRelH>
              <wp14:sizeRelV relativeFrom="page">
                <wp14:pctHeight>0</wp14:pctHeight>
              </wp14:sizeRelV>
            </wp:anchor>
          </w:drawing>
        </mc:Choice>
        <mc:Fallback>
          <w:pict>
            <v:group w14:anchorId="14F9F0B6" id="Gruppieren 2" o:spid="_x0000_s1026" style="position:absolute;margin-left:14.2pt;margin-top:297.7pt;width:14.15pt;height:297.65pt;z-index:251657216;mso-position-horizontal-relative:page;mso-position-vertical-relative:page" coordorigin=",5954" coordsize="283,5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">
              <v:line id="Line 17" o:spid="_x0000_s1027" style="position:absolute;visibility:visible;mso-wrap-style:square" from="0,5954" to="283,5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" stroked="f" strokecolor="#e1000f" strokeweight=".5pt"/>
              <v:line id="Line 18" o:spid="_x0000_s1028" style="position:absolute;visibility:visible;mso-wrap-style:square" from="0,8420" to="283,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" stroked="f" strokecolor="#e1000f" strokeweight=".5pt"/>
              <v:line id="Line 19" o:spid="_x0000_s1029" style="position:absolute;visibility:visible;mso-wrap-style:square" from="0,11907" to="283,1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" stroked="f" strokecolor="#e1000f" strokeweight=".5pt"/>
              <w10:wrap anchorx="page" anchory="page"/>
            </v:group>
          </w:pict>
        </mc:Fallback>
      </mc:AlternateContent>
    </w:r>
    <w:r w:rsidR="00341406">
      <w:rPr>
        <w:rFonts w:hint="eastAsia"/>
        <w:lang w:eastAsia="zh-CN"/>
      </w:rPr>
      <w:t>新闻稿</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865"/>
    <w:multiLevelType w:val="hybridMultilevel"/>
    <w:tmpl w:val="4A063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F4270"/>
    <w:multiLevelType w:val="hybridMultilevel"/>
    <w:tmpl w:val="12EC31FA"/>
    <w:lvl w:ilvl="0" w:tplc="785A8864">
      <w:start w:val="1"/>
      <w:numFmt w:val="bullet"/>
      <w:pStyle w:val="NumBullet"/>
      <w:lvlText w:val="•"/>
      <w:lvlJc w:val="left"/>
      <w:pPr>
        <w:tabs>
          <w:tab w:val="num" w:pos="567"/>
        </w:tabs>
        <w:ind w:left="567" w:hanging="567"/>
      </w:pPr>
      <w:rPr>
        <w:rFonts w:ascii="Times New Roman" w:hAnsi="Times New Roman" w:cs="Times New Roman" w:hint="default"/>
        <w:color w:val="E1000F"/>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0B585C"/>
    <w:multiLevelType w:val="hybridMultilevel"/>
    <w:tmpl w:val="70D4F3A4"/>
    <w:lvl w:ilvl="0" w:tplc="68061C8C">
      <w:start w:val="1"/>
      <w:numFmt w:val="bullet"/>
      <w:lvlText w:val=""/>
      <w:lvlJc w:val="left"/>
      <w:pPr>
        <w:ind w:left="1004" w:hanging="360"/>
      </w:pPr>
      <w:rPr>
        <w:rFonts w:ascii="Wingdings" w:hAnsi="Wingdings" w:hint="default"/>
        <w:sz w:val="24"/>
        <w:szCs w:val="24"/>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40C5131F"/>
    <w:multiLevelType w:val="hybridMultilevel"/>
    <w:tmpl w:val="8F8421BE"/>
    <w:lvl w:ilvl="0" w:tplc="04070005">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 w15:restartNumberingAfterBreak="0">
    <w:nsid w:val="549B0C97"/>
    <w:multiLevelType w:val="hybridMultilevel"/>
    <w:tmpl w:val="DCD2F366"/>
    <w:lvl w:ilvl="0" w:tplc="53A0857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89532E"/>
    <w:multiLevelType w:val="hybridMultilevel"/>
    <w:tmpl w:val="357663A0"/>
    <w:lvl w:ilvl="0" w:tplc="5FB28F00">
      <w:start w:val="1"/>
      <w:numFmt w:val="bullet"/>
      <w:lvlText w:val=""/>
      <w:lvlJc w:val="left"/>
      <w:pPr>
        <w:ind w:left="786" w:hanging="360"/>
      </w:pPr>
      <w:rPr>
        <w:rFonts w:ascii="Wingdings" w:hAnsi="Wingdings" w:hint="default"/>
        <w:sz w:val="24"/>
        <w:szCs w:val="24"/>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94697967">
    <w:abstractNumId w:val="1"/>
  </w:num>
  <w:num w:numId="2" w16cid:durableId="1563175876">
    <w:abstractNumId w:val="0"/>
  </w:num>
  <w:num w:numId="3" w16cid:durableId="1141115785">
    <w:abstractNumId w:val="5"/>
  </w:num>
  <w:num w:numId="4" w16cid:durableId="1658344630">
    <w:abstractNumId w:val="3"/>
  </w:num>
  <w:num w:numId="5" w16cid:durableId="2132553883">
    <w:abstractNumId w:val="2"/>
  </w:num>
  <w:num w:numId="6" w16cid:durableId="5457265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8"/>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hdrShapeDefaults>
    <o:shapedefaults v:ext="edit" spidmax="2050">
      <o:colormru v:ext="edit" colors="#e1000f"/>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51C"/>
    <w:rsid w:val="00000839"/>
    <w:rsid w:val="00002AA4"/>
    <w:rsid w:val="00005267"/>
    <w:rsid w:val="00006346"/>
    <w:rsid w:val="00012DD9"/>
    <w:rsid w:val="0001775D"/>
    <w:rsid w:val="00021C67"/>
    <w:rsid w:val="00030557"/>
    <w:rsid w:val="00030F51"/>
    <w:rsid w:val="00033CF1"/>
    <w:rsid w:val="00035A84"/>
    <w:rsid w:val="00040CC9"/>
    <w:rsid w:val="00044F09"/>
    <w:rsid w:val="00051E86"/>
    <w:rsid w:val="000575F9"/>
    <w:rsid w:val="000618FC"/>
    <w:rsid w:val="0006344D"/>
    <w:rsid w:val="00067071"/>
    <w:rsid w:val="000722E8"/>
    <w:rsid w:val="00074605"/>
    <w:rsid w:val="00075968"/>
    <w:rsid w:val="00080D10"/>
    <w:rsid w:val="0008357F"/>
    <w:rsid w:val="000B695A"/>
    <w:rsid w:val="000C210A"/>
    <w:rsid w:val="000C56DD"/>
    <w:rsid w:val="000D1672"/>
    <w:rsid w:val="000E2F62"/>
    <w:rsid w:val="000E38ED"/>
    <w:rsid w:val="000E7F24"/>
    <w:rsid w:val="000F03BE"/>
    <w:rsid w:val="000F09F2"/>
    <w:rsid w:val="000F1757"/>
    <w:rsid w:val="000F225B"/>
    <w:rsid w:val="000F7FAF"/>
    <w:rsid w:val="00101B7B"/>
    <w:rsid w:val="00105975"/>
    <w:rsid w:val="00105AE8"/>
    <w:rsid w:val="00111F4D"/>
    <w:rsid w:val="00112A28"/>
    <w:rsid w:val="00115230"/>
    <w:rsid w:val="00115B5F"/>
    <w:rsid w:val="001162B4"/>
    <w:rsid w:val="00117CD1"/>
    <w:rsid w:val="00122CBC"/>
    <w:rsid w:val="00126D4A"/>
    <w:rsid w:val="00132DA9"/>
    <w:rsid w:val="0013305B"/>
    <w:rsid w:val="00133B99"/>
    <w:rsid w:val="001443BD"/>
    <w:rsid w:val="001577E9"/>
    <w:rsid w:val="0016138C"/>
    <w:rsid w:val="001731CE"/>
    <w:rsid w:val="001B7C20"/>
    <w:rsid w:val="001C0B32"/>
    <w:rsid w:val="001C4BE1"/>
    <w:rsid w:val="001D4E45"/>
    <w:rsid w:val="001D7ADF"/>
    <w:rsid w:val="001E0F71"/>
    <w:rsid w:val="001E6D05"/>
    <w:rsid w:val="001E7C28"/>
    <w:rsid w:val="001F1BDF"/>
    <w:rsid w:val="001F21E7"/>
    <w:rsid w:val="001F7110"/>
    <w:rsid w:val="001F7E96"/>
    <w:rsid w:val="00202284"/>
    <w:rsid w:val="00212488"/>
    <w:rsid w:val="00213638"/>
    <w:rsid w:val="00220398"/>
    <w:rsid w:val="00220628"/>
    <w:rsid w:val="002304D2"/>
    <w:rsid w:val="00234ABD"/>
    <w:rsid w:val="00236E2A"/>
    <w:rsid w:val="00237F62"/>
    <w:rsid w:val="0024586A"/>
    <w:rsid w:val="00256F0C"/>
    <w:rsid w:val="00262C05"/>
    <w:rsid w:val="00281419"/>
    <w:rsid w:val="00281D14"/>
    <w:rsid w:val="00282C13"/>
    <w:rsid w:val="002957BC"/>
    <w:rsid w:val="002A0DF7"/>
    <w:rsid w:val="002A290A"/>
    <w:rsid w:val="002A2975"/>
    <w:rsid w:val="002A60E0"/>
    <w:rsid w:val="002B3405"/>
    <w:rsid w:val="002B6F30"/>
    <w:rsid w:val="002C1344"/>
    <w:rsid w:val="002C252E"/>
    <w:rsid w:val="002C58CB"/>
    <w:rsid w:val="002C6773"/>
    <w:rsid w:val="002D2A3D"/>
    <w:rsid w:val="002E0B17"/>
    <w:rsid w:val="002E4FFB"/>
    <w:rsid w:val="002E7DED"/>
    <w:rsid w:val="002F7E11"/>
    <w:rsid w:val="003004B0"/>
    <w:rsid w:val="00304087"/>
    <w:rsid w:val="00310ACD"/>
    <w:rsid w:val="0031379F"/>
    <w:rsid w:val="00320A26"/>
    <w:rsid w:val="00321344"/>
    <w:rsid w:val="0033451C"/>
    <w:rsid w:val="00336854"/>
    <w:rsid w:val="0034015C"/>
    <w:rsid w:val="00341406"/>
    <w:rsid w:val="003442F4"/>
    <w:rsid w:val="00347397"/>
    <w:rsid w:val="00353705"/>
    <w:rsid w:val="003562E8"/>
    <w:rsid w:val="0036357D"/>
    <w:rsid w:val="003649BC"/>
    <w:rsid w:val="00365E44"/>
    <w:rsid w:val="00367AA1"/>
    <w:rsid w:val="00372E36"/>
    <w:rsid w:val="00376EE9"/>
    <w:rsid w:val="00377CBB"/>
    <w:rsid w:val="00385185"/>
    <w:rsid w:val="003877B6"/>
    <w:rsid w:val="00393887"/>
    <w:rsid w:val="00394C6B"/>
    <w:rsid w:val="003A12F2"/>
    <w:rsid w:val="003A4E62"/>
    <w:rsid w:val="003A5C9C"/>
    <w:rsid w:val="003B1069"/>
    <w:rsid w:val="003B390A"/>
    <w:rsid w:val="003C15DE"/>
    <w:rsid w:val="003C4EB2"/>
    <w:rsid w:val="003E4658"/>
    <w:rsid w:val="003F1AF3"/>
    <w:rsid w:val="003F4D8D"/>
    <w:rsid w:val="003F66FD"/>
    <w:rsid w:val="004313E7"/>
    <w:rsid w:val="004320B4"/>
    <w:rsid w:val="0044763B"/>
    <w:rsid w:val="00451F34"/>
    <w:rsid w:val="004629B3"/>
    <w:rsid w:val="0046376E"/>
    <w:rsid w:val="0046690F"/>
    <w:rsid w:val="00472FEC"/>
    <w:rsid w:val="00490A03"/>
    <w:rsid w:val="00493327"/>
    <w:rsid w:val="00494DBE"/>
    <w:rsid w:val="00495CE6"/>
    <w:rsid w:val="004A323C"/>
    <w:rsid w:val="004A47A8"/>
    <w:rsid w:val="004B54E8"/>
    <w:rsid w:val="004C15D7"/>
    <w:rsid w:val="004C4FEB"/>
    <w:rsid w:val="004C6B79"/>
    <w:rsid w:val="004D059B"/>
    <w:rsid w:val="004D4CB6"/>
    <w:rsid w:val="004E0870"/>
    <w:rsid w:val="004E3341"/>
    <w:rsid w:val="004F10C1"/>
    <w:rsid w:val="00502E62"/>
    <w:rsid w:val="00504452"/>
    <w:rsid w:val="00506B8A"/>
    <w:rsid w:val="00516DC2"/>
    <w:rsid w:val="00517DED"/>
    <w:rsid w:val="0052212B"/>
    <w:rsid w:val="00531B98"/>
    <w:rsid w:val="00534B46"/>
    <w:rsid w:val="00540358"/>
    <w:rsid w:val="00540D47"/>
    <w:rsid w:val="00550864"/>
    <w:rsid w:val="0055571E"/>
    <w:rsid w:val="00556F67"/>
    <w:rsid w:val="00571254"/>
    <w:rsid w:val="00580896"/>
    <w:rsid w:val="005833F0"/>
    <w:rsid w:val="00586CAF"/>
    <w:rsid w:val="005873E9"/>
    <w:rsid w:val="00591180"/>
    <w:rsid w:val="0059722C"/>
    <w:rsid w:val="00597D07"/>
    <w:rsid w:val="005A3846"/>
    <w:rsid w:val="005A43EC"/>
    <w:rsid w:val="005B1F0C"/>
    <w:rsid w:val="005B6A58"/>
    <w:rsid w:val="005C7112"/>
    <w:rsid w:val="005D0561"/>
    <w:rsid w:val="005D0AD9"/>
    <w:rsid w:val="005D22F6"/>
    <w:rsid w:val="005E0C30"/>
    <w:rsid w:val="005E69D9"/>
    <w:rsid w:val="005F27F4"/>
    <w:rsid w:val="005F3239"/>
    <w:rsid w:val="005F6567"/>
    <w:rsid w:val="006065A6"/>
    <w:rsid w:val="00607256"/>
    <w:rsid w:val="006144B1"/>
    <w:rsid w:val="006335F1"/>
    <w:rsid w:val="006345B6"/>
    <w:rsid w:val="00635712"/>
    <w:rsid w:val="0064033D"/>
    <w:rsid w:val="00643D8A"/>
    <w:rsid w:val="006513EB"/>
    <w:rsid w:val="00652229"/>
    <w:rsid w:val="00652793"/>
    <w:rsid w:val="00652D7A"/>
    <w:rsid w:val="00653FC6"/>
    <w:rsid w:val="006626CA"/>
    <w:rsid w:val="00663487"/>
    <w:rsid w:val="00672382"/>
    <w:rsid w:val="00682643"/>
    <w:rsid w:val="00682EB9"/>
    <w:rsid w:val="0068441A"/>
    <w:rsid w:val="00687064"/>
    <w:rsid w:val="00690B19"/>
    <w:rsid w:val="006A0A3C"/>
    <w:rsid w:val="006A79F0"/>
    <w:rsid w:val="006B4373"/>
    <w:rsid w:val="006B47EE"/>
    <w:rsid w:val="006B499F"/>
    <w:rsid w:val="006B6458"/>
    <w:rsid w:val="006C3E09"/>
    <w:rsid w:val="006D4996"/>
    <w:rsid w:val="006D54AB"/>
    <w:rsid w:val="006E3006"/>
    <w:rsid w:val="006E5032"/>
    <w:rsid w:val="006E5BDA"/>
    <w:rsid w:val="006F0FC7"/>
    <w:rsid w:val="006F39A9"/>
    <w:rsid w:val="006F670F"/>
    <w:rsid w:val="00703272"/>
    <w:rsid w:val="0070733C"/>
    <w:rsid w:val="00710C5D"/>
    <w:rsid w:val="0071348C"/>
    <w:rsid w:val="00717273"/>
    <w:rsid w:val="00720FD4"/>
    <w:rsid w:val="00724AF2"/>
    <w:rsid w:val="0073096C"/>
    <w:rsid w:val="00733FE2"/>
    <w:rsid w:val="00734034"/>
    <w:rsid w:val="00742398"/>
    <w:rsid w:val="007447E3"/>
    <w:rsid w:val="00745581"/>
    <w:rsid w:val="007507B5"/>
    <w:rsid w:val="0075091D"/>
    <w:rsid w:val="00752788"/>
    <w:rsid w:val="00753A24"/>
    <w:rsid w:val="007671AF"/>
    <w:rsid w:val="00772188"/>
    <w:rsid w:val="007813D0"/>
    <w:rsid w:val="00782760"/>
    <w:rsid w:val="00784EB6"/>
    <w:rsid w:val="00785993"/>
    <w:rsid w:val="007866E2"/>
    <w:rsid w:val="00786BA3"/>
    <w:rsid w:val="007876D8"/>
    <w:rsid w:val="007901F3"/>
    <w:rsid w:val="0079078D"/>
    <w:rsid w:val="0079202F"/>
    <w:rsid w:val="0079316A"/>
    <w:rsid w:val="00795AF2"/>
    <w:rsid w:val="007A2AAD"/>
    <w:rsid w:val="007A4432"/>
    <w:rsid w:val="007A784E"/>
    <w:rsid w:val="007B499C"/>
    <w:rsid w:val="007B4D4B"/>
    <w:rsid w:val="007D2A02"/>
    <w:rsid w:val="007E6EA1"/>
    <w:rsid w:val="007F0F63"/>
    <w:rsid w:val="007F2B1E"/>
    <w:rsid w:val="007F62B4"/>
    <w:rsid w:val="00801517"/>
    <w:rsid w:val="00817AE8"/>
    <w:rsid w:val="00817DE8"/>
    <w:rsid w:val="008229F5"/>
    <w:rsid w:val="0082699A"/>
    <w:rsid w:val="00827C3E"/>
    <w:rsid w:val="00833CEB"/>
    <w:rsid w:val="008372D2"/>
    <w:rsid w:val="008377BC"/>
    <w:rsid w:val="00844C17"/>
    <w:rsid w:val="00847726"/>
    <w:rsid w:val="00852511"/>
    <w:rsid w:val="00856134"/>
    <w:rsid w:val="008575B6"/>
    <w:rsid w:val="008614F1"/>
    <w:rsid w:val="008639B3"/>
    <w:rsid w:val="00863C1A"/>
    <w:rsid w:val="0087142D"/>
    <w:rsid w:val="00873956"/>
    <w:rsid w:val="00880E72"/>
    <w:rsid w:val="00880FC2"/>
    <w:rsid w:val="00880FC4"/>
    <w:rsid w:val="008825EE"/>
    <w:rsid w:val="0088596E"/>
    <w:rsid w:val="008906C3"/>
    <w:rsid w:val="00892E46"/>
    <w:rsid w:val="0089796A"/>
    <w:rsid w:val="008A2375"/>
    <w:rsid w:val="008C7970"/>
    <w:rsid w:val="008D62C3"/>
    <w:rsid w:val="008D76C5"/>
    <w:rsid w:val="008E0AFA"/>
    <w:rsid w:val="008E52A1"/>
    <w:rsid w:val="008E75D3"/>
    <w:rsid w:val="008F125E"/>
    <w:rsid w:val="008F209C"/>
    <w:rsid w:val="008F4D2F"/>
    <w:rsid w:val="00903F4F"/>
    <w:rsid w:val="0090620F"/>
    <w:rsid w:val="00906292"/>
    <w:rsid w:val="009076AF"/>
    <w:rsid w:val="00917162"/>
    <w:rsid w:val="009251CC"/>
    <w:rsid w:val="009262A3"/>
    <w:rsid w:val="0092714E"/>
    <w:rsid w:val="009304AA"/>
    <w:rsid w:val="00933BDF"/>
    <w:rsid w:val="00942002"/>
    <w:rsid w:val="00947885"/>
    <w:rsid w:val="00952168"/>
    <w:rsid w:val="009527FE"/>
    <w:rsid w:val="00973333"/>
    <w:rsid w:val="009739A0"/>
    <w:rsid w:val="00974F84"/>
    <w:rsid w:val="009767C7"/>
    <w:rsid w:val="009827BF"/>
    <w:rsid w:val="0098579A"/>
    <w:rsid w:val="00990E51"/>
    <w:rsid w:val="0099195A"/>
    <w:rsid w:val="00992A11"/>
    <w:rsid w:val="00994681"/>
    <w:rsid w:val="0099486A"/>
    <w:rsid w:val="009A0E26"/>
    <w:rsid w:val="009A16EC"/>
    <w:rsid w:val="009A6744"/>
    <w:rsid w:val="009B29B7"/>
    <w:rsid w:val="009B3B37"/>
    <w:rsid w:val="009B7D1F"/>
    <w:rsid w:val="009C088E"/>
    <w:rsid w:val="009C4D35"/>
    <w:rsid w:val="009D1522"/>
    <w:rsid w:val="009D7252"/>
    <w:rsid w:val="009E5EB4"/>
    <w:rsid w:val="009F5432"/>
    <w:rsid w:val="00A044D6"/>
    <w:rsid w:val="00A04ADB"/>
    <w:rsid w:val="00A11E0F"/>
    <w:rsid w:val="00A23264"/>
    <w:rsid w:val="00A26CB6"/>
    <w:rsid w:val="00A32F82"/>
    <w:rsid w:val="00A32F8B"/>
    <w:rsid w:val="00A3756F"/>
    <w:rsid w:val="00A423FE"/>
    <w:rsid w:val="00A42D6F"/>
    <w:rsid w:val="00A45A62"/>
    <w:rsid w:val="00A54AC5"/>
    <w:rsid w:val="00A55DC3"/>
    <w:rsid w:val="00A56D41"/>
    <w:rsid w:val="00A61353"/>
    <w:rsid w:val="00A66DB1"/>
    <w:rsid w:val="00A67A92"/>
    <w:rsid w:val="00A71E2A"/>
    <w:rsid w:val="00A87870"/>
    <w:rsid w:val="00A90B94"/>
    <w:rsid w:val="00A91A70"/>
    <w:rsid w:val="00AA1B85"/>
    <w:rsid w:val="00AB1CB6"/>
    <w:rsid w:val="00AB1D9A"/>
    <w:rsid w:val="00AD44FE"/>
    <w:rsid w:val="00AE49F1"/>
    <w:rsid w:val="00AE7AF9"/>
    <w:rsid w:val="00B05CCA"/>
    <w:rsid w:val="00B14271"/>
    <w:rsid w:val="00B14C02"/>
    <w:rsid w:val="00B16270"/>
    <w:rsid w:val="00B2685D"/>
    <w:rsid w:val="00B30351"/>
    <w:rsid w:val="00B33C2A"/>
    <w:rsid w:val="00B41DF5"/>
    <w:rsid w:val="00B422EC"/>
    <w:rsid w:val="00B600E3"/>
    <w:rsid w:val="00B726D4"/>
    <w:rsid w:val="00B77695"/>
    <w:rsid w:val="00B8214F"/>
    <w:rsid w:val="00B86A4F"/>
    <w:rsid w:val="00B877DF"/>
    <w:rsid w:val="00B93035"/>
    <w:rsid w:val="00B9337E"/>
    <w:rsid w:val="00B958E8"/>
    <w:rsid w:val="00B97E4A"/>
    <w:rsid w:val="00BA09B2"/>
    <w:rsid w:val="00BA5B46"/>
    <w:rsid w:val="00BB5D0B"/>
    <w:rsid w:val="00BC0995"/>
    <w:rsid w:val="00BE572F"/>
    <w:rsid w:val="00BE793A"/>
    <w:rsid w:val="00BF0183"/>
    <w:rsid w:val="00BF2B82"/>
    <w:rsid w:val="00BF432A"/>
    <w:rsid w:val="00BF6E82"/>
    <w:rsid w:val="00C060C7"/>
    <w:rsid w:val="00C14CC7"/>
    <w:rsid w:val="00C24C17"/>
    <w:rsid w:val="00C258B8"/>
    <w:rsid w:val="00C3758F"/>
    <w:rsid w:val="00C40B88"/>
    <w:rsid w:val="00C42C93"/>
    <w:rsid w:val="00C43854"/>
    <w:rsid w:val="00C464E6"/>
    <w:rsid w:val="00C47D87"/>
    <w:rsid w:val="00C5376E"/>
    <w:rsid w:val="00C657C5"/>
    <w:rsid w:val="00C808A6"/>
    <w:rsid w:val="00C97091"/>
    <w:rsid w:val="00C97260"/>
    <w:rsid w:val="00CA2001"/>
    <w:rsid w:val="00CA5317"/>
    <w:rsid w:val="00CB10FD"/>
    <w:rsid w:val="00CB5B6C"/>
    <w:rsid w:val="00CC052E"/>
    <w:rsid w:val="00CD16BE"/>
    <w:rsid w:val="00CD4616"/>
    <w:rsid w:val="00CD47AC"/>
    <w:rsid w:val="00CD56AF"/>
    <w:rsid w:val="00CE33D5"/>
    <w:rsid w:val="00CF1D7E"/>
    <w:rsid w:val="00CF3705"/>
    <w:rsid w:val="00CF5D37"/>
    <w:rsid w:val="00CF6F33"/>
    <w:rsid w:val="00D02248"/>
    <w:rsid w:val="00D063B8"/>
    <w:rsid w:val="00D06825"/>
    <w:rsid w:val="00D17E3B"/>
    <w:rsid w:val="00D239D1"/>
    <w:rsid w:val="00D23C09"/>
    <w:rsid w:val="00D23CED"/>
    <w:rsid w:val="00D24BD2"/>
    <w:rsid w:val="00D2573D"/>
    <w:rsid w:val="00D260A2"/>
    <w:rsid w:val="00D30CC6"/>
    <w:rsid w:val="00D3260C"/>
    <w:rsid w:val="00D35790"/>
    <w:rsid w:val="00D5653B"/>
    <w:rsid w:val="00D62EF1"/>
    <w:rsid w:val="00D6309D"/>
    <w:rsid w:val="00D631EF"/>
    <w:rsid w:val="00D644CA"/>
    <w:rsid w:val="00D66FC2"/>
    <w:rsid w:val="00D76C7E"/>
    <w:rsid w:val="00D771DE"/>
    <w:rsid w:val="00D7776D"/>
    <w:rsid w:val="00D9293F"/>
    <w:rsid w:val="00D93598"/>
    <w:rsid w:val="00D96D4C"/>
    <w:rsid w:val="00DA0764"/>
    <w:rsid w:val="00DA1E18"/>
    <w:rsid w:val="00DA2009"/>
    <w:rsid w:val="00DA47B4"/>
    <w:rsid w:val="00DB05B1"/>
    <w:rsid w:val="00DB4CCF"/>
    <w:rsid w:val="00DB5A79"/>
    <w:rsid w:val="00DC2465"/>
    <w:rsid w:val="00DC4ABA"/>
    <w:rsid w:val="00DD1A0E"/>
    <w:rsid w:val="00DD512E"/>
    <w:rsid w:val="00DE1177"/>
    <w:rsid w:val="00DE2CEA"/>
    <w:rsid w:val="00DE6A3C"/>
    <w:rsid w:val="00DE74F4"/>
    <w:rsid w:val="00DE7F97"/>
    <w:rsid w:val="00DF1010"/>
    <w:rsid w:val="00DF5AEA"/>
    <w:rsid w:val="00DF63F6"/>
    <w:rsid w:val="00E13747"/>
    <w:rsid w:val="00E15132"/>
    <w:rsid w:val="00E25AEA"/>
    <w:rsid w:val="00E279A9"/>
    <w:rsid w:val="00E30DEF"/>
    <w:rsid w:val="00E30ED2"/>
    <w:rsid w:val="00E31276"/>
    <w:rsid w:val="00E37F70"/>
    <w:rsid w:val="00E446C1"/>
    <w:rsid w:val="00E65A89"/>
    <w:rsid w:val="00E758B9"/>
    <w:rsid w:val="00E80751"/>
    <w:rsid w:val="00E85569"/>
    <w:rsid w:val="00E856AF"/>
    <w:rsid w:val="00E86B83"/>
    <w:rsid w:val="00E87C64"/>
    <w:rsid w:val="00E93A01"/>
    <w:rsid w:val="00E93FF8"/>
    <w:rsid w:val="00E962F0"/>
    <w:rsid w:val="00E96EAF"/>
    <w:rsid w:val="00EA1752"/>
    <w:rsid w:val="00EA5A89"/>
    <w:rsid w:val="00EA5BDB"/>
    <w:rsid w:val="00EB46D9"/>
    <w:rsid w:val="00EC142D"/>
    <w:rsid w:val="00EC1E16"/>
    <w:rsid w:val="00ED0024"/>
    <w:rsid w:val="00ED0F85"/>
    <w:rsid w:val="00ED2B5C"/>
    <w:rsid w:val="00ED3269"/>
    <w:rsid w:val="00EE1A8C"/>
    <w:rsid w:val="00EE4643"/>
    <w:rsid w:val="00EE57C7"/>
    <w:rsid w:val="00EF1330"/>
    <w:rsid w:val="00EF15FF"/>
    <w:rsid w:val="00EF7111"/>
    <w:rsid w:val="00EF7D1A"/>
    <w:rsid w:val="00F0448F"/>
    <w:rsid w:val="00F0716C"/>
    <w:rsid w:val="00F1521A"/>
    <w:rsid w:val="00F270E9"/>
    <w:rsid w:val="00F275C0"/>
    <w:rsid w:val="00F346B6"/>
    <w:rsid w:val="00F36145"/>
    <w:rsid w:val="00F37BDD"/>
    <w:rsid w:val="00F41503"/>
    <w:rsid w:val="00F466C8"/>
    <w:rsid w:val="00F469A9"/>
    <w:rsid w:val="00F47E45"/>
    <w:rsid w:val="00F50B46"/>
    <w:rsid w:val="00F50D1F"/>
    <w:rsid w:val="00F6203E"/>
    <w:rsid w:val="00F635FC"/>
    <w:rsid w:val="00F63D03"/>
    <w:rsid w:val="00F64579"/>
    <w:rsid w:val="00F64A90"/>
    <w:rsid w:val="00F65E2F"/>
    <w:rsid w:val="00F67DF1"/>
    <w:rsid w:val="00F8309B"/>
    <w:rsid w:val="00F833C9"/>
    <w:rsid w:val="00F90064"/>
    <w:rsid w:val="00F95CF3"/>
    <w:rsid w:val="00F96AFD"/>
    <w:rsid w:val="00FA1398"/>
    <w:rsid w:val="00FA2E19"/>
    <w:rsid w:val="00FA697F"/>
    <w:rsid w:val="00FB5521"/>
    <w:rsid w:val="00FB610D"/>
    <w:rsid w:val="00FC4477"/>
    <w:rsid w:val="00FC46FB"/>
    <w:rsid w:val="00FD0734"/>
    <w:rsid w:val="00FD0A38"/>
    <w:rsid w:val="00FD2BD3"/>
    <w:rsid w:val="00FD4CCA"/>
    <w:rsid w:val="00FD6B3A"/>
    <w:rsid w:val="00FE2A9E"/>
    <w:rsid w:val="00FF4A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1000f"/>
    </o:shapedefaults>
    <o:shapelayout v:ext="edit">
      <o:idmap v:ext="edit" data="2"/>
    </o:shapelayout>
  </w:shapeDefaults>
  <w:decimalSymbol w:val="."/>
  <w:listSeparator w:val=","/>
  <w14:docId w14:val="3FB409AA"/>
  <w15:chartTrackingRefBased/>
  <w15:docId w15:val="{FC10EDE9-391A-4A9D-B917-0294A12E5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EastAsia" w:hAnsi="Segoe UI" w:cs="Times New Roman"/>
        <w:sz w:val="18"/>
        <w:szCs w:val="24"/>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Samp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2975"/>
    <w:pPr>
      <w:spacing w:line="276" w:lineRule="auto"/>
      <w:jc w:val="both"/>
    </w:pPr>
    <w:rPr>
      <w:sz w:val="22"/>
    </w:rPr>
  </w:style>
  <w:style w:type="paragraph" w:styleId="Heading1">
    <w:name w:val="heading 1"/>
    <w:basedOn w:val="Normal"/>
    <w:next w:val="Normal"/>
    <w:link w:val="Heading1Char"/>
    <w:uiPriority w:val="99"/>
    <w:qFormat/>
    <w:rsid w:val="00097261"/>
    <w:pPr>
      <w:keepNext/>
      <w:spacing w:line="420" w:lineRule="atLeast"/>
      <w:outlineLvl w:val="0"/>
    </w:pPr>
    <w:rPr>
      <w:rFonts w:cs="Arial"/>
      <w:b/>
      <w:bCs/>
      <w:kern w:val="32"/>
      <w:sz w:val="36"/>
      <w:szCs w:val="32"/>
    </w:rPr>
  </w:style>
  <w:style w:type="paragraph" w:styleId="Heading2">
    <w:name w:val="heading 2"/>
    <w:basedOn w:val="Normal"/>
    <w:next w:val="Normal"/>
    <w:qFormat/>
    <w:rsid w:val="003F46B0"/>
    <w:pPr>
      <w:keepNext/>
      <w:outlineLvl w:val="1"/>
    </w:pPr>
    <w:rPr>
      <w:rFonts w:cs="Arial"/>
      <w:bCs/>
      <w:iCs/>
      <w:color w:val="E1000F"/>
      <w:szCs w:val="28"/>
    </w:rPr>
  </w:style>
  <w:style w:type="paragraph" w:styleId="Heading3">
    <w:name w:val="heading 3"/>
    <w:basedOn w:val="Heading2"/>
    <w:next w:val="Normal"/>
    <w:qFormat/>
    <w:rsid w:val="006F1596"/>
    <w:pPr>
      <w:outlineLvl w:val="2"/>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3758F"/>
    <w:pPr>
      <w:tabs>
        <w:tab w:val="left" w:pos="2607"/>
        <w:tab w:val="center" w:pos="4320"/>
        <w:tab w:val="right" w:pos="9356"/>
      </w:tabs>
      <w:spacing w:before="1440" w:line="100" w:lineRule="atLeast"/>
      <w:jc w:val="right"/>
    </w:pPr>
    <w:rPr>
      <w:rFonts w:cs="Segoe UI"/>
      <w:b/>
      <w:bCs/>
      <w:color w:val="3E3C3C"/>
      <w:sz w:val="40"/>
      <w:szCs w:val="40"/>
    </w:rPr>
  </w:style>
  <w:style w:type="paragraph" w:styleId="Footer">
    <w:name w:val="footer"/>
    <w:basedOn w:val="Normal"/>
    <w:link w:val="FooterChar"/>
    <w:uiPriority w:val="99"/>
    <w:rsid w:val="00992A11"/>
    <w:pPr>
      <w:tabs>
        <w:tab w:val="right" w:pos="7083"/>
        <w:tab w:val="right" w:pos="8640"/>
      </w:tabs>
      <w:spacing w:line="180" w:lineRule="atLeast"/>
      <w:jc w:val="right"/>
    </w:pPr>
    <w:rPr>
      <w:bCs/>
      <w:noProof/>
      <w:sz w:val="12"/>
    </w:rPr>
  </w:style>
  <w:style w:type="paragraph" w:customStyle="1" w:styleId="Intro">
    <w:name w:val="Intro"/>
    <w:basedOn w:val="Normal"/>
    <w:rsid w:val="006F1596"/>
    <w:pPr>
      <w:spacing w:after="300"/>
    </w:pPr>
    <w:rPr>
      <w:color w:val="415055"/>
      <w:sz w:val="24"/>
    </w:rPr>
  </w:style>
  <w:style w:type="paragraph" w:customStyle="1" w:styleId="NumBullet">
    <w:name w:val="Num_Bullet"/>
    <w:basedOn w:val="Normal"/>
    <w:rsid w:val="00576BC8"/>
    <w:pPr>
      <w:numPr>
        <w:numId w:val="1"/>
      </w:numPr>
      <w:tabs>
        <w:tab w:val="clear" w:pos="567"/>
        <w:tab w:val="left" w:pos="357"/>
      </w:tabs>
      <w:ind w:left="357" w:hanging="357"/>
    </w:pPr>
  </w:style>
  <w:style w:type="paragraph" w:customStyle="1" w:styleId="Page1Name">
    <w:name w:val="Page1_Name"/>
    <w:basedOn w:val="Normal"/>
    <w:rsid w:val="004F237B"/>
    <w:pPr>
      <w:spacing w:after="420" w:line="360" w:lineRule="atLeast"/>
    </w:pPr>
    <w:rPr>
      <w:b/>
      <w:sz w:val="30"/>
    </w:rPr>
  </w:style>
  <w:style w:type="paragraph" w:customStyle="1" w:styleId="Page1Title">
    <w:name w:val="Page1_Title"/>
    <w:basedOn w:val="Normal"/>
    <w:rsid w:val="004F237B"/>
    <w:pPr>
      <w:spacing w:line="228" w:lineRule="auto"/>
    </w:pPr>
    <w:rPr>
      <w:color w:val="E1000F"/>
      <w:sz w:val="90"/>
    </w:rPr>
  </w:style>
  <w:style w:type="paragraph" w:customStyle="1" w:styleId="Page1Author">
    <w:name w:val="Page1_Author"/>
    <w:basedOn w:val="Page1Name"/>
    <w:rsid w:val="004F237B"/>
    <w:pPr>
      <w:spacing w:before="240" w:after="0"/>
    </w:pPr>
    <w:rPr>
      <w:b w:val="0"/>
      <w:bCs/>
    </w:rPr>
  </w:style>
  <w:style w:type="table" w:styleId="TableGrid">
    <w:name w:val="Table Grid"/>
    <w:basedOn w:val="TableNormal"/>
    <w:rsid w:val="004F237B"/>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link w:val="InfoZchn"/>
    <w:rsid w:val="00EE59A4"/>
    <w:pPr>
      <w:spacing w:line="240" w:lineRule="atLeast"/>
    </w:pPr>
    <w:rPr>
      <w:sz w:val="13"/>
    </w:rPr>
  </w:style>
  <w:style w:type="character" w:customStyle="1" w:styleId="InfoZchn">
    <w:name w:val="Info Zchn"/>
    <w:link w:val="Info"/>
    <w:rsid w:val="003F6218"/>
    <w:rPr>
      <w:rFonts w:ascii="Arial" w:hAnsi="Arial"/>
      <w:sz w:val="13"/>
      <w:szCs w:val="24"/>
      <w:lang w:val="de-DE" w:eastAsia="en-US" w:bidi="ar-SA"/>
    </w:rPr>
  </w:style>
  <w:style w:type="paragraph" w:customStyle="1" w:styleId="Standard12pt">
    <w:name w:val="Standard_12pt"/>
    <w:basedOn w:val="Normal"/>
    <w:rsid w:val="0048435F"/>
    <w:pPr>
      <w:spacing w:line="300" w:lineRule="atLeast"/>
    </w:pPr>
    <w:rPr>
      <w:sz w:val="24"/>
    </w:rPr>
  </w:style>
  <w:style w:type="character" w:customStyle="1" w:styleId="Heading1Char">
    <w:name w:val="Heading 1 Char"/>
    <w:link w:val="Heading1"/>
    <w:uiPriority w:val="99"/>
    <w:locked/>
    <w:rsid w:val="00B422EC"/>
    <w:rPr>
      <w:rFonts w:ascii="Arial" w:hAnsi="Arial" w:cs="Arial"/>
      <w:b/>
      <w:bCs/>
      <w:kern w:val="32"/>
      <w:sz w:val="36"/>
      <w:szCs w:val="32"/>
      <w:lang w:val="de-DE"/>
    </w:rPr>
  </w:style>
  <w:style w:type="character" w:styleId="Hyperlink">
    <w:name w:val="Hyperlink"/>
    <w:rsid w:val="00336854"/>
    <w:rPr>
      <w:rFonts w:ascii="Segoe UI" w:hAnsi="Segoe UI"/>
      <w:color w:val="0000FF"/>
      <w:sz w:val="18"/>
      <w:szCs w:val="18"/>
      <w:u w:val="single"/>
    </w:rPr>
  </w:style>
  <w:style w:type="paragraph" w:customStyle="1" w:styleId="MittleresRaster1-Akzent21">
    <w:name w:val="Mittleres Raster 1 - Akzent 21"/>
    <w:basedOn w:val="Normal"/>
    <w:uiPriority w:val="34"/>
    <w:qFormat/>
    <w:rsid w:val="00B422EC"/>
    <w:pPr>
      <w:ind w:left="720"/>
    </w:pPr>
  </w:style>
  <w:style w:type="paragraph" w:styleId="BalloonText">
    <w:name w:val="Balloon Text"/>
    <w:basedOn w:val="Normal"/>
    <w:link w:val="BalloonTextChar"/>
    <w:rsid w:val="00336854"/>
    <w:pPr>
      <w:spacing w:line="240" w:lineRule="auto"/>
    </w:pPr>
    <w:rPr>
      <w:sz w:val="18"/>
      <w:szCs w:val="18"/>
    </w:rPr>
  </w:style>
  <w:style w:type="character" w:customStyle="1" w:styleId="BalloonTextChar">
    <w:name w:val="Balloon Text Char"/>
    <w:link w:val="BalloonText"/>
    <w:rsid w:val="00336854"/>
    <w:rPr>
      <w:rFonts w:ascii="Segoe UI" w:hAnsi="Segoe UI"/>
      <w:sz w:val="18"/>
      <w:szCs w:val="18"/>
      <w:lang w:val="de-DE"/>
    </w:rPr>
  </w:style>
  <w:style w:type="paragraph" w:customStyle="1" w:styleId="MittlereListe2-Akzent21">
    <w:name w:val="Mittlere Liste 2 - Akzent 21"/>
    <w:hidden/>
    <w:uiPriority w:val="99"/>
    <w:semiHidden/>
    <w:rsid w:val="002E0B17"/>
    <w:rPr>
      <w:rFonts w:ascii="Arial" w:hAnsi="Arial"/>
      <w:lang w:val="de-DE"/>
    </w:rPr>
  </w:style>
  <w:style w:type="character" w:customStyle="1" w:styleId="FooterChar">
    <w:name w:val="Footer Char"/>
    <w:link w:val="Footer"/>
    <w:uiPriority w:val="99"/>
    <w:rsid w:val="00992A11"/>
    <w:rPr>
      <w:rFonts w:ascii="Segoe UI" w:hAnsi="Segoe UI"/>
      <w:bCs/>
      <w:noProof/>
      <w:sz w:val="12"/>
      <w:szCs w:val="24"/>
      <w:lang w:val="de-DE"/>
    </w:rPr>
  </w:style>
  <w:style w:type="character" w:styleId="UnresolvedMention">
    <w:name w:val="Unresolved Mention"/>
    <w:uiPriority w:val="99"/>
    <w:semiHidden/>
    <w:unhideWhenUsed/>
    <w:rsid w:val="000C210A"/>
    <w:rPr>
      <w:color w:val="605E5C"/>
      <w:shd w:val="clear" w:color="auto" w:fill="E1DFDD"/>
    </w:rPr>
  </w:style>
  <w:style w:type="paragraph" w:customStyle="1" w:styleId="Style12ptJustifiedLinespacing15lines">
    <w:name w:val="Style 12 pt Justified Line spacing:  1.5 lines"/>
    <w:basedOn w:val="Normal"/>
    <w:rsid w:val="00974F84"/>
    <w:rPr>
      <w:szCs w:val="20"/>
    </w:rPr>
  </w:style>
  <w:style w:type="paragraph" w:customStyle="1" w:styleId="Style12ptJustifiedLinespacing15lines1">
    <w:name w:val="Style 12 pt Justified Line spacing:  1.5 lines1"/>
    <w:basedOn w:val="Normal"/>
    <w:rsid w:val="00974F84"/>
    <w:pPr>
      <w:spacing w:before="120"/>
    </w:pPr>
    <w:rPr>
      <w:szCs w:val="20"/>
    </w:rPr>
  </w:style>
  <w:style w:type="character" w:customStyle="1" w:styleId="Headline">
    <w:name w:val="Headline"/>
    <w:basedOn w:val="DefaultParagraphFont"/>
    <w:rsid w:val="00A3756F"/>
    <w:rPr>
      <w:b/>
      <w:bCs/>
      <w:sz w:val="32"/>
    </w:rPr>
  </w:style>
  <w:style w:type="paragraph" w:customStyle="1" w:styleId="MonthDayYear">
    <w:name w:val="Month Day Year"/>
    <w:basedOn w:val="Normal"/>
    <w:rsid w:val="00643D8A"/>
    <w:pPr>
      <w:spacing w:before="120"/>
      <w:ind w:right="-1"/>
      <w:jc w:val="right"/>
    </w:pPr>
    <w:rPr>
      <w:szCs w:val="20"/>
    </w:rPr>
  </w:style>
  <w:style w:type="paragraph" w:customStyle="1" w:styleId="Topline">
    <w:name w:val="Topline"/>
    <w:basedOn w:val="Normal"/>
    <w:qFormat/>
    <w:rsid w:val="00472FEC"/>
    <w:pPr>
      <w:spacing w:before="560" w:after="560"/>
    </w:pPr>
    <w:rPr>
      <w:rFonts w:cs="Segoe UI"/>
      <w:szCs w:val="22"/>
    </w:rPr>
  </w:style>
  <w:style w:type="character" w:customStyle="1" w:styleId="AboutandContactBody">
    <w:name w:val="About and Contact Body"/>
    <w:basedOn w:val="DefaultParagraphFont"/>
    <w:rsid w:val="00336854"/>
    <w:rPr>
      <w:rFonts w:ascii="Segoe UI" w:hAnsi="Segoe UI"/>
      <w:sz w:val="18"/>
    </w:rPr>
  </w:style>
  <w:style w:type="character" w:customStyle="1" w:styleId="AboutandContactHeadline">
    <w:name w:val="About and Contact Headline"/>
    <w:basedOn w:val="DefaultParagraphFont"/>
    <w:rsid w:val="00336854"/>
    <w:rPr>
      <w:rFonts w:ascii="Segoe UI" w:hAnsi="Segoe UI"/>
      <w:b/>
      <w:bCs/>
      <w:sz w:val="18"/>
    </w:rPr>
  </w:style>
  <w:style w:type="character" w:styleId="CommentReference">
    <w:name w:val="annotation reference"/>
    <w:basedOn w:val="DefaultParagraphFont"/>
    <w:rsid w:val="0001775D"/>
    <w:rPr>
      <w:sz w:val="21"/>
      <w:szCs w:val="21"/>
    </w:rPr>
  </w:style>
  <w:style w:type="paragraph" w:styleId="CommentText">
    <w:name w:val="annotation text"/>
    <w:basedOn w:val="Normal"/>
    <w:link w:val="CommentTextChar"/>
    <w:rsid w:val="0001775D"/>
    <w:pPr>
      <w:jc w:val="left"/>
    </w:pPr>
  </w:style>
  <w:style w:type="character" w:customStyle="1" w:styleId="CommentTextChar">
    <w:name w:val="Comment Text Char"/>
    <w:basedOn w:val="DefaultParagraphFont"/>
    <w:link w:val="CommentText"/>
    <w:rsid w:val="0001775D"/>
    <w:rPr>
      <w:sz w:val="22"/>
    </w:rPr>
  </w:style>
  <w:style w:type="paragraph" w:styleId="CommentSubject">
    <w:name w:val="annotation subject"/>
    <w:basedOn w:val="CommentText"/>
    <w:next w:val="CommentText"/>
    <w:link w:val="CommentSubjectChar"/>
    <w:rsid w:val="0001775D"/>
    <w:rPr>
      <w:b/>
      <w:bCs/>
    </w:rPr>
  </w:style>
  <w:style w:type="character" w:customStyle="1" w:styleId="CommentSubjectChar">
    <w:name w:val="Comment Subject Char"/>
    <w:basedOn w:val="CommentTextChar"/>
    <w:link w:val="CommentSubject"/>
    <w:rsid w:val="0001775D"/>
    <w:rPr>
      <w:b/>
      <w:bCs/>
      <w:sz w:val="22"/>
    </w:rPr>
  </w:style>
  <w:style w:type="paragraph" w:styleId="Revision">
    <w:name w:val="Revision"/>
    <w:hidden/>
    <w:uiPriority w:val="62"/>
    <w:unhideWhenUsed/>
    <w:rsid w:val="006065A6"/>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367474">
      <w:bodyDiv w:val="1"/>
      <w:marLeft w:val="0"/>
      <w:marRight w:val="0"/>
      <w:marTop w:val="0"/>
      <w:marBottom w:val="0"/>
      <w:divBdr>
        <w:top w:val="none" w:sz="0" w:space="0" w:color="auto"/>
        <w:left w:val="none" w:sz="0" w:space="0" w:color="auto"/>
        <w:bottom w:val="none" w:sz="0" w:space="0" w:color="auto"/>
        <w:right w:val="none" w:sz="0" w:space="0" w:color="auto"/>
      </w:divBdr>
    </w:div>
    <w:div w:id="1303580746">
      <w:bodyDiv w:val="1"/>
      <w:marLeft w:val="0"/>
      <w:marRight w:val="0"/>
      <w:marTop w:val="0"/>
      <w:marBottom w:val="0"/>
      <w:divBdr>
        <w:top w:val="none" w:sz="0" w:space="0" w:color="auto"/>
        <w:left w:val="none" w:sz="0" w:space="0" w:color="auto"/>
        <w:bottom w:val="none" w:sz="0" w:space="0" w:color="auto"/>
        <w:right w:val="none" w:sz="0" w:space="0" w:color="auto"/>
      </w:divBdr>
    </w:div>
    <w:div w:id="137462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henkel.c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ohng\AppData\Local\Temp\Temp1_Completed.zip\Completed\segoe-Henkel-press-release-template-2020-english.dotx" TargetMode="External"/></Relationships>
</file>

<file path=word/theme/theme1.xml><?xml version="1.0" encoding="utf-8"?>
<a:theme xmlns:a="http://schemas.openxmlformats.org/drawingml/2006/main" name="Henkel Theme">
  <a:themeElements>
    <a:clrScheme name="Custom 4">
      <a:dk1>
        <a:srgbClr val="000000"/>
      </a:dk1>
      <a:lt1>
        <a:srgbClr val="FFFFFF"/>
      </a:lt1>
      <a:dk2>
        <a:srgbClr val="E1000F"/>
      </a:dk2>
      <a:lt2>
        <a:srgbClr val="E6E7E7"/>
      </a:lt2>
      <a:accent1>
        <a:srgbClr val="5F6973"/>
      </a:accent1>
      <a:accent2>
        <a:srgbClr val="AFB4B9"/>
      </a:accent2>
      <a:accent3>
        <a:srgbClr val="00AA75"/>
      </a:accent3>
      <a:accent4>
        <a:srgbClr val="004C79"/>
      </a:accent4>
      <a:accent5>
        <a:srgbClr val="9A141B"/>
      </a:accent5>
      <a:accent6>
        <a:srgbClr val="FFDB23"/>
      </a:accent6>
      <a:hlink>
        <a:srgbClr val="0563C1"/>
      </a:hlink>
      <a:folHlink>
        <a:srgbClr val="954F72"/>
      </a:folHlink>
    </a:clrScheme>
    <a:fontScheme name="Henkel Template">
      <a:majorFont>
        <a:latin typeface="Segoe UI"/>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ED1C24"/>
        </a:solidFill>
        <a:ln>
          <a:noFill/>
        </a:ln>
        <a:extLst>
          <a:ext uri="{91240B29-F687-4F45-9708-019B960494DF}">
            <a14:hiddenLine xmlns:a14="http://schemas.microsoft.com/office/drawing/2010/main" w="9525">
              <a:solidFill>
                <a:srgbClr val="000000"/>
              </a:solidFill>
              <a:round/>
              <a:headEnd/>
              <a:tailEnd/>
            </a14:hiddenLine>
          </a:ext>
        </a:extLst>
      </a:spPr>
      <a:bodyPr rot="0" vert="horz" wrap="square" lIns="91440" tIns="45720" rIns="91440" bIns="45720" anchor="t" anchorCtr="0" upright="1">
        <a:noAutofit/>
      </a:bodyPr>
      <a:lstStyle/>
    </a:spDef>
    <a:lnDef>
      <a:spPr bwMode="auto">
        <a:xfrm>
          <a:off x="0" y="0"/>
          <a:ext cx="1" cy="1"/>
        </a:xfrm>
        <a:custGeom>
          <a:avLst/>
          <a:gdLst/>
          <a:ahLst/>
          <a:cxnLst/>
          <a:rect l="0" t="0" r="0" b="0"/>
          <a:pathLst/>
        </a:custGeom>
        <a:solidFill>
          <a:schemeClr val="bg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vert="horz" wrap="none" lIns="90000" tIns="46800" rIns="90000" bIns="46800" numCol="1" anchor="ctr" anchorCtr="0" compatLnSpc="1">
        <a:prstTxWarp prst="textNoShape">
          <a:avLst/>
        </a:prstTxWarp>
      </a:bodyPr>
      <a:lstStyle>
        <a:defPPr marL="0" marR="0" indent="0" algn="ctr" defTabSz="914400" rtl="0" eaLnBrk="1" fontAlgn="base" latinLnBrk="0" hangingPunct="1">
          <a:lnSpc>
            <a:spcPct val="105000"/>
          </a:lnSpc>
          <a:spcBef>
            <a:spcPct val="0"/>
          </a:spcBef>
          <a:spcAft>
            <a:spcPct val="0"/>
          </a:spcAft>
          <a:buClr>
            <a:schemeClr val="tx2"/>
          </a:buClr>
          <a:buSzPct val="120000"/>
          <a:buFontTx/>
          <a:buNone/>
          <a:tabLst/>
          <a:defRPr kumimoji="0" lang="de-DE" sz="2000" b="0" i="0" u="none" strike="noStrike" cap="none" normalizeH="0" baseline="0" smtClean="0">
            <a:ln>
              <a:noFill/>
            </a:ln>
            <a:solidFill>
              <a:schemeClr val="tx1"/>
            </a:solidFill>
            <a:effectLst/>
            <a:latin typeface="Arial" charset="0"/>
            <a:cs typeface="Arial" charset="0"/>
          </a:defRPr>
        </a:defPPr>
      </a:lstStyle>
    </a:lnDef>
  </a:objectDefaults>
  <a:extraClrSchemeLst>
    <a:extraClrScheme>
      <a:clrScheme name="Standarddesign 1">
        <a:dk1>
          <a:srgbClr val="000000"/>
        </a:dk1>
        <a:lt1>
          <a:srgbClr val="FFFFFF"/>
        </a:lt1>
        <a:dk2>
          <a:srgbClr val="E1000F"/>
        </a:dk2>
        <a:lt2>
          <a:srgbClr val="CDD2D2"/>
        </a:lt2>
        <a:accent1>
          <a:srgbClr val="AFB4B9"/>
        </a:accent1>
        <a:accent2>
          <a:srgbClr val="828C96"/>
        </a:accent2>
        <a:accent3>
          <a:srgbClr val="FFFFFF"/>
        </a:accent3>
        <a:accent4>
          <a:srgbClr val="000000"/>
        </a:accent4>
        <a:accent5>
          <a:srgbClr val="D4D6D9"/>
        </a:accent5>
        <a:accent6>
          <a:srgbClr val="757E87"/>
        </a:accent6>
        <a:hlink>
          <a:srgbClr val="5F6973"/>
        </a:hlink>
        <a:folHlink>
          <a:srgbClr val="0078C8"/>
        </a:folHlink>
      </a:clrScheme>
      <a:clrMap bg1="lt1" tx1="dk1" bg2="lt2" tx2="dk2" accent1="accent1" accent2="accent2" accent3="accent3" accent4="accent4" accent5="accent5" accent6="accent6" hlink="hlink" folHlink="folHlink"/>
    </a:extraClrScheme>
  </a:extraClrSchemeLst>
  <a:custClrLst>
    <a:custClr name="Henkel Red">
      <a:srgbClr val="E1000F"/>
    </a:custClr>
    <a:custClr name="White">
      <a:srgbClr val="FFFFFF"/>
    </a:custClr>
    <a:custClr name="Black">
      <a:srgbClr val="000000"/>
    </a:custClr>
    <a:custClr name="Grey 1">
      <a:srgbClr val="5F6973"/>
    </a:custClr>
    <a:custClr name="Grey 2">
      <a:srgbClr val="AFB4B9"/>
    </a:custClr>
    <a:custClr name="Grey 3">
      <a:srgbClr val="E6E7E7"/>
    </a:custClr>
    <a:custClr name="Green">
      <a:srgbClr val="00AA75"/>
    </a:custClr>
    <a:custClr name="Blue">
      <a:srgbClr val="004C79"/>
    </a:custClr>
    <a:custClr name="Accent Dark Red">
      <a:srgbClr val="9A141B"/>
    </a:custClr>
    <a:custClr name="Accent Yellow 1">
      <a:srgbClr val="FFDB23"/>
    </a:custClr>
    <a:custClr name="Accent Yellow 2">
      <a:srgbClr val="FCF092"/>
    </a:custClr>
    <a:custClr name="Accent Green">
      <a:srgbClr val="A7DC92"/>
    </a:custClr>
    <a:custClr name="Accent Blue 1">
      <a:srgbClr val="55CAD3"/>
    </a:custClr>
    <a:custClr name="Accent Blue 2">
      <a:srgbClr val="0078C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72f792e8-4dad-42c1-ad63-44982727bf4d" ContentTypeId="0x01"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ef406d6b-70e0-427c-b08d-4edfc77771aa" xsi:nil="true"/>
    <lcf76f155ced4ddcb4097134ff3c332f xmlns="3efd4447-6b1b-4efa-9da5-5fd1cc405d4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0019914786A7341A243E9E7513AD6DB" ma:contentTypeVersion="19" ma:contentTypeDescription="Create a new document." ma:contentTypeScope="" ma:versionID="c4c4bd5cc3ce5d042ddde8a5901d3d92">
  <xsd:schema xmlns:xsd="http://www.w3.org/2001/XMLSchema" xmlns:xs="http://www.w3.org/2001/XMLSchema" xmlns:p="http://schemas.microsoft.com/office/2006/metadata/properties" xmlns:ns2="3efd4447-6b1b-4efa-9da5-5fd1cc405d41" xmlns:ns3="9a03f41a-637d-405d-b53a-5b57d79e223d" xmlns:ns4="ef406d6b-70e0-427c-b08d-4edfc77771aa" targetNamespace="http://schemas.microsoft.com/office/2006/metadata/properties" ma:root="true" ma:fieldsID="582aadd8f0b2473200e960a4ed9d9647" ns2:_="" ns3:_="" ns4:_="">
    <xsd:import namespace="3efd4447-6b1b-4efa-9da5-5fd1cc405d41"/>
    <xsd:import namespace="9a03f41a-637d-405d-b53a-5b57d79e223d"/>
    <xsd:import namespace="ef406d6b-70e0-427c-b08d-4edfc77771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fd4447-6b1b-4efa-9da5-5fd1cc405d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2f792e8-4dad-42c1-ad63-44982727bf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03f41a-637d-405d-b53a-5b57d79e223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406d6b-70e0-427c-b08d-4edfc77771aa"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4bf5e1d-5421-461c-a9f3-474bd7cc462d}" ma:internalName="TaxCatchAll" ma:showField="CatchAllData" ma:web="9a03f41a-637d-405d-b53a-5b57d79e22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B53B29-CB05-4BEA-B76A-0A57168091AC}">
  <ds:schemaRefs>
    <ds:schemaRef ds:uri="http://schemas.openxmlformats.org/officeDocument/2006/bibliography"/>
  </ds:schemaRefs>
</ds:datastoreItem>
</file>

<file path=customXml/itemProps2.xml><?xml version="1.0" encoding="utf-8"?>
<ds:datastoreItem xmlns:ds="http://schemas.openxmlformats.org/officeDocument/2006/customXml" ds:itemID="{70E590B4-7A0D-4F62-ACD8-2A023F14A264}">
  <ds:schemaRefs>
    <ds:schemaRef ds:uri="Microsoft.SharePoint.Taxonomy.ContentTypeSync"/>
  </ds:schemaRefs>
</ds:datastoreItem>
</file>

<file path=customXml/itemProps3.xml><?xml version="1.0" encoding="utf-8"?>
<ds:datastoreItem xmlns:ds="http://schemas.openxmlformats.org/officeDocument/2006/customXml" ds:itemID="{F3245D12-BDB4-413F-ABB3-2AF0CF323A38}">
  <ds:schemaRefs>
    <ds:schemaRef ds:uri="http://schemas.microsoft.com/office/2006/metadata/properties"/>
    <ds:schemaRef ds:uri="http://schemas.microsoft.com/office/infopath/2007/PartnerControls"/>
    <ds:schemaRef ds:uri="ef406d6b-70e0-427c-b08d-4edfc77771aa"/>
    <ds:schemaRef ds:uri="3efd4447-6b1b-4efa-9da5-5fd1cc405d41"/>
  </ds:schemaRefs>
</ds:datastoreItem>
</file>

<file path=customXml/itemProps4.xml><?xml version="1.0" encoding="utf-8"?>
<ds:datastoreItem xmlns:ds="http://schemas.openxmlformats.org/officeDocument/2006/customXml" ds:itemID="{CE13881A-13E0-4301-A3CE-DE14812C0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fd4447-6b1b-4efa-9da5-5fd1cc405d41"/>
    <ds:schemaRef ds:uri="9a03f41a-637d-405d-b53a-5b57d79e223d"/>
    <ds:schemaRef ds:uri="ef406d6b-70e0-427c-b08d-4edfc7777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C226D13-73FC-4A7A-93C2-AC11939BB4A9}">
  <ds:schemaRefs>
    <ds:schemaRef ds:uri="http://schemas.microsoft.com/sharepoint/v3/contenttype/forms"/>
  </ds:schemaRefs>
</ds:datastoreItem>
</file>

<file path=docMetadata/LabelInfo.xml><?xml version="1.0" encoding="utf-8"?>
<clbl:labelList xmlns:clbl="http://schemas.microsoft.com/office/2020/mipLabelMetadata">
  <clbl:label id="{e8701075-0d9e-4ea1-991d-5a0d110a5d29}" enabled="0" method="" siteId="{e8701075-0d9e-4ea1-991d-5a0d110a5d29}" removed="1"/>
</clbl:labelList>
</file>

<file path=docProps/app.xml><?xml version="1.0" encoding="utf-8"?>
<Properties xmlns="http://schemas.openxmlformats.org/officeDocument/2006/extended-properties" xmlns:vt="http://schemas.openxmlformats.org/officeDocument/2006/docPropsVTypes">
  <Template>segoe-Henkel-press-release-template-2020-english.dotx</Template>
  <TotalTime>0</TotalTime>
  <Pages>2</Pages>
  <Words>288</Words>
  <Characters>1642</Characters>
  <Application>Microsoft Office Word</Application>
  <DocSecurity>2</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Pressemitteilung</vt:lpstr>
      <vt:lpstr>Pressemitteilung</vt:lpstr>
    </vt:vector>
  </TitlesOfParts>
  <Company>Henkel AG &amp; Co. KGaA</Company>
  <LinksUpToDate>false</LinksUpToDate>
  <CharactersWithSpaces>1927</CharactersWithSpaces>
  <SharedDoc>false</SharedDoc>
  <HLinks>
    <vt:vector size="6" baseType="variant">
      <vt:variant>
        <vt:i4>2490428</vt:i4>
      </vt:variant>
      <vt:variant>
        <vt:i4>0</vt:i4>
      </vt:variant>
      <vt:variant>
        <vt:i4>0</vt:i4>
      </vt:variant>
      <vt:variant>
        <vt:i4>5</vt:i4>
      </vt:variant>
      <vt:variant>
        <vt:lpwstr>http://www.henkel.com/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Henkel</dc:creator>
  <cp:keywords/>
  <dc:description/>
  <cp:lastModifiedBy>Irene Pan</cp:lastModifiedBy>
  <cp:revision>3</cp:revision>
  <cp:lastPrinted>2016-11-16T01:11:00Z</cp:lastPrinted>
  <dcterms:created xsi:type="dcterms:W3CDTF">2026-08-06T09:34:00Z</dcterms:created>
  <dcterms:modified xsi:type="dcterms:W3CDTF">2026-08-06T09:34:00Z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0x010100A0019914786A7341A243E9E7513AD6DB</vt:lpwstr>
  </property>
  <property fmtid="{D5CDD505-2E9C-101B-9397-08002B2CF9AE}" pid="3" name="MediaServiceImageTags">
    <vt:lpwstr/>
  </property>
</Properties>
</file>