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9283B" w14:textId="0E38D228" w:rsidR="00E54383" w:rsidRDefault="00F658A1" w:rsidP="00564B53">
      <w:pPr>
        <w:pStyle w:val="Topline"/>
        <w:spacing w:after="240"/>
        <w:jc w:val="left"/>
        <w:rPr>
          <w:rFonts w:asciiTheme="majorHAnsi" w:hAnsiTheme="majorHAnsi" w:cs="宋体"/>
          <w:lang w:eastAsia="zh-CN"/>
        </w:rPr>
      </w:pPr>
      <w:bookmarkStart w:id="0" w:name="_Hlk190695874"/>
      <w:r>
        <w:rPr>
          <w:rFonts w:asciiTheme="majorHAnsi" w:hAnsiTheme="majorHAnsi" w:cs="宋体" w:hint="eastAsia"/>
          <w:lang w:eastAsia="zh-TW"/>
        </w:rPr>
        <w:t>漢高推進增長議程：加碼品牌、創新與並購投資</w:t>
      </w:r>
    </w:p>
    <w:bookmarkEnd w:id="0"/>
    <w:p w14:paraId="55F1C0BD" w14:textId="06B03EBB" w:rsidR="00E54383" w:rsidRDefault="00F658A1">
      <w:pPr>
        <w:jc w:val="left"/>
        <w:rPr>
          <w:rStyle w:val="Headline"/>
          <w:rFonts w:asciiTheme="majorHAnsi" w:hAnsiTheme="majorHAnsi" w:cs="宋体"/>
          <w:lang w:eastAsia="zh-CN"/>
        </w:rPr>
      </w:pPr>
      <w:r>
        <w:rPr>
          <w:rStyle w:val="Headline"/>
          <w:rFonts w:asciiTheme="majorHAnsi" w:hAnsiTheme="majorHAnsi" w:cs="宋体" w:hint="eastAsia"/>
          <w:lang w:eastAsia="zh-TW"/>
        </w:rPr>
        <w:t>漢高上半年銷售額與盈利表現強勁，上調</w:t>
      </w:r>
      <w:r>
        <w:rPr>
          <w:rStyle w:val="Headline"/>
          <w:rFonts w:asciiTheme="majorHAnsi" w:hAnsiTheme="majorHAnsi" w:cs="宋体"/>
          <w:lang w:eastAsia="zh-TW"/>
        </w:rPr>
        <w:t>2026</w:t>
      </w:r>
      <w:r>
        <w:rPr>
          <w:rStyle w:val="Headline"/>
          <w:rFonts w:asciiTheme="majorHAnsi" w:hAnsiTheme="majorHAnsi" w:cs="宋体" w:hint="eastAsia"/>
          <w:lang w:eastAsia="zh-TW"/>
        </w:rPr>
        <w:t>年營收指引</w:t>
      </w:r>
    </w:p>
    <w:p w14:paraId="367BF3FE" w14:textId="77777777" w:rsidR="00E54383" w:rsidRDefault="00E54383">
      <w:pPr>
        <w:spacing w:line="240" w:lineRule="auto"/>
        <w:jc w:val="left"/>
        <w:rPr>
          <w:rFonts w:asciiTheme="majorHAnsi" w:hAnsiTheme="majorHAnsi" w:cs="宋体"/>
          <w:sz w:val="16"/>
          <w:szCs w:val="16"/>
          <w:lang w:eastAsia="zh-CN"/>
        </w:rPr>
      </w:pPr>
    </w:p>
    <w:p w14:paraId="21BD1A71" w14:textId="3AEEAD91" w:rsidR="00E54383" w:rsidRPr="004F5D98" w:rsidRDefault="00F658A1" w:rsidP="003133BD">
      <w:pPr>
        <w:pStyle w:val="ListParagraph"/>
        <w:numPr>
          <w:ilvl w:val="0"/>
          <w:numId w:val="2"/>
        </w:numPr>
        <w:spacing w:after="80"/>
        <w:ind w:left="284" w:right="-108" w:hanging="357"/>
        <w:contextualSpacing w:val="0"/>
        <w:jc w:val="left"/>
        <w:rPr>
          <w:rFonts w:asciiTheme="majorHAnsi" w:hAnsiTheme="majorHAnsi" w:cs="宋体"/>
          <w:b/>
          <w:szCs w:val="22"/>
          <w:lang w:eastAsia="zh-CN"/>
        </w:rPr>
      </w:pPr>
      <w:bookmarkStart w:id="1" w:name="_Hlk43712519"/>
      <w:bookmarkStart w:id="2" w:name="_Hlk64363173"/>
      <w:r w:rsidRPr="004F5D98">
        <w:rPr>
          <w:rFonts w:asciiTheme="majorHAnsi" w:hAnsiTheme="majorHAnsi" w:cs="宋体" w:hint="eastAsia"/>
          <w:b/>
          <w:lang w:eastAsia="zh-TW"/>
        </w:rPr>
        <w:t>集團上半年實現</w:t>
      </w:r>
      <w:r w:rsidRPr="004F5D98">
        <w:rPr>
          <w:rFonts w:asciiTheme="majorHAnsi" w:hAnsiTheme="majorHAnsi" w:cs="宋体"/>
          <w:b/>
          <w:lang w:eastAsia="zh-TW"/>
        </w:rPr>
        <w:t>3.2%</w:t>
      </w:r>
      <w:r w:rsidRPr="004F5D98">
        <w:rPr>
          <w:rFonts w:asciiTheme="majorHAnsi" w:hAnsiTheme="majorHAnsi" w:cs="宋体" w:hint="eastAsia"/>
          <w:b/>
          <w:lang w:eastAsia="zh-TW"/>
        </w:rPr>
        <w:t>的強勁有機銷售額增長，銷售額達</w:t>
      </w:r>
      <w:r w:rsidRPr="004F5D98">
        <w:rPr>
          <w:rFonts w:asciiTheme="majorHAnsi" w:hAnsiTheme="majorHAnsi" w:cs="宋体"/>
          <w:b/>
          <w:lang w:eastAsia="zh-TW"/>
        </w:rPr>
        <w:t>103</w:t>
      </w:r>
      <w:r w:rsidRPr="004F5D98">
        <w:rPr>
          <w:rFonts w:asciiTheme="majorHAnsi" w:hAnsiTheme="majorHAnsi" w:cs="宋体" w:hint="eastAsia"/>
          <w:b/>
          <w:lang w:eastAsia="zh-TW"/>
        </w:rPr>
        <w:t>億歐元</w:t>
      </w:r>
    </w:p>
    <w:p w14:paraId="5E7C0419" w14:textId="25CA3E02" w:rsidR="00E54383" w:rsidRPr="001204CA" w:rsidRDefault="00F658A1" w:rsidP="003133BD">
      <w:pPr>
        <w:pStyle w:val="ListParagraph"/>
        <w:numPr>
          <w:ilvl w:val="0"/>
          <w:numId w:val="2"/>
        </w:numPr>
        <w:spacing w:after="80"/>
        <w:ind w:left="284" w:right="-108" w:hanging="357"/>
        <w:contextualSpacing w:val="0"/>
        <w:jc w:val="left"/>
        <w:rPr>
          <w:rFonts w:asciiTheme="majorHAnsi" w:hAnsiTheme="majorHAnsi" w:cs="宋体"/>
          <w:b/>
          <w:szCs w:val="22"/>
          <w:lang w:eastAsia="zh-CN"/>
        </w:rPr>
      </w:pPr>
      <w:r w:rsidRPr="001204CA">
        <w:rPr>
          <w:rFonts w:asciiTheme="majorHAnsi" w:hAnsiTheme="majorHAnsi" w:cs="宋体" w:hint="eastAsia"/>
          <w:b/>
          <w:lang w:eastAsia="zh-TW"/>
        </w:rPr>
        <w:t>兩大業務部門實現量價齊升，為增長提供有力支撐</w:t>
      </w:r>
    </w:p>
    <w:p w14:paraId="20B31010" w14:textId="7D71BFA3" w:rsidR="00E54383" w:rsidRPr="001204CA" w:rsidRDefault="00F658A1" w:rsidP="003133BD">
      <w:pPr>
        <w:pStyle w:val="ListParagraph"/>
        <w:numPr>
          <w:ilvl w:val="0"/>
          <w:numId w:val="2"/>
        </w:numPr>
        <w:spacing w:after="80"/>
        <w:ind w:left="284" w:right="-108" w:hanging="357"/>
        <w:contextualSpacing w:val="0"/>
        <w:jc w:val="left"/>
        <w:rPr>
          <w:rFonts w:asciiTheme="majorHAnsi" w:hAnsiTheme="majorHAnsi" w:cs="宋体"/>
          <w:b/>
          <w:szCs w:val="22"/>
          <w:lang w:eastAsia="zh-CN"/>
        </w:rPr>
      </w:pPr>
      <w:r w:rsidRPr="001204CA">
        <w:rPr>
          <w:rFonts w:asciiTheme="majorHAnsi" w:hAnsiTheme="majorHAnsi" w:cs="宋体" w:hint="eastAsia"/>
          <w:b/>
          <w:lang w:eastAsia="zh-TW"/>
        </w:rPr>
        <w:t>營業利潤（息稅前利潤）</w:t>
      </w:r>
      <w:r w:rsidRPr="001204CA">
        <w:rPr>
          <w:rFonts w:asciiTheme="majorHAnsi" w:hAnsiTheme="majorHAnsi" w:cs="宋体"/>
          <w:b/>
          <w:vertAlign w:val="superscript"/>
          <w:lang w:eastAsia="zh-TW"/>
        </w:rPr>
        <w:t>1</w:t>
      </w:r>
      <w:r w:rsidRPr="001204CA">
        <w:rPr>
          <w:rFonts w:asciiTheme="majorHAnsi" w:hAnsiTheme="majorHAnsi" w:cs="宋体"/>
          <w:b/>
          <w:lang w:eastAsia="zh-TW"/>
        </w:rPr>
        <w:t xml:space="preserve"> </w:t>
      </w:r>
      <w:r w:rsidRPr="001204CA">
        <w:rPr>
          <w:rFonts w:asciiTheme="majorHAnsi" w:hAnsiTheme="majorHAnsi" w:cs="宋体" w:hint="eastAsia"/>
          <w:b/>
          <w:lang w:eastAsia="zh-TW"/>
        </w:rPr>
        <w:t>增至</w:t>
      </w:r>
      <w:r w:rsidRPr="001204CA">
        <w:rPr>
          <w:rFonts w:asciiTheme="majorHAnsi" w:hAnsiTheme="majorHAnsi" w:cs="宋体"/>
          <w:b/>
          <w:lang w:eastAsia="zh-TW"/>
        </w:rPr>
        <w:t>16.20</w:t>
      </w:r>
      <w:r w:rsidRPr="001204CA">
        <w:rPr>
          <w:rFonts w:asciiTheme="majorHAnsi" w:hAnsiTheme="majorHAnsi" w:cs="宋体" w:hint="eastAsia"/>
          <w:b/>
          <w:lang w:eastAsia="zh-TW"/>
        </w:rPr>
        <w:t>億歐元，同比增長</w:t>
      </w:r>
      <w:r w:rsidRPr="001204CA">
        <w:rPr>
          <w:rFonts w:asciiTheme="majorHAnsi" w:hAnsiTheme="majorHAnsi" w:cs="宋体"/>
          <w:b/>
          <w:lang w:eastAsia="zh-TW"/>
        </w:rPr>
        <w:t>0.3%</w:t>
      </w:r>
    </w:p>
    <w:p w14:paraId="019C94EA" w14:textId="567B2B47" w:rsidR="00E54383" w:rsidRPr="004A574A" w:rsidRDefault="00F658A1" w:rsidP="003133BD">
      <w:pPr>
        <w:pStyle w:val="ListParagraph"/>
        <w:numPr>
          <w:ilvl w:val="0"/>
          <w:numId w:val="2"/>
        </w:numPr>
        <w:spacing w:after="80"/>
        <w:ind w:left="284" w:right="-108" w:hanging="357"/>
        <w:contextualSpacing w:val="0"/>
        <w:jc w:val="left"/>
        <w:rPr>
          <w:rFonts w:asciiTheme="majorHAnsi" w:hAnsiTheme="majorHAnsi" w:cs="宋体"/>
          <w:b/>
          <w:szCs w:val="22"/>
          <w:lang w:eastAsia="zh-CN"/>
        </w:rPr>
      </w:pPr>
      <w:r w:rsidRPr="004A574A">
        <w:rPr>
          <w:rFonts w:asciiTheme="majorHAnsi" w:hAnsiTheme="majorHAnsi" w:cs="宋体" w:hint="eastAsia"/>
          <w:b/>
          <w:lang w:eastAsia="zh-TW"/>
        </w:rPr>
        <w:t>息稅前利潤率</w:t>
      </w:r>
      <w:r w:rsidRPr="004A574A">
        <w:rPr>
          <w:rFonts w:asciiTheme="majorHAnsi" w:hAnsiTheme="majorHAnsi" w:cs="宋体"/>
          <w:b/>
          <w:vertAlign w:val="superscript"/>
          <w:lang w:eastAsia="zh-TW"/>
        </w:rPr>
        <w:t>1</w:t>
      </w:r>
      <w:r w:rsidRPr="004A574A">
        <w:rPr>
          <w:rFonts w:asciiTheme="majorHAnsi" w:hAnsiTheme="majorHAnsi" w:cs="宋体" w:hint="eastAsia"/>
          <w:b/>
          <w:lang w:eastAsia="zh-TW"/>
        </w:rPr>
        <w:t>達</w:t>
      </w:r>
      <w:r w:rsidRPr="004A574A">
        <w:rPr>
          <w:rFonts w:asciiTheme="majorHAnsi" w:hAnsiTheme="majorHAnsi" w:cs="宋体"/>
          <w:b/>
          <w:lang w:eastAsia="zh-TW"/>
        </w:rPr>
        <w:t>15.7%</w:t>
      </w:r>
      <w:r w:rsidRPr="004A574A">
        <w:rPr>
          <w:rFonts w:asciiTheme="majorHAnsi" w:hAnsiTheme="majorHAnsi" w:cs="宋体" w:hint="eastAsia"/>
          <w:b/>
          <w:lang w:eastAsia="zh-TW"/>
        </w:rPr>
        <w:t>，同比提升</w:t>
      </w:r>
      <w:r w:rsidRPr="004A574A">
        <w:rPr>
          <w:rFonts w:asciiTheme="majorHAnsi" w:hAnsiTheme="majorHAnsi" w:cs="宋体"/>
          <w:b/>
          <w:lang w:eastAsia="zh-TW"/>
        </w:rPr>
        <w:t>10</w:t>
      </w:r>
      <w:r w:rsidRPr="004A574A">
        <w:rPr>
          <w:rFonts w:asciiTheme="majorHAnsi" w:hAnsiTheme="majorHAnsi" w:cs="宋体" w:hint="eastAsia"/>
          <w:b/>
          <w:lang w:eastAsia="zh-TW"/>
        </w:rPr>
        <w:t>個基點，兩大業務部門均為此作出貢獻，彰顯業務韌性</w:t>
      </w:r>
    </w:p>
    <w:p w14:paraId="5B69D2DB" w14:textId="046AAE7D" w:rsidR="00E54383" w:rsidRPr="004F2B00" w:rsidRDefault="00F658A1" w:rsidP="003133BD">
      <w:pPr>
        <w:pStyle w:val="ListParagraph"/>
        <w:numPr>
          <w:ilvl w:val="0"/>
          <w:numId w:val="2"/>
        </w:numPr>
        <w:spacing w:after="80"/>
        <w:ind w:left="284" w:right="-108" w:hanging="357"/>
        <w:contextualSpacing w:val="0"/>
        <w:jc w:val="left"/>
        <w:rPr>
          <w:rFonts w:asciiTheme="majorHAnsi" w:hAnsiTheme="majorHAnsi" w:cs="宋体"/>
          <w:b/>
          <w:szCs w:val="22"/>
          <w:lang w:eastAsia="zh-CN"/>
        </w:rPr>
      </w:pPr>
      <w:r w:rsidRPr="004F2B00">
        <w:rPr>
          <w:rFonts w:asciiTheme="majorHAnsi" w:hAnsiTheme="majorHAnsi" w:cs="宋体" w:hint="eastAsia"/>
          <w:b/>
          <w:lang w:eastAsia="zh-TW"/>
        </w:rPr>
        <w:t>優先股每股收益（</w:t>
      </w:r>
      <w:r w:rsidRPr="004F2B00">
        <w:rPr>
          <w:rFonts w:asciiTheme="majorHAnsi" w:hAnsiTheme="majorHAnsi" w:cs="宋体"/>
          <w:b/>
          <w:lang w:eastAsia="zh-TW"/>
        </w:rPr>
        <w:t>EPS</w:t>
      </w:r>
      <w:r w:rsidRPr="004F2B00">
        <w:rPr>
          <w:rFonts w:asciiTheme="majorHAnsi" w:hAnsiTheme="majorHAnsi" w:cs="宋体" w:hint="eastAsia"/>
          <w:b/>
          <w:lang w:eastAsia="zh-TW"/>
        </w:rPr>
        <w:t>）</w:t>
      </w:r>
      <w:r w:rsidRPr="004F2B00">
        <w:rPr>
          <w:rFonts w:asciiTheme="majorHAnsi" w:hAnsiTheme="majorHAnsi" w:cs="宋体"/>
          <w:b/>
          <w:vertAlign w:val="superscript"/>
          <w:lang w:eastAsia="zh-TW"/>
        </w:rPr>
        <w:t>1</w:t>
      </w:r>
      <w:r w:rsidRPr="004F2B00">
        <w:rPr>
          <w:rFonts w:asciiTheme="majorHAnsi" w:hAnsiTheme="majorHAnsi" w:cs="宋体" w:hint="eastAsia"/>
          <w:b/>
          <w:lang w:eastAsia="zh-TW"/>
        </w:rPr>
        <w:t>增至</w:t>
      </w:r>
      <w:r w:rsidRPr="004F2B00">
        <w:rPr>
          <w:rFonts w:asciiTheme="majorHAnsi" w:hAnsiTheme="majorHAnsi" w:cs="宋体"/>
          <w:b/>
          <w:lang w:eastAsia="zh-TW"/>
        </w:rPr>
        <w:t>2.86</w:t>
      </w:r>
      <w:r w:rsidRPr="004F2B00">
        <w:rPr>
          <w:rFonts w:asciiTheme="majorHAnsi" w:hAnsiTheme="majorHAnsi" w:cs="宋体" w:hint="eastAsia"/>
          <w:b/>
          <w:lang w:eastAsia="zh-TW"/>
        </w:rPr>
        <w:t>歐元，同比增長</w:t>
      </w:r>
      <w:r w:rsidRPr="004F2B00">
        <w:rPr>
          <w:rFonts w:asciiTheme="majorHAnsi" w:hAnsiTheme="majorHAnsi" w:cs="宋体"/>
          <w:b/>
          <w:lang w:eastAsia="zh-TW"/>
        </w:rPr>
        <w:t>7.1%</w:t>
      </w:r>
      <w:r w:rsidRPr="004F2B00">
        <w:rPr>
          <w:rFonts w:asciiTheme="majorHAnsi" w:hAnsiTheme="majorHAnsi" w:cs="宋体" w:hint="eastAsia"/>
          <w:b/>
          <w:lang w:eastAsia="zh-TW"/>
        </w:rPr>
        <w:t>（按固定匯率計算）</w:t>
      </w:r>
    </w:p>
    <w:p w14:paraId="5A626B9E" w14:textId="4E8A39A9" w:rsidR="00E54383" w:rsidRPr="00DD362F" w:rsidRDefault="00F658A1" w:rsidP="003133BD">
      <w:pPr>
        <w:pStyle w:val="ListParagraph"/>
        <w:numPr>
          <w:ilvl w:val="0"/>
          <w:numId w:val="2"/>
        </w:numPr>
        <w:spacing w:after="80"/>
        <w:ind w:left="284" w:right="-108" w:hanging="357"/>
        <w:contextualSpacing w:val="0"/>
        <w:jc w:val="left"/>
        <w:rPr>
          <w:rFonts w:asciiTheme="majorHAnsi" w:hAnsiTheme="majorHAnsi" w:cs="宋体"/>
          <w:b/>
          <w:szCs w:val="22"/>
          <w:lang w:eastAsia="zh-CN"/>
        </w:rPr>
      </w:pPr>
      <w:r w:rsidRPr="00DD362F">
        <w:rPr>
          <w:rFonts w:asciiTheme="majorHAnsi" w:hAnsiTheme="majorHAnsi" w:cs="宋体" w:hint="eastAsia"/>
          <w:b/>
          <w:lang w:eastAsia="zh-TW"/>
        </w:rPr>
        <w:t>上半年實施並購增長</w:t>
      </w:r>
      <w:r w:rsidR="00791356">
        <w:rPr>
          <w:rFonts w:asciiTheme="majorHAnsi" w:hAnsiTheme="majorHAnsi" w:cs="宋体" w:hint="eastAsia"/>
          <w:b/>
          <w:lang w:eastAsia="zh-TW"/>
        </w:rPr>
        <w:t>策略</w:t>
      </w:r>
      <w:r w:rsidRPr="00DD362F">
        <w:rPr>
          <w:rFonts w:asciiTheme="majorHAnsi" w:hAnsiTheme="majorHAnsi" w:cs="宋体" w:hint="eastAsia"/>
          <w:b/>
          <w:lang w:eastAsia="zh-TW"/>
        </w:rPr>
        <w:t>成效顯著，相關交易已為</w:t>
      </w:r>
      <w:r w:rsidRPr="00DD362F">
        <w:rPr>
          <w:rFonts w:asciiTheme="majorHAnsi" w:hAnsiTheme="majorHAnsi" w:cs="宋体"/>
          <w:b/>
          <w:lang w:eastAsia="zh-TW"/>
        </w:rPr>
        <w:t>2026</w:t>
      </w:r>
      <w:r w:rsidRPr="00DD362F">
        <w:rPr>
          <w:rFonts w:asciiTheme="majorHAnsi" w:hAnsiTheme="majorHAnsi" w:cs="宋体" w:hint="eastAsia"/>
          <w:b/>
          <w:lang w:eastAsia="zh-TW"/>
        </w:rPr>
        <w:t>年的銷售額和盈利表現做出積極貢獻</w:t>
      </w:r>
    </w:p>
    <w:bookmarkEnd w:id="1"/>
    <w:bookmarkEnd w:id="2"/>
    <w:p w14:paraId="58D24205" w14:textId="4C85704A" w:rsidR="00E54383" w:rsidRPr="00F3141E" w:rsidRDefault="00F658A1" w:rsidP="003133BD">
      <w:pPr>
        <w:pStyle w:val="ListParagraph"/>
        <w:numPr>
          <w:ilvl w:val="0"/>
          <w:numId w:val="2"/>
        </w:numPr>
        <w:spacing w:after="80"/>
        <w:ind w:left="284" w:right="-108" w:hanging="357"/>
        <w:contextualSpacing w:val="0"/>
        <w:jc w:val="left"/>
        <w:rPr>
          <w:rFonts w:asciiTheme="majorHAnsi" w:hAnsiTheme="majorHAnsi" w:cs="宋体"/>
          <w:b/>
          <w:szCs w:val="22"/>
          <w:lang w:eastAsia="zh-CN"/>
        </w:rPr>
      </w:pPr>
      <w:r w:rsidRPr="00F3141E">
        <w:rPr>
          <w:rFonts w:asciiTheme="majorHAnsi" w:hAnsiTheme="majorHAnsi" w:cs="宋体"/>
          <w:b/>
          <w:lang w:eastAsia="zh-TW"/>
        </w:rPr>
        <w:t>2026</w:t>
      </w:r>
      <w:r w:rsidRPr="00F3141E">
        <w:rPr>
          <w:rFonts w:asciiTheme="majorHAnsi" w:hAnsiTheme="majorHAnsi" w:cs="宋体" w:hint="eastAsia"/>
          <w:b/>
          <w:lang w:eastAsia="zh-TW"/>
        </w:rPr>
        <w:t>財年展望：上調集團及粘合劑技術業務部的營收預期</w:t>
      </w:r>
    </w:p>
    <w:p w14:paraId="2C6545A2" w14:textId="6374CE0C" w:rsidR="00E54383" w:rsidRPr="00F3141E" w:rsidRDefault="00F658A1" w:rsidP="003133BD">
      <w:pPr>
        <w:pStyle w:val="ListParagraph"/>
        <w:widowControl w:val="0"/>
        <w:numPr>
          <w:ilvl w:val="1"/>
          <w:numId w:val="2"/>
        </w:numPr>
        <w:tabs>
          <w:tab w:val="left" w:pos="702"/>
        </w:tabs>
        <w:autoSpaceDE w:val="0"/>
        <w:autoSpaceDN w:val="0"/>
        <w:spacing w:before="113" w:line="240" w:lineRule="auto"/>
        <w:ind w:left="702"/>
        <w:contextualSpacing w:val="0"/>
        <w:jc w:val="left"/>
        <w:rPr>
          <w:rFonts w:asciiTheme="majorHAnsi" w:hAnsiTheme="majorHAnsi" w:cs="宋体"/>
          <w:lang w:eastAsia="zh-CN"/>
        </w:rPr>
      </w:pPr>
      <w:r w:rsidRPr="00F3141E">
        <w:rPr>
          <w:rFonts w:asciiTheme="majorHAnsi" w:hAnsiTheme="majorHAnsi" w:cs="宋体" w:hint="eastAsia"/>
          <w:lang w:eastAsia="zh-TW"/>
        </w:rPr>
        <w:t>有機銷售額增長：</w:t>
      </w:r>
      <w:r w:rsidRPr="00F3141E">
        <w:rPr>
          <w:rFonts w:asciiTheme="majorHAnsi" w:hAnsiTheme="majorHAnsi" w:cs="宋体"/>
          <w:lang w:eastAsia="zh-TW"/>
        </w:rPr>
        <w:t>1.5% ‑ 3.5%</w:t>
      </w:r>
      <w:r w:rsidRPr="00F3141E">
        <w:rPr>
          <w:rFonts w:asciiTheme="majorHAnsi" w:hAnsiTheme="majorHAnsi" w:cs="宋体" w:hint="eastAsia"/>
          <w:lang w:eastAsia="zh-TW"/>
        </w:rPr>
        <w:t>（此前預期：</w:t>
      </w:r>
      <w:r w:rsidRPr="00F3141E">
        <w:rPr>
          <w:rFonts w:asciiTheme="majorHAnsi" w:hAnsiTheme="majorHAnsi" w:cs="宋体"/>
          <w:lang w:eastAsia="zh-TW"/>
        </w:rPr>
        <w:t>1.0% - 3.0%)</w:t>
      </w:r>
    </w:p>
    <w:p w14:paraId="1118102C" w14:textId="3B41C8CD" w:rsidR="00E54383" w:rsidRPr="00F3141E" w:rsidRDefault="00F658A1" w:rsidP="003133BD">
      <w:pPr>
        <w:pStyle w:val="ListParagraph"/>
        <w:widowControl w:val="0"/>
        <w:numPr>
          <w:ilvl w:val="1"/>
          <w:numId w:val="2"/>
        </w:numPr>
        <w:tabs>
          <w:tab w:val="left" w:pos="702"/>
        </w:tabs>
        <w:autoSpaceDE w:val="0"/>
        <w:autoSpaceDN w:val="0"/>
        <w:spacing w:before="113" w:line="240" w:lineRule="auto"/>
        <w:ind w:left="702"/>
        <w:contextualSpacing w:val="0"/>
        <w:jc w:val="left"/>
        <w:rPr>
          <w:rFonts w:asciiTheme="majorHAnsi" w:hAnsiTheme="majorHAnsi" w:cs="宋体"/>
          <w:lang w:eastAsia="zh-CN"/>
        </w:rPr>
      </w:pPr>
      <w:r w:rsidRPr="00F3141E">
        <w:rPr>
          <w:rFonts w:asciiTheme="majorHAnsi" w:hAnsiTheme="majorHAnsi" w:cs="宋体" w:hint="eastAsia"/>
          <w:lang w:eastAsia="zh-TW"/>
        </w:rPr>
        <w:t>調整後的銷售回報率：</w:t>
      </w:r>
      <w:r w:rsidRPr="00F3141E">
        <w:rPr>
          <w:rFonts w:asciiTheme="majorHAnsi" w:hAnsiTheme="majorHAnsi" w:cs="宋体"/>
          <w:lang w:eastAsia="zh-TW"/>
        </w:rPr>
        <w:t>14.5% - 16.0%</w:t>
      </w:r>
    </w:p>
    <w:p w14:paraId="6D33D855" w14:textId="6F6D2C9A" w:rsidR="00E54383" w:rsidRPr="00F3141E" w:rsidRDefault="00F658A1" w:rsidP="003133BD">
      <w:pPr>
        <w:pStyle w:val="ListParagraph"/>
        <w:widowControl w:val="0"/>
        <w:numPr>
          <w:ilvl w:val="1"/>
          <w:numId w:val="2"/>
        </w:numPr>
        <w:tabs>
          <w:tab w:val="left" w:pos="702"/>
        </w:tabs>
        <w:autoSpaceDE w:val="0"/>
        <w:autoSpaceDN w:val="0"/>
        <w:spacing w:before="113" w:line="240" w:lineRule="auto"/>
        <w:ind w:left="702"/>
        <w:contextualSpacing w:val="0"/>
        <w:jc w:val="left"/>
        <w:rPr>
          <w:rFonts w:asciiTheme="majorHAnsi" w:hAnsiTheme="majorHAnsi" w:cs="宋体"/>
          <w:lang w:eastAsia="zh-CN"/>
        </w:rPr>
      </w:pPr>
      <w:r w:rsidRPr="00F3141E">
        <w:rPr>
          <w:rFonts w:asciiTheme="majorHAnsi" w:hAnsiTheme="majorHAnsi" w:cs="宋体" w:hint="eastAsia"/>
          <w:lang w:eastAsia="zh-TW"/>
        </w:rPr>
        <w:t>調整後的優先股每股收益（</w:t>
      </w:r>
      <w:r w:rsidRPr="00F3141E">
        <w:rPr>
          <w:rFonts w:asciiTheme="majorHAnsi" w:hAnsiTheme="majorHAnsi" w:cs="宋体"/>
          <w:lang w:eastAsia="zh-TW"/>
        </w:rPr>
        <w:t>EPS</w:t>
      </w:r>
      <w:r w:rsidRPr="00F3141E">
        <w:rPr>
          <w:rFonts w:asciiTheme="majorHAnsi" w:hAnsiTheme="majorHAnsi" w:cs="宋体" w:hint="eastAsia"/>
          <w:lang w:eastAsia="zh-TW"/>
        </w:rPr>
        <w:t>）：以較低至較高個位數百分比的幅度增長（按固定匯率計算）</w:t>
      </w:r>
    </w:p>
    <w:p w14:paraId="78FF19F4" w14:textId="77777777" w:rsidR="00E54383" w:rsidRDefault="00E54383">
      <w:pPr>
        <w:rPr>
          <w:rFonts w:asciiTheme="majorHAnsi" w:hAnsiTheme="majorHAnsi" w:cs="宋体"/>
          <w:b/>
          <w:bCs/>
          <w:szCs w:val="22"/>
          <w:lang w:eastAsia="zh-CN"/>
        </w:rPr>
      </w:pPr>
    </w:p>
    <w:p w14:paraId="5481DEE3" w14:textId="3F0C7BA8" w:rsidR="00E54383" w:rsidRDefault="00F658A1">
      <w:pPr>
        <w:rPr>
          <w:rFonts w:asciiTheme="majorHAnsi" w:hAnsiTheme="majorHAnsi" w:cs="宋体"/>
        </w:rPr>
      </w:pPr>
      <w:r>
        <w:rPr>
          <w:rFonts w:asciiTheme="majorHAnsi" w:hAnsiTheme="majorHAnsi" w:cs="宋体" w:hint="eastAsia"/>
          <w:lang w:eastAsia="zh-TW"/>
        </w:rPr>
        <w:t>杜塞爾多夫</w:t>
      </w:r>
      <w:r>
        <w:rPr>
          <w:rFonts w:asciiTheme="majorHAnsi" w:hAnsiTheme="majorHAnsi" w:cs="宋体"/>
          <w:lang w:eastAsia="zh-TW"/>
        </w:rPr>
        <w:t xml:space="preserve"> ——</w:t>
      </w:r>
      <w:r>
        <w:rPr>
          <w:rFonts w:asciiTheme="majorHAnsi" w:hAnsiTheme="majorHAnsi" w:cs="宋体"/>
          <w:b/>
          <w:lang w:eastAsia="zh-TW"/>
        </w:rPr>
        <w:t xml:space="preserve"> </w:t>
      </w:r>
      <w:r>
        <w:rPr>
          <w:rFonts w:asciiTheme="majorHAnsi" w:hAnsiTheme="majorHAnsi" w:cs="宋体"/>
          <w:lang w:eastAsia="zh-TW"/>
        </w:rPr>
        <w:t xml:space="preserve"> 2026</w:t>
      </w:r>
      <w:r>
        <w:rPr>
          <w:rFonts w:asciiTheme="majorHAnsi" w:hAnsiTheme="majorHAnsi" w:cs="宋体" w:hint="eastAsia"/>
          <w:lang w:eastAsia="zh-TW"/>
        </w:rPr>
        <w:t>年上半年，儘管經濟環境持續充滿挑戰，漢高仍實現了強勁的有機銷售增長與優異的盈利表現。漢高首席執行官卡斯滕</w:t>
      </w:r>
      <w:r>
        <w:rPr>
          <w:rFonts w:asciiTheme="majorHAnsi" w:hAnsiTheme="majorHAnsi" w:cs="宋体"/>
          <w:lang w:eastAsia="zh-TW"/>
        </w:rPr>
        <w:t>·</w:t>
      </w:r>
      <w:r>
        <w:rPr>
          <w:rFonts w:asciiTheme="majorHAnsi" w:hAnsiTheme="majorHAnsi" w:cs="宋体" w:hint="eastAsia"/>
          <w:lang w:eastAsia="zh-TW"/>
        </w:rPr>
        <w:t>諾貝爾（</w:t>
      </w:r>
      <w:r>
        <w:rPr>
          <w:rFonts w:asciiTheme="majorHAnsi" w:hAnsiTheme="majorHAnsi" w:cs="宋体"/>
          <w:lang w:eastAsia="zh-TW"/>
        </w:rPr>
        <w:t>Carsten Knobel</w:t>
      </w:r>
      <w:r>
        <w:rPr>
          <w:rFonts w:asciiTheme="majorHAnsi" w:hAnsiTheme="majorHAnsi" w:cs="宋体" w:hint="eastAsia"/>
          <w:lang w:eastAsia="zh-TW"/>
        </w:rPr>
        <w:t>）表示</w:t>
      </w:r>
      <w:proofErr w:type="gramStart"/>
      <w:r>
        <w:rPr>
          <w:rFonts w:asciiTheme="majorHAnsi" w:hAnsiTheme="majorHAnsi" w:cs="宋体" w:hint="eastAsia"/>
          <w:lang w:eastAsia="zh-TW"/>
        </w:rPr>
        <w:t>：</w:t>
      </w:r>
      <w:r>
        <w:rPr>
          <w:rFonts w:asciiTheme="majorHAnsi" w:hAnsiTheme="majorHAnsi" w:cs="宋体"/>
          <w:lang w:eastAsia="zh-TW"/>
        </w:rPr>
        <w:t>“</w:t>
      </w:r>
      <w:proofErr w:type="gramEnd"/>
      <w:r>
        <w:rPr>
          <w:rFonts w:asciiTheme="majorHAnsi" w:hAnsiTheme="majorHAnsi" w:cs="宋体" w:hint="eastAsia"/>
          <w:lang w:eastAsia="zh-TW"/>
        </w:rPr>
        <w:t>兩大部門均實現了量價齊升，再一次推動了集團的有機銷售額增長。在粘合劑技術業務部，公司持續快速落實定價舉措，抵消了原材料價格帶來的不利影響，有效提升了銷售額與盈利能力。在消費品牌業務部，美髮業務領域延續了十分強勁的增長態勢，洗滌劑業務也重回正增長軌道。</w:t>
      </w:r>
      <w:r>
        <w:rPr>
          <w:rFonts w:asciiTheme="majorHAnsi" w:hAnsiTheme="majorHAnsi" w:cs="宋体"/>
          <w:lang w:eastAsia="zh-TW"/>
        </w:rPr>
        <w:t>”</w:t>
      </w:r>
    </w:p>
    <w:p w14:paraId="15508D73" w14:textId="3C2F4CCC" w:rsidR="00E54383" w:rsidRDefault="00AE6F84" w:rsidP="003133BD">
      <w:pPr>
        <w:jc w:val="center"/>
        <w:rPr>
          <w:rFonts w:asciiTheme="majorHAnsi" w:hAnsiTheme="majorHAnsi" w:cs="宋体"/>
          <w:lang w:eastAsia="zh-CN"/>
        </w:rPr>
      </w:pPr>
      <w:r>
        <w:rPr>
          <w:rFonts w:asciiTheme="majorHAnsi" w:hAnsiTheme="majorHAnsi" w:cs="宋体"/>
          <w:noProof/>
        </w:rPr>
        <w:lastRenderedPageBreak/>
        <w:drawing>
          <wp:inline distT="0" distB="0" distL="0" distR="0" wp14:anchorId="7F2BDDE6" wp14:editId="29443B42">
            <wp:extent cx="2160000" cy="3236276"/>
            <wp:effectExtent l="0" t="0" r="0" b="2540"/>
            <wp:docPr id="5477543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60000" cy="3236276"/>
                    </a:xfrm>
                    <a:prstGeom prst="rect">
                      <a:avLst/>
                    </a:prstGeom>
                    <a:noFill/>
                    <a:ln>
                      <a:noFill/>
                    </a:ln>
                  </pic:spPr>
                </pic:pic>
              </a:graphicData>
            </a:graphic>
          </wp:inline>
        </w:drawing>
      </w:r>
    </w:p>
    <w:p w14:paraId="4F1F3C59" w14:textId="179F1C39" w:rsidR="00AE6F84" w:rsidRPr="003133BD" w:rsidRDefault="00F658A1" w:rsidP="003133BD">
      <w:pPr>
        <w:jc w:val="center"/>
        <w:rPr>
          <w:rFonts w:asciiTheme="majorHAnsi" w:hAnsiTheme="majorHAnsi" w:cs="宋体"/>
          <w:sz w:val="20"/>
          <w:szCs w:val="21"/>
          <w:lang w:eastAsia="zh-CN"/>
        </w:rPr>
      </w:pPr>
      <w:r w:rsidRPr="003133BD">
        <w:rPr>
          <w:rFonts w:asciiTheme="majorHAnsi" w:hAnsiTheme="majorHAnsi" w:cs="宋体" w:hint="eastAsia"/>
          <w:sz w:val="20"/>
          <w:szCs w:val="21"/>
          <w:lang w:eastAsia="zh-TW"/>
        </w:rPr>
        <w:t>漢高首席執行官卡斯滕</w:t>
      </w:r>
      <w:r w:rsidRPr="003133BD">
        <w:rPr>
          <w:rFonts w:asciiTheme="majorHAnsi" w:hAnsiTheme="majorHAnsi" w:cs="宋体"/>
          <w:sz w:val="20"/>
          <w:szCs w:val="21"/>
          <w:lang w:eastAsia="zh-TW"/>
        </w:rPr>
        <w:t>·</w:t>
      </w:r>
      <w:r w:rsidRPr="003133BD">
        <w:rPr>
          <w:rFonts w:asciiTheme="majorHAnsi" w:hAnsiTheme="majorHAnsi" w:cs="宋体" w:hint="eastAsia"/>
          <w:sz w:val="20"/>
          <w:szCs w:val="21"/>
          <w:lang w:eastAsia="zh-TW"/>
        </w:rPr>
        <w:t>諾貝爾（</w:t>
      </w:r>
      <w:r w:rsidRPr="003133BD">
        <w:rPr>
          <w:rFonts w:asciiTheme="majorHAnsi" w:hAnsiTheme="majorHAnsi" w:cs="宋体"/>
          <w:sz w:val="20"/>
          <w:szCs w:val="21"/>
          <w:lang w:eastAsia="zh-TW"/>
        </w:rPr>
        <w:t>Carsten Knobel</w:t>
      </w:r>
      <w:r w:rsidRPr="003133BD">
        <w:rPr>
          <w:rFonts w:asciiTheme="majorHAnsi" w:hAnsiTheme="majorHAnsi" w:cs="宋体" w:hint="eastAsia"/>
          <w:sz w:val="20"/>
          <w:szCs w:val="21"/>
          <w:lang w:eastAsia="zh-TW"/>
        </w:rPr>
        <w:t>）</w:t>
      </w:r>
    </w:p>
    <w:p w14:paraId="4B3B1B81" w14:textId="77777777" w:rsidR="000B625C" w:rsidRDefault="000B625C">
      <w:pPr>
        <w:rPr>
          <w:rFonts w:asciiTheme="majorHAnsi" w:hAnsiTheme="majorHAnsi" w:cs="宋体"/>
          <w:szCs w:val="22"/>
          <w:lang w:eastAsia="zh-CN"/>
        </w:rPr>
      </w:pPr>
    </w:p>
    <w:p w14:paraId="4D7A7AC7" w14:textId="1C4837CC" w:rsidR="00E54383" w:rsidRPr="001471EB" w:rsidRDefault="00F658A1">
      <w:pPr>
        <w:rPr>
          <w:rFonts w:asciiTheme="majorHAnsi" w:hAnsiTheme="majorHAnsi" w:cs="宋体"/>
          <w:lang w:eastAsia="zh-TW"/>
        </w:rPr>
      </w:pPr>
      <w:r>
        <w:rPr>
          <w:rFonts w:asciiTheme="majorHAnsi" w:hAnsiTheme="majorHAnsi" w:cs="宋体" w:hint="eastAsia"/>
          <w:lang w:eastAsia="zh-TW"/>
        </w:rPr>
        <w:t>卡斯滕</w:t>
      </w:r>
      <w:r>
        <w:rPr>
          <w:rFonts w:asciiTheme="majorHAnsi" w:hAnsiTheme="majorHAnsi" w:cs="宋体"/>
          <w:lang w:eastAsia="zh-TW"/>
        </w:rPr>
        <w:t>·</w:t>
      </w:r>
      <w:r>
        <w:rPr>
          <w:rFonts w:asciiTheme="majorHAnsi" w:hAnsiTheme="majorHAnsi" w:cs="宋体" w:hint="eastAsia"/>
          <w:lang w:eastAsia="zh-TW"/>
        </w:rPr>
        <w:t>諾貝爾補充道：</w:t>
      </w:r>
      <w:r>
        <w:rPr>
          <w:rFonts w:asciiTheme="majorHAnsi" w:hAnsiTheme="majorHAnsi" w:cs="宋体"/>
          <w:lang w:eastAsia="zh-TW"/>
        </w:rPr>
        <w:t>“</w:t>
      </w:r>
      <w:r>
        <w:rPr>
          <w:rFonts w:asciiTheme="majorHAnsi" w:hAnsiTheme="majorHAnsi" w:cs="宋体" w:hint="eastAsia"/>
          <w:lang w:eastAsia="zh-TW"/>
        </w:rPr>
        <w:t>我們始終貫徹以目標性增長為核心的</w:t>
      </w:r>
      <w:r w:rsidR="00791356">
        <w:rPr>
          <w:rFonts w:asciiTheme="majorHAnsi" w:hAnsiTheme="majorHAnsi" w:cs="宋体" w:hint="eastAsia"/>
          <w:lang w:eastAsia="zh-TW"/>
        </w:rPr>
        <w:t>策略</w:t>
      </w:r>
      <w:r>
        <w:rPr>
          <w:rFonts w:asciiTheme="majorHAnsi" w:hAnsiTheme="majorHAnsi" w:cs="宋体" w:hint="eastAsia"/>
          <w:lang w:eastAsia="zh-TW"/>
        </w:rPr>
        <w:t>。我們的業績充分印證了該</w:t>
      </w:r>
      <w:r w:rsidR="00791356">
        <w:rPr>
          <w:rFonts w:asciiTheme="majorHAnsi" w:hAnsiTheme="majorHAnsi" w:cs="宋体" w:hint="eastAsia"/>
          <w:lang w:eastAsia="zh-TW"/>
        </w:rPr>
        <w:t>策略</w:t>
      </w:r>
      <w:r>
        <w:rPr>
          <w:rFonts w:asciiTheme="majorHAnsi" w:hAnsiTheme="majorHAnsi" w:cs="宋体" w:hint="eastAsia"/>
          <w:lang w:eastAsia="zh-TW"/>
        </w:rPr>
        <w:t>的有效性。上半年，漢高整體實現了非常強勁的業績表現，同時持續大力投資未來發展，包括品牌、技術與創新等關鍵領域。此外，我們大幅加快了並購</w:t>
      </w:r>
      <w:r w:rsidR="00791356">
        <w:rPr>
          <w:rFonts w:asciiTheme="majorHAnsi" w:hAnsiTheme="majorHAnsi" w:cs="宋体" w:hint="eastAsia"/>
          <w:lang w:eastAsia="zh-TW"/>
        </w:rPr>
        <w:t>策略</w:t>
      </w:r>
      <w:r>
        <w:rPr>
          <w:rFonts w:asciiTheme="majorHAnsi" w:hAnsiTheme="majorHAnsi" w:cs="宋体" w:hint="eastAsia"/>
          <w:lang w:eastAsia="zh-TW"/>
        </w:rPr>
        <w:t>的實施進程。我們已達成五項收購交易，總價值約</w:t>
      </w:r>
      <w:r>
        <w:rPr>
          <w:rFonts w:asciiTheme="majorHAnsi" w:hAnsiTheme="majorHAnsi" w:cs="宋体"/>
          <w:lang w:eastAsia="zh-TW"/>
        </w:rPr>
        <w:t>50</w:t>
      </w:r>
      <w:r>
        <w:rPr>
          <w:rFonts w:asciiTheme="majorHAnsi" w:hAnsiTheme="majorHAnsi" w:cs="宋体" w:hint="eastAsia"/>
          <w:lang w:eastAsia="zh-TW"/>
        </w:rPr>
        <w:t>億歐元，將顯著增強兩大業務部門的發展實力。目前，其中四項交易已完成交割。未來幾年，相關收購業務增長預計將高於平均水準，實現中高個位數百分比增長，並帶來約</w:t>
      </w:r>
      <w:r>
        <w:rPr>
          <w:rFonts w:asciiTheme="majorHAnsi" w:hAnsiTheme="majorHAnsi" w:cs="宋体"/>
          <w:lang w:eastAsia="zh-TW"/>
        </w:rPr>
        <w:t>20</w:t>
      </w:r>
      <w:r>
        <w:rPr>
          <w:rFonts w:asciiTheme="majorHAnsi" w:hAnsiTheme="majorHAnsi" w:cs="宋体" w:hint="eastAsia"/>
          <w:lang w:eastAsia="zh-TW"/>
        </w:rPr>
        <w:t>億歐元的新增年銷售額。</w:t>
      </w:r>
      <w:r w:rsidRPr="001471EB">
        <w:rPr>
          <w:rFonts w:asciiTheme="majorHAnsi" w:hAnsiTheme="majorHAnsi" w:cs="宋体" w:hint="eastAsia"/>
          <w:lang w:eastAsia="zh-TW"/>
        </w:rPr>
        <w:t>這標誌著我們在持續推進增長</w:t>
      </w:r>
      <w:r w:rsidR="00791356">
        <w:rPr>
          <w:rFonts w:asciiTheme="majorHAnsi" w:hAnsiTheme="majorHAnsi" w:cs="宋体" w:hint="eastAsia"/>
          <w:lang w:eastAsia="zh-TW"/>
        </w:rPr>
        <w:t>策略</w:t>
      </w:r>
      <w:r w:rsidRPr="001471EB">
        <w:rPr>
          <w:rFonts w:asciiTheme="majorHAnsi" w:hAnsiTheme="majorHAnsi" w:cs="宋体" w:hint="eastAsia"/>
          <w:lang w:eastAsia="zh-TW"/>
        </w:rPr>
        <w:t>方面又邁出了重要一步</w:t>
      </w:r>
      <w:r>
        <w:rPr>
          <w:rFonts w:asciiTheme="majorHAnsi" w:hAnsiTheme="majorHAnsi" w:cs="宋体" w:hint="eastAsia"/>
          <w:lang w:eastAsia="zh-TW"/>
        </w:rPr>
        <w:t>。</w:t>
      </w:r>
    </w:p>
    <w:p w14:paraId="6EC4F9DC" w14:textId="77777777" w:rsidR="00E54383" w:rsidRDefault="00E54383">
      <w:pPr>
        <w:rPr>
          <w:rFonts w:asciiTheme="majorHAnsi" w:hAnsiTheme="majorHAnsi" w:cs="宋体"/>
          <w:szCs w:val="22"/>
          <w:lang w:eastAsia="zh-TW"/>
        </w:rPr>
      </w:pPr>
    </w:p>
    <w:p w14:paraId="75CF9BE0" w14:textId="2B7555E7" w:rsidR="00E54383" w:rsidRDefault="00F658A1">
      <w:pPr>
        <w:rPr>
          <w:rFonts w:asciiTheme="majorHAnsi" w:hAnsiTheme="majorHAnsi" w:cs="宋体"/>
          <w:lang w:eastAsia="zh-CN"/>
        </w:rPr>
      </w:pPr>
      <w:r>
        <w:rPr>
          <w:rFonts w:asciiTheme="majorHAnsi" w:hAnsiTheme="majorHAnsi" w:cs="宋体"/>
          <w:lang w:eastAsia="zh-TW"/>
        </w:rPr>
        <w:t>“</w:t>
      </w:r>
      <w:r>
        <w:rPr>
          <w:rFonts w:asciiTheme="majorHAnsi" w:hAnsiTheme="majorHAnsi" w:cs="宋体" w:hint="eastAsia"/>
          <w:lang w:eastAsia="zh-TW"/>
        </w:rPr>
        <w:t>基於上半年的優異經營表現，我們上調了集團及粘合劑技術業務部的全年營收增長預期。在集團層面，現預計有機銷售額增長在</w:t>
      </w:r>
      <w:r>
        <w:rPr>
          <w:rFonts w:asciiTheme="majorHAnsi" w:hAnsiTheme="majorHAnsi" w:cs="宋体"/>
          <w:lang w:eastAsia="zh-TW"/>
        </w:rPr>
        <w:t>1.5% – 3.5%</w:t>
      </w:r>
      <w:r>
        <w:rPr>
          <w:rFonts w:asciiTheme="majorHAnsi" w:hAnsiTheme="majorHAnsi" w:cs="宋体" w:hint="eastAsia"/>
          <w:lang w:eastAsia="zh-TW"/>
        </w:rPr>
        <w:t>範圍內（此前為</w:t>
      </w:r>
      <w:r>
        <w:rPr>
          <w:rFonts w:asciiTheme="majorHAnsi" w:hAnsiTheme="majorHAnsi" w:cs="宋体"/>
          <w:lang w:eastAsia="zh-TW"/>
        </w:rPr>
        <w:t>1% – 3%</w:t>
      </w:r>
      <w:r>
        <w:rPr>
          <w:rFonts w:asciiTheme="majorHAnsi" w:hAnsiTheme="majorHAnsi" w:cs="宋体" w:hint="eastAsia"/>
          <w:lang w:eastAsia="zh-TW"/>
        </w:rPr>
        <w:t>）。粘合劑技術業務部的有機銷售額增長預期由</w:t>
      </w:r>
      <w:r>
        <w:rPr>
          <w:rFonts w:asciiTheme="majorHAnsi" w:hAnsiTheme="majorHAnsi" w:cs="宋体"/>
          <w:lang w:eastAsia="zh-TW"/>
        </w:rPr>
        <w:t>1% – 3%</w:t>
      </w:r>
      <w:r>
        <w:rPr>
          <w:rFonts w:asciiTheme="majorHAnsi" w:hAnsiTheme="majorHAnsi" w:cs="宋体" w:hint="eastAsia"/>
          <w:lang w:eastAsia="zh-TW"/>
        </w:rPr>
        <w:t>上調至</w:t>
      </w:r>
      <w:r>
        <w:rPr>
          <w:rFonts w:asciiTheme="majorHAnsi" w:hAnsiTheme="majorHAnsi" w:cs="宋体"/>
          <w:lang w:eastAsia="zh-TW"/>
        </w:rPr>
        <w:t>2% – 4%</w:t>
      </w:r>
      <w:r>
        <w:rPr>
          <w:rFonts w:asciiTheme="majorHAnsi" w:hAnsiTheme="majorHAnsi" w:cs="宋体" w:hint="eastAsia"/>
          <w:lang w:eastAsia="zh-TW"/>
        </w:rPr>
        <w:t>。因此，我們相信漢高正按計劃持續推進</w:t>
      </w:r>
      <w:r w:rsidR="0047218A">
        <w:rPr>
          <w:rFonts w:asciiTheme="majorHAnsi" w:hAnsiTheme="majorHAnsi" w:cs="宋体" w:hint="eastAsia"/>
          <w:lang w:eastAsia="zh-TW"/>
        </w:rPr>
        <w:t>永續</w:t>
      </w:r>
      <w:r>
        <w:rPr>
          <w:rFonts w:asciiTheme="majorHAnsi" w:hAnsiTheme="majorHAnsi" w:cs="宋体" w:hint="eastAsia"/>
          <w:lang w:eastAsia="zh-TW"/>
        </w:rPr>
        <w:t>且盈利的增長。</w:t>
      </w:r>
      <w:r>
        <w:rPr>
          <w:rFonts w:asciiTheme="majorHAnsi" w:hAnsiTheme="majorHAnsi" w:cs="宋体"/>
          <w:lang w:eastAsia="zh-TW"/>
        </w:rPr>
        <w:t>”</w:t>
      </w:r>
    </w:p>
    <w:p w14:paraId="02715818" w14:textId="77777777" w:rsidR="0080085A" w:rsidRDefault="0080085A">
      <w:pPr>
        <w:rPr>
          <w:rFonts w:asciiTheme="majorHAnsi" w:hAnsiTheme="majorHAnsi" w:cs="宋体"/>
          <w:szCs w:val="22"/>
          <w:lang w:eastAsia="zh-CN"/>
        </w:rPr>
      </w:pPr>
    </w:p>
    <w:p w14:paraId="389BC694" w14:textId="0FFD787F" w:rsidR="00E54383" w:rsidRDefault="00FB413E" w:rsidP="003133BD">
      <w:pPr>
        <w:spacing w:after="120"/>
        <w:jc w:val="center"/>
        <w:rPr>
          <w:rFonts w:asciiTheme="majorHAnsi" w:hAnsiTheme="majorHAnsi" w:cs="宋体"/>
          <w:b/>
          <w:bCs/>
          <w:szCs w:val="22"/>
          <w:lang w:eastAsia="zh-CN"/>
        </w:rPr>
      </w:pPr>
      <w:r>
        <w:rPr>
          <w:rFonts w:asciiTheme="majorHAnsi" w:hAnsiTheme="majorHAnsi" w:cs="宋体"/>
          <w:noProof/>
        </w:rPr>
        <w:lastRenderedPageBreak/>
        <w:drawing>
          <wp:inline distT="0" distB="0" distL="0" distR="0" wp14:anchorId="0A0458B6" wp14:editId="18B31548">
            <wp:extent cx="2856393" cy="2016000"/>
            <wp:effectExtent l="0" t="0" r="1270" b="3810"/>
            <wp:docPr id="1498115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6393" cy="2016000"/>
                    </a:xfrm>
                    <a:prstGeom prst="rect">
                      <a:avLst/>
                    </a:prstGeom>
                    <a:noFill/>
                    <a:ln>
                      <a:noFill/>
                    </a:ln>
                  </pic:spPr>
                </pic:pic>
              </a:graphicData>
            </a:graphic>
          </wp:inline>
        </w:drawing>
      </w:r>
    </w:p>
    <w:p w14:paraId="5173DEDA" w14:textId="2A4935F7" w:rsidR="003133BD" w:rsidRPr="003133BD" w:rsidRDefault="00F658A1" w:rsidP="003133BD">
      <w:pPr>
        <w:spacing w:after="120"/>
        <w:jc w:val="center"/>
        <w:rPr>
          <w:rFonts w:asciiTheme="majorHAnsi" w:hAnsiTheme="majorHAnsi" w:cs="宋体"/>
          <w:sz w:val="20"/>
          <w:szCs w:val="20"/>
          <w:lang w:eastAsia="zh-CN"/>
        </w:rPr>
      </w:pPr>
      <w:r w:rsidRPr="003133BD">
        <w:rPr>
          <w:rFonts w:asciiTheme="majorHAnsi" w:hAnsiTheme="majorHAnsi" w:cs="宋体" w:hint="eastAsia"/>
          <w:sz w:val="20"/>
          <w:szCs w:val="20"/>
          <w:lang w:eastAsia="zh-TW"/>
        </w:rPr>
        <w:t>漢高發佈</w:t>
      </w:r>
      <w:r w:rsidRPr="003133BD">
        <w:rPr>
          <w:rFonts w:asciiTheme="majorHAnsi" w:hAnsiTheme="majorHAnsi" w:cs="宋体"/>
          <w:sz w:val="20"/>
          <w:szCs w:val="20"/>
          <w:lang w:eastAsia="zh-TW"/>
        </w:rPr>
        <w:t>2026</w:t>
      </w:r>
      <w:r w:rsidRPr="003133BD">
        <w:rPr>
          <w:rFonts w:asciiTheme="majorHAnsi" w:hAnsiTheme="majorHAnsi" w:cs="宋体" w:hint="eastAsia"/>
          <w:sz w:val="20"/>
          <w:szCs w:val="20"/>
          <w:lang w:eastAsia="zh-TW"/>
        </w:rPr>
        <w:t>財年半年報</w:t>
      </w:r>
    </w:p>
    <w:p w14:paraId="5755740C" w14:textId="77777777" w:rsidR="003133BD" w:rsidRPr="003133BD" w:rsidRDefault="003133BD" w:rsidP="003133BD">
      <w:pPr>
        <w:spacing w:after="120"/>
        <w:jc w:val="center"/>
        <w:rPr>
          <w:rFonts w:asciiTheme="majorHAnsi" w:hAnsiTheme="majorHAnsi" w:cs="宋体"/>
          <w:b/>
          <w:bCs/>
          <w:sz w:val="20"/>
          <w:szCs w:val="20"/>
          <w:lang w:eastAsia="zh-CN"/>
        </w:rPr>
      </w:pPr>
    </w:p>
    <w:p w14:paraId="2081D4F2" w14:textId="77777777" w:rsidR="006C0D0A" w:rsidRDefault="006C0D0A" w:rsidP="00564B53">
      <w:pPr>
        <w:spacing w:after="120"/>
        <w:jc w:val="left"/>
        <w:rPr>
          <w:rFonts w:asciiTheme="majorHAnsi" w:hAnsiTheme="majorHAnsi" w:cs="宋体"/>
          <w:b/>
          <w:bCs/>
          <w:szCs w:val="22"/>
          <w:lang w:eastAsia="de-DE"/>
        </w:rPr>
      </w:pPr>
    </w:p>
    <w:p w14:paraId="55FF9D04" w14:textId="66198CEE" w:rsidR="00E54383" w:rsidRDefault="00F658A1" w:rsidP="00564B53">
      <w:pPr>
        <w:spacing w:after="120"/>
        <w:jc w:val="left"/>
        <w:rPr>
          <w:rFonts w:asciiTheme="majorHAnsi" w:hAnsiTheme="majorHAnsi" w:cs="宋体"/>
          <w:b/>
          <w:bCs/>
          <w:szCs w:val="22"/>
          <w:lang w:eastAsia="de-DE"/>
        </w:rPr>
      </w:pPr>
      <w:r>
        <w:rPr>
          <w:rFonts w:asciiTheme="majorHAnsi" w:hAnsiTheme="majorHAnsi" w:cs="宋体"/>
          <w:b/>
          <w:lang w:eastAsia="zh-TW"/>
        </w:rPr>
        <w:t>2026</w:t>
      </w:r>
      <w:r>
        <w:rPr>
          <w:rFonts w:asciiTheme="majorHAnsi" w:hAnsiTheme="majorHAnsi" w:cs="宋体" w:hint="eastAsia"/>
          <w:b/>
          <w:lang w:eastAsia="zh-TW"/>
        </w:rPr>
        <w:t>年上半年集團銷售額及盈利表現</w:t>
      </w:r>
    </w:p>
    <w:p w14:paraId="4F6E467C" w14:textId="14E04261" w:rsidR="00E54383" w:rsidRDefault="00F658A1">
      <w:pPr>
        <w:rPr>
          <w:rFonts w:asciiTheme="majorHAnsi" w:hAnsiTheme="majorHAnsi" w:cs="宋体"/>
          <w:szCs w:val="22"/>
          <w:lang w:eastAsia="zh-CN"/>
        </w:rPr>
      </w:pPr>
      <w:r>
        <w:rPr>
          <w:rFonts w:asciiTheme="majorHAnsi" w:hAnsiTheme="majorHAnsi" w:cs="宋体" w:hint="eastAsia"/>
          <w:lang w:eastAsia="zh-TW"/>
        </w:rPr>
        <w:t>漢高集團</w:t>
      </w:r>
      <w:r>
        <w:rPr>
          <w:rFonts w:asciiTheme="majorHAnsi" w:hAnsiTheme="majorHAnsi" w:cs="宋体"/>
          <w:lang w:eastAsia="zh-TW"/>
        </w:rPr>
        <w:t>2026</w:t>
      </w:r>
      <w:r>
        <w:rPr>
          <w:rFonts w:asciiTheme="majorHAnsi" w:hAnsiTheme="majorHAnsi" w:cs="宋体" w:hint="eastAsia"/>
          <w:lang w:eastAsia="zh-TW"/>
        </w:rPr>
        <w:t>財年上半年的</w:t>
      </w:r>
      <w:r>
        <w:rPr>
          <w:rFonts w:asciiTheme="majorHAnsi" w:hAnsiTheme="majorHAnsi" w:cs="宋体" w:hint="eastAsia"/>
          <w:b/>
          <w:lang w:eastAsia="zh-TW"/>
        </w:rPr>
        <w:t>銷售額</w:t>
      </w:r>
      <w:r>
        <w:rPr>
          <w:rFonts w:asciiTheme="majorHAnsi" w:hAnsiTheme="majorHAnsi" w:cs="宋体" w:hint="eastAsia"/>
          <w:lang w:eastAsia="zh-TW"/>
        </w:rPr>
        <w:t>達</w:t>
      </w:r>
      <w:r>
        <w:rPr>
          <w:rFonts w:asciiTheme="majorHAnsi" w:hAnsiTheme="majorHAnsi" w:cs="宋体"/>
          <w:lang w:eastAsia="zh-TW"/>
        </w:rPr>
        <w:t>103.48</w:t>
      </w:r>
      <w:r>
        <w:rPr>
          <w:rFonts w:asciiTheme="majorHAnsi" w:hAnsiTheme="majorHAnsi" w:cs="宋体" w:hint="eastAsia"/>
          <w:lang w:eastAsia="zh-TW"/>
        </w:rPr>
        <w:t>億歐元，名義同比下降</w:t>
      </w:r>
      <w:r>
        <w:rPr>
          <w:rFonts w:asciiTheme="majorHAnsi" w:hAnsiTheme="majorHAnsi" w:cs="宋体"/>
          <w:lang w:eastAsia="zh-TW"/>
        </w:rPr>
        <w:t>0.5%</w:t>
      </w:r>
      <w:r>
        <w:rPr>
          <w:rFonts w:asciiTheme="majorHAnsi" w:hAnsiTheme="majorHAnsi" w:cs="宋体" w:hint="eastAsia"/>
          <w:lang w:eastAsia="zh-TW"/>
        </w:rPr>
        <w:t>（第二季度：</w:t>
      </w:r>
      <w:r>
        <w:rPr>
          <w:rFonts w:asciiTheme="majorHAnsi" w:hAnsiTheme="majorHAnsi" w:cs="宋体"/>
          <w:lang w:eastAsia="zh-TW"/>
        </w:rPr>
        <w:t xml:space="preserve">53.96 </w:t>
      </w:r>
      <w:r>
        <w:rPr>
          <w:rFonts w:asciiTheme="majorHAnsi" w:hAnsiTheme="majorHAnsi" w:cs="宋体" w:hint="eastAsia"/>
          <w:lang w:eastAsia="zh-TW"/>
        </w:rPr>
        <w:t>億歐元，增長</w:t>
      </w:r>
      <w:r>
        <w:rPr>
          <w:rFonts w:asciiTheme="majorHAnsi" w:hAnsiTheme="majorHAnsi" w:cs="宋体"/>
          <w:lang w:eastAsia="zh-TW"/>
        </w:rPr>
        <w:t>4.6%</w:t>
      </w:r>
      <w:r>
        <w:rPr>
          <w:rFonts w:asciiTheme="majorHAnsi" w:hAnsiTheme="majorHAnsi" w:cs="宋体" w:hint="eastAsia"/>
          <w:lang w:eastAsia="zh-TW"/>
        </w:rPr>
        <w:t>）。匯率因素導致銷售額下滑</w:t>
      </w:r>
      <w:r>
        <w:rPr>
          <w:rFonts w:asciiTheme="majorHAnsi" w:hAnsiTheme="majorHAnsi" w:cs="宋体"/>
          <w:lang w:eastAsia="zh-TW"/>
        </w:rPr>
        <w:t>3.9%</w:t>
      </w:r>
      <w:r>
        <w:rPr>
          <w:rFonts w:asciiTheme="majorHAnsi" w:hAnsiTheme="majorHAnsi" w:cs="宋体" w:hint="eastAsia"/>
          <w:lang w:eastAsia="zh-TW"/>
        </w:rPr>
        <w:t>（第二季度：下滑</w:t>
      </w:r>
      <w:r>
        <w:rPr>
          <w:rFonts w:asciiTheme="majorHAnsi" w:hAnsiTheme="majorHAnsi" w:cs="宋体"/>
          <w:lang w:eastAsia="zh-TW"/>
        </w:rPr>
        <w:t>2.6%</w:t>
      </w:r>
      <w:r>
        <w:rPr>
          <w:rFonts w:asciiTheme="majorHAnsi" w:hAnsiTheme="majorHAnsi" w:cs="宋体" w:hint="eastAsia"/>
          <w:lang w:eastAsia="zh-TW"/>
        </w:rPr>
        <w:t>）。收購</w:t>
      </w:r>
      <w:r>
        <w:rPr>
          <w:rFonts w:asciiTheme="majorHAnsi" w:hAnsiTheme="majorHAnsi" w:cs="宋体"/>
          <w:lang w:eastAsia="zh-TW"/>
        </w:rPr>
        <w:t>/</w:t>
      </w:r>
      <w:r>
        <w:rPr>
          <w:rFonts w:asciiTheme="majorHAnsi" w:hAnsiTheme="majorHAnsi" w:cs="宋体" w:hint="eastAsia"/>
          <w:lang w:eastAsia="zh-TW"/>
        </w:rPr>
        <w:t>撤資導致銷售額小幅增長</w:t>
      </w:r>
      <w:r>
        <w:rPr>
          <w:rFonts w:asciiTheme="majorHAnsi" w:hAnsiTheme="majorHAnsi" w:cs="宋体"/>
          <w:lang w:eastAsia="zh-TW"/>
        </w:rPr>
        <w:t>0.2%</w:t>
      </w:r>
      <w:r>
        <w:rPr>
          <w:rFonts w:asciiTheme="majorHAnsi" w:hAnsiTheme="majorHAnsi" w:cs="宋体" w:hint="eastAsia"/>
          <w:lang w:eastAsia="zh-TW"/>
        </w:rPr>
        <w:t>（第二季度：增長</w:t>
      </w:r>
      <w:r>
        <w:rPr>
          <w:rFonts w:asciiTheme="majorHAnsi" w:hAnsiTheme="majorHAnsi" w:cs="宋体"/>
          <w:lang w:eastAsia="zh-TW"/>
        </w:rPr>
        <w:t>2.5%</w:t>
      </w:r>
      <w:r>
        <w:rPr>
          <w:rFonts w:asciiTheme="majorHAnsi" w:hAnsiTheme="majorHAnsi" w:cs="宋体" w:hint="eastAsia"/>
          <w:lang w:eastAsia="zh-TW"/>
        </w:rPr>
        <w:t>）。儘管</w:t>
      </w:r>
      <w:r>
        <w:rPr>
          <w:rFonts w:asciiTheme="majorHAnsi" w:hAnsiTheme="majorHAnsi" w:cs="宋体"/>
          <w:lang w:eastAsia="zh-TW"/>
        </w:rPr>
        <w:t>2025</w:t>
      </w:r>
      <w:r>
        <w:rPr>
          <w:rFonts w:asciiTheme="majorHAnsi" w:hAnsiTheme="majorHAnsi" w:cs="宋体" w:hint="eastAsia"/>
          <w:lang w:eastAsia="zh-TW"/>
        </w:rPr>
        <w:t>年</w:t>
      </w:r>
      <w:r>
        <w:rPr>
          <w:rFonts w:asciiTheme="majorHAnsi" w:hAnsiTheme="majorHAnsi" w:cs="宋体"/>
          <w:lang w:eastAsia="zh-TW"/>
        </w:rPr>
        <w:t>4</w:t>
      </w:r>
      <w:r>
        <w:rPr>
          <w:rFonts w:asciiTheme="majorHAnsi" w:hAnsiTheme="majorHAnsi" w:cs="宋体" w:hint="eastAsia"/>
          <w:lang w:eastAsia="zh-TW"/>
        </w:rPr>
        <w:t>月剝離北美零售品牌業務帶來負面影響，但</w:t>
      </w:r>
      <w:r>
        <w:rPr>
          <w:rFonts w:asciiTheme="majorHAnsi" w:hAnsiTheme="majorHAnsi" w:cs="宋体"/>
          <w:lang w:eastAsia="zh-TW"/>
        </w:rPr>
        <w:t>2026</w:t>
      </w:r>
      <w:r>
        <w:rPr>
          <w:rFonts w:asciiTheme="majorHAnsi" w:hAnsiTheme="majorHAnsi" w:cs="宋体" w:hint="eastAsia"/>
          <w:lang w:eastAsia="zh-TW"/>
        </w:rPr>
        <w:t>年上半年兩大業務部門完成的收購項目，尤其是</w:t>
      </w:r>
      <w:r>
        <w:rPr>
          <w:rFonts w:asciiTheme="majorHAnsi" w:hAnsiTheme="majorHAnsi" w:cs="宋体"/>
          <w:lang w:eastAsia="zh-TW"/>
        </w:rPr>
        <w:t>ATP Adhesive Systems</w:t>
      </w:r>
      <w:r>
        <w:rPr>
          <w:rFonts w:asciiTheme="majorHAnsi" w:hAnsiTheme="majorHAnsi" w:cs="宋体" w:hint="eastAsia"/>
          <w:lang w:eastAsia="zh-TW"/>
        </w:rPr>
        <w:t>與</w:t>
      </w:r>
      <w:r>
        <w:rPr>
          <w:rFonts w:asciiTheme="majorHAnsi" w:hAnsiTheme="majorHAnsi" w:cs="宋体"/>
          <w:lang w:eastAsia="zh-TW"/>
        </w:rPr>
        <w:t>Not Your Mother’s</w:t>
      </w:r>
      <w:r>
        <w:rPr>
          <w:rFonts w:asciiTheme="majorHAnsi" w:hAnsiTheme="majorHAnsi" w:cs="宋体" w:hint="eastAsia"/>
          <w:lang w:eastAsia="zh-TW"/>
        </w:rPr>
        <w:t>已對業績實現了積極貢獻。剔除匯率及收購</w:t>
      </w:r>
      <w:r>
        <w:rPr>
          <w:rFonts w:asciiTheme="majorHAnsi" w:hAnsiTheme="majorHAnsi" w:cs="宋体"/>
          <w:lang w:eastAsia="zh-TW"/>
        </w:rPr>
        <w:t>/</w:t>
      </w:r>
      <w:r>
        <w:rPr>
          <w:rFonts w:asciiTheme="majorHAnsi" w:hAnsiTheme="majorHAnsi" w:cs="宋体" w:hint="eastAsia"/>
          <w:lang w:eastAsia="zh-TW"/>
        </w:rPr>
        <w:t>剝離影響後，漢高上半年實現</w:t>
      </w:r>
      <w:r>
        <w:rPr>
          <w:rFonts w:asciiTheme="majorHAnsi" w:hAnsiTheme="majorHAnsi" w:cs="宋体"/>
          <w:lang w:eastAsia="zh-TW"/>
        </w:rPr>
        <w:t>3.2%</w:t>
      </w:r>
      <w:r>
        <w:rPr>
          <w:rFonts w:asciiTheme="majorHAnsi" w:hAnsiTheme="majorHAnsi" w:cs="宋体" w:hint="eastAsia"/>
          <w:lang w:eastAsia="zh-TW"/>
        </w:rPr>
        <w:t>的強勁有機銷售增長（第二季度：增長</w:t>
      </w:r>
      <w:r>
        <w:rPr>
          <w:rFonts w:asciiTheme="majorHAnsi" w:hAnsiTheme="majorHAnsi" w:cs="宋体"/>
          <w:lang w:eastAsia="zh-TW"/>
        </w:rPr>
        <w:t>4.7%</w:t>
      </w:r>
      <w:r>
        <w:rPr>
          <w:rFonts w:asciiTheme="majorHAnsi" w:hAnsiTheme="majorHAnsi" w:cs="宋体" w:hint="eastAsia"/>
          <w:lang w:eastAsia="zh-TW"/>
        </w:rPr>
        <w:t>）。</w:t>
      </w:r>
    </w:p>
    <w:p w14:paraId="5492DD7C" w14:textId="77777777" w:rsidR="00E54383" w:rsidRDefault="00E54383">
      <w:pPr>
        <w:rPr>
          <w:rFonts w:asciiTheme="majorHAnsi" w:hAnsiTheme="majorHAnsi" w:cs="宋体"/>
          <w:szCs w:val="22"/>
          <w:lang w:eastAsia="zh-CN"/>
        </w:rPr>
      </w:pPr>
    </w:p>
    <w:p w14:paraId="6F545E36" w14:textId="7196CA75" w:rsidR="00564B53" w:rsidRDefault="00F658A1" w:rsidP="00564B53">
      <w:pPr>
        <w:rPr>
          <w:rFonts w:asciiTheme="majorHAnsi" w:hAnsiTheme="majorHAnsi" w:cs="宋体"/>
          <w:szCs w:val="22"/>
          <w:lang w:eastAsia="zh-TW"/>
        </w:rPr>
      </w:pPr>
      <w:r>
        <w:rPr>
          <w:rFonts w:asciiTheme="majorHAnsi" w:hAnsiTheme="majorHAnsi" w:cs="宋体"/>
          <w:lang w:eastAsia="zh-TW"/>
        </w:rPr>
        <w:t>2026</w:t>
      </w:r>
      <w:r>
        <w:rPr>
          <w:rFonts w:asciiTheme="majorHAnsi" w:hAnsiTheme="majorHAnsi" w:cs="宋体" w:hint="eastAsia"/>
          <w:lang w:eastAsia="zh-TW"/>
        </w:rPr>
        <w:t>年上半年，</w:t>
      </w:r>
      <w:r>
        <w:rPr>
          <w:rFonts w:asciiTheme="majorHAnsi" w:hAnsiTheme="majorHAnsi" w:cs="宋体" w:hint="eastAsia"/>
          <w:b/>
          <w:lang w:eastAsia="zh-TW"/>
        </w:rPr>
        <w:t>粘合劑技術</w:t>
      </w:r>
      <w:r>
        <w:rPr>
          <w:rFonts w:asciiTheme="majorHAnsi" w:hAnsiTheme="majorHAnsi" w:cs="宋体" w:hint="eastAsia"/>
          <w:lang w:eastAsia="zh-TW"/>
        </w:rPr>
        <w:t>業務部實現非常強勁的有機銷售增長，達</w:t>
      </w:r>
      <w:r>
        <w:rPr>
          <w:rFonts w:asciiTheme="majorHAnsi" w:hAnsiTheme="majorHAnsi" w:cs="宋体"/>
          <w:lang w:eastAsia="zh-TW"/>
        </w:rPr>
        <w:t>4.5%</w:t>
      </w:r>
      <w:r>
        <w:rPr>
          <w:rFonts w:asciiTheme="majorHAnsi" w:hAnsiTheme="majorHAnsi" w:cs="宋体" w:hint="eastAsia"/>
          <w:lang w:eastAsia="zh-TW"/>
        </w:rPr>
        <w:t>（第二季度：增長</w:t>
      </w:r>
      <w:r>
        <w:rPr>
          <w:rFonts w:asciiTheme="majorHAnsi" w:hAnsiTheme="majorHAnsi" w:cs="宋体"/>
          <w:lang w:eastAsia="zh-TW"/>
        </w:rPr>
        <w:t>7.4%</w:t>
      </w:r>
      <w:r>
        <w:rPr>
          <w:rFonts w:asciiTheme="majorHAnsi" w:hAnsiTheme="majorHAnsi" w:cs="宋体" w:hint="eastAsia"/>
          <w:lang w:eastAsia="zh-TW"/>
        </w:rPr>
        <w:t>），主要由移動與電子業務領域所驅動。</w:t>
      </w:r>
      <w:r>
        <w:rPr>
          <w:rFonts w:asciiTheme="majorHAnsi" w:hAnsiTheme="majorHAnsi" w:cs="宋体" w:hint="eastAsia"/>
          <w:b/>
          <w:lang w:eastAsia="zh-TW"/>
        </w:rPr>
        <w:t>消費品牌</w:t>
      </w:r>
      <w:r>
        <w:rPr>
          <w:rFonts w:asciiTheme="majorHAnsi" w:hAnsiTheme="majorHAnsi" w:cs="宋体" w:hint="eastAsia"/>
          <w:lang w:eastAsia="zh-TW"/>
        </w:rPr>
        <w:t>業務部同樣取得積極進展，實現</w:t>
      </w:r>
      <w:r>
        <w:rPr>
          <w:rFonts w:asciiTheme="majorHAnsi" w:hAnsiTheme="majorHAnsi" w:cs="宋体"/>
          <w:lang w:eastAsia="zh-TW"/>
        </w:rPr>
        <w:t>1.7%</w:t>
      </w:r>
      <w:r>
        <w:rPr>
          <w:rFonts w:asciiTheme="majorHAnsi" w:hAnsiTheme="majorHAnsi" w:cs="宋体" w:hint="eastAsia"/>
          <w:lang w:eastAsia="zh-TW"/>
        </w:rPr>
        <w:t>的穩健有機銷售增長（第二季度：增長</w:t>
      </w:r>
      <w:r>
        <w:rPr>
          <w:rFonts w:asciiTheme="majorHAnsi" w:hAnsiTheme="majorHAnsi" w:cs="宋体"/>
          <w:lang w:eastAsia="zh-TW"/>
        </w:rPr>
        <w:t>1.6%</w:t>
      </w:r>
      <w:r>
        <w:rPr>
          <w:rFonts w:asciiTheme="majorHAnsi" w:hAnsiTheme="majorHAnsi" w:cs="宋体" w:hint="eastAsia"/>
          <w:lang w:eastAsia="zh-TW"/>
        </w:rPr>
        <w:t>），主要得益於美髮業務領域的強勁增長。</w:t>
      </w:r>
    </w:p>
    <w:p w14:paraId="70A1194C" w14:textId="77777777" w:rsidR="00564B53" w:rsidRDefault="00564B53">
      <w:pPr>
        <w:rPr>
          <w:rFonts w:asciiTheme="majorHAnsi" w:hAnsiTheme="majorHAnsi" w:cs="宋体"/>
          <w:szCs w:val="22"/>
          <w:lang w:eastAsia="zh-TW"/>
        </w:rPr>
      </w:pPr>
    </w:p>
    <w:p w14:paraId="4E00B3F9" w14:textId="7BF32D7B" w:rsidR="00E54383" w:rsidRDefault="00F658A1">
      <w:pPr>
        <w:rPr>
          <w:rFonts w:asciiTheme="majorHAnsi" w:hAnsiTheme="majorHAnsi" w:cs="宋体"/>
          <w:lang w:eastAsia="zh-TW"/>
        </w:rPr>
      </w:pPr>
      <w:r>
        <w:rPr>
          <w:rFonts w:asciiTheme="majorHAnsi" w:hAnsiTheme="majorHAnsi" w:cs="宋体" w:hint="eastAsia"/>
          <w:b/>
          <w:lang w:eastAsia="zh-TW"/>
        </w:rPr>
        <w:t>歐洲</w:t>
      </w:r>
      <w:r>
        <w:rPr>
          <w:rFonts w:asciiTheme="majorHAnsi" w:hAnsiTheme="majorHAnsi" w:cs="宋体" w:hint="eastAsia"/>
          <w:lang w:eastAsia="zh-TW"/>
        </w:rPr>
        <w:t>地區有機銷售額下滑</w:t>
      </w:r>
      <w:r>
        <w:rPr>
          <w:rFonts w:asciiTheme="majorHAnsi" w:hAnsiTheme="majorHAnsi" w:cs="宋体"/>
          <w:lang w:eastAsia="zh-TW"/>
        </w:rPr>
        <w:t>1.5%</w:t>
      </w:r>
      <w:r>
        <w:rPr>
          <w:rFonts w:asciiTheme="majorHAnsi" w:hAnsiTheme="majorHAnsi" w:cs="宋体" w:hint="eastAsia"/>
          <w:lang w:eastAsia="zh-TW"/>
        </w:rPr>
        <w:t>（第二季度：增長</w:t>
      </w:r>
      <w:r>
        <w:rPr>
          <w:rFonts w:asciiTheme="majorHAnsi" w:hAnsiTheme="majorHAnsi" w:cs="宋体"/>
          <w:lang w:eastAsia="zh-TW"/>
        </w:rPr>
        <w:t>0.4%</w:t>
      </w:r>
      <w:r>
        <w:rPr>
          <w:rFonts w:asciiTheme="majorHAnsi" w:hAnsiTheme="majorHAnsi" w:cs="宋体" w:hint="eastAsia"/>
          <w:lang w:eastAsia="zh-TW"/>
        </w:rPr>
        <w:t>）。與之相反，</w:t>
      </w:r>
      <w:r>
        <w:rPr>
          <w:rFonts w:asciiTheme="majorHAnsi" w:hAnsiTheme="majorHAnsi" w:cs="宋体" w:hint="eastAsia"/>
          <w:b/>
          <w:bCs/>
          <w:lang w:eastAsia="zh-TW"/>
        </w:rPr>
        <w:t>北美</w:t>
      </w:r>
      <w:r>
        <w:rPr>
          <w:rFonts w:asciiTheme="majorHAnsi" w:hAnsiTheme="majorHAnsi" w:cs="宋体" w:hint="eastAsia"/>
          <w:lang w:eastAsia="zh-TW"/>
        </w:rPr>
        <w:t>地區實現了</w:t>
      </w:r>
      <w:r>
        <w:rPr>
          <w:rFonts w:asciiTheme="majorHAnsi" w:hAnsiTheme="majorHAnsi" w:cs="宋体"/>
          <w:lang w:eastAsia="zh-TW"/>
        </w:rPr>
        <w:t>2.4%</w:t>
      </w:r>
      <w:r>
        <w:rPr>
          <w:rFonts w:asciiTheme="majorHAnsi" w:hAnsiTheme="majorHAnsi" w:cs="宋体" w:hint="eastAsia"/>
          <w:lang w:eastAsia="zh-TW"/>
        </w:rPr>
        <w:t>的穩健有機銷售額增長（第二季度：增長</w:t>
      </w:r>
      <w:r>
        <w:rPr>
          <w:rFonts w:asciiTheme="majorHAnsi" w:hAnsiTheme="majorHAnsi" w:cs="宋体"/>
          <w:lang w:eastAsia="zh-TW"/>
        </w:rPr>
        <w:t>3.9%</w:t>
      </w:r>
      <w:r>
        <w:rPr>
          <w:rFonts w:asciiTheme="majorHAnsi" w:hAnsiTheme="majorHAnsi" w:cs="宋体" w:hint="eastAsia"/>
          <w:lang w:eastAsia="zh-TW"/>
        </w:rPr>
        <w:t>）。</w:t>
      </w:r>
      <w:r>
        <w:rPr>
          <w:rFonts w:asciiTheme="majorHAnsi" w:hAnsiTheme="majorHAnsi" w:cs="宋体" w:hint="eastAsia"/>
          <w:b/>
          <w:lang w:eastAsia="zh-TW"/>
        </w:rPr>
        <w:t>印度、中東和非洲</w:t>
      </w:r>
      <w:r>
        <w:rPr>
          <w:rFonts w:asciiTheme="majorHAnsi" w:hAnsiTheme="majorHAnsi" w:cs="宋体" w:hint="eastAsia"/>
          <w:lang w:eastAsia="zh-TW"/>
        </w:rPr>
        <w:t>地區及</w:t>
      </w:r>
      <w:r>
        <w:rPr>
          <w:rFonts w:asciiTheme="majorHAnsi" w:hAnsiTheme="majorHAnsi" w:cs="宋体" w:hint="eastAsia"/>
          <w:b/>
          <w:lang w:eastAsia="zh-TW"/>
        </w:rPr>
        <w:t>亞太</w:t>
      </w:r>
      <w:r>
        <w:rPr>
          <w:rFonts w:asciiTheme="majorHAnsi" w:hAnsiTheme="majorHAnsi" w:cs="宋体" w:hint="eastAsia"/>
          <w:lang w:eastAsia="zh-TW"/>
        </w:rPr>
        <w:t>地區分別實現</w:t>
      </w:r>
      <w:r>
        <w:rPr>
          <w:rFonts w:asciiTheme="majorHAnsi" w:hAnsiTheme="majorHAnsi" w:cs="宋体"/>
          <w:lang w:eastAsia="zh-TW"/>
        </w:rPr>
        <w:t>14.9%</w:t>
      </w:r>
      <w:r>
        <w:rPr>
          <w:rFonts w:asciiTheme="majorHAnsi" w:hAnsiTheme="majorHAnsi" w:cs="宋体" w:hint="eastAsia"/>
          <w:lang w:eastAsia="zh-TW"/>
        </w:rPr>
        <w:t>（第二季度：增長</w:t>
      </w:r>
      <w:r>
        <w:rPr>
          <w:rFonts w:asciiTheme="majorHAnsi" w:hAnsiTheme="majorHAnsi" w:cs="宋体"/>
          <w:lang w:eastAsia="zh-TW"/>
        </w:rPr>
        <w:t>17.4%</w:t>
      </w:r>
      <w:r>
        <w:rPr>
          <w:rFonts w:asciiTheme="majorHAnsi" w:hAnsiTheme="majorHAnsi" w:cs="宋体" w:hint="eastAsia"/>
          <w:lang w:eastAsia="zh-TW"/>
        </w:rPr>
        <w:t>）與</w:t>
      </w:r>
      <w:r>
        <w:rPr>
          <w:rFonts w:asciiTheme="majorHAnsi" w:hAnsiTheme="majorHAnsi" w:cs="宋体"/>
          <w:lang w:eastAsia="zh-TW"/>
        </w:rPr>
        <w:t>10.3%</w:t>
      </w:r>
      <w:r>
        <w:rPr>
          <w:rFonts w:asciiTheme="majorHAnsi" w:hAnsiTheme="majorHAnsi" w:cs="宋体" w:hint="eastAsia"/>
          <w:lang w:eastAsia="zh-TW"/>
        </w:rPr>
        <w:t>（第二季度：增長</w:t>
      </w:r>
      <w:r>
        <w:rPr>
          <w:rFonts w:asciiTheme="majorHAnsi" w:hAnsiTheme="majorHAnsi" w:cs="宋体"/>
          <w:lang w:eastAsia="zh-TW"/>
        </w:rPr>
        <w:t>10.3%</w:t>
      </w:r>
      <w:r>
        <w:rPr>
          <w:rFonts w:asciiTheme="majorHAnsi" w:hAnsiTheme="majorHAnsi" w:cs="宋体" w:hint="eastAsia"/>
          <w:lang w:eastAsia="zh-TW"/>
        </w:rPr>
        <w:t>）的兩位數有機銷售額增長。而</w:t>
      </w:r>
      <w:r>
        <w:rPr>
          <w:rFonts w:asciiTheme="majorHAnsi" w:hAnsiTheme="majorHAnsi" w:cs="宋体" w:hint="eastAsia"/>
          <w:b/>
          <w:lang w:eastAsia="zh-TW"/>
        </w:rPr>
        <w:t>拉美</w:t>
      </w:r>
      <w:r>
        <w:rPr>
          <w:rFonts w:asciiTheme="majorHAnsi" w:hAnsiTheme="majorHAnsi" w:cs="宋体" w:hint="eastAsia"/>
          <w:lang w:eastAsia="zh-TW"/>
        </w:rPr>
        <w:t>地區的有機銷售額則出現</w:t>
      </w:r>
      <w:r>
        <w:rPr>
          <w:rFonts w:asciiTheme="majorHAnsi" w:hAnsiTheme="majorHAnsi" w:cs="宋体"/>
          <w:lang w:eastAsia="zh-TW"/>
        </w:rPr>
        <w:t>1.3%</w:t>
      </w:r>
      <w:r>
        <w:rPr>
          <w:rFonts w:asciiTheme="majorHAnsi" w:hAnsiTheme="majorHAnsi" w:cs="宋体" w:hint="eastAsia"/>
          <w:lang w:eastAsia="zh-TW"/>
        </w:rPr>
        <w:t>的小幅下滑（第二季度：增長</w:t>
      </w:r>
      <w:r>
        <w:rPr>
          <w:rFonts w:asciiTheme="majorHAnsi" w:hAnsiTheme="majorHAnsi" w:cs="宋体"/>
          <w:lang w:eastAsia="zh-TW"/>
        </w:rPr>
        <w:t>0.5%</w:t>
      </w:r>
      <w:r>
        <w:rPr>
          <w:rFonts w:asciiTheme="majorHAnsi" w:hAnsiTheme="majorHAnsi" w:cs="宋体" w:hint="eastAsia"/>
          <w:lang w:eastAsia="zh-TW"/>
        </w:rPr>
        <w:t>）。</w:t>
      </w:r>
    </w:p>
    <w:p w14:paraId="0C053E69" w14:textId="77777777" w:rsidR="00E54383" w:rsidRDefault="00E54383">
      <w:pPr>
        <w:rPr>
          <w:rFonts w:asciiTheme="majorHAnsi" w:hAnsiTheme="majorHAnsi" w:cs="宋体"/>
          <w:lang w:eastAsia="zh-TW"/>
        </w:rPr>
      </w:pPr>
    </w:p>
    <w:p w14:paraId="4123C069" w14:textId="0EBFD7E5" w:rsidR="00E54383" w:rsidRDefault="00F658A1">
      <w:pPr>
        <w:rPr>
          <w:rFonts w:asciiTheme="majorHAnsi" w:hAnsiTheme="majorHAnsi" w:cs="宋体"/>
          <w:lang w:eastAsia="zh-TW"/>
        </w:rPr>
      </w:pPr>
      <w:r>
        <w:rPr>
          <w:rFonts w:asciiTheme="majorHAnsi" w:hAnsiTheme="majorHAnsi" w:cs="宋体" w:hint="eastAsia"/>
          <w:b/>
          <w:lang w:eastAsia="zh-TW"/>
        </w:rPr>
        <w:t>調整後的營業利潤（調整後息稅前利潤）</w:t>
      </w:r>
      <w:r>
        <w:rPr>
          <w:rFonts w:asciiTheme="majorHAnsi" w:hAnsiTheme="majorHAnsi" w:cs="宋体" w:hint="eastAsia"/>
          <w:lang w:eastAsia="zh-TW"/>
        </w:rPr>
        <w:t>達到</w:t>
      </w:r>
      <w:r>
        <w:rPr>
          <w:rFonts w:asciiTheme="majorHAnsi" w:hAnsiTheme="majorHAnsi" w:cs="宋体"/>
          <w:lang w:eastAsia="zh-TW"/>
        </w:rPr>
        <w:t>16.20</w:t>
      </w:r>
      <w:r>
        <w:rPr>
          <w:rFonts w:asciiTheme="majorHAnsi" w:hAnsiTheme="majorHAnsi" w:cs="宋体" w:hint="eastAsia"/>
          <w:lang w:eastAsia="zh-TW"/>
        </w:rPr>
        <w:t>億歐元，略高於上年同期的</w:t>
      </w:r>
      <w:r>
        <w:rPr>
          <w:rFonts w:asciiTheme="majorHAnsi" w:hAnsiTheme="majorHAnsi" w:cs="宋体"/>
          <w:lang w:eastAsia="zh-TW"/>
        </w:rPr>
        <w:t>16.14</w:t>
      </w:r>
      <w:r>
        <w:rPr>
          <w:rFonts w:asciiTheme="majorHAnsi" w:hAnsiTheme="majorHAnsi" w:cs="宋体" w:hint="eastAsia"/>
          <w:lang w:eastAsia="zh-TW"/>
        </w:rPr>
        <w:t>億歐元。</w:t>
      </w:r>
    </w:p>
    <w:p w14:paraId="13996592" w14:textId="77777777" w:rsidR="00E54383" w:rsidRDefault="00E54383">
      <w:pPr>
        <w:rPr>
          <w:rFonts w:asciiTheme="majorHAnsi" w:hAnsiTheme="majorHAnsi" w:cs="宋体"/>
          <w:lang w:eastAsia="zh-TW"/>
        </w:rPr>
      </w:pPr>
    </w:p>
    <w:p w14:paraId="19EE24FE" w14:textId="67101F83" w:rsidR="00E54383" w:rsidRDefault="00F658A1">
      <w:pPr>
        <w:rPr>
          <w:rFonts w:asciiTheme="majorHAnsi" w:hAnsiTheme="majorHAnsi" w:cs="宋体"/>
          <w:lang w:eastAsia="zh-CN"/>
        </w:rPr>
      </w:pPr>
      <w:r>
        <w:rPr>
          <w:rFonts w:asciiTheme="majorHAnsi" w:hAnsiTheme="majorHAnsi" w:cs="宋体" w:hint="eastAsia"/>
          <w:lang w:eastAsia="zh-TW"/>
        </w:rPr>
        <w:t>漢高集</w:t>
      </w:r>
      <w:r>
        <w:rPr>
          <w:rFonts w:asciiTheme="majorHAnsi" w:hAnsiTheme="majorHAnsi" w:cs="宋体" w:hint="eastAsia"/>
          <w:bCs/>
          <w:lang w:eastAsia="zh-TW"/>
        </w:rPr>
        <w:t>團</w:t>
      </w:r>
      <w:r>
        <w:rPr>
          <w:rFonts w:asciiTheme="majorHAnsi" w:hAnsiTheme="majorHAnsi" w:cs="宋体" w:hint="eastAsia"/>
          <w:b/>
          <w:lang w:eastAsia="zh-TW"/>
        </w:rPr>
        <w:t>調整後的銷售回報率（調整後的息稅前利潤率）</w:t>
      </w:r>
      <w:r>
        <w:rPr>
          <w:rFonts w:asciiTheme="majorHAnsi" w:hAnsiTheme="majorHAnsi" w:cs="宋体" w:hint="eastAsia"/>
          <w:bCs/>
          <w:lang w:eastAsia="zh-TW"/>
        </w:rPr>
        <w:t>提</w:t>
      </w:r>
      <w:r>
        <w:rPr>
          <w:rFonts w:asciiTheme="majorHAnsi" w:hAnsiTheme="majorHAnsi" w:cs="宋体" w:hint="eastAsia"/>
          <w:lang w:eastAsia="zh-TW"/>
        </w:rPr>
        <w:t>升至</w:t>
      </w:r>
      <w:r>
        <w:rPr>
          <w:rFonts w:asciiTheme="majorHAnsi" w:hAnsiTheme="majorHAnsi" w:cs="宋体"/>
          <w:lang w:eastAsia="zh-TW"/>
        </w:rPr>
        <w:t>15.7%</w:t>
      </w:r>
      <w:r>
        <w:rPr>
          <w:rFonts w:asciiTheme="majorHAnsi" w:hAnsiTheme="majorHAnsi" w:cs="宋体" w:hint="eastAsia"/>
          <w:lang w:eastAsia="zh-TW"/>
        </w:rPr>
        <w:t>（上年同期：</w:t>
      </w:r>
      <w:r>
        <w:rPr>
          <w:rFonts w:asciiTheme="majorHAnsi" w:hAnsiTheme="majorHAnsi" w:cs="宋体"/>
          <w:lang w:eastAsia="zh-TW"/>
        </w:rPr>
        <w:t>15.5%</w:t>
      </w:r>
      <w:r>
        <w:rPr>
          <w:rFonts w:asciiTheme="majorHAnsi" w:hAnsiTheme="majorHAnsi" w:cs="宋体" w:hint="eastAsia"/>
          <w:lang w:eastAsia="zh-TW"/>
        </w:rPr>
        <w:t>）。</w:t>
      </w:r>
    </w:p>
    <w:p w14:paraId="600DF3C5" w14:textId="77777777" w:rsidR="00E54383" w:rsidRDefault="00E54383">
      <w:pPr>
        <w:rPr>
          <w:rFonts w:asciiTheme="majorHAnsi" w:hAnsiTheme="majorHAnsi" w:cs="宋体"/>
          <w:lang w:eastAsia="zh-CN"/>
        </w:rPr>
      </w:pPr>
    </w:p>
    <w:p w14:paraId="4C1A65BB" w14:textId="11D17B2A" w:rsidR="00E54383" w:rsidRDefault="00F658A1">
      <w:pPr>
        <w:rPr>
          <w:rFonts w:asciiTheme="majorHAnsi" w:hAnsiTheme="majorHAnsi" w:cs="宋体"/>
          <w:lang w:eastAsia="zh-TW"/>
        </w:rPr>
      </w:pPr>
      <w:bookmarkStart w:id="3" w:name="_Hlk190081485"/>
      <w:r>
        <w:rPr>
          <w:rFonts w:asciiTheme="majorHAnsi" w:hAnsiTheme="majorHAnsi" w:cs="宋体" w:hint="eastAsia"/>
          <w:b/>
          <w:lang w:eastAsia="zh-TW"/>
        </w:rPr>
        <w:t>調整後的優先股每股收益</w:t>
      </w:r>
      <w:r w:rsidRPr="00DA4152">
        <w:rPr>
          <w:rFonts w:asciiTheme="majorHAnsi" w:hAnsiTheme="majorHAnsi" w:cs="宋体" w:hint="eastAsia"/>
          <w:bCs/>
          <w:lang w:eastAsia="zh-TW"/>
        </w:rPr>
        <w:t>增長</w:t>
      </w:r>
      <w:r>
        <w:rPr>
          <w:rFonts w:asciiTheme="majorHAnsi" w:hAnsiTheme="majorHAnsi" w:cs="宋体"/>
          <w:lang w:eastAsia="zh-TW"/>
        </w:rPr>
        <w:t>1.8%</w:t>
      </w:r>
      <w:r>
        <w:rPr>
          <w:rFonts w:asciiTheme="majorHAnsi" w:hAnsiTheme="majorHAnsi" w:cs="宋体" w:hint="eastAsia"/>
          <w:lang w:eastAsia="zh-TW"/>
        </w:rPr>
        <w:t>，達到</w:t>
      </w:r>
      <w:r>
        <w:rPr>
          <w:rFonts w:asciiTheme="majorHAnsi" w:hAnsiTheme="majorHAnsi" w:cs="宋体"/>
          <w:lang w:eastAsia="zh-TW"/>
        </w:rPr>
        <w:t>2.86</w:t>
      </w:r>
      <w:r>
        <w:rPr>
          <w:rFonts w:asciiTheme="majorHAnsi" w:hAnsiTheme="majorHAnsi" w:cs="宋体" w:hint="eastAsia"/>
          <w:lang w:eastAsia="zh-TW"/>
        </w:rPr>
        <w:t>歐元（上年同期：</w:t>
      </w:r>
      <w:r>
        <w:rPr>
          <w:rFonts w:asciiTheme="majorHAnsi" w:hAnsiTheme="majorHAnsi" w:cs="宋体"/>
          <w:lang w:eastAsia="zh-TW"/>
        </w:rPr>
        <w:t>2.81</w:t>
      </w:r>
      <w:r>
        <w:rPr>
          <w:rFonts w:asciiTheme="majorHAnsi" w:hAnsiTheme="majorHAnsi" w:cs="宋体" w:hint="eastAsia"/>
          <w:lang w:eastAsia="zh-TW"/>
        </w:rPr>
        <w:t>歐元）。按固定匯率計算，調整後的優先股每股收益增長</w:t>
      </w:r>
      <w:r>
        <w:rPr>
          <w:rFonts w:asciiTheme="majorHAnsi" w:hAnsiTheme="majorHAnsi" w:cs="宋体"/>
          <w:lang w:eastAsia="zh-TW"/>
        </w:rPr>
        <w:t>7.1%</w:t>
      </w:r>
      <w:r>
        <w:rPr>
          <w:rFonts w:asciiTheme="majorHAnsi" w:hAnsiTheme="majorHAnsi" w:cs="宋体" w:hint="eastAsia"/>
          <w:lang w:eastAsia="zh-TW"/>
        </w:rPr>
        <w:t>。</w:t>
      </w:r>
    </w:p>
    <w:p w14:paraId="2BBD9E30" w14:textId="77777777" w:rsidR="00E54383" w:rsidRDefault="00E54383">
      <w:pPr>
        <w:rPr>
          <w:rFonts w:asciiTheme="majorHAnsi" w:hAnsiTheme="majorHAnsi" w:cs="宋体"/>
          <w:lang w:eastAsia="zh-TW"/>
        </w:rPr>
      </w:pPr>
    </w:p>
    <w:bookmarkEnd w:id="3"/>
    <w:p w14:paraId="1E8370C4" w14:textId="20F2B07A" w:rsidR="00E54383" w:rsidRDefault="00F658A1">
      <w:pPr>
        <w:rPr>
          <w:rFonts w:asciiTheme="majorHAnsi" w:hAnsiTheme="majorHAnsi" w:cs="宋体"/>
          <w:lang w:eastAsia="zh-TW"/>
        </w:rPr>
      </w:pPr>
      <w:r>
        <w:rPr>
          <w:rFonts w:asciiTheme="majorHAnsi" w:hAnsiTheme="majorHAnsi" w:cs="宋体" w:hint="eastAsia"/>
          <w:lang w:eastAsia="zh-TW"/>
        </w:rPr>
        <w:lastRenderedPageBreak/>
        <w:t>受收購等因素影響，第二季度</w:t>
      </w:r>
      <w:r>
        <w:rPr>
          <w:rFonts w:asciiTheme="majorHAnsi" w:hAnsiTheme="majorHAnsi" w:cs="宋体" w:hint="eastAsia"/>
          <w:b/>
          <w:lang w:eastAsia="zh-TW"/>
        </w:rPr>
        <w:t>淨營運資本</w:t>
      </w:r>
      <w:r>
        <w:rPr>
          <w:rFonts w:asciiTheme="majorHAnsi" w:hAnsiTheme="majorHAnsi" w:cs="宋体" w:hint="eastAsia"/>
          <w:lang w:eastAsia="zh-TW"/>
        </w:rPr>
        <w:t>占銷售額的比重由上年同期的</w:t>
      </w:r>
      <w:r>
        <w:rPr>
          <w:rFonts w:asciiTheme="majorHAnsi" w:hAnsiTheme="majorHAnsi" w:cs="宋体"/>
          <w:lang w:eastAsia="zh-TW"/>
        </w:rPr>
        <w:t>6.0%</w:t>
      </w:r>
      <w:r>
        <w:rPr>
          <w:rFonts w:asciiTheme="majorHAnsi" w:hAnsiTheme="majorHAnsi" w:cs="宋体" w:hint="eastAsia"/>
          <w:lang w:eastAsia="zh-TW"/>
        </w:rPr>
        <w:t>上升至</w:t>
      </w:r>
      <w:r>
        <w:rPr>
          <w:rFonts w:asciiTheme="majorHAnsi" w:hAnsiTheme="majorHAnsi" w:cs="宋体"/>
          <w:lang w:eastAsia="zh-TW"/>
        </w:rPr>
        <w:t>7.0%</w:t>
      </w:r>
      <w:r>
        <w:rPr>
          <w:rFonts w:asciiTheme="majorHAnsi" w:hAnsiTheme="majorHAnsi" w:cs="宋体" w:hint="eastAsia"/>
          <w:lang w:eastAsia="zh-TW"/>
        </w:rPr>
        <w:t>。</w:t>
      </w:r>
    </w:p>
    <w:p w14:paraId="3389D3C3" w14:textId="77777777" w:rsidR="00E54383" w:rsidRDefault="00E54383">
      <w:pPr>
        <w:rPr>
          <w:rFonts w:asciiTheme="majorHAnsi" w:hAnsiTheme="majorHAnsi" w:cs="宋体"/>
          <w:lang w:eastAsia="zh-TW"/>
        </w:rPr>
      </w:pPr>
    </w:p>
    <w:p w14:paraId="5E412C90" w14:textId="6EABF720" w:rsidR="00E54383" w:rsidRDefault="00F658A1">
      <w:pPr>
        <w:rPr>
          <w:rFonts w:asciiTheme="majorHAnsi" w:hAnsiTheme="majorHAnsi" w:cs="宋体"/>
          <w:lang w:eastAsia="zh-CN"/>
        </w:rPr>
      </w:pPr>
      <w:r>
        <w:rPr>
          <w:rFonts w:asciiTheme="majorHAnsi" w:hAnsiTheme="majorHAnsi" w:cs="宋体" w:hint="eastAsia"/>
          <w:b/>
          <w:lang w:eastAsia="zh-TW"/>
        </w:rPr>
        <w:t>自由現金流</w:t>
      </w:r>
      <w:r>
        <w:rPr>
          <w:rFonts w:asciiTheme="majorHAnsi" w:hAnsiTheme="majorHAnsi" w:cs="宋体" w:hint="eastAsia"/>
          <w:lang w:eastAsia="zh-TW"/>
        </w:rPr>
        <w:t>增至</w:t>
      </w:r>
      <w:r>
        <w:rPr>
          <w:rFonts w:asciiTheme="majorHAnsi" w:hAnsiTheme="majorHAnsi" w:cs="宋体"/>
          <w:lang w:eastAsia="zh-TW"/>
        </w:rPr>
        <w:t>6.12</w:t>
      </w:r>
      <w:r>
        <w:rPr>
          <w:rFonts w:asciiTheme="majorHAnsi" w:hAnsiTheme="majorHAnsi" w:cs="宋体" w:hint="eastAsia"/>
          <w:lang w:eastAsia="zh-TW"/>
        </w:rPr>
        <w:t>億歐元（</w:t>
      </w:r>
      <w:r>
        <w:rPr>
          <w:rFonts w:asciiTheme="majorHAnsi" w:hAnsiTheme="majorHAnsi" w:cs="宋体"/>
          <w:lang w:eastAsia="zh-TW"/>
        </w:rPr>
        <w:t>2025</w:t>
      </w:r>
      <w:r>
        <w:rPr>
          <w:rFonts w:asciiTheme="majorHAnsi" w:hAnsiTheme="majorHAnsi" w:cs="宋体" w:hint="eastAsia"/>
          <w:lang w:eastAsia="zh-TW"/>
        </w:rPr>
        <w:t>年上半年：</w:t>
      </w:r>
      <w:r>
        <w:rPr>
          <w:rFonts w:asciiTheme="majorHAnsi" w:hAnsiTheme="majorHAnsi" w:cs="宋体"/>
          <w:lang w:eastAsia="zh-TW"/>
        </w:rPr>
        <w:t>4.85</w:t>
      </w:r>
      <w:r>
        <w:rPr>
          <w:rFonts w:asciiTheme="majorHAnsi" w:hAnsiTheme="majorHAnsi" w:cs="宋体" w:hint="eastAsia"/>
          <w:lang w:eastAsia="zh-TW"/>
        </w:rPr>
        <w:t>億歐元），這一變化主要受經營活動現金流提升所推動。</w:t>
      </w:r>
    </w:p>
    <w:p w14:paraId="0557673C" w14:textId="77777777" w:rsidR="00E54383" w:rsidRDefault="00E54383">
      <w:pPr>
        <w:rPr>
          <w:rFonts w:asciiTheme="majorHAnsi" w:hAnsiTheme="majorHAnsi" w:cs="宋体"/>
          <w:lang w:eastAsia="zh-CN"/>
        </w:rPr>
      </w:pPr>
    </w:p>
    <w:p w14:paraId="3A348EC2" w14:textId="3B54FF08" w:rsidR="00E54383" w:rsidRDefault="00F658A1">
      <w:pPr>
        <w:rPr>
          <w:rFonts w:asciiTheme="majorHAnsi" w:hAnsiTheme="majorHAnsi" w:cs="宋体"/>
          <w:lang w:eastAsia="zh-CN"/>
        </w:rPr>
      </w:pPr>
      <w:r>
        <w:rPr>
          <w:rFonts w:asciiTheme="majorHAnsi" w:hAnsiTheme="majorHAnsi" w:cs="宋体" w:hint="eastAsia"/>
          <w:lang w:eastAsia="zh-TW"/>
        </w:rPr>
        <w:t>截至</w:t>
      </w:r>
      <w:r>
        <w:rPr>
          <w:rFonts w:asciiTheme="majorHAnsi" w:hAnsiTheme="majorHAnsi" w:cs="宋体"/>
          <w:lang w:eastAsia="zh-TW"/>
        </w:rPr>
        <w:t>2026</w:t>
      </w:r>
      <w:r>
        <w:rPr>
          <w:rFonts w:asciiTheme="majorHAnsi" w:hAnsiTheme="majorHAnsi" w:cs="宋体" w:hint="eastAsia"/>
          <w:lang w:eastAsia="zh-TW"/>
        </w:rPr>
        <w:t>年</w:t>
      </w:r>
      <w:r>
        <w:rPr>
          <w:rFonts w:asciiTheme="majorHAnsi" w:hAnsiTheme="majorHAnsi" w:cs="宋体"/>
          <w:lang w:eastAsia="zh-TW"/>
        </w:rPr>
        <w:t>6</w:t>
      </w:r>
      <w:r>
        <w:rPr>
          <w:rFonts w:asciiTheme="majorHAnsi" w:hAnsiTheme="majorHAnsi" w:cs="宋体" w:hint="eastAsia"/>
          <w:lang w:eastAsia="zh-TW"/>
        </w:rPr>
        <w:t>月</w:t>
      </w:r>
      <w:r>
        <w:rPr>
          <w:rFonts w:asciiTheme="majorHAnsi" w:hAnsiTheme="majorHAnsi" w:cs="宋体"/>
          <w:lang w:eastAsia="zh-TW"/>
        </w:rPr>
        <w:t>30</w:t>
      </w:r>
      <w:r>
        <w:rPr>
          <w:rFonts w:asciiTheme="majorHAnsi" w:hAnsiTheme="majorHAnsi" w:cs="宋体" w:hint="eastAsia"/>
          <w:lang w:eastAsia="zh-TW"/>
        </w:rPr>
        <w:t>日，</w:t>
      </w:r>
      <w:r>
        <w:rPr>
          <w:rFonts w:asciiTheme="majorHAnsi" w:hAnsiTheme="majorHAnsi" w:cs="宋体" w:hint="eastAsia"/>
          <w:b/>
          <w:lang w:eastAsia="zh-TW"/>
        </w:rPr>
        <w:t>淨財務狀況</w:t>
      </w:r>
      <w:r>
        <w:rPr>
          <w:rFonts w:asciiTheme="majorHAnsi" w:hAnsiTheme="majorHAnsi" w:cs="宋体" w:hint="eastAsia"/>
          <w:lang w:eastAsia="zh-TW"/>
        </w:rPr>
        <w:t>為</w:t>
      </w:r>
      <w:r>
        <w:rPr>
          <w:rFonts w:asciiTheme="majorHAnsi" w:hAnsiTheme="majorHAnsi" w:cs="宋体"/>
          <w:lang w:eastAsia="zh-TW"/>
        </w:rPr>
        <w:t>‑18.55</w:t>
      </w:r>
      <w:r>
        <w:rPr>
          <w:rFonts w:asciiTheme="majorHAnsi" w:hAnsiTheme="majorHAnsi" w:cs="宋体" w:hint="eastAsia"/>
          <w:lang w:eastAsia="zh-TW"/>
        </w:rPr>
        <w:t>億歐元（</w:t>
      </w:r>
      <w:r>
        <w:rPr>
          <w:rFonts w:asciiTheme="majorHAnsi" w:hAnsiTheme="majorHAnsi" w:cs="宋体"/>
          <w:lang w:eastAsia="zh-TW"/>
        </w:rPr>
        <w:t>2025</w:t>
      </w:r>
      <w:r>
        <w:rPr>
          <w:rFonts w:asciiTheme="majorHAnsi" w:hAnsiTheme="majorHAnsi" w:cs="宋体" w:hint="eastAsia"/>
          <w:lang w:eastAsia="zh-TW"/>
        </w:rPr>
        <w:t>年</w:t>
      </w:r>
      <w:r>
        <w:rPr>
          <w:rFonts w:asciiTheme="majorHAnsi" w:hAnsiTheme="majorHAnsi" w:cs="宋体"/>
          <w:lang w:eastAsia="zh-TW"/>
        </w:rPr>
        <w:t>12</w:t>
      </w:r>
      <w:r>
        <w:rPr>
          <w:rFonts w:asciiTheme="majorHAnsi" w:hAnsiTheme="majorHAnsi" w:cs="宋体" w:hint="eastAsia"/>
          <w:lang w:eastAsia="zh-TW"/>
        </w:rPr>
        <w:t>月</w:t>
      </w:r>
      <w:r>
        <w:rPr>
          <w:rFonts w:asciiTheme="majorHAnsi" w:hAnsiTheme="majorHAnsi" w:cs="宋体"/>
          <w:lang w:eastAsia="zh-TW"/>
        </w:rPr>
        <w:t>31</w:t>
      </w:r>
      <w:r>
        <w:rPr>
          <w:rFonts w:asciiTheme="majorHAnsi" w:hAnsiTheme="majorHAnsi" w:cs="宋体" w:hint="eastAsia"/>
          <w:lang w:eastAsia="zh-TW"/>
        </w:rPr>
        <w:t>日：</w:t>
      </w:r>
      <w:r>
        <w:rPr>
          <w:rFonts w:asciiTheme="majorHAnsi" w:hAnsiTheme="majorHAnsi" w:cs="宋体"/>
          <w:lang w:eastAsia="zh-TW"/>
        </w:rPr>
        <w:t>1.09</w:t>
      </w:r>
      <w:r>
        <w:rPr>
          <w:rFonts w:asciiTheme="majorHAnsi" w:hAnsiTheme="majorHAnsi" w:cs="宋体" w:hint="eastAsia"/>
          <w:lang w:eastAsia="zh-TW"/>
        </w:rPr>
        <w:t>億歐元），主要受近期完成收購及股票回購計畫帶來的現金支出所致。</w:t>
      </w:r>
    </w:p>
    <w:p w14:paraId="0D558E75" w14:textId="77777777" w:rsidR="00E54383" w:rsidRDefault="00E54383">
      <w:pPr>
        <w:rPr>
          <w:rFonts w:asciiTheme="majorHAnsi" w:hAnsiTheme="majorHAnsi" w:cs="宋体"/>
          <w:lang w:eastAsia="zh-CN"/>
        </w:rPr>
      </w:pPr>
    </w:p>
    <w:p w14:paraId="072BADC3" w14:textId="08AFA65A" w:rsidR="00E54383" w:rsidRDefault="00F658A1" w:rsidP="00564B53">
      <w:pPr>
        <w:spacing w:after="120"/>
        <w:jc w:val="left"/>
        <w:rPr>
          <w:rFonts w:asciiTheme="majorHAnsi" w:hAnsiTheme="majorHAnsi" w:cs="宋体"/>
          <w:b/>
          <w:bCs/>
          <w:szCs w:val="22"/>
          <w:lang w:eastAsia="de-DE"/>
        </w:rPr>
      </w:pPr>
      <w:r>
        <w:rPr>
          <w:rFonts w:asciiTheme="majorHAnsi" w:hAnsiTheme="majorHAnsi" w:cs="宋体"/>
          <w:b/>
          <w:lang w:eastAsia="zh-TW"/>
        </w:rPr>
        <w:t>2026</w:t>
      </w:r>
      <w:r>
        <w:rPr>
          <w:rFonts w:asciiTheme="majorHAnsi" w:hAnsiTheme="majorHAnsi" w:cs="宋体" w:hint="eastAsia"/>
          <w:b/>
          <w:lang w:eastAsia="zh-TW"/>
        </w:rPr>
        <w:t>財年上半年業務部門業績</w:t>
      </w:r>
    </w:p>
    <w:p w14:paraId="26FA939B" w14:textId="7C579506" w:rsidR="00E54383" w:rsidRDefault="00F658A1">
      <w:pPr>
        <w:rPr>
          <w:rFonts w:asciiTheme="majorHAnsi" w:hAnsiTheme="majorHAnsi" w:cs="宋体"/>
          <w:lang w:eastAsia="zh-TW"/>
        </w:rPr>
      </w:pPr>
      <w:r>
        <w:rPr>
          <w:rFonts w:asciiTheme="majorHAnsi" w:hAnsiTheme="majorHAnsi" w:cs="宋体"/>
          <w:lang w:eastAsia="zh-TW"/>
        </w:rPr>
        <w:t>2026</w:t>
      </w:r>
      <w:r>
        <w:rPr>
          <w:rFonts w:asciiTheme="majorHAnsi" w:hAnsiTheme="majorHAnsi" w:cs="宋体" w:hint="eastAsia"/>
          <w:lang w:eastAsia="zh-TW"/>
        </w:rPr>
        <w:t>年上半年，</w:t>
      </w:r>
      <w:r>
        <w:rPr>
          <w:rFonts w:asciiTheme="majorHAnsi" w:hAnsiTheme="majorHAnsi" w:cs="宋体" w:hint="eastAsia"/>
          <w:b/>
          <w:lang w:eastAsia="zh-TW"/>
        </w:rPr>
        <w:t>粘合劑技術</w:t>
      </w:r>
      <w:r>
        <w:rPr>
          <w:rFonts w:asciiTheme="majorHAnsi" w:hAnsiTheme="majorHAnsi" w:cs="宋体" w:hint="eastAsia"/>
          <w:lang w:eastAsia="zh-TW"/>
        </w:rPr>
        <w:t>業務部</w:t>
      </w:r>
      <w:r>
        <w:rPr>
          <w:rFonts w:asciiTheme="majorHAnsi" w:hAnsiTheme="majorHAnsi" w:cs="宋体" w:hint="eastAsia"/>
          <w:b/>
          <w:lang w:eastAsia="zh-TW"/>
        </w:rPr>
        <w:t>銷售額</w:t>
      </w:r>
      <w:r>
        <w:rPr>
          <w:rFonts w:asciiTheme="majorHAnsi" w:hAnsiTheme="majorHAnsi" w:cs="宋体" w:hint="eastAsia"/>
          <w:lang w:eastAsia="zh-TW"/>
        </w:rPr>
        <w:t>名義增長</w:t>
      </w:r>
      <w:r>
        <w:rPr>
          <w:rFonts w:asciiTheme="majorHAnsi" w:hAnsiTheme="majorHAnsi" w:cs="宋体"/>
          <w:lang w:eastAsia="zh-TW"/>
        </w:rPr>
        <w:t>2.2%</w:t>
      </w:r>
      <w:r>
        <w:rPr>
          <w:rFonts w:asciiTheme="majorHAnsi" w:hAnsiTheme="majorHAnsi" w:cs="宋体" w:hint="eastAsia"/>
          <w:lang w:eastAsia="zh-TW"/>
        </w:rPr>
        <w:t>，達到</w:t>
      </w:r>
      <w:r>
        <w:rPr>
          <w:rFonts w:asciiTheme="majorHAnsi" w:hAnsiTheme="majorHAnsi" w:cs="宋体"/>
          <w:lang w:eastAsia="zh-TW"/>
        </w:rPr>
        <w:t xml:space="preserve">55.34 </w:t>
      </w:r>
      <w:r>
        <w:rPr>
          <w:rFonts w:asciiTheme="majorHAnsi" w:hAnsiTheme="majorHAnsi" w:cs="宋体" w:hint="eastAsia"/>
          <w:lang w:eastAsia="zh-TW"/>
        </w:rPr>
        <w:t>億歐元（第二季度：</w:t>
      </w:r>
      <w:r>
        <w:rPr>
          <w:rFonts w:asciiTheme="majorHAnsi" w:hAnsiTheme="majorHAnsi" w:cs="宋体"/>
          <w:lang w:eastAsia="zh-TW"/>
        </w:rPr>
        <w:t xml:space="preserve">29.08 </w:t>
      </w:r>
      <w:r>
        <w:rPr>
          <w:rFonts w:asciiTheme="majorHAnsi" w:hAnsiTheme="majorHAnsi" w:cs="宋体" w:hint="eastAsia"/>
          <w:lang w:eastAsia="zh-TW"/>
        </w:rPr>
        <w:t>億歐元，增長</w:t>
      </w:r>
      <w:r>
        <w:rPr>
          <w:rFonts w:asciiTheme="majorHAnsi" w:hAnsiTheme="majorHAnsi" w:cs="宋体"/>
          <w:lang w:eastAsia="zh-TW"/>
        </w:rPr>
        <w:t>7.6%</w:t>
      </w:r>
      <w:r>
        <w:rPr>
          <w:rFonts w:asciiTheme="majorHAnsi" w:hAnsiTheme="majorHAnsi" w:cs="宋体" w:hint="eastAsia"/>
          <w:lang w:eastAsia="zh-TW"/>
        </w:rPr>
        <w:t>）。粘合劑技術業務部實現</w:t>
      </w:r>
      <w:r>
        <w:rPr>
          <w:rFonts w:asciiTheme="majorHAnsi" w:hAnsiTheme="majorHAnsi" w:cs="宋体"/>
          <w:lang w:eastAsia="zh-TW"/>
        </w:rPr>
        <w:t>4.5%</w:t>
      </w:r>
      <w:r>
        <w:rPr>
          <w:rFonts w:asciiTheme="majorHAnsi" w:hAnsiTheme="majorHAnsi" w:cs="宋体" w:hint="eastAsia"/>
          <w:lang w:eastAsia="zh-TW"/>
        </w:rPr>
        <w:t>的強勁</w:t>
      </w:r>
      <w:r>
        <w:rPr>
          <w:rFonts w:asciiTheme="majorHAnsi" w:hAnsiTheme="majorHAnsi" w:cs="宋体" w:hint="eastAsia"/>
          <w:b/>
          <w:lang w:eastAsia="zh-TW"/>
        </w:rPr>
        <w:t>有機銷售額</w:t>
      </w:r>
      <w:r>
        <w:rPr>
          <w:rFonts w:asciiTheme="majorHAnsi" w:hAnsiTheme="majorHAnsi" w:cs="宋体" w:hint="eastAsia"/>
          <w:lang w:eastAsia="zh-TW"/>
        </w:rPr>
        <w:t>增長（第二季度：增長</w:t>
      </w:r>
      <w:r>
        <w:rPr>
          <w:rFonts w:asciiTheme="majorHAnsi" w:hAnsiTheme="majorHAnsi" w:cs="宋体"/>
          <w:lang w:eastAsia="zh-TW"/>
        </w:rPr>
        <w:t>7.4%</w:t>
      </w:r>
      <w:r>
        <w:rPr>
          <w:rFonts w:asciiTheme="majorHAnsi" w:hAnsiTheme="majorHAnsi" w:cs="宋体" w:hint="eastAsia"/>
          <w:lang w:eastAsia="zh-TW"/>
        </w:rPr>
        <w:t>），這主要得益於定價與銷量的雙重增長。</w:t>
      </w:r>
    </w:p>
    <w:p w14:paraId="75FD6CD5" w14:textId="77777777" w:rsidR="00E54383" w:rsidRDefault="00E54383">
      <w:pPr>
        <w:rPr>
          <w:rFonts w:asciiTheme="majorHAnsi" w:hAnsiTheme="majorHAnsi" w:cs="宋体"/>
          <w:lang w:eastAsia="zh-TW"/>
        </w:rPr>
      </w:pPr>
    </w:p>
    <w:p w14:paraId="76964AAA" w14:textId="0129515A" w:rsidR="00E54383" w:rsidRDefault="00F658A1">
      <w:pPr>
        <w:rPr>
          <w:rFonts w:asciiTheme="majorHAnsi" w:hAnsiTheme="majorHAnsi" w:cs="宋体"/>
          <w:lang w:eastAsia="zh-TW"/>
        </w:rPr>
      </w:pPr>
      <w:bookmarkStart w:id="4" w:name="_Hlk190097207"/>
      <w:r>
        <w:rPr>
          <w:rFonts w:asciiTheme="majorHAnsi" w:hAnsiTheme="majorHAnsi" w:cs="宋体" w:hint="eastAsia"/>
          <w:lang w:eastAsia="zh-TW"/>
        </w:rPr>
        <w:t>從業務領域來看，粘合劑技術業務部上半年有機銷售額增長主要由</w:t>
      </w:r>
      <w:r>
        <w:rPr>
          <w:rFonts w:asciiTheme="majorHAnsi" w:hAnsiTheme="majorHAnsi" w:cs="宋体" w:hint="eastAsia"/>
          <w:b/>
          <w:bCs/>
          <w:lang w:eastAsia="zh-TW"/>
        </w:rPr>
        <w:t>移動與電子</w:t>
      </w:r>
      <w:r w:rsidRPr="00DA4152">
        <w:rPr>
          <w:rFonts w:asciiTheme="majorHAnsi" w:hAnsiTheme="majorHAnsi" w:cs="宋体" w:hint="eastAsia"/>
          <w:lang w:eastAsia="zh-TW"/>
        </w:rPr>
        <w:t>業務</w:t>
      </w:r>
      <w:r>
        <w:rPr>
          <w:rFonts w:asciiTheme="majorHAnsi" w:hAnsiTheme="majorHAnsi" w:cs="宋体" w:hint="eastAsia"/>
          <w:lang w:eastAsia="zh-TW"/>
        </w:rPr>
        <w:t>領域推動，該業務領域有機銷售額大幅攀升</w:t>
      </w:r>
      <w:r>
        <w:rPr>
          <w:rFonts w:asciiTheme="majorHAnsi" w:hAnsiTheme="majorHAnsi" w:cs="宋体"/>
          <w:lang w:eastAsia="zh-TW"/>
        </w:rPr>
        <w:t>7.8%</w:t>
      </w:r>
      <w:r>
        <w:rPr>
          <w:rFonts w:asciiTheme="majorHAnsi" w:hAnsiTheme="majorHAnsi" w:cs="宋体" w:hint="eastAsia"/>
          <w:lang w:eastAsia="zh-TW"/>
        </w:rPr>
        <w:t>（第二季度：增長</w:t>
      </w:r>
      <w:r>
        <w:rPr>
          <w:rFonts w:asciiTheme="majorHAnsi" w:hAnsiTheme="majorHAnsi" w:cs="宋体"/>
          <w:lang w:eastAsia="zh-TW"/>
        </w:rPr>
        <w:t>8.8%</w:t>
      </w:r>
      <w:r>
        <w:rPr>
          <w:rFonts w:asciiTheme="majorHAnsi" w:hAnsiTheme="majorHAnsi" w:cs="宋体" w:hint="eastAsia"/>
          <w:lang w:eastAsia="zh-TW"/>
        </w:rPr>
        <w:t>）。其中，電子業務實現了兩位元數的有機銷售增長，工業業務亦取得顯著提升，共同支撐了整體業績。與之相比，汽車業務上半年整體有所下滑，但在第二季度已顯現改善跡象，實現了穩健的有機銷售增長。</w:t>
      </w:r>
      <w:r>
        <w:rPr>
          <w:rFonts w:asciiTheme="majorHAnsi" w:hAnsiTheme="majorHAnsi" w:cs="宋体" w:hint="eastAsia"/>
          <w:b/>
          <w:bCs/>
          <w:lang w:eastAsia="zh-TW"/>
        </w:rPr>
        <w:t>包裝和消費品</w:t>
      </w:r>
      <w:r>
        <w:rPr>
          <w:rFonts w:asciiTheme="majorHAnsi" w:hAnsiTheme="majorHAnsi" w:cs="宋体" w:hint="eastAsia"/>
          <w:lang w:eastAsia="zh-TW"/>
        </w:rPr>
        <w:t>業務領域實現了</w:t>
      </w:r>
      <w:r>
        <w:rPr>
          <w:rFonts w:asciiTheme="majorHAnsi" w:hAnsiTheme="majorHAnsi" w:cs="宋体"/>
          <w:lang w:eastAsia="zh-TW"/>
        </w:rPr>
        <w:t>4.7%</w:t>
      </w:r>
      <w:r>
        <w:rPr>
          <w:rFonts w:asciiTheme="majorHAnsi" w:hAnsiTheme="majorHAnsi" w:cs="宋体" w:hint="eastAsia"/>
          <w:lang w:eastAsia="zh-TW"/>
        </w:rPr>
        <w:t>的強勁有機銷售增長，這主要得益於包裝業務的穩健增長以及消費品業務的大幅有機銷售額提升（第二季度：增長</w:t>
      </w:r>
      <w:r>
        <w:rPr>
          <w:rFonts w:asciiTheme="majorHAnsi" w:hAnsiTheme="majorHAnsi" w:cs="宋体"/>
          <w:lang w:eastAsia="zh-TW"/>
        </w:rPr>
        <w:t>9.1%</w:t>
      </w:r>
      <w:r>
        <w:rPr>
          <w:rFonts w:asciiTheme="majorHAnsi" w:hAnsiTheme="majorHAnsi" w:cs="宋体" w:hint="eastAsia"/>
          <w:lang w:eastAsia="zh-TW"/>
        </w:rPr>
        <w:t>）。地緣政治的不確定性引發了客戶的提前採購行為，亦推動了該業務領域的業績表現。</w:t>
      </w:r>
      <w:r>
        <w:rPr>
          <w:rFonts w:asciiTheme="majorHAnsi" w:hAnsiTheme="majorHAnsi" w:cs="宋体" w:hint="eastAsia"/>
          <w:b/>
          <w:lang w:eastAsia="zh-TW"/>
        </w:rPr>
        <w:t>工匠、建築和專業</w:t>
      </w:r>
      <w:r>
        <w:rPr>
          <w:rFonts w:asciiTheme="majorHAnsi" w:hAnsiTheme="majorHAnsi" w:cs="宋体" w:hint="eastAsia"/>
          <w:lang w:eastAsia="zh-TW"/>
        </w:rPr>
        <w:t>業務領域的有機銷售額增長</w:t>
      </w:r>
      <w:r>
        <w:rPr>
          <w:rFonts w:asciiTheme="majorHAnsi" w:hAnsiTheme="majorHAnsi" w:cs="宋体"/>
          <w:lang w:eastAsia="zh-TW"/>
        </w:rPr>
        <w:t>1.0%</w:t>
      </w:r>
      <w:r>
        <w:rPr>
          <w:rFonts w:asciiTheme="majorHAnsi" w:hAnsiTheme="majorHAnsi" w:cs="宋体" w:hint="eastAsia"/>
          <w:lang w:eastAsia="zh-TW"/>
        </w:rPr>
        <w:t>（第二季度：增長</w:t>
      </w:r>
      <w:r>
        <w:rPr>
          <w:rFonts w:asciiTheme="majorHAnsi" w:hAnsiTheme="majorHAnsi" w:cs="宋体"/>
          <w:lang w:eastAsia="zh-TW"/>
        </w:rPr>
        <w:t>4.4%</w:t>
      </w:r>
      <w:r>
        <w:rPr>
          <w:rFonts w:asciiTheme="majorHAnsi" w:hAnsiTheme="majorHAnsi" w:cs="宋体" w:hint="eastAsia"/>
          <w:lang w:eastAsia="zh-TW"/>
        </w:rPr>
        <w:t>）。該增長主要由通用工業製造與維修業務的大幅有機銷售額增長所推動，而消費與建築業務的有機銷售額則出現小幅下滑。</w:t>
      </w:r>
    </w:p>
    <w:p w14:paraId="7EBB5C7B" w14:textId="77777777" w:rsidR="00E54383" w:rsidRDefault="00E54383">
      <w:pPr>
        <w:rPr>
          <w:rFonts w:asciiTheme="majorHAnsi" w:hAnsiTheme="majorHAnsi" w:cs="宋体"/>
          <w:lang w:eastAsia="zh-TW"/>
        </w:rPr>
      </w:pPr>
    </w:p>
    <w:p w14:paraId="18510413" w14:textId="15012D71" w:rsidR="00E54383" w:rsidRDefault="00F658A1">
      <w:pPr>
        <w:rPr>
          <w:rFonts w:asciiTheme="majorHAnsi" w:hAnsiTheme="majorHAnsi" w:cs="宋体"/>
          <w:lang w:eastAsia="zh-CN"/>
        </w:rPr>
      </w:pPr>
      <w:r>
        <w:rPr>
          <w:rFonts w:asciiTheme="majorHAnsi" w:hAnsiTheme="majorHAnsi" w:cs="宋体" w:hint="eastAsia"/>
          <w:lang w:eastAsia="zh-TW"/>
        </w:rPr>
        <w:t>儘管面臨匯率帶來的不利影響，</w:t>
      </w:r>
      <w:r>
        <w:rPr>
          <w:rFonts w:asciiTheme="majorHAnsi" w:hAnsiTheme="majorHAnsi" w:cs="宋体" w:hint="eastAsia"/>
          <w:b/>
          <w:lang w:eastAsia="zh-TW"/>
        </w:rPr>
        <w:t>調整後的營業利潤</w:t>
      </w:r>
      <w:r>
        <w:rPr>
          <w:rFonts w:asciiTheme="majorHAnsi" w:hAnsiTheme="majorHAnsi" w:cs="宋体" w:hint="eastAsia"/>
          <w:lang w:eastAsia="zh-TW"/>
        </w:rPr>
        <w:t>仍高於上年同期水準，達到</w:t>
      </w:r>
      <w:r>
        <w:rPr>
          <w:rFonts w:asciiTheme="majorHAnsi" w:hAnsiTheme="majorHAnsi" w:cs="宋体"/>
          <w:lang w:eastAsia="zh-TW"/>
        </w:rPr>
        <w:t>9.82</w:t>
      </w:r>
      <w:r>
        <w:rPr>
          <w:rFonts w:asciiTheme="majorHAnsi" w:hAnsiTheme="majorHAnsi" w:cs="宋体" w:hint="eastAsia"/>
          <w:lang w:eastAsia="zh-TW"/>
        </w:rPr>
        <w:t>億歐元。</w:t>
      </w:r>
      <w:r>
        <w:rPr>
          <w:rFonts w:asciiTheme="majorHAnsi" w:hAnsiTheme="majorHAnsi" w:cs="宋体" w:hint="eastAsia"/>
          <w:b/>
          <w:lang w:eastAsia="zh-TW"/>
        </w:rPr>
        <w:t>調整後的銷售回報率</w:t>
      </w:r>
      <w:r>
        <w:rPr>
          <w:rFonts w:asciiTheme="majorHAnsi" w:hAnsiTheme="majorHAnsi" w:cs="宋体" w:hint="eastAsia"/>
          <w:lang w:eastAsia="zh-TW"/>
        </w:rPr>
        <w:t>由上年同期的</w:t>
      </w:r>
      <w:r>
        <w:rPr>
          <w:rFonts w:asciiTheme="majorHAnsi" w:hAnsiTheme="majorHAnsi" w:cs="宋体"/>
          <w:lang w:eastAsia="zh-TW"/>
        </w:rPr>
        <w:t>17.2%</w:t>
      </w:r>
      <w:r>
        <w:rPr>
          <w:rFonts w:asciiTheme="majorHAnsi" w:hAnsiTheme="majorHAnsi" w:cs="宋体" w:hint="eastAsia"/>
          <w:lang w:eastAsia="zh-TW"/>
        </w:rPr>
        <w:t>提升至</w:t>
      </w:r>
      <w:r>
        <w:rPr>
          <w:rFonts w:asciiTheme="majorHAnsi" w:hAnsiTheme="majorHAnsi" w:cs="宋体"/>
          <w:lang w:eastAsia="zh-TW"/>
        </w:rPr>
        <w:t>17.7%</w:t>
      </w:r>
      <w:r>
        <w:rPr>
          <w:rFonts w:asciiTheme="majorHAnsi" w:hAnsiTheme="majorHAnsi" w:cs="宋体" w:hint="eastAsia"/>
          <w:lang w:eastAsia="zh-TW"/>
        </w:rPr>
        <w:t>。銷量增長帶來的規模效應以及業務結構的優化為此帶來了積極利好。</w:t>
      </w:r>
    </w:p>
    <w:p w14:paraId="77161C8C" w14:textId="77777777" w:rsidR="00E54383" w:rsidRDefault="00E54383">
      <w:pPr>
        <w:rPr>
          <w:rFonts w:asciiTheme="majorHAnsi" w:hAnsiTheme="majorHAnsi" w:cs="宋体"/>
          <w:lang w:eastAsia="zh-CN"/>
        </w:rPr>
      </w:pPr>
    </w:p>
    <w:bookmarkEnd w:id="4"/>
    <w:p w14:paraId="392CFD13" w14:textId="5DF53B32" w:rsidR="00E54383" w:rsidRDefault="00F658A1">
      <w:pPr>
        <w:rPr>
          <w:rFonts w:asciiTheme="majorHAnsi" w:hAnsiTheme="majorHAnsi" w:cs="宋体"/>
          <w:lang w:eastAsia="zh-TW"/>
        </w:rPr>
      </w:pPr>
      <w:r>
        <w:rPr>
          <w:rFonts w:asciiTheme="majorHAnsi" w:hAnsiTheme="majorHAnsi" w:cs="宋体"/>
          <w:lang w:eastAsia="zh-TW"/>
        </w:rPr>
        <w:t>2026</w:t>
      </w:r>
      <w:r>
        <w:rPr>
          <w:rFonts w:asciiTheme="majorHAnsi" w:hAnsiTheme="majorHAnsi" w:cs="宋体" w:hint="eastAsia"/>
          <w:lang w:eastAsia="zh-TW"/>
        </w:rPr>
        <w:t>年上半年，</w:t>
      </w:r>
      <w:r>
        <w:rPr>
          <w:rFonts w:asciiTheme="majorHAnsi" w:hAnsiTheme="majorHAnsi" w:cs="宋体" w:hint="eastAsia"/>
          <w:b/>
          <w:lang w:eastAsia="zh-TW"/>
        </w:rPr>
        <w:t>消費品牌</w:t>
      </w:r>
      <w:r>
        <w:rPr>
          <w:rFonts w:asciiTheme="majorHAnsi" w:hAnsiTheme="majorHAnsi" w:cs="宋体" w:hint="eastAsia"/>
          <w:lang w:eastAsia="zh-TW"/>
        </w:rPr>
        <w:t>業務部的</w:t>
      </w:r>
      <w:r>
        <w:rPr>
          <w:rFonts w:asciiTheme="majorHAnsi" w:hAnsiTheme="majorHAnsi" w:cs="宋体" w:hint="eastAsia"/>
          <w:b/>
          <w:lang w:eastAsia="zh-TW"/>
        </w:rPr>
        <w:t>銷售額</w:t>
      </w:r>
      <w:r>
        <w:rPr>
          <w:rFonts w:asciiTheme="majorHAnsi" w:hAnsiTheme="majorHAnsi" w:cs="宋体" w:hint="eastAsia"/>
          <w:lang w:eastAsia="zh-TW"/>
        </w:rPr>
        <w:t>達到</w:t>
      </w:r>
      <w:r>
        <w:rPr>
          <w:rFonts w:asciiTheme="majorHAnsi" w:hAnsiTheme="majorHAnsi" w:cs="宋体"/>
          <w:lang w:eastAsia="zh-TW"/>
        </w:rPr>
        <w:t>47.33</w:t>
      </w:r>
      <w:r>
        <w:rPr>
          <w:rFonts w:asciiTheme="majorHAnsi" w:hAnsiTheme="majorHAnsi" w:cs="宋体" w:hint="eastAsia"/>
          <w:lang w:eastAsia="zh-TW"/>
        </w:rPr>
        <w:t>億歐元，比上年同期名義下降</w:t>
      </w:r>
      <w:r>
        <w:rPr>
          <w:rFonts w:asciiTheme="majorHAnsi" w:hAnsiTheme="majorHAnsi" w:cs="宋体"/>
          <w:lang w:eastAsia="zh-TW"/>
        </w:rPr>
        <w:t>3.5%</w:t>
      </w:r>
      <w:r>
        <w:rPr>
          <w:rFonts w:asciiTheme="majorHAnsi" w:hAnsiTheme="majorHAnsi" w:cs="宋体" w:hint="eastAsia"/>
          <w:lang w:eastAsia="zh-TW"/>
        </w:rPr>
        <w:t>（第二季度：</w:t>
      </w:r>
      <w:r>
        <w:rPr>
          <w:rFonts w:asciiTheme="majorHAnsi" w:hAnsiTheme="majorHAnsi" w:cs="宋体"/>
          <w:lang w:eastAsia="zh-TW"/>
        </w:rPr>
        <w:t>24.48</w:t>
      </w:r>
      <w:r>
        <w:rPr>
          <w:rFonts w:asciiTheme="majorHAnsi" w:hAnsiTheme="majorHAnsi" w:cs="宋体" w:hint="eastAsia"/>
          <w:lang w:eastAsia="zh-TW"/>
        </w:rPr>
        <w:t>億歐元，增長</w:t>
      </w:r>
      <w:r>
        <w:rPr>
          <w:rFonts w:asciiTheme="majorHAnsi" w:hAnsiTheme="majorHAnsi" w:cs="宋体"/>
          <w:lang w:eastAsia="zh-TW"/>
        </w:rPr>
        <w:t>1.1%</w:t>
      </w:r>
      <w:r>
        <w:rPr>
          <w:rFonts w:asciiTheme="majorHAnsi" w:hAnsiTheme="majorHAnsi" w:cs="宋体" w:hint="eastAsia"/>
          <w:lang w:eastAsia="zh-TW"/>
        </w:rPr>
        <w:t>）。</w:t>
      </w:r>
      <w:r>
        <w:rPr>
          <w:rFonts w:asciiTheme="majorHAnsi" w:hAnsiTheme="majorHAnsi" w:cs="宋体" w:hint="eastAsia"/>
          <w:b/>
          <w:lang w:eastAsia="zh-TW"/>
        </w:rPr>
        <w:t>有機</w:t>
      </w:r>
      <w:r>
        <w:rPr>
          <w:rFonts w:asciiTheme="majorHAnsi" w:hAnsiTheme="majorHAnsi" w:cs="宋体" w:hint="eastAsia"/>
          <w:lang w:eastAsia="zh-TW"/>
        </w:rPr>
        <w:t>銷售額增長</w:t>
      </w:r>
      <w:r>
        <w:rPr>
          <w:rFonts w:asciiTheme="majorHAnsi" w:hAnsiTheme="majorHAnsi" w:cs="宋体"/>
          <w:lang w:eastAsia="zh-TW"/>
        </w:rPr>
        <w:t>1.7%</w:t>
      </w:r>
      <w:r>
        <w:rPr>
          <w:rFonts w:asciiTheme="majorHAnsi" w:hAnsiTheme="majorHAnsi" w:cs="宋体" w:hint="eastAsia"/>
          <w:lang w:eastAsia="zh-TW"/>
        </w:rPr>
        <w:t>（第二季度：增長</w:t>
      </w:r>
      <w:r>
        <w:rPr>
          <w:rFonts w:asciiTheme="majorHAnsi" w:hAnsiTheme="majorHAnsi" w:cs="宋体"/>
          <w:lang w:eastAsia="zh-TW"/>
        </w:rPr>
        <w:t>1.6%</w:t>
      </w:r>
      <w:r>
        <w:rPr>
          <w:rFonts w:asciiTheme="majorHAnsi" w:hAnsiTheme="majorHAnsi" w:cs="宋体" w:hint="eastAsia"/>
          <w:lang w:eastAsia="zh-TW"/>
        </w:rPr>
        <w:t>），相較於</w:t>
      </w:r>
      <w:r>
        <w:rPr>
          <w:rFonts w:asciiTheme="majorHAnsi" w:hAnsiTheme="majorHAnsi" w:cs="宋体"/>
          <w:lang w:eastAsia="zh-TW"/>
        </w:rPr>
        <w:t>2025</w:t>
      </w:r>
      <w:r>
        <w:rPr>
          <w:rFonts w:asciiTheme="majorHAnsi" w:hAnsiTheme="majorHAnsi" w:cs="宋体" w:hint="eastAsia"/>
          <w:lang w:eastAsia="zh-TW"/>
        </w:rPr>
        <w:t>年上半年，該業務部門價格與銷量均實現正增長。</w:t>
      </w:r>
    </w:p>
    <w:p w14:paraId="0DF5917B" w14:textId="77777777" w:rsidR="00E54383" w:rsidRDefault="00E54383">
      <w:pPr>
        <w:rPr>
          <w:rFonts w:asciiTheme="majorHAnsi" w:hAnsiTheme="majorHAnsi" w:cs="宋体"/>
          <w:lang w:eastAsia="zh-TW"/>
        </w:rPr>
      </w:pPr>
    </w:p>
    <w:p w14:paraId="04BA7009" w14:textId="6AC952F7" w:rsidR="00E54383" w:rsidRDefault="00F658A1">
      <w:pPr>
        <w:rPr>
          <w:rFonts w:asciiTheme="majorHAnsi" w:hAnsiTheme="majorHAnsi" w:cs="宋体"/>
          <w:lang w:eastAsia="zh-TW"/>
        </w:rPr>
      </w:pPr>
      <w:bookmarkStart w:id="5" w:name="_Hlk190100714"/>
      <w:r>
        <w:rPr>
          <w:rFonts w:asciiTheme="majorHAnsi" w:hAnsiTheme="majorHAnsi" w:cs="宋体" w:hint="eastAsia"/>
          <w:lang w:eastAsia="zh-TW"/>
        </w:rPr>
        <w:t>上半年，</w:t>
      </w:r>
      <w:r>
        <w:rPr>
          <w:rFonts w:asciiTheme="majorHAnsi" w:hAnsiTheme="majorHAnsi" w:cs="宋体" w:hint="eastAsia"/>
          <w:b/>
          <w:lang w:eastAsia="zh-TW"/>
        </w:rPr>
        <w:t>洗滌劑及家用護理</w:t>
      </w:r>
      <w:r>
        <w:rPr>
          <w:rFonts w:asciiTheme="majorHAnsi" w:hAnsiTheme="majorHAnsi" w:cs="宋体" w:hint="eastAsia"/>
          <w:lang w:eastAsia="zh-TW"/>
        </w:rPr>
        <w:t>業務領域的有機銷售額增長</w:t>
      </w:r>
      <w:r>
        <w:rPr>
          <w:rFonts w:asciiTheme="majorHAnsi" w:hAnsiTheme="majorHAnsi" w:cs="宋体"/>
          <w:lang w:eastAsia="zh-TW"/>
        </w:rPr>
        <w:t>0.7%</w:t>
      </w:r>
      <w:r>
        <w:rPr>
          <w:rFonts w:asciiTheme="majorHAnsi" w:hAnsiTheme="majorHAnsi" w:cs="宋体" w:hint="eastAsia"/>
          <w:lang w:eastAsia="zh-TW"/>
        </w:rPr>
        <w:t>（第二季度：增長</w:t>
      </w:r>
      <w:r>
        <w:rPr>
          <w:rFonts w:asciiTheme="majorHAnsi" w:hAnsiTheme="majorHAnsi" w:cs="宋体"/>
          <w:lang w:eastAsia="zh-TW"/>
        </w:rPr>
        <w:t>1.3%</w:t>
      </w:r>
      <w:r>
        <w:rPr>
          <w:rFonts w:asciiTheme="majorHAnsi" w:hAnsiTheme="majorHAnsi" w:cs="宋体" w:hint="eastAsia"/>
          <w:lang w:eastAsia="zh-TW"/>
        </w:rPr>
        <w:t>）。洗滌劑業務實現了有機銷售增長，主要得益於織物護理品類銷售額的大幅提升以及織物柔順劑品類的穩健增長。相比之下，織物清潔品類則出現小幅下滑。家用護理業務的有機銷售額實現了良好增長，主要受洗潔精品類兩位數的強勁增長所推動。</w:t>
      </w:r>
      <w:r>
        <w:rPr>
          <w:rFonts w:asciiTheme="majorHAnsi" w:hAnsiTheme="majorHAnsi" w:cs="宋体" w:hint="eastAsia"/>
          <w:b/>
          <w:bCs/>
          <w:lang w:eastAsia="zh-TW"/>
        </w:rPr>
        <w:t>美髮</w:t>
      </w:r>
      <w:r>
        <w:rPr>
          <w:rFonts w:asciiTheme="majorHAnsi" w:hAnsiTheme="majorHAnsi" w:cs="宋体" w:hint="eastAsia"/>
          <w:lang w:eastAsia="zh-TW"/>
        </w:rPr>
        <w:t>業務實現</w:t>
      </w:r>
      <w:r>
        <w:rPr>
          <w:rFonts w:asciiTheme="majorHAnsi" w:hAnsiTheme="majorHAnsi" w:cs="宋体"/>
          <w:lang w:eastAsia="zh-TW"/>
        </w:rPr>
        <w:t>4.2%</w:t>
      </w:r>
      <w:r>
        <w:rPr>
          <w:rFonts w:asciiTheme="majorHAnsi" w:hAnsiTheme="majorHAnsi" w:cs="宋体" w:hint="eastAsia"/>
          <w:lang w:eastAsia="zh-TW"/>
        </w:rPr>
        <w:t>的強勁有機銷售額增長（第二季度：增長</w:t>
      </w:r>
      <w:r>
        <w:rPr>
          <w:rFonts w:asciiTheme="majorHAnsi" w:hAnsiTheme="majorHAnsi" w:cs="宋体"/>
          <w:lang w:eastAsia="zh-TW"/>
        </w:rPr>
        <w:t>3.3%</w:t>
      </w:r>
      <w:r>
        <w:rPr>
          <w:rFonts w:asciiTheme="majorHAnsi" w:hAnsiTheme="majorHAnsi" w:cs="宋体" w:hint="eastAsia"/>
          <w:lang w:eastAsia="zh-TW"/>
        </w:rPr>
        <w:t>），成為消費品牌業務部最主要的增長引擎。這一業績表現由零售線與專業線業務所共同推動。其中，零售線業務實現了強勁有機銷售額增長，專業線業務亦有顯著提升。零售線業務的各品類均實現增長，其中染髮與造型品類的貢獻最為突出。相比之下，</w:t>
      </w:r>
      <w:r>
        <w:rPr>
          <w:rFonts w:asciiTheme="majorHAnsi" w:hAnsiTheme="majorHAnsi" w:cs="宋体" w:hint="eastAsia"/>
          <w:b/>
          <w:lang w:eastAsia="zh-TW"/>
        </w:rPr>
        <w:lastRenderedPageBreak/>
        <w:t>其他消費品業務</w:t>
      </w:r>
      <w:r>
        <w:rPr>
          <w:rFonts w:asciiTheme="majorHAnsi" w:hAnsiTheme="majorHAnsi" w:cs="宋体" w:hint="eastAsia"/>
          <w:lang w:eastAsia="zh-TW"/>
        </w:rPr>
        <w:t>領域上半年的有機銷售額同比下降</w:t>
      </w:r>
      <w:r>
        <w:rPr>
          <w:rFonts w:asciiTheme="majorHAnsi" w:hAnsiTheme="majorHAnsi" w:cs="宋体"/>
          <w:lang w:eastAsia="zh-TW"/>
        </w:rPr>
        <w:t>2.1%</w:t>
      </w:r>
      <w:r>
        <w:rPr>
          <w:rFonts w:asciiTheme="majorHAnsi" w:hAnsiTheme="majorHAnsi" w:cs="宋体" w:hint="eastAsia"/>
          <w:lang w:eastAsia="zh-TW"/>
        </w:rPr>
        <w:t>（第二季度：下降</w:t>
      </w:r>
      <w:r>
        <w:rPr>
          <w:rFonts w:asciiTheme="majorHAnsi" w:hAnsiTheme="majorHAnsi" w:cs="宋体"/>
          <w:lang w:eastAsia="zh-TW"/>
        </w:rPr>
        <w:t>4.6%</w:t>
      </w:r>
      <w:r>
        <w:rPr>
          <w:rFonts w:asciiTheme="majorHAnsi" w:hAnsiTheme="majorHAnsi" w:cs="宋体" w:hint="eastAsia"/>
          <w:lang w:eastAsia="zh-TW"/>
        </w:rPr>
        <w:t>），這主要受歐洲地區身體護理業務表現疲軟的影響所致。然而，北美地區該業務的有機銷售額仍實現了穩健增長。</w:t>
      </w:r>
    </w:p>
    <w:p w14:paraId="7F68CA87" w14:textId="77777777" w:rsidR="00E54383" w:rsidRDefault="00E54383">
      <w:pPr>
        <w:rPr>
          <w:rFonts w:asciiTheme="majorHAnsi" w:hAnsiTheme="majorHAnsi" w:cs="宋体"/>
          <w:lang w:eastAsia="zh-TW"/>
        </w:rPr>
      </w:pPr>
    </w:p>
    <w:bookmarkEnd w:id="5"/>
    <w:p w14:paraId="0286DDE0" w14:textId="7C4DBEFC" w:rsidR="00E54383" w:rsidRDefault="00F658A1">
      <w:pPr>
        <w:rPr>
          <w:rFonts w:asciiTheme="majorHAnsi" w:hAnsiTheme="majorHAnsi" w:cs="宋体"/>
          <w:lang w:eastAsia="zh-TW"/>
        </w:rPr>
      </w:pPr>
      <w:r>
        <w:rPr>
          <w:rFonts w:asciiTheme="majorHAnsi" w:hAnsiTheme="majorHAnsi" w:cs="宋体" w:hint="eastAsia"/>
          <w:b/>
          <w:bCs/>
          <w:lang w:eastAsia="zh-TW"/>
        </w:rPr>
        <w:t>調整後的營業利潤</w:t>
      </w:r>
      <w:r>
        <w:rPr>
          <w:rFonts w:asciiTheme="majorHAnsi" w:hAnsiTheme="majorHAnsi" w:cs="宋体" w:hint="eastAsia"/>
          <w:lang w:eastAsia="zh-TW"/>
        </w:rPr>
        <w:t>為</w:t>
      </w:r>
      <w:r>
        <w:rPr>
          <w:rFonts w:asciiTheme="majorHAnsi" w:hAnsiTheme="majorHAnsi" w:cs="宋体"/>
          <w:lang w:eastAsia="zh-TW"/>
        </w:rPr>
        <w:t>7.24</w:t>
      </w:r>
      <w:r>
        <w:rPr>
          <w:rFonts w:asciiTheme="majorHAnsi" w:hAnsiTheme="majorHAnsi" w:cs="宋体" w:hint="eastAsia"/>
          <w:lang w:eastAsia="zh-TW"/>
        </w:rPr>
        <w:t>億歐元，略低於上年同期水準，主要原因是</w:t>
      </w:r>
      <w:r>
        <w:rPr>
          <w:rFonts w:asciiTheme="majorHAnsi" w:hAnsiTheme="majorHAnsi" w:cs="宋体"/>
          <w:lang w:eastAsia="zh-TW"/>
        </w:rPr>
        <w:t>2025</w:t>
      </w:r>
      <w:r>
        <w:rPr>
          <w:rFonts w:asciiTheme="majorHAnsi" w:hAnsiTheme="majorHAnsi" w:cs="宋体" w:hint="eastAsia"/>
          <w:lang w:eastAsia="zh-TW"/>
        </w:rPr>
        <w:t>年</w:t>
      </w:r>
      <w:r>
        <w:rPr>
          <w:rFonts w:asciiTheme="majorHAnsi" w:hAnsiTheme="majorHAnsi" w:cs="宋体"/>
          <w:lang w:eastAsia="zh-TW"/>
        </w:rPr>
        <w:t>4</w:t>
      </w:r>
      <w:r>
        <w:rPr>
          <w:rFonts w:asciiTheme="majorHAnsi" w:hAnsiTheme="majorHAnsi" w:cs="宋体" w:hint="eastAsia"/>
          <w:lang w:eastAsia="zh-TW"/>
        </w:rPr>
        <w:t>月剝離了北美零售品牌業務，疊加匯率帶來的不利影響。相比之下，</w:t>
      </w:r>
      <w:r>
        <w:rPr>
          <w:rFonts w:asciiTheme="majorHAnsi" w:hAnsiTheme="majorHAnsi" w:cs="宋体" w:hint="eastAsia"/>
          <w:b/>
          <w:bCs/>
          <w:lang w:eastAsia="zh-TW"/>
        </w:rPr>
        <w:t>調整後的銷售回報率</w:t>
      </w:r>
      <w:r>
        <w:rPr>
          <w:rFonts w:asciiTheme="majorHAnsi" w:hAnsiTheme="majorHAnsi" w:cs="宋体" w:hint="eastAsia"/>
          <w:lang w:eastAsia="zh-TW"/>
        </w:rPr>
        <w:t>保持在</w:t>
      </w:r>
      <w:r>
        <w:rPr>
          <w:rFonts w:asciiTheme="majorHAnsi" w:hAnsiTheme="majorHAnsi" w:cs="宋体"/>
          <w:lang w:eastAsia="zh-TW"/>
        </w:rPr>
        <w:t>15.3%</w:t>
      </w:r>
      <w:r>
        <w:rPr>
          <w:rFonts w:asciiTheme="majorHAnsi" w:hAnsiTheme="majorHAnsi" w:cs="宋体" w:hint="eastAsia"/>
          <w:lang w:eastAsia="zh-TW"/>
        </w:rPr>
        <w:t>，與上年同期持平。</w:t>
      </w:r>
    </w:p>
    <w:p w14:paraId="0AFA8876" w14:textId="77777777" w:rsidR="00E54383" w:rsidRDefault="00E54383">
      <w:pPr>
        <w:rPr>
          <w:rFonts w:asciiTheme="majorHAnsi" w:hAnsiTheme="majorHAnsi" w:cs="宋体"/>
          <w:lang w:eastAsia="zh-TW"/>
        </w:rPr>
      </w:pPr>
    </w:p>
    <w:p w14:paraId="03202DE8" w14:textId="753682DA" w:rsidR="00E54383" w:rsidRDefault="00F658A1" w:rsidP="00564B53">
      <w:pPr>
        <w:spacing w:after="120"/>
        <w:jc w:val="left"/>
        <w:rPr>
          <w:rFonts w:asciiTheme="majorHAnsi" w:hAnsiTheme="majorHAnsi" w:cs="宋体"/>
          <w:b/>
          <w:bCs/>
          <w:szCs w:val="22"/>
          <w:lang w:eastAsia="de-DE"/>
        </w:rPr>
      </w:pPr>
      <w:r>
        <w:rPr>
          <w:rFonts w:asciiTheme="majorHAnsi" w:hAnsiTheme="majorHAnsi" w:cs="宋体" w:hint="eastAsia"/>
          <w:b/>
          <w:lang w:eastAsia="zh-TW"/>
        </w:rPr>
        <w:t>上半年成功推進並購增長</w:t>
      </w:r>
      <w:r w:rsidR="00791356">
        <w:rPr>
          <w:rFonts w:asciiTheme="majorHAnsi" w:hAnsiTheme="majorHAnsi" w:cs="宋体" w:hint="eastAsia"/>
          <w:b/>
          <w:lang w:eastAsia="zh-TW"/>
        </w:rPr>
        <w:t>策略</w:t>
      </w:r>
    </w:p>
    <w:p w14:paraId="519F5C5B" w14:textId="3B8A09D5" w:rsidR="00E54383" w:rsidRDefault="00F658A1">
      <w:pPr>
        <w:autoSpaceDE w:val="0"/>
        <w:autoSpaceDN w:val="0"/>
        <w:adjustRightInd w:val="0"/>
        <w:rPr>
          <w:rFonts w:asciiTheme="majorHAnsi" w:hAnsiTheme="majorHAnsi" w:cs="宋体"/>
          <w:lang w:eastAsia="zh-CN"/>
        </w:rPr>
      </w:pPr>
      <w:r>
        <w:rPr>
          <w:rFonts w:asciiTheme="majorHAnsi" w:hAnsiTheme="majorHAnsi" w:cs="宋体"/>
          <w:lang w:eastAsia="zh-TW"/>
        </w:rPr>
        <w:t>2026</w:t>
      </w:r>
      <w:r>
        <w:rPr>
          <w:rFonts w:asciiTheme="majorHAnsi" w:hAnsiTheme="majorHAnsi" w:cs="宋体" w:hint="eastAsia"/>
          <w:lang w:eastAsia="zh-TW"/>
        </w:rPr>
        <w:t>年上半年，漢高在兩大業務部門持續推進並購</w:t>
      </w:r>
      <w:r w:rsidRPr="00DA4152">
        <w:rPr>
          <w:rFonts w:asciiTheme="majorHAnsi" w:hAnsiTheme="majorHAnsi" w:cs="宋体" w:hint="eastAsia"/>
          <w:lang w:eastAsia="zh-TW"/>
        </w:rPr>
        <w:t>增長</w:t>
      </w:r>
      <w:r w:rsidR="00791356">
        <w:rPr>
          <w:rFonts w:asciiTheme="majorHAnsi" w:hAnsiTheme="majorHAnsi" w:cs="宋体" w:hint="eastAsia"/>
          <w:lang w:eastAsia="zh-TW"/>
        </w:rPr>
        <w:t>策略</w:t>
      </w:r>
      <w:r>
        <w:rPr>
          <w:rFonts w:asciiTheme="majorHAnsi" w:hAnsiTheme="majorHAnsi" w:cs="宋体" w:hint="eastAsia"/>
          <w:lang w:eastAsia="zh-TW"/>
        </w:rPr>
        <w:t>並取得重大進展。</w:t>
      </w:r>
      <w:r w:rsidRPr="007E64ED">
        <w:rPr>
          <w:rFonts w:asciiTheme="majorHAnsi" w:hAnsiTheme="majorHAnsi" w:cs="宋体" w:hint="eastAsia"/>
          <w:lang w:eastAsia="zh-TW"/>
        </w:rPr>
        <w:t>並購增長</w:t>
      </w:r>
      <w:r w:rsidR="00791356">
        <w:rPr>
          <w:rFonts w:asciiTheme="majorHAnsi" w:hAnsiTheme="majorHAnsi" w:cs="宋体" w:hint="eastAsia"/>
          <w:lang w:eastAsia="zh-TW"/>
        </w:rPr>
        <w:t>策略</w:t>
      </w:r>
      <w:r w:rsidRPr="007E64ED">
        <w:rPr>
          <w:rFonts w:asciiTheme="majorHAnsi" w:hAnsiTheme="majorHAnsi" w:cs="宋体" w:hint="eastAsia"/>
          <w:lang w:eastAsia="zh-TW"/>
        </w:rPr>
        <w:t>是公司整體</w:t>
      </w:r>
      <w:r w:rsidRPr="00DA4152">
        <w:rPr>
          <w:rFonts w:asciiTheme="majorHAnsi" w:hAnsiTheme="majorHAnsi" w:cs="宋体" w:hint="eastAsia"/>
          <w:b/>
          <w:bCs/>
          <w:lang w:eastAsia="zh-TW"/>
        </w:rPr>
        <w:t>增長</w:t>
      </w:r>
      <w:r w:rsidR="00791356">
        <w:rPr>
          <w:rFonts w:asciiTheme="majorHAnsi" w:hAnsiTheme="majorHAnsi" w:cs="宋体" w:hint="eastAsia"/>
          <w:b/>
          <w:bCs/>
          <w:lang w:eastAsia="zh-TW"/>
        </w:rPr>
        <w:t>策略</w:t>
      </w:r>
      <w:r w:rsidRPr="007E64ED">
        <w:rPr>
          <w:rFonts w:asciiTheme="majorHAnsi" w:hAnsiTheme="majorHAnsi" w:cs="宋体" w:hint="eastAsia"/>
          <w:lang w:eastAsia="zh-TW"/>
        </w:rPr>
        <w:t>的重要組成部分。</w:t>
      </w:r>
      <w:r>
        <w:rPr>
          <w:rFonts w:asciiTheme="majorHAnsi" w:hAnsiTheme="majorHAnsi" w:cs="宋体" w:hint="eastAsia"/>
          <w:lang w:eastAsia="zh-TW"/>
        </w:rPr>
        <w:t>通過近期公佈的多項收購交易，漢高總計投資</w:t>
      </w:r>
      <w:r>
        <w:rPr>
          <w:rFonts w:asciiTheme="majorHAnsi" w:hAnsiTheme="majorHAnsi" w:cs="宋体"/>
          <w:lang w:eastAsia="zh-TW"/>
        </w:rPr>
        <w:t>50</w:t>
      </w:r>
      <w:r>
        <w:rPr>
          <w:rFonts w:asciiTheme="majorHAnsi" w:hAnsiTheme="majorHAnsi" w:cs="宋体" w:hint="eastAsia"/>
          <w:lang w:eastAsia="zh-TW"/>
        </w:rPr>
        <w:t>億歐元，預計將新增約</w:t>
      </w:r>
      <w:r>
        <w:rPr>
          <w:rFonts w:asciiTheme="majorHAnsi" w:hAnsiTheme="majorHAnsi" w:cs="宋体"/>
          <w:lang w:eastAsia="zh-TW"/>
        </w:rPr>
        <w:t>16</w:t>
      </w:r>
      <w:r>
        <w:rPr>
          <w:rFonts w:asciiTheme="majorHAnsi" w:hAnsiTheme="majorHAnsi" w:cs="宋体" w:hint="eastAsia"/>
          <w:lang w:eastAsia="zh-TW"/>
        </w:rPr>
        <w:t>億歐元的年度合併銷售額。截至目前，五項交易中已有四項順利完成交割，包括粘合劑技術業務部的</w:t>
      </w:r>
      <w:r>
        <w:rPr>
          <w:rFonts w:asciiTheme="majorHAnsi" w:hAnsiTheme="majorHAnsi" w:cs="宋体"/>
          <w:lang w:eastAsia="zh-TW"/>
        </w:rPr>
        <w:t xml:space="preserve">Wetherby </w:t>
      </w:r>
      <w:proofErr w:type="spellStart"/>
      <w:r>
        <w:rPr>
          <w:rFonts w:asciiTheme="majorHAnsi" w:hAnsiTheme="majorHAnsi" w:cs="宋体"/>
          <w:lang w:eastAsia="zh-TW"/>
        </w:rPr>
        <w:t>Laroc</w:t>
      </w:r>
      <w:proofErr w:type="spellEnd"/>
      <w:r>
        <w:rPr>
          <w:rFonts w:asciiTheme="majorHAnsi" w:hAnsiTheme="majorHAnsi" w:cs="宋体" w:hint="eastAsia"/>
          <w:lang w:eastAsia="zh-TW"/>
        </w:rPr>
        <w:t>與</w:t>
      </w:r>
      <w:r>
        <w:rPr>
          <w:rFonts w:asciiTheme="majorHAnsi" w:hAnsiTheme="majorHAnsi" w:cs="宋体"/>
          <w:lang w:eastAsia="zh-TW"/>
        </w:rPr>
        <w:t>ATP Adhesive Systems</w:t>
      </w:r>
      <w:r>
        <w:rPr>
          <w:rFonts w:asciiTheme="majorHAnsi" w:hAnsiTheme="majorHAnsi" w:cs="宋体" w:hint="eastAsia"/>
          <w:lang w:eastAsia="zh-TW"/>
        </w:rPr>
        <w:t>，以及消費品牌業務部的</w:t>
      </w:r>
      <w:r>
        <w:rPr>
          <w:rFonts w:asciiTheme="majorHAnsi" w:hAnsiTheme="majorHAnsi" w:cs="宋体"/>
          <w:lang w:eastAsia="zh-TW"/>
        </w:rPr>
        <w:t>Not Your Mother’s</w:t>
      </w:r>
      <w:r>
        <w:rPr>
          <w:rFonts w:asciiTheme="majorHAnsi" w:hAnsiTheme="majorHAnsi" w:cs="宋体" w:hint="eastAsia"/>
          <w:lang w:eastAsia="zh-TW"/>
        </w:rPr>
        <w:t>和近期完成收購的歐拉裴（</w:t>
      </w:r>
      <w:r>
        <w:rPr>
          <w:rFonts w:asciiTheme="majorHAnsi" w:hAnsiTheme="majorHAnsi" w:cs="宋体"/>
          <w:lang w:eastAsia="zh-TW"/>
        </w:rPr>
        <w:t>OLAPLEX</w:t>
      </w:r>
      <w:r>
        <w:rPr>
          <w:rFonts w:asciiTheme="majorHAnsi" w:hAnsiTheme="majorHAnsi" w:cs="宋体" w:hint="eastAsia"/>
          <w:lang w:eastAsia="zh-TW"/>
        </w:rPr>
        <w:t>）。粘合劑業務對斯塔爾集團（</w:t>
      </w:r>
      <w:r>
        <w:rPr>
          <w:rFonts w:asciiTheme="majorHAnsi" w:hAnsiTheme="majorHAnsi" w:cs="宋体"/>
          <w:lang w:eastAsia="zh-TW"/>
        </w:rPr>
        <w:t>Stahl Group</w:t>
      </w:r>
      <w:r>
        <w:rPr>
          <w:rFonts w:asciiTheme="majorHAnsi" w:hAnsiTheme="majorHAnsi" w:cs="宋体" w:hint="eastAsia"/>
          <w:lang w:eastAsia="zh-TW"/>
        </w:rPr>
        <w:t>）的收購預計將於</w:t>
      </w:r>
      <w:r>
        <w:rPr>
          <w:rFonts w:asciiTheme="majorHAnsi" w:hAnsiTheme="majorHAnsi" w:cs="宋体"/>
          <w:lang w:eastAsia="zh-TW"/>
        </w:rPr>
        <w:t>2026</w:t>
      </w:r>
      <w:r>
        <w:rPr>
          <w:rFonts w:asciiTheme="majorHAnsi" w:hAnsiTheme="majorHAnsi" w:cs="宋体" w:hint="eastAsia"/>
          <w:lang w:eastAsia="zh-TW"/>
        </w:rPr>
        <w:t>財年下半年完成交割。</w:t>
      </w:r>
    </w:p>
    <w:p w14:paraId="69A6E211" w14:textId="77777777" w:rsidR="00E54383" w:rsidRDefault="00E54383">
      <w:pPr>
        <w:autoSpaceDE w:val="0"/>
        <w:autoSpaceDN w:val="0"/>
        <w:adjustRightInd w:val="0"/>
        <w:rPr>
          <w:rFonts w:asciiTheme="majorHAnsi" w:hAnsiTheme="majorHAnsi" w:cs="宋体"/>
          <w:lang w:eastAsia="zh-CN"/>
        </w:rPr>
      </w:pPr>
    </w:p>
    <w:p w14:paraId="049BB23A" w14:textId="6BFA1B42" w:rsidR="00E54383" w:rsidRDefault="00F658A1">
      <w:pPr>
        <w:autoSpaceDE w:val="0"/>
        <w:autoSpaceDN w:val="0"/>
        <w:adjustRightInd w:val="0"/>
        <w:rPr>
          <w:rFonts w:asciiTheme="majorHAnsi" w:hAnsiTheme="majorHAnsi" w:cs="宋体"/>
          <w:lang w:eastAsia="zh-TW"/>
        </w:rPr>
      </w:pPr>
      <w:r>
        <w:rPr>
          <w:rFonts w:asciiTheme="majorHAnsi" w:hAnsiTheme="majorHAnsi" w:cs="宋体" w:hint="eastAsia"/>
          <w:lang w:eastAsia="zh-TW"/>
        </w:rPr>
        <w:t>通過收購年銷售額約</w:t>
      </w:r>
      <w:r>
        <w:rPr>
          <w:rFonts w:asciiTheme="majorHAnsi" w:hAnsiTheme="majorHAnsi" w:cs="宋体"/>
          <w:lang w:eastAsia="zh-TW"/>
        </w:rPr>
        <w:t>3.70</w:t>
      </w:r>
      <w:r>
        <w:rPr>
          <w:rFonts w:asciiTheme="majorHAnsi" w:hAnsiTheme="majorHAnsi" w:cs="宋体" w:hint="eastAsia"/>
          <w:lang w:eastAsia="zh-TW"/>
        </w:rPr>
        <w:t>億歐元的高端護髮品牌</w:t>
      </w:r>
      <w:r w:rsidRPr="00DA4152">
        <w:rPr>
          <w:rFonts w:asciiTheme="majorHAnsi" w:hAnsiTheme="majorHAnsi" w:cs="宋体" w:hint="eastAsia"/>
          <w:b/>
          <w:bCs/>
          <w:lang w:eastAsia="zh-TW"/>
        </w:rPr>
        <w:t>歐拉裴（</w:t>
      </w:r>
      <w:r w:rsidRPr="007A749D">
        <w:rPr>
          <w:rFonts w:asciiTheme="majorHAnsi" w:hAnsiTheme="majorHAnsi" w:cs="宋体"/>
          <w:b/>
          <w:bCs/>
          <w:lang w:eastAsia="zh-TW"/>
        </w:rPr>
        <w:t>OLAPLEX</w:t>
      </w:r>
      <w:r w:rsidRPr="007A749D">
        <w:rPr>
          <w:rFonts w:asciiTheme="majorHAnsi" w:hAnsiTheme="majorHAnsi" w:cs="宋体" w:hint="eastAsia"/>
          <w:b/>
          <w:bCs/>
          <w:lang w:eastAsia="zh-TW"/>
        </w:rPr>
        <w:t>）</w:t>
      </w:r>
      <w:r>
        <w:rPr>
          <w:rFonts w:asciiTheme="majorHAnsi" w:hAnsiTheme="majorHAnsi" w:cs="宋体" w:hint="eastAsia"/>
          <w:lang w:eastAsia="zh-TW"/>
        </w:rPr>
        <w:t>，漢高進一步夯實了其在高端護髮賽道的全球佈局，並</w:t>
      </w:r>
      <w:r w:rsidRPr="008D2331">
        <w:rPr>
          <w:rFonts w:asciiTheme="majorHAnsi" w:hAnsiTheme="majorHAnsi" w:cs="宋体" w:hint="eastAsia"/>
          <w:lang w:eastAsia="zh-TW"/>
        </w:rPr>
        <w:t>躍居全球專業美髮業務領域第二大企業</w:t>
      </w:r>
      <w:r>
        <w:rPr>
          <w:rFonts w:asciiTheme="majorHAnsi" w:hAnsiTheme="majorHAnsi" w:cs="宋体" w:hint="eastAsia"/>
          <w:lang w:eastAsia="zh-TW"/>
        </w:rPr>
        <w:t>。高端護髮市場具備較高的發展吸引力，預計未來幾年的複合年增長率約為</w:t>
      </w:r>
      <w:r>
        <w:rPr>
          <w:rFonts w:asciiTheme="majorHAnsi" w:hAnsiTheme="majorHAnsi" w:cs="宋体"/>
          <w:lang w:eastAsia="zh-TW"/>
        </w:rPr>
        <w:t>5%</w:t>
      </w:r>
      <w:r>
        <w:rPr>
          <w:rFonts w:asciiTheme="majorHAnsi" w:hAnsiTheme="majorHAnsi" w:cs="宋体" w:hint="eastAsia"/>
          <w:lang w:eastAsia="zh-TW"/>
        </w:rPr>
        <w:t>。</w:t>
      </w:r>
      <w:r w:rsidRPr="008D2331">
        <w:rPr>
          <w:rFonts w:asciiTheme="majorHAnsi" w:hAnsiTheme="majorHAnsi" w:cs="宋体" w:hint="eastAsia"/>
          <w:lang w:eastAsia="zh-TW"/>
        </w:rPr>
        <w:t>歐拉裴</w:t>
      </w:r>
      <w:r>
        <w:rPr>
          <w:rFonts w:asciiTheme="majorHAnsi" w:hAnsiTheme="majorHAnsi" w:cs="宋体" w:hint="eastAsia"/>
          <w:lang w:eastAsia="zh-TW"/>
        </w:rPr>
        <w:t>是成熟的高端護髮品牌，擁有以科學為基礎的高性能產品組合。隨著此次交易的完成，漢高進一步鞏固了其在護髮這一消費品牌業務核心品類中的全球市場地位。漢高有信心把握交叉銷售機遇，強化專業零售與美髮沙龍兩大分銷管道，推動該業務實現大幅增長。此外，此次收購還帶來了有吸引力的創新與技術發展機遇。</w:t>
      </w:r>
    </w:p>
    <w:p w14:paraId="641103E8" w14:textId="77777777" w:rsidR="00E54383" w:rsidRDefault="00E54383">
      <w:pPr>
        <w:autoSpaceDE w:val="0"/>
        <w:autoSpaceDN w:val="0"/>
        <w:adjustRightInd w:val="0"/>
        <w:rPr>
          <w:rFonts w:asciiTheme="majorHAnsi" w:hAnsiTheme="majorHAnsi" w:cs="宋体"/>
          <w:lang w:eastAsia="zh-TW"/>
        </w:rPr>
      </w:pPr>
    </w:p>
    <w:p w14:paraId="6A5B9852" w14:textId="00C5D9E8" w:rsidR="00E54383" w:rsidRDefault="00F658A1">
      <w:pPr>
        <w:rPr>
          <w:rFonts w:asciiTheme="majorHAnsi" w:hAnsiTheme="majorHAnsi" w:cs="宋体"/>
          <w:lang w:eastAsia="zh-TW"/>
        </w:rPr>
      </w:pPr>
      <w:r>
        <w:rPr>
          <w:rFonts w:asciiTheme="majorHAnsi" w:hAnsiTheme="majorHAnsi" w:cs="宋体"/>
          <w:b/>
          <w:lang w:eastAsia="zh-TW"/>
        </w:rPr>
        <w:t>ATP Adhesive Systems</w:t>
      </w:r>
      <w:r>
        <w:rPr>
          <w:rFonts w:asciiTheme="majorHAnsi" w:hAnsiTheme="majorHAnsi" w:cs="宋体" w:hint="eastAsia"/>
          <w:lang w:eastAsia="zh-TW"/>
        </w:rPr>
        <w:t>的年銷售額約為</w:t>
      </w:r>
      <w:proofErr w:type="gramStart"/>
      <w:r>
        <w:rPr>
          <w:rFonts w:asciiTheme="majorHAnsi" w:hAnsiTheme="majorHAnsi" w:cs="宋体"/>
          <w:lang w:eastAsia="zh-TW"/>
        </w:rPr>
        <w:t>2.70</w:t>
      </w:r>
      <w:r>
        <w:rPr>
          <w:rFonts w:asciiTheme="majorHAnsi" w:hAnsiTheme="majorHAnsi" w:cs="宋体" w:hint="eastAsia"/>
          <w:lang w:eastAsia="zh-TW"/>
        </w:rPr>
        <w:t>億歐元。通過這一收購</w:t>
      </w:r>
      <w:proofErr w:type="gramEnd"/>
      <w:r>
        <w:rPr>
          <w:rFonts w:asciiTheme="majorHAnsi" w:hAnsiTheme="majorHAnsi" w:cs="宋体" w:hint="eastAsia"/>
          <w:lang w:eastAsia="zh-TW"/>
        </w:rPr>
        <w:t>，漢高得以將產品組合拓展至液態技術範疇之外，為高性能水性特種膠帶搭建起全新增長平臺。該市場前景廣闊，預計年均增長率約為</w:t>
      </w:r>
      <w:r>
        <w:rPr>
          <w:rFonts w:asciiTheme="majorHAnsi" w:hAnsiTheme="majorHAnsi" w:cs="宋体"/>
          <w:lang w:eastAsia="zh-TW"/>
        </w:rPr>
        <w:t>7%</w:t>
      </w:r>
      <w:r>
        <w:rPr>
          <w:rFonts w:asciiTheme="majorHAnsi" w:hAnsiTheme="majorHAnsi" w:cs="宋体" w:hint="eastAsia"/>
          <w:lang w:eastAsia="zh-TW"/>
        </w:rPr>
        <w:t>。作為溶劑型解決方案更</w:t>
      </w:r>
      <w:r w:rsidR="0047218A">
        <w:rPr>
          <w:rFonts w:asciiTheme="majorHAnsi" w:hAnsiTheme="majorHAnsi" w:cs="宋体" w:hint="eastAsia"/>
          <w:lang w:eastAsia="zh-TW"/>
        </w:rPr>
        <w:t>永續</w:t>
      </w:r>
      <w:r>
        <w:rPr>
          <w:rFonts w:asciiTheme="majorHAnsi" w:hAnsiTheme="majorHAnsi" w:cs="宋体" w:hint="eastAsia"/>
          <w:lang w:eastAsia="zh-TW"/>
        </w:rPr>
        <w:t>的替代選擇，水性特種膠帶的市場份額正在持續提升。其可將揮發性有機化合物（</w:t>
      </w:r>
      <w:r>
        <w:rPr>
          <w:rFonts w:asciiTheme="majorHAnsi" w:hAnsiTheme="majorHAnsi" w:cs="宋体"/>
          <w:lang w:eastAsia="zh-TW"/>
        </w:rPr>
        <w:t>VOC</w:t>
      </w:r>
      <w:r>
        <w:rPr>
          <w:rFonts w:asciiTheme="majorHAnsi" w:hAnsiTheme="majorHAnsi" w:cs="宋体" w:hint="eastAsia"/>
          <w:lang w:eastAsia="zh-TW"/>
        </w:rPr>
        <w:t>）排放量最高降低</w:t>
      </w:r>
      <w:r>
        <w:rPr>
          <w:rFonts w:asciiTheme="majorHAnsi" w:hAnsiTheme="majorHAnsi" w:cs="宋体"/>
          <w:lang w:eastAsia="zh-TW"/>
        </w:rPr>
        <w:t>90%</w:t>
      </w:r>
      <w:r>
        <w:rPr>
          <w:rFonts w:asciiTheme="majorHAnsi" w:hAnsiTheme="majorHAnsi" w:cs="宋体" w:hint="eastAsia"/>
          <w:lang w:eastAsia="zh-TW"/>
        </w:rPr>
        <w:t>，將碳足跡最多降低</w:t>
      </w:r>
      <w:r>
        <w:rPr>
          <w:rFonts w:asciiTheme="majorHAnsi" w:hAnsiTheme="majorHAnsi" w:cs="宋体"/>
          <w:lang w:eastAsia="zh-TW"/>
        </w:rPr>
        <w:t>60%</w:t>
      </w:r>
      <w:r>
        <w:rPr>
          <w:rFonts w:asciiTheme="majorHAnsi" w:hAnsiTheme="majorHAnsi" w:cs="宋体" w:hint="eastAsia"/>
          <w:lang w:eastAsia="zh-TW"/>
        </w:rPr>
        <w:t>。</w:t>
      </w:r>
      <w:r>
        <w:rPr>
          <w:rFonts w:asciiTheme="majorHAnsi" w:hAnsiTheme="majorHAnsi" w:cs="宋体"/>
          <w:lang w:eastAsia="zh-TW"/>
        </w:rPr>
        <w:t>ATP</w:t>
      </w:r>
      <w:r>
        <w:rPr>
          <w:rFonts w:asciiTheme="majorHAnsi" w:hAnsiTheme="majorHAnsi" w:cs="宋体" w:hint="eastAsia"/>
          <w:lang w:eastAsia="zh-TW"/>
        </w:rPr>
        <w:t>的特種膠帶已應用於例如汽車高級駕駛輔助系統等領域。本次收購同時也強化了漢高的創新能力，帶來具有吸引力的交叉銷售機會，進一步鞏固了漢高在</w:t>
      </w:r>
      <w:r w:rsidR="0047218A">
        <w:rPr>
          <w:rFonts w:asciiTheme="majorHAnsi" w:hAnsiTheme="majorHAnsi" w:cs="宋体" w:hint="eastAsia"/>
          <w:lang w:eastAsia="zh-TW"/>
        </w:rPr>
        <w:t>永續</w:t>
      </w:r>
      <w:r>
        <w:rPr>
          <w:rFonts w:asciiTheme="majorHAnsi" w:hAnsiTheme="majorHAnsi" w:cs="宋体" w:hint="eastAsia"/>
          <w:lang w:eastAsia="zh-TW"/>
        </w:rPr>
        <w:t>粘合劑解決方案市場的領先地位。</w:t>
      </w:r>
    </w:p>
    <w:p w14:paraId="56EF679E" w14:textId="77777777" w:rsidR="00E54383" w:rsidRDefault="00E54383">
      <w:pPr>
        <w:rPr>
          <w:rFonts w:asciiTheme="majorHAnsi" w:hAnsiTheme="majorHAnsi" w:cs="宋体"/>
          <w:lang w:eastAsia="zh-TW"/>
        </w:rPr>
      </w:pPr>
    </w:p>
    <w:p w14:paraId="7B0B29C6" w14:textId="6804FC91" w:rsidR="00F657E0" w:rsidRDefault="00F658A1" w:rsidP="00F657E0">
      <w:pPr>
        <w:rPr>
          <w:rFonts w:asciiTheme="majorHAnsi" w:hAnsiTheme="majorHAnsi" w:cs="宋体"/>
          <w:lang w:eastAsia="zh-TW"/>
        </w:rPr>
      </w:pPr>
      <w:r>
        <w:rPr>
          <w:rFonts w:asciiTheme="majorHAnsi" w:hAnsiTheme="majorHAnsi" w:cs="宋体" w:hint="eastAsia"/>
          <w:lang w:eastAsia="zh-TW"/>
        </w:rPr>
        <w:t>漢高預計，近期完成的各項收購將於本財年開始對銷售額及利潤產生積極貢獻。</w:t>
      </w:r>
      <w:r>
        <w:rPr>
          <w:rFonts w:asciiTheme="majorHAnsi" w:hAnsiTheme="majorHAnsi" w:cs="宋体"/>
          <w:lang w:eastAsia="zh-TW"/>
        </w:rPr>
        <w:t>2026</w:t>
      </w:r>
      <w:r>
        <w:rPr>
          <w:rFonts w:asciiTheme="majorHAnsi" w:hAnsiTheme="majorHAnsi" w:cs="宋体" w:hint="eastAsia"/>
          <w:lang w:eastAsia="zh-TW"/>
        </w:rPr>
        <w:t>年，相關收購業務預計將貢獻約</w:t>
      </w:r>
      <w:r>
        <w:rPr>
          <w:rFonts w:asciiTheme="majorHAnsi" w:hAnsiTheme="majorHAnsi" w:cs="宋体"/>
          <w:lang w:eastAsia="zh-TW"/>
        </w:rPr>
        <w:t>7</w:t>
      </w:r>
      <w:r>
        <w:rPr>
          <w:rFonts w:asciiTheme="majorHAnsi" w:hAnsiTheme="majorHAnsi" w:cs="宋体" w:hint="eastAsia"/>
          <w:lang w:eastAsia="zh-TW"/>
        </w:rPr>
        <w:t>億歐元的銷售額</w:t>
      </w:r>
      <w:r w:rsidRPr="00DA4152">
        <w:rPr>
          <w:rFonts w:asciiTheme="majorHAnsi" w:hAnsiTheme="majorHAnsi" w:cs="宋体"/>
          <w:vertAlign w:val="superscript"/>
          <w:lang w:eastAsia="zh-TW"/>
        </w:rPr>
        <w:t>2</w:t>
      </w:r>
      <w:r>
        <w:rPr>
          <w:rFonts w:asciiTheme="majorHAnsi" w:hAnsiTheme="majorHAnsi" w:cs="宋体" w:hint="eastAsia"/>
          <w:lang w:eastAsia="zh-TW"/>
        </w:rPr>
        <w:t>。從長遠來看，五項收購項目增長預計將高於平均水準，實現中高個位數百分比增長，</w:t>
      </w:r>
      <w:r w:rsidRPr="00F657E0">
        <w:rPr>
          <w:rFonts w:asciiTheme="majorHAnsi" w:hAnsiTheme="majorHAnsi" w:cs="宋体" w:hint="eastAsia"/>
          <w:lang w:eastAsia="zh-TW"/>
        </w:rPr>
        <w:t>其合計銷售額有望於</w:t>
      </w:r>
      <w:r w:rsidRPr="00F657E0">
        <w:rPr>
          <w:rFonts w:asciiTheme="majorHAnsi" w:hAnsiTheme="majorHAnsi" w:cs="宋体"/>
          <w:lang w:eastAsia="zh-TW"/>
        </w:rPr>
        <w:t>2030</w:t>
      </w:r>
      <w:r w:rsidRPr="00F657E0">
        <w:rPr>
          <w:rFonts w:asciiTheme="majorHAnsi" w:hAnsiTheme="majorHAnsi" w:cs="宋体" w:hint="eastAsia"/>
          <w:lang w:eastAsia="zh-TW"/>
        </w:rPr>
        <w:t>年</w:t>
      </w:r>
      <w:r>
        <w:rPr>
          <w:rFonts w:asciiTheme="majorHAnsi" w:hAnsiTheme="majorHAnsi" w:cs="宋体" w:hint="eastAsia"/>
          <w:lang w:eastAsia="zh-TW"/>
        </w:rPr>
        <w:t>增</w:t>
      </w:r>
      <w:r w:rsidRPr="00F657E0">
        <w:rPr>
          <w:rFonts w:asciiTheme="majorHAnsi" w:hAnsiTheme="majorHAnsi" w:cs="宋体" w:hint="eastAsia"/>
          <w:lang w:eastAsia="zh-TW"/>
        </w:rPr>
        <w:t>至約</w:t>
      </w:r>
      <w:r w:rsidRPr="00F657E0">
        <w:rPr>
          <w:rFonts w:asciiTheme="majorHAnsi" w:hAnsiTheme="majorHAnsi" w:cs="宋体"/>
          <w:lang w:eastAsia="zh-TW"/>
        </w:rPr>
        <w:t>20</w:t>
      </w:r>
      <w:r w:rsidRPr="00F657E0">
        <w:rPr>
          <w:rFonts w:asciiTheme="majorHAnsi" w:hAnsiTheme="majorHAnsi" w:cs="宋体" w:hint="eastAsia"/>
          <w:lang w:eastAsia="zh-TW"/>
        </w:rPr>
        <w:t>億歐元</w:t>
      </w:r>
      <w:r>
        <w:rPr>
          <w:rFonts w:asciiTheme="majorHAnsi" w:hAnsiTheme="majorHAnsi" w:cs="宋体" w:hint="eastAsia"/>
          <w:lang w:eastAsia="zh-TW"/>
        </w:rPr>
        <w:t>。</w:t>
      </w:r>
      <w:bookmarkStart w:id="6" w:name="_Hlk190182989"/>
      <w:r>
        <w:rPr>
          <w:rFonts w:asciiTheme="majorHAnsi" w:hAnsiTheme="majorHAnsi" w:cs="宋体" w:hint="eastAsia"/>
          <w:lang w:eastAsia="zh-TW"/>
        </w:rPr>
        <w:t>從盈利貢獻來看，漢高預計，至</w:t>
      </w:r>
      <w:r>
        <w:rPr>
          <w:rFonts w:asciiTheme="majorHAnsi" w:hAnsiTheme="majorHAnsi" w:cs="宋体"/>
          <w:lang w:eastAsia="zh-TW"/>
        </w:rPr>
        <w:t>2030</w:t>
      </w:r>
      <w:r>
        <w:rPr>
          <w:rFonts w:asciiTheme="majorHAnsi" w:hAnsiTheme="majorHAnsi" w:cs="宋体" w:hint="eastAsia"/>
          <w:lang w:eastAsia="zh-TW"/>
        </w:rPr>
        <w:t>年，相關收購將為調整後的優先股每股收益帶來至少</w:t>
      </w:r>
      <w:r>
        <w:rPr>
          <w:rFonts w:asciiTheme="majorHAnsi" w:hAnsiTheme="majorHAnsi" w:cs="宋体"/>
          <w:lang w:eastAsia="zh-TW"/>
        </w:rPr>
        <w:t>10%</w:t>
      </w:r>
      <w:r>
        <w:rPr>
          <w:rFonts w:asciiTheme="majorHAnsi" w:hAnsiTheme="majorHAnsi" w:cs="宋体" w:hint="eastAsia"/>
          <w:lang w:eastAsia="zh-TW"/>
        </w:rPr>
        <w:t>的增長貢獻。</w:t>
      </w:r>
    </w:p>
    <w:p w14:paraId="3F51A37C" w14:textId="1A37812E" w:rsidR="006E721E" w:rsidRDefault="006E721E" w:rsidP="00DA4152">
      <w:pPr>
        <w:rPr>
          <w:rFonts w:asciiTheme="majorHAnsi" w:hAnsiTheme="majorHAnsi" w:cs="宋体"/>
          <w:b/>
          <w:lang w:eastAsia="zh-TW"/>
        </w:rPr>
      </w:pPr>
    </w:p>
    <w:p w14:paraId="0895D617" w14:textId="69845ED4" w:rsidR="00E54383" w:rsidRDefault="00F658A1" w:rsidP="00DA4152">
      <w:pPr>
        <w:rPr>
          <w:rFonts w:asciiTheme="majorHAnsi" w:hAnsiTheme="majorHAnsi" w:cs="宋体"/>
          <w:b/>
          <w:szCs w:val="22"/>
          <w:lang w:eastAsia="zh-TW"/>
        </w:rPr>
      </w:pPr>
      <w:r>
        <w:rPr>
          <w:rFonts w:asciiTheme="majorHAnsi" w:hAnsiTheme="majorHAnsi" w:cs="宋体"/>
          <w:b/>
          <w:lang w:eastAsia="zh-TW"/>
        </w:rPr>
        <w:lastRenderedPageBreak/>
        <w:t>2026</w:t>
      </w:r>
      <w:r>
        <w:rPr>
          <w:rFonts w:asciiTheme="majorHAnsi" w:hAnsiTheme="majorHAnsi" w:cs="宋体" w:hint="eastAsia"/>
          <w:b/>
          <w:lang w:eastAsia="zh-TW"/>
        </w:rPr>
        <w:t>財年展望：上調集團及粘合劑技術業務部營收預期</w:t>
      </w:r>
    </w:p>
    <w:p w14:paraId="5C25744F" w14:textId="0AA1E89D" w:rsidR="00E54383" w:rsidRDefault="00F658A1">
      <w:pPr>
        <w:rPr>
          <w:rFonts w:asciiTheme="majorHAnsi" w:hAnsiTheme="majorHAnsi" w:cs="宋体"/>
          <w:lang w:eastAsia="zh-CN"/>
        </w:rPr>
      </w:pPr>
      <w:r>
        <w:rPr>
          <w:rFonts w:asciiTheme="majorHAnsi" w:hAnsiTheme="majorHAnsi" w:cs="宋体" w:hint="eastAsia"/>
          <w:lang w:eastAsia="zh-TW"/>
        </w:rPr>
        <w:t>基於上半年的強勁業績表現，漢高上調了集團及粘合劑技術業務部的營收預期。對調整後息稅前利潤率以及調整後優先股每股收益（按固定匯率計算）增長的預期維持不變。</w:t>
      </w:r>
    </w:p>
    <w:p w14:paraId="23EBDC55" w14:textId="77777777" w:rsidR="00E54383" w:rsidRDefault="00E54383">
      <w:pPr>
        <w:rPr>
          <w:rFonts w:asciiTheme="majorHAnsi" w:hAnsiTheme="majorHAnsi" w:cs="宋体"/>
          <w:lang w:eastAsia="zh-CN"/>
        </w:rPr>
      </w:pPr>
    </w:p>
    <w:p w14:paraId="377953DB" w14:textId="6C07F7AF" w:rsidR="00E54383" w:rsidRDefault="00F658A1">
      <w:pPr>
        <w:rPr>
          <w:rFonts w:asciiTheme="majorHAnsi" w:hAnsiTheme="majorHAnsi" w:cs="宋体"/>
          <w:lang w:eastAsia="zh-CN"/>
        </w:rPr>
      </w:pPr>
      <w:r>
        <w:rPr>
          <w:rFonts w:asciiTheme="majorHAnsi" w:hAnsiTheme="majorHAnsi" w:cs="宋体" w:hint="eastAsia"/>
          <w:lang w:eastAsia="zh-TW"/>
        </w:rPr>
        <w:t>漢高預計本年度的</w:t>
      </w:r>
      <w:r>
        <w:rPr>
          <w:rFonts w:asciiTheme="majorHAnsi" w:hAnsiTheme="majorHAnsi" w:cs="宋体" w:hint="eastAsia"/>
          <w:b/>
          <w:lang w:eastAsia="zh-TW"/>
        </w:rPr>
        <w:t>有機銷售額增長</w:t>
      </w:r>
      <w:r>
        <w:rPr>
          <w:rFonts w:asciiTheme="majorHAnsi" w:hAnsiTheme="majorHAnsi" w:cs="宋体" w:hint="eastAsia"/>
          <w:lang w:eastAsia="zh-TW"/>
        </w:rPr>
        <w:t>將達到</w:t>
      </w:r>
      <w:r>
        <w:rPr>
          <w:rFonts w:asciiTheme="majorHAnsi" w:hAnsiTheme="majorHAnsi" w:cs="宋体"/>
          <w:lang w:eastAsia="zh-TW"/>
        </w:rPr>
        <w:t>1.5% ‑ 3.5%</w:t>
      </w:r>
      <w:r>
        <w:rPr>
          <w:rFonts w:asciiTheme="majorHAnsi" w:hAnsiTheme="majorHAnsi" w:cs="宋体" w:hint="eastAsia"/>
          <w:lang w:eastAsia="zh-TW"/>
        </w:rPr>
        <w:t>（此前預期：</w:t>
      </w:r>
      <w:r>
        <w:rPr>
          <w:rFonts w:asciiTheme="majorHAnsi" w:hAnsiTheme="majorHAnsi" w:cs="宋体"/>
          <w:lang w:eastAsia="zh-TW"/>
        </w:rPr>
        <w:t>1.0% ‑ 3.0%</w:t>
      </w:r>
      <w:r>
        <w:rPr>
          <w:rFonts w:asciiTheme="majorHAnsi" w:hAnsiTheme="majorHAnsi" w:cs="宋体" w:hint="eastAsia"/>
          <w:lang w:eastAsia="zh-TW"/>
        </w:rPr>
        <w:t>）。粘合劑技術業務部的有機銷售額增長預期調整為</w:t>
      </w:r>
      <w:proofErr w:type="gramStart"/>
      <w:r>
        <w:rPr>
          <w:rFonts w:asciiTheme="majorHAnsi" w:hAnsiTheme="majorHAnsi" w:cs="宋体"/>
          <w:lang w:eastAsia="zh-TW"/>
        </w:rPr>
        <w:t>2.0% ‑</w:t>
      </w:r>
      <w:proofErr w:type="gramEnd"/>
      <w:r>
        <w:rPr>
          <w:rFonts w:asciiTheme="majorHAnsi" w:hAnsiTheme="majorHAnsi" w:cs="宋体"/>
          <w:lang w:eastAsia="zh-TW"/>
        </w:rPr>
        <w:t xml:space="preserve"> 4.0%</w:t>
      </w:r>
      <w:r>
        <w:rPr>
          <w:rFonts w:asciiTheme="majorHAnsi" w:hAnsiTheme="majorHAnsi" w:cs="宋体" w:hint="eastAsia"/>
          <w:lang w:eastAsia="zh-TW"/>
        </w:rPr>
        <w:t>（此前預期：</w:t>
      </w:r>
      <w:r>
        <w:rPr>
          <w:rFonts w:asciiTheme="majorHAnsi" w:hAnsiTheme="majorHAnsi" w:cs="宋体"/>
          <w:lang w:eastAsia="zh-TW"/>
        </w:rPr>
        <w:t xml:space="preserve">1.0% ‑ </w:t>
      </w:r>
      <w:proofErr w:type="gramStart"/>
      <w:r>
        <w:rPr>
          <w:rFonts w:asciiTheme="majorHAnsi" w:hAnsiTheme="majorHAnsi" w:cs="宋体"/>
          <w:lang w:eastAsia="zh-TW"/>
        </w:rPr>
        <w:t>3.0%</w:t>
      </w:r>
      <w:r>
        <w:rPr>
          <w:rFonts w:asciiTheme="majorHAnsi" w:hAnsiTheme="majorHAnsi" w:cs="宋体" w:hint="eastAsia"/>
          <w:lang w:eastAsia="zh-TW"/>
        </w:rPr>
        <w:t>）。消費品牌業務部的有機銷售額增長預期維持</w:t>
      </w:r>
      <w:r>
        <w:rPr>
          <w:rFonts w:asciiTheme="majorHAnsi" w:hAnsiTheme="majorHAnsi" w:cs="宋体"/>
          <w:lang w:eastAsia="zh-TW"/>
        </w:rPr>
        <w:t>0.5% ‑</w:t>
      </w:r>
      <w:proofErr w:type="gramEnd"/>
      <w:r>
        <w:rPr>
          <w:rFonts w:asciiTheme="majorHAnsi" w:hAnsiTheme="majorHAnsi" w:cs="宋体"/>
          <w:lang w:eastAsia="zh-TW"/>
        </w:rPr>
        <w:t xml:space="preserve"> 2.5%</w:t>
      </w:r>
      <w:r>
        <w:rPr>
          <w:rFonts w:asciiTheme="majorHAnsi" w:hAnsiTheme="majorHAnsi" w:cs="宋体" w:hint="eastAsia"/>
          <w:lang w:eastAsia="zh-TW"/>
        </w:rPr>
        <w:t>不變。</w:t>
      </w:r>
      <w:r w:rsidR="00E413B0">
        <w:rPr>
          <w:rFonts w:asciiTheme="majorHAnsi" w:hAnsiTheme="majorHAnsi" w:cs="宋体"/>
          <w:lang w:eastAsia="zh-CN"/>
        </w:rPr>
        <w:t xml:space="preserve"> </w:t>
      </w:r>
    </w:p>
    <w:p w14:paraId="4492C762" w14:textId="77777777" w:rsidR="00E54383" w:rsidRDefault="00E54383">
      <w:pPr>
        <w:rPr>
          <w:rFonts w:asciiTheme="majorHAnsi" w:hAnsiTheme="majorHAnsi" w:cs="宋体"/>
          <w:lang w:eastAsia="zh-CN"/>
        </w:rPr>
      </w:pPr>
    </w:p>
    <w:p w14:paraId="381C3F08" w14:textId="602F448B" w:rsidR="00E54383" w:rsidRDefault="00F658A1">
      <w:pPr>
        <w:rPr>
          <w:rFonts w:asciiTheme="majorHAnsi" w:hAnsiTheme="majorHAnsi" w:cs="宋体"/>
          <w:szCs w:val="22"/>
          <w:lang w:eastAsia="zh-TW"/>
        </w:rPr>
      </w:pPr>
      <w:r>
        <w:rPr>
          <w:rFonts w:asciiTheme="majorHAnsi" w:hAnsiTheme="majorHAnsi" w:cs="宋体" w:hint="eastAsia"/>
          <w:b/>
          <w:lang w:eastAsia="zh-TW"/>
        </w:rPr>
        <w:t>調整後的銷售回報率</w:t>
      </w:r>
      <w:r>
        <w:rPr>
          <w:rFonts w:asciiTheme="majorHAnsi" w:hAnsiTheme="majorHAnsi" w:cs="宋体" w:hint="eastAsia"/>
          <w:lang w:eastAsia="zh-TW"/>
        </w:rPr>
        <w:t>（調整後的息稅前利潤率）預計為</w:t>
      </w:r>
      <w:r>
        <w:rPr>
          <w:rFonts w:asciiTheme="majorHAnsi" w:hAnsiTheme="majorHAnsi" w:cs="宋体"/>
          <w:lang w:eastAsia="zh-TW"/>
        </w:rPr>
        <w:t>14.5%</w:t>
      </w:r>
      <w:r>
        <w:rPr>
          <w:rFonts w:asciiTheme="majorHAnsi" w:hAnsiTheme="majorHAnsi" w:cs="宋体" w:hint="eastAsia"/>
          <w:lang w:eastAsia="zh-TW"/>
        </w:rPr>
        <w:t>至</w:t>
      </w:r>
      <w:r>
        <w:rPr>
          <w:rFonts w:asciiTheme="majorHAnsi" w:hAnsiTheme="majorHAnsi" w:cs="宋体"/>
          <w:lang w:eastAsia="zh-TW"/>
        </w:rPr>
        <w:t>16.0%</w:t>
      </w:r>
      <w:r>
        <w:rPr>
          <w:rFonts w:asciiTheme="majorHAnsi" w:hAnsiTheme="majorHAnsi" w:cs="宋体" w:hint="eastAsia"/>
          <w:lang w:eastAsia="zh-TW"/>
        </w:rPr>
        <w:t>。粘合劑技術業務部調整後的銷售回報率預計為</w:t>
      </w:r>
      <w:r>
        <w:rPr>
          <w:rFonts w:asciiTheme="majorHAnsi" w:hAnsiTheme="majorHAnsi" w:cs="宋体"/>
          <w:lang w:eastAsia="zh-TW"/>
        </w:rPr>
        <w:t>16.5%</w:t>
      </w:r>
      <w:r>
        <w:rPr>
          <w:rFonts w:asciiTheme="majorHAnsi" w:hAnsiTheme="majorHAnsi" w:cs="宋体" w:hint="eastAsia"/>
          <w:lang w:eastAsia="zh-TW"/>
        </w:rPr>
        <w:t>至</w:t>
      </w:r>
      <w:r>
        <w:rPr>
          <w:rFonts w:asciiTheme="majorHAnsi" w:hAnsiTheme="majorHAnsi" w:cs="宋体"/>
          <w:lang w:eastAsia="zh-TW"/>
        </w:rPr>
        <w:t>18.0%</w:t>
      </w:r>
      <w:r>
        <w:rPr>
          <w:rFonts w:asciiTheme="majorHAnsi" w:hAnsiTheme="majorHAnsi" w:cs="宋体" w:hint="eastAsia"/>
          <w:lang w:eastAsia="zh-TW"/>
        </w:rPr>
        <w:t>，而消費品牌業務部預計為</w:t>
      </w:r>
      <w:r>
        <w:rPr>
          <w:rFonts w:asciiTheme="majorHAnsi" w:hAnsiTheme="majorHAnsi" w:cs="宋体"/>
          <w:lang w:eastAsia="zh-TW"/>
        </w:rPr>
        <w:t>14.0%</w:t>
      </w:r>
      <w:r>
        <w:rPr>
          <w:rFonts w:asciiTheme="majorHAnsi" w:hAnsiTheme="majorHAnsi" w:cs="宋体" w:hint="eastAsia"/>
          <w:lang w:eastAsia="zh-TW"/>
        </w:rPr>
        <w:t>至</w:t>
      </w:r>
      <w:r>
        <w:rPr>
          <w:rFonts w:asciiTheme="majorHAnsi" w:hAnsiTheme="majorHAnsi" w:cs="宋体"/>
          <w:lang w:eastAsia="zh-TW"/>
        </w:rPr>
        <w:t>15.5%</w:t>
      </w:r>
      <w:r>
        <w:rPr>
          <w:rFonts w:asciiTheme="majorHAnsi" w:hAnsiTheme="majorHAnsi" w:cs="宋体" w:hint="eastAsia"/>
          <w:lang w:eastAsia="zh-TW"/>
        </w:rPr>
        <w:t>。</w:t>
      </w:r>
    </w:p>
    <w:p w14:paraId="2EAAF9C9" w14:textId="77777777" w:rsidR="00E54383" w:rsidRDefault="00E54383">
      <w:pPr>
        <w:rPr>
          <w:rFonts w:asciiTheme="majorHAnsi" w:hAnsiTheme="majorHAnsi" w:cs="宋体"/>
          <w:szCs w:val="22"/>
          <w:lang w:eastAsia="zh-TW"/>
        </w:rPr>
      </w:pPr>
    </w:p>
    <w:p w14:paraId="00673A31" w14:textId="08A49467" w:rsidR="00E54383" w:rsidRDefault="00F658A1">
      <w:pPr>
        <w:rPr>
          <w:rFonts w:asciiTheme="majorHAnsi" w:hAnsiTheme="majorHAnsi" w:cs="宋体"/>
          <w:szCs w:val="22"/>
          <w:lang w:eastAsia="zh-CN"/>
        </w:rPr>
      </w:pPr>
      <w:r>
        <w:rPr>
          <w:rFonts w:asciiTheme="majorHAnsi" w:hAnsiTheme="majorHAnsi" w:cs="宋体" w:hint="eastAsia"/>
          <w:lang w:eastAsia="zh-TW"/>
        </w:rPr>
        <w:t>按固定匯率計算的</w:t>
      </w:r>
      <w:r>
        <w:rPr>
          <w:rFonts w:asciiTheme="majorHAnsi" w:hAnsiTheme="majorHAnsi" w:cs="宋体" w:hint="eastAsia"/>
          <w:b/>
          <w:bCs/>
          <w:lang w:eastAsia="zh-TW"/>
        </w:rPr>
        <w:t>調整後優先股每股收益</w:t>
      </w:r>
      <w:r>
        <w:rPr>
          <w:rFonts w:asciiTheme="majorHAnsi" w:hAnsiTheme="majorHAnsi" w:cs="宋体" w:hint="eastAsia"/>
          <w:lang w:eastAsia="zh-TW"/>
        </w:rPr>
        <w:t>（</w:t>
      </w:r>
      <w:r>
        <w:rPr>
          <w:rFonts w:asciiTheme="majorHAnsi" w:hAnsiTheme="majorHAnsi" w:cs="宋体"/>
          <w:lang w:eastAsia="zh-TW"/>
        </w:rPr>
        <w:t>EPS</w:t>
      </w:r>
      <w:r>
        <w:rPr>
          <w:rFonts w:asciiTheme="majorHAnsi" w:hAnsiTheme="majorHAnsi" w:cs="宋体" w:hint="eastAsia"/>
          <w:lang w:eastAsia="zh-TW"/>
        </w:rPr>
        <w:t>）預計將以較低至較高個位數百分比的幅度增長。</w:t>
      </w:r>
    </w:p>
    <w:p w14:paraId="13301D94" w14:textId="77777777" w:rsidR="00E54383" w:rsidRDefault="00E54383">
      <w:pPr>
        <w:rPr>
          <w:rFonts w:asciiTheme="majorHAnsi" w:hAnsiTheme="majorHAnsi" w:cs="宋体"/>
          <w:szCs w:val="22"/>
          <w:lang w:eastAsia="zh-CN"/>
        </w:rPr>
      </w:pPr>
    </w:p>
    <w:p w14:paraId="604BAA8C" w14:textId="7D1E8936" w:rsidR="00E54383" w:rsidRDefault="00F658A1">
      <w:pPr>
        <w:rPr>
          <w:rFonts w:asciiTheme="majorHAnsi" w:hAnsiTheme="majorHAnsi" w:cs="宋体"/>
          <w:szCs w:val="22"/>
          <w:lang w:eastAsia="zh-TW"/>
        </w:rPr>
      </w:pPr>
      <w:r>
        <w:rPr>
          <w:rFonts w:asciiTheme="majorHAnsi" w:hAnsiTheme="majorHAnsi" w:cs="宋体" w:hint="eastAsia"/>
          <w:lang w:eastAsia="zh-TW"/>
        </w:rPr>
        <w:t>卡斯滕</w:t>
      </w:r>
      <w:r>
        <w:rPr>
          <w:rFonts w:asciiTheme="majorHAnsi" w:hAnsiTheme="majorHAnsi" w:cs="宋体"/>
          <w:lang w:eastAsia="zh-TW"/>
        </w:rPr>
        <w:t>·</w:t>
      </w:r>
      <w:r>
        <w:rPr>
          <w:rFonts w:asciiTheme="majorHAnsi" w:hAnsiTheme="majorHAnsi" w:cs="宋体" w:hint="eastAsia"/>
          <w:lang w:eastAsia="zh-TW"/>
        </w:rPr>
        <w:t>諾貝爾表示：</w:t>
      </w:r>
      <w:r>
        <w:rPr>
          <w:rFonts w:asciiTheme="majorHAnsi" w:hAnsiTheme="majorHAnsi" w:cs="宋体"/>
          <w:lang w:eastAsia="zh-TW"/>
        </w:rPr>
        <w:t>“2026</w:t>
      </w:r>
      <w:r>
        <w:rPr>
          <w:rFonts w:asciiTheme="majorHAnsi" w:hAnsiTheme="majorHAnsi" w:cs="宋体" w:hint="eastAsia"/>
          <w:lang w:eastAsia="zh-TW"/>
        </w:rPr>
        <w:t>年上半年，我們取得了非常亮眼的業績表現，有機銷售額實現強勁增長，利潤率與盈利水準進一步改善。這充分印證了漢高的轉型已見成效。我們將持續推進轉型進程，不斷強化長期競爭力，為公司未來的發展奠定堅實基礎。我們正在重塑漢高，以迎接更加成功的未來。依託清晰的</w:t>
      </w:r>
      <w:r w:rsidR="00791356">
        <w:rPr>
          <w:rFonts w:asciiTheme="majorHAnsi" w:hAnsiTheme="majorHAnsi" w:cs="宋体" w:hint="eastAsia"/>
          <w:lang w:eastAsia="zh-TW"/>
        </w:rPr>
        <w:t>策略</w:t>
      </w:r>
      <w:r>
        <w:rPr>
          <w:rFonts w:asciiTheme="majorHAnsi" w:hAnsiTheme="majorHAnsi" w:cs="宋体" w:hint="eastAsia"/>
          <w:lang w:eastAsia="zh-TW"/>
        </w:rPr>
        <w:t>，我們有信心進一步實現盈利增長。</w:t>
      </w:r>
      <w:r>
        <w:rPr>
          <w:rFonts w:asciiTheme="majorHAnsi" w:hAnsiTheme="majorHAnsi" w:cs="宋体"/>
          <w:lang w:eastAsia="zh-TW"/>
        </w:rPr>
        <w:t>”</w:t>
      </w:r>
    </w:p>
    <w:bookmarkEnd w:id="6"/>
    <w:p w14:paraId="51DAB605" w14:textId="77777777" w:rsidR="00E54383" w:rsidRDefault="00E54383">
      <w:pPr>
        <w:spacing w:line="240" w:lineRule="auto"/>
        <w:jc w:val="left"/>
        <w:rPr>
          <w:rFonts w:asciiTheme="majorHAnsi" w:hAnsiTheme="majorHAnsi" w:cs="宋体"/>
          <w:b/>
          <w:bCs/>
          <w:sz w:val="18"/>
          <w:lang w:eastAsia="zh-TW"/>
        </w:rPr>
      </w:pPr>
    </w:p>
    <w:p w14:paraId="4E0ED511" w14:textId="77777777" w:rsidR="00520DF6" w:rsidRDefault="00520DF6">
      <w:pPr>
        <w:spacing w:line="240" w:lineRule="auto"/>
        <w:jc w:val="left"/>
        <w:rPr>
          <w:rFonts w:asciiTheme="majorHAnsi" w:hAnsiTheme="majorHAnsi" w:cs="宋体"/>
          <w:b/>
          <w:bCs/>
          <w:sz w:val="18"/>
          <w:szCs w:val="18"/>
          <w:highlight w:val="yellow"/>
          <w:lang w:eastAsia="zh-TW"/>
        </w:rPr>
      </w:pPr>
    </w:p>
    <w:p w14:paraId="709256A6" w14:textId="77777777" w:rsidR="00520DF6" w:rsidRDefault="00520DF6">
      <w:pPr>
        <w:spacing w:line="240" w:lineRule="auto"/>
        <w:jc w:val="left"/>
        <w:rPr>
          <w:rFonts w:asciiTheme="majorHAnsi" w:hAnsiTheme="majorHAnsi" w:cs="宋体"/>
          <w:b/>
          <w:bCs/>
          <w:sz w:val="18"/>
          <w:szCs w:val="18"/>
          <w:highlight w:val="yellow"/>
          <w:lang w:eastAsia="zh-TW"/>
        </w:rPr>
      </w:pPr>
    </w:p>
    <w:p w14:paraId="66278D6F" w14:textId="7C5207EA" w:rsidR="00520DF6" w:rsidRPr="00564B53" w:rsidRDefault="00F658A1" w:rsidP="00520DF6">
      <w:pPr>
        <w:pStyle w:val="He04Funote"/>
        <w:rPr>
          <w:sz w:val="12"/>
          <w:szCs w:val="12"/>
          <w:lang w:val="en-US" w:eastAsia="zh-TW"/>
        </w:rPr>
      </w:pPr>
      <w:r w:rsidRPr="00DA4152">
        <w:rPr>
          <w:rFonts w:ascii="微软雅黑" w:eastAsia="微软雅黑" w:hAnsi="微软雅黑" w:cs="微软雅黑"/>
          <w:sz w:val="12"/>
          <w:szCs w:val="12"/>
          <w:vertAlign w:val="superscript"/>
          <w:lang w:val="en-US" w:eastAsia="zh-TW"/>
        </w:rPr>
        <w:t>1</w:t>
      </w:r>
      <w:r>
        <w:rPr>
          <w:rFonts w:ascii="微软雅黑" w:eastAsia="微软雅黑" w:hAnsi="微软雅黑" w:cs="微软雅黑"/>
          <w:sz w:val="12"/>
          <w:szCs w:val="12"/>
          <w:lang w:val="en-US" w:eastAsia="zh-TW"/>
        </w:rPr>
        <w:t xml:space="preserve"> </w:t>
      </w:r>
      <w:r w:rsidRPr="00DA4152">
        <w:rPr>
          <w:rFonts w:ascii="宋体" w:eastAsia="宋体" w:hAnsi="宋体" w:cs="微软雅黑" w:hint="eastAsia"/>
          <w:sz w:val="12"/>
          <w:szCs w:val="12"/>
          <w:lang w:val="en-US" w:eastAsia="zh-TW"/>
        </w:rPr>
        <w:t>已對一次性收支及重組費用進行調整。</w:t>
      </w:r>
    </w:p>
    <w:p w14:paraId="0B8B7C9B" w14:textId="77777777" w:rsidR="00520DF6" w:rsidRPr="003A2EB6" w:rsidRDefault="00520DF6">
      <w:pPr>
        <w:spacing w:line="240" w:lineRule="auto"/>
        <w:jc w:val="left"/>
        <w:rPr>
          <w:rFonts w:asciiTheme="majorHAnsi" w:hAnsiTheme="majorHAnsi" w:cs="宋体"/>
          <w:b/>
          <w:bCs/>
          <w:sz w:val="18"/>
          <w:szCs w:val="18"/>
          <w:highlight w:val="yellow"/>
          <w:lang w:eastAsia="zh-TW"/>
        </w:rPr>
      </w:pPr>
    </w:p>
    <w:p w14:paraId="74420A85" w14:textId="58B5FCB9" w:rsidR="00564B53" w:rsidRDefault="00F658A1">
      <w:pPr>
        <w:spacing w:line="240" w:lineRule="auto"/>
        <w:jc w:val="left"/>
        <w:rPr>
          <w:rFonts w:asciiTheme="majorHAnsi" w:hAnsiTheme="majorHAnsi" w:cs="宋体"/>
          <w:b/>
          <w:bCs/>
          <w:sz w:val="18"/>
          <w:szCs w:val="18"/>
          <w:highlight w:val="yellow"/>
          <w:lang w:eastAsia="zh-TW"/>
        </w:rPr>
      </w:pPr>
      <w:r w:rsidRPr="002F2F6B">
        <w:rPr>
          <w:rFonts w:cstheme="minorBidi"/>
          <w:sz w:val="12"/>
          <w:szCs w:val="12"/>
          <w:vertAlign w:val="superscript"/>
          <w:lang w:eastAsia="zh-TW"/>
          <w14:numForm w14:val="lining"/>
        </w:rPr>
        <w:t>2</w:t>
      </w:r>
      <w:r w:rsidRPr="00DA4152">
        <w:rPr>
          <w:rFonts w:ascii="宋体" w:hAnsi="宋体" w:hint="eastAsia"/>
          <w:sz w:val="12"/>
          <w:szCs w:val="12"/>
          <w:lang w:eastAsia="zh-TW"/>
        </w:rPr>
        <w:t>包含尚未完成</w:t>
      </w:r>
      <w:r w:rsidRPr="00DA4152">
        <w:rPr>
          <w:rFonts w:ascii="宋体" w:hAnsi="宋体" w:cs="微软雅黑" w:hint="eastAsia"/>
          <w:sz w:val="12"/>
          <w:szCs w:val="12"/>
          <w:lang w:eastAsia="zh-TW"/>
        </w:rPr>
        <w:t>交割</w:t>
      </w:r>
      <w:r w:rsidRPr="00DA4152">
        <w:rPr>
          <w:rFonts w:ascii="宋体" w:hAnsi="宋体" w:hint="eastAsia"/>
          <w:sz w:val="12"/>
          <w:szCs w:val="12"/>
          <w:lang w:eastAsia="zh-TW"/>
        </w:rPr>
        <w:t>的對斯塔爾集團的收購項目</w:t>
      </w:r>
      <w:r>
        <w:rPr>
          <w:rFonts w:ascii="宋体" w:hAnsi="宋体" w:hint="eastAsia"/>
          <w:sz w:val="12"/>
          <w:szCs w:val="12"/>
          <w:lang w:eastAsia="zh-TW"/>
        </w:rPr>
        <w:t>。</w:t>
      </w:r>
      <w:r w:rsidR="00E413B0">
        <w:rPr>
          <w:rFonts w:asciiTheme="majorHAnsi" w:hAnsiTheme="majorHAnsi" w:cs="宋体"/>
          <w:b/>
          <w:bCs/>
          <w:sz w:val="18"/>
          <w:szCs w:val="18"/>
          <w:highlight w:val="yellow"/>
          <w:lang w:eastAsia="zh-TW"/>
        </w:rPr>
        <w:br w:type="page"/>
      </w:r>
    </w:p>
    <w:p w14:paraId="54070037" w14:textId="0395AC28" w:rsidR="006B6BE9" w:rsidRPr="007B24F3" w:rsidRDefault="00F658A1" w:rsidP="006B6BE9">
      <w:pPr>
        <w:rPr>
          <w:rStyle w:val="AboutandContactHeadline"/>
          <w:rFonts w:asciiTheme="majorHAnsi" w:hAnsiTheme="majorHAnsi" w:cstheme="majorHAnsi"/>
          <w:sz w:val="20"/>
          <w:szCs w:val="28"/>
          <w:lang w:eastAsia="zh-TW"/>
        </w:rPr>
      </w:pPr>
      <w:r w:rsidRPr="007B24F3">
        <w:rPr>
          <w:rStyle w:val="AboutandContactHeadline"/>
          <w:rFonts w:asciiTheme="majorHAnsi" w:hAnsiTheme="majorHAnsi" w:cstheme="majorHAnsi" w:hint="eastAsia"/>
          <w:sz w:val="20"/>
          <w:szCs w:val="28"/>
          <w:lang w:eastAsia="zh-TW"/>
        </w:rPr>
        <w:lastRenderedPageBreak/>
        <w:t>關於漢高</w:t>
      </w:r>
    </w:p>
    <w:p w14:paraId="2BA01FC3" w14:textId="75BDE498" w:rsidR="006B6BE9" w:rsidRPr="007B24F3" w:rsidRDefault="00F658A1" w:rsidP="006B6BE9">
      <w:pPr>
        <w:rPr>
          <w:rStyle w:val="AboutandContactBody"/>
          <w:rFonts w:asciiTheme="majorHAnsi" w:hAnsiTheme="majorHAnsi" w:cstheme="majorHAnsi"/>
          <w:sz w:val="20"/>
          <w:szCs w:val="28"/>
          <w:lang w:eastAsia="zh-CN"/>
        </w:rPr>
      </w:pPr>
      <w:r w:rsidRPr="007B24F3">
        <w:rPr>
          <w:rStyle w:val="AboutandContactBody"/>
          <w:rFonts w:asciiTheme="majorHAnsi" w:hAnsiTheme="majorHAnsi" w:cstheme="majorHAnsi" w:hint="eastAsia"/>
          <w:sz w:val="20"/>
          <w:szCs w:val="28"/>
          <w:lang w:eastAsia="zh-TW"/>
        </w:rPr>
        <w:t>漢高憑藉其品牌、創新和技術，在全球工業和消費品領域中擁有領先的市場地位。漢高粘合劑技術業務部是全球粘合劑、密封劑和功能性塗層市場的領導者。漢高消費品牌在各國市場和品類佔據領先地位，在洗滌劑及家用護理和美髮領域尤為突出。樂泰（</w:t>
      </w:r>
      <w:r w:rsidRPr="007B24F3">
        <w:rPr>
          <w:rStyle w:val="AboutandContactBody"/>
          <w:rFonts w:asciiTheme="majorHAnsi" w:hAnsiTheme="majorHAnsi" w:cstheme="majorHAnsi"/>
          <w:sz w:val="20"/>
          <w:szCs w:val="28"/>
          <w:lang w:eastAsia="zh-TW"/>
        </w:rPr>
        <w:t>Loctite</w:t>
      </w:r>
      <w:r w:rsidRPr="007B24F3">
        <w:rPr>
          <w:rStyle w:val="AboutandContactBody"/>
          <w:rFonts w:asciiTheme="majorHAnsi" w:hAnsiTheme="majorHAnsi" w:cstheme="majorHAnsi" w:hint="eastAsia"/>
          <w:sz w:val="20"/>
          <w:szCs w:val="28"/>
          <w:lang w:eastAsia="zh-TW"/>
        </w:rPr>
        <w:t>）、寶瑩（</w:t>
      </w:r>
      <w:r w:rsidRPr="007B24F3">
        <w:rPr>
          <w:rStyle w:val="AboutandContactBody"/>
          <w:rFonts w:asciiTheme="majorHAnsi" w:hAnsiTheme="majorHAnsi" w:cstheme="majorHAnsi"/>
          <w:sz w:val="20"/>
          <w:szCs w:val="28"/>
          <w:lang w:eastAsia="zh-TW"/>
        </w:rPr>
        <w:t>Persil</w:t>
      </w:r>
      <w:r w:rsidRPr="007B24F3">
        <w:rPr>
          <w:rStyle w:val="AboutandContactBody"/>
          <w:rFonts w:asciiTheme="majorHAnsi" w:hAnsiTheme="majorHAnsi" w:cstheme="majorHAnsi" w:hint="eastAsia"/>
          <w:sz w:val="20"/>
          <w:szCs w:val="28"/>
          <w:lang w:eastAsia="zh-TW"/>
        </w:rPr>
        <w:t>）和施華蔻（</w:t>
      </w:r>
      <w:r w:rsidRPr="007B24F3">
        <w:rPr>
          <w:rStyle w:val="AboutandContactBody"/>
          <w:rFonts w:asciiTheme="majorHAnsi" w:hAnsiTheme="majorHAnsi" w:cstheme="majorHAnsi"/>
          <w:sz w:val="20"/>
          <w:szCs w:val="28"/>
          <w:lang w:eastAsia="zh-TW"/>
        </w:rPr>
        <w:t>Schwarzkopf</w:t>
      </w:r>
      <w:r w:rsidRPr="007B24F3">
        <w:rPr>
          <w:rStyle w:val="AboutandContactBody"/>
          <w:rFonts w:asciiTheme="majorHAnsi" w:hAnsiTheme="majorHAnsi" w:cstheme="majorHAnsi" w:hint="eastAsia"/>
          <w:sz w:val="20"/>
          <w:szCs w:val="28"/>
          <w:lang w:eastAsia="zh-TW"/>
        </w:rPr>
        <w:t>）是公司的三大核心品牌。</w:t>
      </w:r>
      <w:r w:rsidRPr="007B24F3">
        <w:rPr>
          <w:rStyle w:val="AboutandContactBody"/>
          <w:rFonts w:asciiTheme="majorHAnsi" w:hAnsiTheme="majorHAnsi" w:cstheme="majorHAnsi"/>
          <w:sz w:val="20"/>
          <w:szCs w:val="28"/>
          <w:lang w:eastAsia="zh-TW"/>
        </w:rPr>
        <w:t>202</w:t>
      </w:r>
      <w:r>
        <w:rPr>
          <w:rStyle w:val="AboutandContactBody"/>
          <w:rFonts w:asciiTheme="majorHAnsi" w:hAnsiTheme="majorHAnsi" w:cstheme="majorHAnsi"/>
          <w:sz w:val="20"/>
          <w:szCs w:val="28"/>
          <w:lang w:eastAsia="zh-TW"/>
        </w:rPr>
        <w:t>5</w:t>
      </w:r>
      <w:r w:rsidRPr="007B24F3">
        <w:rPr>
          <w:rStyle w:val="AboutandContactBody"/>
          <w:rFonts w:asciiTheme="majorHAnsi" w:hAnsiTheme="majorHAnsi" w:cstheme="majorHAnsi" w:hint="eastAsia"/>
          <w:sz w:val="20"/>
          <w:szCs w:val="28"/>
          <w:lang w:eastAsia="zh-TW"/>
        </w:rPr>
        <w:t>財年，漢高實現銷售額</w:t>
      </w:r>
      <w:r>
        <w:rPr>
          <w:rStyle w:val="AboutandContactBody"/>
          <w:rFonts w:asciiTheme="majorHAnsi" w:hAnsiTheme="majorHAnsi" w:cstheme="majorHAnsi" w:hint="eastAsia"/>
          <w:sz w:val="20"/>
          <w:szCs w:val="28"/>
          <w:lang w:eastAsia="zh-TW"/>
        </w:rPr>
        <w:t>約</w:t>
      </w:r>
      <w:r>
        <w:rPr>
          <w:rStyle w:val="AboutandContactBody"/>
          <w:rFonts w:asciiTheme="majorHAnsi" w:hAnsiTheme="majorHAnsi" w:cstheme="majorHAnsi"/>
          <w:sz w:val="20"/>
          <w:szCs w:val="28"/>
          <w:lang w:eastAsia="zh-TW"/>
        </w:rPr>
        <w:t>205</w:t>
      </w:r>
      <w:r w:rsidRPr="007B24F3">
        <w:rPr>
          <w:rStyle w:val="AboutandContactBody"/>
          <w:rFonts w:asciiTheme="majorHAnsi" w:hAnsiTheme="majorHAnsi" w:cstheme="majorHAnsi" w:hint="eastAsia"/>
          <w:sz w:val="20"/>
          <w:szCs w:val="28"/>
          <w:lang w:eastAsia="zh-TW"/>
        </w:rPr>
        <w:t>億歐元，調整後營業利潤約為</w:t>
      </w:r>
      <w:r>
        <w:rPr>
          <w:rStyle w:val="AboutandContactBody"/>
          <w:rFonts w:asciiTheme="majorHAnsi" w:hAnsiTheme="majorHAnsi" w:cstheme="majorHAnsi"/>
          <w:sz w:val="20"/>
          <w:szCs w:val="28"/>
          <w:lang w:eastAsia="zh-TW"/>
        </w:rPr>
        <w:t>30</w:t>
      </w:r>
      <w:r w:rsidRPr="007B24F3">
        <w:rPr>
          <w:rStyle w:val="AboutandContactBody"/>
          <w:rFonts w:asciiTheme="majorHAnsi" w:hAnsiTheme="majorHAnsi" w:cstheme="majorHAnsi" w:hint="eastAsia"/>
          <w:sz w:val="20"/>
          <w:szCs w:val="28"/>
          <w:lang w:eastAsia="zh-TW"/>
        </w:rPr>
        <w:t>億歐元。漢高的優先股已列入德國</w:t>
      </w:r>
      <w:r w:rsidRPr="007B24F3">
        <w:rPr>
          <w:rStyle w:val="AboutandContactBody"/>
          <w:rFonts w:asciiTheme="majorHAnsi" w:hAnsiTheme="majorHAnsi" w:cstheme="majorHAnsi"/>
          <w:sz w:val="20"/>
          <w:szCs w:val="28"/>
          <w:lang w:eastAsia="zh-TW"/>
        </w:rPr>
        <w:t>DAX</w:t>
      </w:r>
      <w:r w:rsidRPr="007B24F3">
        <w:rPr>
          <w:rStyle w:val="AboutandContactBody"/>
          <w:rFonts w:asciiTheme="majorHAnsi" w:hAnsiTheme="majorHAnsi" w:cstheme="majorHAnsi" w:hint="eastAsia"/>
          <w:sz w:val="20"/>
          <w:szCs w:val="28"/>
          <w:lang w:eastAsia="zh-TW"/>
        </w:rPr>
        <w:t>指數。</w:t>
      </w:r>
      <w:r w:rsidR="0047218A">
        <w:rPr>
          <w:rStyle w:val="AboutandContactBody"/>
          <w:rFonts w:asciiTheme="majorHAnsi" w:hAnsiTheme="majorHAnsi" w:cstheme="majorHAnsi" w:hint="eastAsia"/>
          <w:sz w:val="20"/>
          <w:szCs w:val="28"/>
          <w:lang w:eastAsia="zh-TW"/>
        </w:rPr>
        <w:t>永續</w:t>
      </w:r>
      <w:r w:rsidRPr="007B24F3">
        <w:rPr>
          <w:rStyle w:val="AboutandContactBody"/>
          <w:rFonts w:asciiTheme="majorHAnsi" w:hAnsiTheme="majorHAnsi" w:cstheme="majorHAnsi" w:hint="eastAsia"/>
          <w:sz w:val="20"/>
          <w:szCs w:val="28"/>
          <w:lang w:eastAsia="zh-TW"/>
        </w:rPr>
        <w:t>發展在漢高有著悠久的傳統，公司確立有明晰的</w:t>
      </w:r>
      <w:r w:rsidR="0047218A">
        <w:rPr>
          <w:rStyle w:val="AboutandContactBody"/>
          <w:rFonts w:asciiTheme="majorHAnsi" w:hAnsiTheme="majorHAnsi" w:cstheme="majorHAnsi" w:hint="eastAsia"/>
          <w:sz w:val="20"/>
          <w:szCs w:val="28"/>
          <w:lang w:eastAsia="zh-TW"/>
        </w:rPr>
        <w:t>永續</w:t>
      </w:r>
      <w:r w:rsidRPr="007B24F3">
        <w:rPr>
          <w:rStyle w:val="AboutandContactBody"/>
          <w:rFonts w:asciiTheme="majorHAnsi" w:hAnsiTheme="majorHAnsi" w:cstheme="majorHAnsi" w:hint="eastAsia"/>
          <w:sz w:val="20"/>
          <w:szCs w:val="28"/>
          <w:lang w:eastAsia="zh-TW"/>
        </w:rPr>
        <w:t>發展</w:t>
      </w:r>
      <w:r w:rsidR="00791356">
        <w:rPr>
          <w:rStyle w:val="AboutandContactBody"/>
          <w:rFonts w:asciiTheme="majorHAnsi" w:hAnsiTheme="majorHAnsi" w:cstheme="majorHAnsi" w:hint="eastAsia"/>
          <w:sz w:val="20"/>
          <w:szCs w:val="28"/>
          <w:lang w:eastAsia="zh-TW"/>
        </w:rPr>
        <w:t>策略</w:t>
      </w:r>
      <w:r w:rsidRPr="007B24F3">
        <w:rPr>
          <w:rStyle w:val="AboutandContactBody"/>
          <w:rFonts w:asciiTheme="majorHAnsi" w:hAnsiTheme="majorHAnsi" w:cstheme="majorHAnsi" w:hint="eastAsia"/>
          <w:sz w:val="20"/>
          <w:szCs w:val="28"/>
          <w:lang w:eastAsia="zh-TW"/>
        </w:rPr>
        <w:t>和具體目標。成立于</w:t>
      </w:r>
      <w:r w:rsidRPr="007B24F3">
        <w:rPr>
          <w:rStyle w:val="AboutandContactBody"/>
          <w:rFonts w:asciiTheme="majorHAnsi" w:hAnsiTheme="majorHAnsi" w:cstheme="majorHAnsi"/>
          <w:sz w:val="20"/>
          <w:szCs w:val="28"/>
          <w:lang w:eastAsia="zh-TW"/>
        </w:rPr>
        <w:t>1876</w:t>
      </w:r>
      <w:r w:rsidRPr="007B24F3">
        <w:rPr>
          <w:rStyle w:val="AboutandContactBody"/>
          <w:rFonts w:asciiTheme="majorHAnsi" w:hAnsiTheme="majorHAnsi" w:cstheme="majorHAnsi" w:hint="eastAsia"/>
          <w:sz w:val="20"/>
          <w:szCs w:val="28"/>
          <w:lang w:eastAsia="zh-TW"/>
        </w:rPr>
        <w:t>年，漢高如今在全球範圍內約有</w:t>
      </w:r>
      <w:r w:rsidRPr="007B24F3">
        <w:rPr>
          <w:rStyle w:val="AboutandContactBody"/>
          <w:rFonts w:asciiTheme="majorHAnsi" w:hAnsiTheme="majorHAnsi" w:cstheme="majorHAnsi"/>
          <w:sz w:val="20"/>
          <w:szCs w:val="28"/>
          <w:lang w:eastAsia="zh-TW"/>
        </w:rPr>
        <w:t>4.</w:t>
      </w:r>
      <w:r>
        <w:rPr>
          <w:rStyle w:val="AboutandContactBody"/>
          <w:rFonts w:asciiTheme="majorHAnsi" w:hAnsiTheme="majorHAnsi" w:cstheme="majorHAnsi"/>
          <w:sz w:val="20"/>
          <w:szCs w:val="28"/>
          <w:lang w:eastAsia="zh-TW"/>
        </w:rPr>
        <w:t>7</w:t>
      </w:r>
      <w:r w:rsidRPr="007B24F3">
        <w:rPr>
          <w:rStyle w:val="AboutandContactBody"/>
          <w:rFonts w:asciiTheme="majorHAnsi" w:hAnsiTheme="majorHAnsi" w:cstheme="majorHAnsi" w:hint="eastAsia"/>
          <w:sz w:val="20"/>
          <w:szCs w:val="28"/>
          <w:lang w:eastAsia="zh-TW"/>
        </w:rPr>
        <w:t>萬名員工，在強大的企業文化、</w:t>
      </w:r>
      <w:proofErr w:type="gramStart"/>
      <w:r w:rsidRPr="007B24F3">
        <w:rPr>
          <w:rStyle w:val="AboutandContactBody"/>
          <w:rFonts w:asciiTheme="majorHAnsi" w:hAnsiTheme="majorHAnsi" w:cstheme="majorHAnsi" w:hint="eastAsia"/>
          <w:sz w:val="20"/>
          <w:szCs w:val="28"/>
          <w:lang w:eastAsia="zh-TW"/>
        </w:rPr>
        <w:t>共同的價值觀與企業目標</w:t>
      </w:r>
      <w:r w:rsidRPr="007B24F3">
        <w:rPr>
          <w:rStyle w:val="AboutandContactBody"/>
          <w:rFonts w:asciiTheme="majorHAnsi" w:hAnsiTheme="majorHAnsi" w:cstheme="majorHAnsi"/>
          <w:sz w:val="20"/>
          <w:szCs w:val="28"/>
          <w:lang w:eastAsia="zh-TW"/>
        </w:rPr>
        <w:t>“</w:t>
      </w:r>
      <w:proofErr w:type="gramEnd"/>
      <w:r w:rsidRPr="007B24F3">
        <w:rPr>
          <w:rStyle w:val="AboutandContactBody"/>
          <w:rFonts w:asciiTheme="majorHAnsi" w:hAnsiTheme="majorHAnsi" w:cstheme="majorHAnsi"/>
          <w:sz w:val="20"/>
          <w:szCs w:val="28"/>
          <w:lang w:eastAsia="zh-TW"/>
        </w:rPr>
        <w:t xml:space="preserve">Pioneers at heart for the good of </w:t>
      </w:r>
      <w:proofErr w:type="gramStart"/>
      <w:r w:rsidRPr="007B24F3">
        <w:rPr>
          <w:rStyle w:val="AboutandContactBody"/>
          <w:rFonts w:asciiTheme="majorHAnsi" w:hAnsiTheme="majorHAnsi" w:cstheme="majorHAnsi"/>
          <w:sz w:val="20"/>
          <w:szCs w:val="28"/>
          <w:lang w:eastAsia="zh-TW"/>
        </w:rPr>
        <w:t>generations”</w:t>
      </w:r>
      <w:r w:rsidRPr="007B24F3">
        <w:rPr>
          <w:rStyle w:val="AboutandContactBody"/>
          <w:rFonts w:asciiTheme="majorHAnsi" w:hAnsiTheme="majorHAnsi" w:cstheme="majorHAnsi" w:hint="eastAsia"/>
          <w:sz w:val="20"/>
          <w:szCs w:val="28"/>
          <w:lang w:eastAsia="zh-TW"/>
        </w:rPr>
        <w:t>的引領下</w:t>
      </w:r>
      <w:proofErr w:type="gramEnd"/>
      <w:r w:rsidRPr="007B24F3">
        <w:rPr>
          <w:rStyle w:val="AboutandContactBody"/>
          <w:rFonts w:asciiTheme="majorHAnsi" w:hAnsiTheme="majorHAnsi" w:cstheme="majorHAnsi" w:hint="eastAsia"/>
          <w:sz w:val="20"/>
          <w:szCs w:val="28"/>
          <w:lang w:eastAsia="zh-TW"/>
        </w:rPr>
        <w:t>，融合為一支多元化的團隊。更多資訊，敬請訪問</w:t>
      </w:r>
      <w:r w:rsidRPr="007B24F3">
        <w:rPr>
          <w:rStyle w:val="AboutandContactBody"/>
          <w:rFonts w:asciiTheme="majorHAnsi" w:hAnsiTheme="majorHAnsi" w:cstheme="majorHAnsi"/>
          <w:sz w:val="20"/>
          <w:szCs w:val="28"/>
          <w:lang w:eastAsia="zh-TW"/>
        </w:rPr>
        <w:t xml:space="preserve"> </w:t>
      </w:r>
      <w:hyperlink r:id="rId15" w:history="1">
        <w:r w:rsidRPr="00865C64">
          <w:rPr>
            <w:rStyle w:val="Hyperlink"/>
            <w:rFonts w:asciiTheme="majorHAnsi" w:hAnsiTheme="majorHAnsi" w:cstheme="majorHAnsi"/>
            <w:sz w:val="20"/>
            <w:szCs w:val="20"/>
            <w:lang w:eastAsia="zh-TW"/>
          </w:rPr>
          <w:t>www.henkel.cn</w:t>
        </w:r>
      </w:hyperlink>
      <w:r w:rsidR="00E413B0">
        <w:rPr>
          <w:rFonts w:asciiTheme="majorHAnsi" w:hAnsiTheme="majorHAnsi" w:cstheme="majorHAnsi" w:hint="eastAsia"/>
          <w:sz w:val="20"/>
          <w:szCs w:val="20"/>
          <w:lang w:eastAsia="zh-CN"/>
        </w:rPr>
        <w:t xml:space="preserve"> </w:t>
      </w:r>
      <w:r w:rsidR="00E413B0" w:rsidRPr="007B24F3">
        <w:rPr>
          <w:rStyle w:val="AboutandContactBody"/>
          <w:rFonts w:asciiTheme="majorHAnsi" w:hAnsiTheme="majorHAnsi" w:cstheme="majorHAnsi"/>
          <w:sz w:val="20"/>
          <w:szCs w:val="28"/>
          <w:lang w:eastAsia="zh-CN"/>
        </w:rPr>
        <w:t xml:space="preserve"> </w:t>
      </w:r>
    </w:p>
    <w:p w14:paraId="38EF5741" w14:textId="77777777" w:rsidR="006B6BE9" w:rsidRPr="00DC3878" w:rsidRDefault="006B6BE9" w:rsidP="006B6BE9">
      <w:pPr>
        <w:pStyle w:val="He01Flietext"/>
        <w:rPr>
          <w:rStyle w:val="AboutandContactBody"/>
          <w:rFonts w:eastAsiaTheme="minorEastAsia" w:cs="Times New Roman"/>
          <w:sz w:val="14"/>
          <w:szCs w:val="14"/>
          <w:lang w:val="en-US" w:eastAsia="zh-CN"/>
        </w:rPr>
      </w:pPr>
    </w:p>
    <w:p w14:paraId="50F3232B" w14:textId="77777777" w:rsidR="006B6BE9" w:rsidRPr="006E00F4" w:rsidRDefault="006B6BE9" w:rsidP="006B6BE9">
      <w:pPr>
        <w:spacing w:line="240" w:lineRule="auto"/>
        <w:jc w:val="left"/>
        <w:rPr>
          <w:rStyle w:val="AboutandContactBody"/>
          <w:sz w:val="14"/>
          <w:szCs w:val="14"/>
          <w:lang w:eastAsia="zh-CN"/>
        </w:rPr>
      </w:pPr>
    </w:p>
    <w:p w14:paraId="1A98F833" w14:textId="77777777" w:rsidR="006B6BE9" w:rsidRPr="006E00F4" w:rsidRDefault="006B6BE9" w:rsidP="006B6BE9">
      <w:pPr>
        <w:tabs>
          <w:tab w:val="left" w:pos="1080"/>
          <w:tab w:val="left" w:pos="4500"/>
        </w:tabs>
        <w:spacing w:line="264" w:lineRule="auto"/>
        <w:rPr>
          <w:rFonts w:asciiTheme="majorHAnsi" w:eastAsia="PMingLiU" w:hAnsiTheme="majorHAnsi" w:cs="Calibri Light"/>
          <w:b/>
          <w:sz w:val="18"/>
          <w:szCs w:val="18"/>
          <w:lang w:eastAsia="zh-CN"/>
        </w:rPr>
      </w:pPr>
    </w:p>
    <w:p w14:paraId="79766C41" w14:textId="002FE39B" w:rsidR="006B6BE9" w:rsidRPr="00306F21" w:rsidRDefault="00F658A1" w:rsidP="006B6BE9">
      <w:pPr>
        <w:pStyle w:val="He01Flietext"/>
        <w:rPr>
          <w:rFonts w:ascii="微软雅黑" w:eastAsia="微软雅黑" w:hAnsi="微软雅黑" w:cs="微软雅黑"/>
          <w:sz w:val="14"/>
          <w:lang w:eastAsia="zh-CN"/>
        </w:rPr>
      </w:pPr>
      <w:r w:rsidRPr="00620AC6">
        <w:rPr>
          <w:rFonts w:ascii="微软雅黑" w:eastAsia="微软雅黑" w:hAnsi="微软雅黑" w:cs="微软雅黑" w:hint="eastAsia"/>
          <w:sz w:val="14"/>
          <w:lang w:eastAsia="zh-TW"/>
        </w:rPr>
        <w:t>本檔所含提及未來業務發展、財務業績及其他與漢高未來相關的事件或發展的聲明，由此構成前瞻性聲明。前瞻性表述的特點是使用諸如期望、打算、計畫、預測、假設、相信、預計、預期、預見和類似的表述。這些表述乃漢高股份及兩合公司管理層基於現有的預測和假設。該等表述在任何情況下都不應該被理解成保證該等預期的準確無誤。漢高股份及兩合公司及其關聯公司實際實現的未來業績和結果取決於一系列的風險和不確定性，因此可能與前瞻性表述有明顯差別。很多因素，例如未來的經濟環境和競爭者行為以及市場上其他參與者的行為，均在漢高的控制之外，無法準確預計。漢高不計畫也不承諾更新前瞻性表述。</w:t>
      </w:r>
    </w:p>
    <w:p w14:paraId="4F23EE80" w14:textId="3CEED969" w:rsidR="006B6BE9" w:rsidRPr="00306F21" w:rsidRDefault="00F658A1" w:rsidP="006B6BE9">
      <w:pPr>
        <w:pStyle w:val="He01Flietext"/>
        <w:rPr>
          <w:rFonts w:ascii="微软雅黑" w:eastAsia="微软雅黑" w:hAnsi="微软雅黑" w:cs="微软雅黑"/>
          <w:sz w:val="14"/>
          <w:lang w:eastAsia="zh-CN"/>
        </w:rPr>
      </w:pPr>
      <w:r w:rsidRPr="00620AC6">
        <w:rPr>
          <w:rFonts w:ascii="微软雅黑" w:eastAsia="微软雅黑" w:hAnsi="微软雅黑" w:cs="微软雅黑" w:hint="eastAsia"/>
          <w:sz w:val="14"/>
          <w:lang w:eastAsia="zh-TW"/>
        </w:rPr>
        <w:t>本檔在適用的財務報告框架中未明確界定的補充性財務計量指標，這些指標是或可能是替代性財務表現計量（非公認會計原則）。這些補充財務計量指標是根據綜合財務報表中適用的財務報告框架提出的，不應被孤立看待，也不應被視為漢高淨資產、財務狀況或運營結果的替代計量指標。其他公司對於報告或描述類似專案的替代性財務計量指標，可能使用不同的計算方法。</w:t>
      </w:r>
    </w:p>
    <w:p w14:paraId="30818C21" w14:textId="48AF28DD" w:rsidR="006B6BE9" w:rsidRPr="00306F21" w:rsidRDefault="00F658A1" w:rsidP="006B6BE9">
      <w:pPr>
        <w:pStyle w:val="He01Flietext"/>
        <w:rPr>
          <w:rFonts w:ascii="微软雅黑" w:eastAsia="微软雅黑" w:hAnsi="微软雅黑" w:cs="微软雅黑"/>
          <w:sz w:val="14"/>
          <w:lang w:eastAsia="zh-CN"/>
        </w:rPr>
      </w:pPr>
      <w:r w:rsidRPr="00306F21">
        <w:rPr>
          <w:rFonts w:ascii="微软雅黑" w:eastAsia="微软雅黑" w:hAnsi="微软雅黑" w:cs="微软雅黑" w:hint="eastAsia"/>
          <w:sz w:val="14"/>
          <w:lang w:eastAsia="zh-TW"/>
        </w:rPr>
        <w:t>本檔僅供參考，並不構成任何對證券的投資建議、出售要約或購買要約。</w:t>
      </w:r>
    </w:p>
    <w:p w14:paraId="74E9897A" w14:textId="77777777" w:rsidR="006B6BE9" w:rsidRDefault="006B6BE9" w:rsidP="006B6BE9">
      <w:pPr>
        <w:spacing w:line="240" w:lineRule="auto"/>
        <w:jc w:val="left"/>
        <w:rPr>
          <w:sz w:val="14"/>
          <w:lang w:eastAsia="zh-CN"/>
        </w:rPr>
      </w:pPr>
    </w:p>
    <w:p w14:paraId="3E4C1611" w14:textId="77777777" w:rsidR="006B6BE9" w:rsidRDefault="006B6BE9" w:rsidP="006B6BE9">
      <w:pPr>
        <w:spacing w:line="240" w:lineRule="auto"/>
        <w:jc w:val="left"/>
        <w:rPr>
          <w:sz w:val="14"/>
          <w:lang w:eastAsia="zh-CN"/>
        </w:rPr>
      </w:pPr>
    </w:p>
    <w:p w14:paraId="07F750B0" w14:textId="0801F908" w:rsidR="006B6BE9" w:rsidRPr="00596CED" w:rsidRDefault="00F658A1" w:rsidP="006B6BE9">
      <w:pPr>
        <w:tabs>
          <w:tab w:val="left" w:pos="1080"/>
          <w:tab w:val="left" w:pos="4500"/>
        </w:tabs>
        <w:spacing w:line="264" w:lineRule="auto"/>
        <w:rPr>
          <w:rStyle w:val="AboutandContactBody"/>
          <w:rFonts w:cs="Segoe UI"/>
          <w:b/>
          <w:bCs/>
          <w:szCs w:val="18"/>
        </w:rPr>
      </w:pPr>
      <w:r w:rsidRPr="00596CED">
        <w:rPr>
          <w:rStyle w:val="AboutandContactBody"/>
          <w:rFonts w:cs="Segoe UI" w:hint="eastAsia"/>
          <w:b/>
          <w:bCs/>
          <w:szCs w:val="18"/>
          <w:lang w:eastAsia="zh-TW"/>
        </w:rPr>
        <w:t>媒體連絡人</w:t>
      </w:r>
    </w:p>
    <w:p w14:paraId="35DF207E" w14:textId="77777777" w:rsidR="006B6BE9" w:rsidRPr="00596CED" w:rsidRDefault="006B6BE9" w:rsidP="006B6BE9">
      <w:pPr>
        <w:tabs>
          <w:tab w:val="left" w:pos="1080"/>
          <w:tab w:val="left" w:pos="4500"/>
        </w:tabs>
        <w:spacing w:line="264" w:lineRule="auto"/>
        <w:rPr>
          <w:rStyle w:val="AboutandContactBody"/>
          <w:rFonts w:cs="Segoe UI"/>
          <w:b/>
          <w:szCs w:val="18"/>
        </w:rPr>
      </w:pPr>
    </w:p>
    <w:p w14:paraId="4BEE5039" w14:textId="61C1BE4C" w:rsidR="006B6BE9" w:rsidRPr="00596CED" w:rsidRDefault="00F658A1" w:rsidP="006B6BE9">
      <w:pPr>
        <w:tabs>
          <w:tab w:val="left" w:pos="1080"/>
          <w:tab w:val="left" w:pos="4500"/>
        </w:tabs>
        <w:spacing w:line="264" w:lineRule="auto"/>
        <w:rPr>
          <w:rStyle w:val="AboutandContactBody"/>
          <w:rFonts w:cs="Segoe UI"/>
          <w:bCs/>
          <w:szCs w:val="18"/>
        </w:rPr>
      </w:pPr>
      <w:r w:rsidRPr="006A390A">
        <w:rPr>
          <w:rFonts w:cs="Arial"/>
          <w:b/>
          <w:sz w:val="20"/>
          <w:lang w:val="en-CA" w:eastAsia="zh-TW"/>
        </w:rPr>
        <w:t>Louise Cheung</w:t>
      </w:r>
      <w:r>
        <w:rPr>
          <w:rFonts w:cs="Arial"/>
          <w:b/>
          <w:sz w:val="20"/>
          <w:lang w:val="en-CA" w:eastAsia="zh-TW"/>
        </w:rPr>
        <w:t xml:space="preserve"> </w:t>
      </w:r>
      <w:r>
        <w:rPr>
          <w:rFonts w:cs="Arial" w:hint="eastAsia"/>
          <w:b/>
          <w:sz w:val="20"/>
          <w:lang w:val="en-CA" w:eastAsia="zh-TW"/>
        </w:rPr>
        <w:t>張曉芸</w:t>
      </w:r>
      <w:r w:rsidRPr="00596CED">
        <w:rPr>
          <w:rStyle w:val="AboutandContactBody"/>
          <w:rFonts w:cs="Segoe UI"/>
          <w:szCs w:val="18"/>
          <w:lang w:eastAsia="zh-TW"/>
        </w:rPr>
        <w:tab/>
      </w:r>
    </w:p>
    <w:p w14:paraId="10887B5E" w14:textId="6913029F" w:rsidR="006B6BE9" w:rsidRPr="00596CED" w:rsidRDefault="00F658A1" w:rsidP="006B6BE9">
      <w:pPr>
        <w:tabs>
          <w:tab w:val="left" w:pos="709"/>
          <w:tab w:val="left" w:pos="4500"/>
          <w:tab w:val="left" w:pos="5245"/>
        </w:tabs>
        <w:spacing w:line="264" w:lineRule="auto"/>
        <w:rPr>
          <w:rStyle w:val="AboutandContactBody"/>
          <w:rFonts w:cs="Segoe UI"/>
          <w:szCs w:val="18"/>
        </w:rPr>
      </w:pPr>
      <w:r w:rsidRPr="00596CED">
        <w:rPr>
          <w:rStyle w:val="AboutandContactBody"/>
          <w:rFonts w:cs="Segoe UI" w:hint="eastAsia"/>
          <w:szCs w:val="18"/>
          <w:lang w:eastAsia="zh-TW"/>
        </w:rPr>
        <w:t>電話：</w:t>
      </w:r>
      <w:r w:rsidRPr="00596CED">
        <w:rPr>
          <w:rStyle w:val="AboutandContactBody"/>
          <w:rFonts w:cs="Segoe UI"/>
          <w:szCs w:val="18"/>
          <w:lang w:eastAsia="zh-TW"/>
        </w:rPr>
        <w:t>+86</w:t>
      </w:r>
      <w:r>
        <w:rPr>
          <w:rStyle w:val="AboutandContactBody"/>
          <w:rFonts w:cs="Segoe UI"/>
          <w:szCs w:val="18"/>
          <w:lang w:eastAsia="zh-TW"/>
        </w:rPr>
        <w:t xml:space="preserve"> </w:t>
      </w:r>
      <w:r w:rsidRPr="00596CED">
        <w:rPr>
          <w:rStyle w:val="AboutandContactBody"/>
          <w:rFonts w:cs="Segoe UI"/>
          <w:szCs w:val="18"/>
          <w:lang w:eastAsia="zh-TW"/>
        </w:rPr>
        <w:t>21</w:t>
      </w:r>
      <w:r>
        <w:rPr>
          <w:rStyle w:val="AboutandContactBody"/>
          <w:rFonts w:cs="Segoe UI"/>
          <w:szCs w:val="18"/>
          <w:lang w:eastAsia="zh-TW"/>
        </w:rPr>
        <w:t xml:space="preserve"> </w:t>
      </w:r>
      <w:r w:rsidRPr="00596CED">
        <w:rPr>
          <w:rStyle w:val="AboutandContactBody"/>
          <w:rFonts w:cs="Segoe UI"/>
          <w:szCs w:val="18"/>
          <w:lang w:eastAsia="zh-TW"/>
        </w:rPr>
        <w:t>2891</w:t>
      </w:r>
      <w:r>
        <w:rPr>
          <w:rStyle w:val="AboutandContactBody"/>
          <w:rFonts w:cs="Segoe UI"/>
          <w:szCs w:val="18"/>
          <w:lang w:eastAsia="zh-TW"/>
        </w:rPr>
        <w:t xml:space="preserve"> </w:t>
      </w:r>
      <w:r w:rsidRPr="00596CED">
        <w:rPr>
          <w:rStyle w:val="AboutandContactBody"/>
          <w:rFonts w:cs="Segoe UI"/>
          <w:szCs w:val="18"/>
          <w:lang w:eastAsia="zh-TW"/>
        </w:rPr>
        <w:t>5152</w:t>
      </w:r>
      <w:r w:rsidRPr="00596CED">
        <w:rPr>
          <w:rStyle w:val="AboutandContactBody"/>
          <w:rFonts w:cs="Segoe UI"/>
          <w:szCs w:val="18"/>
          <w:lang w:eastAsia="zh-TW"/>
        </w:rPr>
        <w:tab/>
      </w:r>
    </w:p>
    <w:p w14:paraId="5EF184C3" w14:textId="5EACE134" w:rsidR="006B6BE9" w:rsidRDefault="00F658A1" w:rsidP="006B6BE9">
      <w:pPr>
        <w:spacing w:line="240" w:lineRule="auto"/>
        <w:jc w:val="left"/>
        <w:rPr>
          <w:rFonts w:cs="Segoe UI"/>
          <w:sz w:val="18"/>
          <w:szCs w:val="18"/>
        </w:rPr>
      </w:pPr>
      <w:r w:rsidRPr="00596CED">
        <w:rPr>
          <w:rStyle w:val="AboutandContactBody"/>
          <w:rFonts w:cs="Segoe UI" w:hint="eastAsia"/>
          <w:szCs w:val="18"/>
          <w:lang w:eastAsia="zh-TW"/>
        </w:rPr>
        <w:t>郵箱：</w:t>
      </w:r>
      <w:hyperlink r:id="rId16" w:history="1">
        <w:r w:rsidRPr="00E5636F">
          <w:rPr>
            <w:rStyle w:val="Hyperlink"/>
            <w:rFonts w:cs="Segoe UI"/>
            <w:lang w:eastAsia="zh-TW"/>
          </w:rPr>
          <w:t>louise.cheung@henkel.com</w:t>
        </w:r>
      </w:hyperlink>
    </w:p>
    <w:p w14:paraId="727F0ED8" w14:textId="77777777" w:rsidR="006B6BE9" w:rsidRDefault="006B6BE9" w:rsidP="006B6BE9">
      <w:pPr>
        <w:spacing w:line="240" w:lineRule="auto"/>
        <w:jc w:val="left"/>
        <w:rPr>
          <w:rFonts w:cs="Segoe UI"/>
          <w:sz w:val="18"/>
          <w:szCs w:val="18"/>
        </w:rPr>
      </w:pPr>
    </w:p>
    <w:p w14:paraId="0F6964CA" w14:textId="47A923AE" w:rsidR="006B6BE9" w:rsidRPr="00D014F1" w:rsidRDefault="00F658A1" w:rsidP="006B6BE9">
      <w:pPr>
        <w:tabs>
          <w:tab w:val="left" w:pos="851"/>
          <w:tab w:val="left" w:pos="4536"/>
          <w:tab w:val="left" w:pos="4962"/>
          <w:tab w:val="left" w:pos="5387"/>
        </w:tabs>
        <w:spacing w:line="360" w:lineRule="auto"/>
        <w:rPr>
          <w:rFonts w:cs="Arial"/>
          <w:b/>
          <w:sz w:val="20"/>
          <w:szCs w:val="18"/>
        </w:rPr>
      </w:pPr>
      <w:r w:rsidRPr="00D014F1">
        <w:rPr>
          <w:rFonts w:cs="Arial"/>
          <w:b/>
          <w:sz w:val="20"/>
          <w:szCs w:val="18"/>
          <w:lang w:val="en-CA" w:eastAsia="zh-TW"/>
        </w:rPr>
        <w:t>Liki Qin</w:t>
      </w:r>
      <w:r w:rsidRPr="00D014F1">
        <w:rPr>
          <w:rFonts w:cs="Arial" w:hint="eastAsia"/>
          <w:b/>
          <w:sz w:val="20"/>
          <w:szCs w:val="18"/>
          <w:lang w:val="en-CA" w:eastAsia="zh-TW"/>
        </w:rPr>
        <w:t>秦莉佳</w:t>
      </w:r>
      <w:r w:rsidRPr="00D014F1">
        <w:rPr>
          <w:rFonts w:cs="Arial"/>
          <w:b/>
          <w:sz w:val="20"/>
          <w:szCs w:val="18"/>
          <w:lang w:eastAsia="zh-TW"/>
        </w:rPr>
        <w:tab/>
      </w:r>
    </w:p>
    <w:p w14:paraId="594C57A6" w14:textId="07C48DD7" w:rsidR="006B6BE9" w:rsidRPr="00D014F1" w:rsidRDefault="00F658A1" w:rsidP="006B6BE9">
      <w:pPr>
        <w:tabs>
          <w:tab w:val="left" w:pos="709"/>
          <w:tab w:val="left" w:pos="4500"/>
          <w:tab w:val="left" w:pos="5245"/>
        </w:tabs>
        <w:spacing w:line="264" w:lineRule="auto"/>
        <w:rPr>
          <w:rFonts w:cs="Arial"/>
          <w:color w:val="000000"/>
          <w:sz w:val="20"/>
          <w:szCs w:val="18"/>
          <w:lang w:eastAsia="de-DE"/>
        </w:rPr>
      </w:pPr>
      <w:r w:rsidRPr="006A390A">
        <w:rPr>
          <w:rStyle w:val="AboutandContactBody"/>
          <w:rFonts w:cs="Segoe UI" w:hint="eastAsia"/>
          <w:lang w:eastAsia="zh-TW"/>
        </w:rPr>
        <w:t>電話</w:t>
      </w:r>
      <w:r w:rsidRPr="006A390A">
        <w:rPr>
          <w:rStyle w:val="AboutandContactBody"/>
          <w:rFonts w:cs="Segoe UI"/>
          <w:lang w:eastAsia="zh-TW"/>
        </w:rPr>
        <w:t>: +86 21 2891 4386</w:t>
      </w:r>
      <w:r w:rsidRPr="00D014F1">
        <w:rPr>
          <w:rFonts w:cs="Arial"/>
          <w:sz w:val="20"/>
          <w:szCs w:val="18"/>
          <w:lang w:eastAsia="zh-TW"/>
        </w:rPr>
        <w:tab/>
      </w:r>
    </w:p>
    <w:p w14:paraId="60CB52F8" w14:textId="602209E2" w:rsidR="006B6BE9" w:rsidRPr="00A12BF7" w:rsidRDefault="00F658A1" w:rsidP="006B6BE9">
      <w:pPr>
        <w:tabs>
          <w:tab w:val="left" w:pos="1080"/>
          <w:tab w:val="left" w:pos="4500"/>
        </w:tabs>
        <w:rPr>
          <w:rFonts w:cs="Arial"/>
          <w:sz w:val="18"/>
          <w:szCs w:val="18"/>
          <w:lang w:val="en-CA"/>
        </w:rPr>
      </w:pPr>
      <w:r w:rsidRPr="00A12BF7">
        <w:rPr>
          <w:rFonts w:cs="Arial" w:hint="eastAsia"/>
          <w:sz w:val="18"/>
          <w:szCs w:val="18"/>
          <w:lang w:eastAsia="zh-TW"/>
        </w:rPr>
        <w:t>郵件</w:t>
      </w:r>
      <w:r w:rsidRPr="00A12BF7">
        <w:rPr>
          <w:rFonts w:cs="Arial"/>
          <w:sz w:val="18"/>
          <w:szCs w:val="18"/>
          <w:lang w:eastAsia="zh-TW"/>
        </w:rPr>
        <w:t xml:space="preserve">: </w:t>
      </w:r>
      <w:hyperlink r:id="rId17" w:history="1">
        <w:r w:rsidRPr="00A12BF7">
          <w:rPr>
            <w:rStyle w:val="Hyperlink"/>
            <w:rFonts w:cs="Arial"/>
            <w:lang w:val="en-CA" w:eastAsia="zh-TW"/>
          </w:rPr>
          <w:t>liki.qin@henkel.com</w:t>
        </w:r>
      </w:hyperlink>
    </w:p>
    <w:p w14:paraId="55CE9539" w14:textId="021A7DA0" w:rsidR="00E54383" w:rsidRPr="006B6BE9" w:rsidRDefault="00E54383">
      <w:pPr>
        <w:tabs>
          <w:tab w:val="left" w:pos="1080"/>
          <w:tab w:val="left" w:pos="4500"/>
        </w:tabs>
        <w:spacing w:line="264" w:lineRule="auto"/>
        <w:rPr>
          <w:rStyle w:val="Hyperlink"/>
          <w:rFonts w:asciiTheme="majorHAnsi" w:hAnsiTheme="majorHAnsi" w:cs="宋体"/>
          <w:lang w:val="en-CA"/>
        </w:rPr>
      </w:pPr>
    </w:p>
    <w:sectPr w:rsidR="00E54383" w:rsidRPr="006B6BE9">
      <w:headerReference w:type="even" r:id="rId18"/>
      <w:footerReference w:type="default" r:id="rId19"/>
      <w:headerReference w:type="first" r:id="rId20"/>
      <w:footerReference w:type="first" r:id="rId21"/>
      <w:pgSz w:w="11907" w:h="16840"/>
      <w:pgMar w:top="1944" w:right="1411" w:bottom="1843" w:left="1411" w:header="1253" w:footer="9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6098C" w14:textId="77777777" w:rsidR="00E413B0" w:rsidRDefault="00E413B0">
      <w:pPr>
        <w:spacing w:line="240" w:lineRule="auto"/>
      </w:pPr>
      <w:r>
        <w:separator/>
      </w:r>
    </w:p>
  </w:endnote>
  <w:endnote w:type="continuationSeparator" w:id="0">
    <w:p w14:paraId="111807A1" w14:textId="77777777" w:rsidR="00E413B0" w:rsidRDefault="00E413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MS Mincho">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243D4" w14:textId="0B05C496" w:rsidR="00366D19" w:rsidRDefault="00E413B0" w:rsidP="004033B2">
    <w:pPr>
      <w:pStyle w:val="Footer"/>
      <w:tabs>
        <w:tab w:val="clear" w:pos="7083"/>
        <w:tab w:val="clear" w:pos="8640"/>
        <w:tab w:val="right" w:pos="9071"/>
      </w:tabs>
      <w:jc w:val="both"/>
    </w:pPr>
    <w:r>
      <w:t>Henkel AG &amp; Co. KGaA</w:t>
    </w:r>
    <w:r>
      <w:tab/>
    </w:r>
    <w:r>
      <w:rPr>
        <w:rFonts w:hint="eastAsia"/>
        <w:lang w:eastAsia="zh-CN"/>
      </w:rPr>
      <w:t>第</w:t>
    </w:r>
    <w:r>
      <w:fldChar w:fldCharType="begin"/>
    </w:r>
    <w:r>
      <w:instrText xml:space="preserve"> PAGE  \* Arabic  \* MERGEFORMAT </w:instrText>
    </w:r>
    <w:r>
      <w:fldChar w:fldCharType="separate"/>
    </w:r>
    <w:r>
      <w:t>1</w:t>
    </w:r>
    <w:r>
      <w:fldChar w:fldCharType="end"/>
    </w:r>
    <w:r>
      <w:t>/</w:t>
    </w:r>
    <w:fldSimple w:instr=" NUMPAGES  \* Arabic  \* MERGEFORMAT ">
      <w:r w:rsidR="00366D19">
        <w:t>13</w:t>
      </w:r>
    </w:fldSimple>
    <w:r>
      <w:rPr>
        <w:rFonts w:hint="eastAsia"/>
        <w:lang w:eastAsia="zh-CN"/>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C2629" w14:textId="5966D94D" w:rsidR="00E54383" w:rsidRDefault="00E413B0">
    <w:pPr>
      <w:pStyle w:val="Footer"/>
    </w:pPr>
    <w:r>
      <w:rPr>
        <w:noProof/>
      </w:rPr>
      <w:drawing>
        <wp:anchor distT="0" distB="0" distL="114300" distR="114300" simplePos="0" relativeHeight="251656704" behindDoc="0" locked="0" layoutInCell="1" allowOverlap="1" wp14:anchorId="4252938B" wp14:editId="74F315A2">
          <wp:simplePos x="0" y="0"/>
          <wp:positionH relativeFrom="column">
            <wp:posOffset>0</wp:posOffset>
          </wp:positionH>
          <wp:positionV relativeFrom="paragraph">
            <wp:posOffset>-365760</wp:posOffset>
          </wp:positionV>
          <wp:extent cx="4967605" cy="407670"/>
          <wp:effectExtent l="0" t="0" r="5080" b="0"/>
          <wp:wrapNone/>
          <wp:docPr id="7340495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049568" name="Grafik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967544" cy="407963"/>
                  </a:xfrm>
                  <a:prstGeom prst="rect">
                    <a:avLst/>
                  </a:prstGeom>
                </pic:spPr>
              </pic:pic>
            </a:graphicData>
          </a:graphic>
        </wp:anchor>
      </w:drawing>
    </w:r>
    <w:r>
      <w:t xml:space="preserve">Page </w:t>
    </w:r>
    <w:r>
      <w:fldChar w:fldCharType="begin"/>
    </w:r>
    <w:r>
      <w:instrText xml:space="preserve"> PAGE  \* Arabic  \* MERGEFORMAT </w:instrText>
    </w:r>
    <w:r>
      <w:fldChar w:fldCharType="separate"/>
    </w:r>
    <w:r>
      <w:t>1</w:t>
    </w:r>
    <w:r>
      <w:fldChar w:fldCharType="end"/>
    </w:r>
    <w:r>
      <w:t>/</w:t>
    </w:r>
    <w:fldSimple w:instr=" NUMPAGES  \* Arabic  \* MERGEFORMAT ">
      <w:r w:rsidR="00E54383">
        <w:t>1</w:t>
      </w:r>
    </w:fldSimple>
  </w:p>
  <w:p w14:paraId="19EAD31F" w14:textId="3B89CDAA" w:rsidR="00564B53" w:rsidRDefault="00E413B0">
    <w:pPr>
      <w:pStyle w:val="Footer"/>
    </w:pPr>
    <w:r>
      <w:rPr>
        <w:rFonts w:hint="eastAsia"/>
        <w:lang w:eastAsia="zh-CN"/>
      </w:rPr>
      <w:t>第</w:t>
    </w:r>
    <w:r>
      <w:fldChar w:fldCharType="begin"/>
    </w:r>
    <w:r>
      <w:instrText xml:space="preserve"> PAGE  \* Arabic  \* MERGEFORMAT </w:instrText>
    </w:r>
    <w:r>
      <w:fldChar w:fldCharType="separate"/>
    </w:r>
    <w:r>
      <w:t>1</w:t>
    </w:r>
    <w:r>
      <w:fldChar w:fldCharType="end"/>
    </w:r>
    <w:r>
      <w:t>/</w:t>
    </w:r>
    <w:fldSimple w:instr=" NUMPAGES  \* Arabic  \* MERGEFORMAT ">
      <w:r w:rsidR="00564B53">
        <w:t>12</w:t>
      </w:r>
    </w:fldSimple>
    <w:r>
      <w:rPr>
        <w:rFonts w:hint="eastAsia"/>
        <w:lang w:eastAsia="zh-CN"/>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C88D0" w14:textId="77777777" w:rsidR="00E413B0" w:rsidRDefault="00E413B0">
      <w:pPr>
        <w:spacing w:line="240" w:lineRule="auto"/>
      </w:pPr>
      <w:r>
        <w:separator/>
      </w:r>
    </w:p>
  </w:footnote>
  <w:footnote w:type="continuationSeparator" w:id="0">
    <w:p w14:paraId="021F7574" w14:textId="77777777" w:rsidR="00E413B0" w:rsidRDefault="00E413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2B844" w14:textId="29EF35C5" w:rsidR="00E54383" w:rsidRDefault="00E54383">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A41FA" w14:textId="4FBAA551" w:rsidR="00E54383" w:rsidRDefault="00E413B0">
    <w:pPr>
      <w:pStyle w:val="Header"/>
    </w:pPr>
    <w:r>
      <w:rPr>
        <w:noProof/>
      </w:rPr>
      <w:drawing>
        <wp:anchor distT="0" distB="0" distL="114300" distR="114300" simplePos="0" relativeHeight="251657728" behindDoc="0" locked="1" layoutInCell="1" allowOverlap="1" wp14:anchorId="36DB3ED1" wp14:editId="140599CA">
          <wp:simplePos x="0" y="0"/>
          <wp:positionH relativeFrom="margin">
            <wp:posOffset>5036820</wp:posOffset>
          </wp:positionH>
          <wp:positionV relativeFrom="margin">
            <wp:posOffset>-1478915</wp:posOffset>
          </wp:positionV>
          <wp:extent cx="1051560" cy="603250"/>
          <wp:effectExtent l="0" t="0" r="0" b="6350"/>
          <wp:wrapNone/>
          <wp:docPr id="1653066876" name="Grafik 1653066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066876" name="Grafik 1653066876"/>
                  <pic:cNvPicPr>
                    <a:picLocks noChangeAspect="1" noChangeArrowheads="1"/>
                  </pic:cNvPicPr>
                </pic:nvPicPr>
                <pic:blipFill>
                  <a:blip r:embed="rId1">
                    <a:extLst>
                      <a:ext uri="{28A0092B-C50C-407E-A947-70E740481C1C}">
                        <a14:useLocalDpi xmlns:a14="http://schemas.microsoft.com/office/drawing/2010/main" val="0"/>
                      </a:ext>
                    </a:extLst>
                  </a:blip>
                  <a:srcRect l="4736" t="10539" r="5063" b="12550"/>
                  <a:stretch>
                    <a:fillRect/>
                  </a:stretch>
                </pic:blipFill>
                <pic:spPr>
                  <a:xfrm>
                    <a:off x="0" y="0"/>
                    <a:ext cx="1051560" cy="603250"/>
                  </a:xfrm>
                  <a:prstGeom prst="rect">
                    <a:avLst/>
                  </a:prstGeom>
                  <a:noFill/>
                </pic:spPr>
              </pic:pic>
            </a:graphicData>
          </a:graphic>
        </wp:anchor>
      </w:drawing>
    </w:r>
    <w:r>
      <w:rPr>
        <w:noProof/>
      </w:rPr>
      <mc:AlternateContent>
        <mc:Choice Requires="wpg">
          <w:drawing>
            <wp:anchor distT="0" distB="0" distL="114300" distR="114300" simplePos="0" relativeHeight="251658752" behindDoc="0" locked="0" layoutInCell="1" allowOverlap="1" wp14:anchorId="35E9A743" wp14:editId="5FC276C0">
              <wp:simplePos x="0" y="0"/>
              <wp:positionH relativeFrom="page">
                <wp:posOffset>180340</wp:posOffset>
              </wp:positionH>
              <wp:positionV relativeFrom="page">
                <wp:posOffset>3780790</wp:posOffset>
              </wp:positionV>
              <wp:extent cx="179705" cy="3780155"/>
              <wp:effectExtent l="0" t="0" r="1905" b="11430"/>
              <wp:wrapNone/>
              <wp:docPr id="2" name="Group 16"/>
              <wp:cNvGraphicFramePr/>
              <a:graphic xmlns:a="http://schemas.openxmlformats.org/drawingml/2006/main">
                <a:graphicData uri="http://schemas.microsoft.com/office/word/2010/wordprocessingGroup">
                  <wpg:wgp>
                    <wpg:cNvGrpSpPr/>
                    <wpg:grpSpPr>
                      <a:xfrm>
                        <a:off x="0" y="0"/>
                        <a:ext cx="179705" cy="3780155"/>
                        <a:chOff x="0" y="5954"/>
                        <a:chExt cx="283" cy="5953"/>
                      </a:xfrm>
                    </wpg:grpSpPr>
                    <wps:wsp>
                      <wps:cNvPr id="3" name="Line 17"/>
                      <wps:cNvCnPr>
                        <a:cxnSpLocks noChangeShapeType="1"/>
                      </wps:cNvCnPr>
                      <wps:spPr bwMode="auto">
                        <a:xfrm>
                          <a:off x="0" y="5954"/>
                          <a:ext cx="283" cy="0"/>
                        </a:xfrm>
                        <a:prstGeom prst="line">
                          <a:avLst/>
                        </a:prstGeom>
                        <a:noFill/>
                        <a:ln>
                          <a:noFill/>
                        </a:ln>
                      </wps:spPr>
                      <wps:bodyPr/>
                    </wps:wsp>
                    <wps:wsp>
                      <wps:cNvPr id="4" name="Line 18"/>
                      <wps:cNvCnPr>
                        <a:cxnSpLocks noChangeShapeType="1"/>
                      </wps:cNvCnPr>
                      <wps:spPr bwMode="auto">
                        <a:xfrm>
                          <a:off x="0" y="8420"/>
                          <a:ext cx="283" cy="0"/>
                        </a:xfrm>
                        <a:prstGeom prst="line">
                          <a:avLst/>
                        </a:prstGeom>
                        <a:noFill/>
                        <a:ln>
                          <a:noFill/>
                        </a:ln>
                      </wps:spPr>
                      <wps:bodyPr/>
                    </wps:wsp>
                    <wps:wsp>
                      <wps:cNvPr id="5" name="Line 19"/>
                      <wps:cNvCnPr>
                        <a:cxnSpLocks noChangeShapeType="1"/>
                      </wps:cNvCnPr>
                      <wps:spPr bwMode="auto">
                        <a:xfrm>
                          <a:off x="0" y="11907"/>
                          <a:ext cx="283" cy="0"/>
                        </a:xfrm>
                        <a:prstGeom prst="line">
                          <a:avLst/>
                        </a:prstGeom>
                        <a:noFill/>
                        <a:ln>
                          <a:noFill/>
                        </a:ln>
                      </wps:spPr>
                      <wps:bodyPr/>
                    </wps:wsp>
                  </wpg:wgp>
                </a:graphicData>
              </a:graphic>
            </wp:anchor>
          </w:drawing>
        </mc:Choice>
        <mc:Fallback>
          <w:pict>
            <v:group w14:anchorId="5CE843F2" id="Group 16" o:spid="_x0000_s1026" style="position:absolute;margin-left:14.2pt;margin-top:297.7pt;width:14.15pt;height:297.65pt;z-index:251658752;mso-position-horizontal-relative:page;mso-position-vertical-relative:page" coordorigin=",5954" coordsize="283,5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">
              <v:line id="Line 17" o:spid="_x0000_s1027" style="position:absolute;visibility:visible;mso-wrap-style:square" from="0,5954" to="283,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" stroked="f"/>
              <v:line id="Line 18" o:spid="_x0000_s1028" style="position:absolute;visibility:visible;mso-wrap-style:square" from="0,8420" to="283,8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" stroked="f"/>
              <v:line id="Line 19" o:spid="_x0000_s1029" style="position:absolute;visibility:visible;mso-wrap-style:square" from="0,11907" to="283,1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" stroked="f"/>
              <w10:wrap anchorx="page" anchory="page"/>
            </v:group>
          </w:pict>
        </mc:Fallback>
      </mc:AlternateContent>
    </w:r>
    <w:r>
      <w:t>News Release</w:t>
    </w:r>
    <w:r w:rsidR="00564B53">
      <w:br/>
    </w:r>
    <w:r w:rsidR="00564B53">
      <w:rPr>
        <w:rFonts w:hint="eastAsia"/>
        <w:lang w:eastAsia="zh-CN"/>
      </w:rPr>
      <w:t>新闻稿</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F4270"/>
    <w:multiLevelType w:val="multilevel"/>
    <w:tmpl w:val="07CF4270"/>
    <w:lvl w:ilvl="0">
      <w:start w:val="1"/>
      <w:numFmt w:val="bullet"/>
      <w:pStyle w:val="NumBullet"/>
      <w:lvlText w:val="•"/>
      <w:lvlJc w:val="left"/>
      <w:pPr>
        <w:tabs>
          <w:tab w:val="left" w:pos="567"/>
        </w:tabs>
        <w:ind w:left="567" w:hanging="567"/>
      </w:pPr>
      <w:rPr>
        <w:rFonts w:ascii="Times New Roman" w:hAnsi="Times New Roman" w:cs="Times New Roman" w:hint="default"/>
        <w:color w:val="E1000F"/>
      </w:rPr>
    </w:lvl>
    <w:lvl w:ilvl="1">
      <w:start w:val="1"/>
      <w:numFmt w:val="bullet"/>
      <w:lvlText w:val="o"/>
      <w:lvlJc w:val="left"/>
      <w:pPr>
        <w:tabs>
          <w:tab w:val="left" w:pos="1440"/>
        </w:tabs>
        <w:ind w:left="1440" w:hanging="360"/>
      </w:pPr>
      <w:rPr>
        <w:rFonts w:ascii="Courier New" w:hAnsi="Courier New" w:cs="Arial"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Arial"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Arial" w:hint="default"/>
      </w:rPr>
    </w:lvl>
    <w:lvl w:ilvl="8">
      <w:start w:val="1"/>
      <w:numFmt w:val="bullet"/>
      <w:lvlText w:val=""/>
      <w:lvlJc w:val="left"/>
      <w:pPr>
        <w:tabs>
          <w:tab w:val="left" w:pos="6480"/>
        </w:tabs>
        <w:ind w:left="6480" w:hanging="360"/>
      </w:pPr>
      <w:rPr>
        <w:rFonts w:ascii="Wingdings" w:hAnsi="Wingdings" w:hint="default"/>
      </w:rPr>
    </w:lvl>
  </w:abstractNum>
  <w:abstractNum w:abstractNumId="1" w15:restartNumberingAfterBreak="0">
    <w:nsid w:val="3F4B6752"/>
    <w:multiLevelType w:val="multilevel"/>
    <w:tmpl w:val="3F4B6752"/>
    <w:lvl w:ilvl="0">
      <w:start w:val="1"/>
      <w:numFmt w:val="bullet"/>
      <w:lvlText w:val=""/>
      <w:lvlJc w:val="left"/>
      <w:pPr>
        <w:ind w:left="360" w:hanging="360"/>
      </w:pPr>
      <w:rPr>
        <w:rFonts w:ascii="Wingdings" w:hAnsi="Wingdings" w:hint="default"/>
        <w:color w:val="E1000F"/>
        <w:sz w:val="24"/>
        <w:szCs w:val="24"/>
      </w:rPr>
    </w:lvl>
    <w:lvl w:ilvl="1">
      <w:numFmt w:val="bullet"/>
      <w:lvlText w:val="-"/>
      <w:lvlJc w:val="left"/>
      <w:pPr>
        <w:ind w:left="1080" w:hanging="360"/>
      </w:pPr>
      <w:rPr>
        <w:rFonts w:ascii="Arial" w:hAnsi="Arial" w:hint="default"/>
        <w:color w:val="FF000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num w:numId="1" w16cid:durableId="615063292">
    <w:abstractNumId w:val="0"/>
  </w:num>
  <w:num w:numId="2" w16cid:durableId="20934322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WAFVersion" w:val="5.0"/>
  </w:docVars>
  <w:rsids>
    <w:rsidRoot w:val="0033451C"/>
    <w:rsid w:val="00000839"/>
    <w:rsid w:val="00002AA4"/>
    <w:rsid w:val="00002AFB"/>
    <w:rsid w:val="00005267"/>
    <w:rsid w:val="00005415"/>
    <w:rsid w:val="00006346"/>
    <w:rsid w:val="000069EB"/>
    <w:rsid w:val="00006A45"/>
    <w:rsid w:val="00007410"/>
    <w:rsid w:val="00011DDB"/>
    <w:rsid w:val="00013644"/>
    <w:rsid w:val="00014FC1"/>
    <w:rsid w:val="00016137"/>
    <w:rsid w:val="00017389"/>
    <w:rsid w:val="00020DC3"/>
    <w:rsid w:val="00021C67"/>
    <w:rsid w:val="00024147"/>
    <w:rsid w:val="00024483"/>
    <w:rsid w:val="000256A9"/>
    <w:rsid w:val="00026EEE"/>
    <w:rsid w:val="000301F0"/>
    <w:rsid w:val="00030557"/>
    <w:rsid w:val="00030701"/>
    <w:rsid w:val="00030F51"/>
    <w:rsid w:val="000311F4"/>
    <w:rsid w:val="000343EB"/>
    <w:rsid w:val="00035A84"/>
    <w:rsid w:val="0003650E"/>
    <w:rsid w:val="00037396"/>
    <w:rsid w:val="000378F9"/>
    <w:rsid w:val="00037D04"/>
    <w:rsid w:val="00040816"/>
    <w:rsid w:val="00040CC9"/>
    <w:rsid w:val="00041F81"/>
    <w:rsid w:val="000425ED"/>
    <w:rsid w:val="000438EB"/>
    <w:rsid w:val="00045A1D"/>
    <w:rsid w:val="00045CCB"/>
    <w:rsid w:val="000471D0"/>
    <w:rsid w:val="000510FC"/>
    <w:rsid w:val="00051555"/>
    <w:rsid w:val="000517E2"/>
    <w:rsid w:val="00051E86"/>
    <w:rsid w:val="00054AFE"/>
    <w:rsid w:val="0005544E"/>
    <w:rsid w:val="00055CE4"/>
    <w:rsid w:val="000575F9"/>
    <w:rsid w:val="000618FC"/>
    <w:rsid w:val="00062741"/>
    <w:rsid w:val="0006442E"/>
    <w:rsid w:val="00064FF3"/>
    <w:rsid w:val="00065466"/>
    <w:rsid w:val="000665F3"/>
    <w:rsid w:val="00066A9C"/>
    <w:rsid w:val="00067071"/>
    <w:rsid w:val="00067F67"/>
    <w:rsid w:val="00070652"/>
    <w:rsid w:val="00070757"/>
    <w:rsid w:val="00071284"/>
    <w:rsid w:val="0007275A"/>
    <w:rsid w:val="00073AED"/>
    <w:rsid w:val="000751A7"/>
    <w:rsid w:val="000759DC"/>
    <w:rsid w:val="0007746E"/>
    <w:rsid w:val="00077AF9"/>
    <w:rsid w:val="00080D10"/>
    <w:rsid w:val="00080FB0"/>
    <w:rsid w:val="00081241"/>
    <w:rsid w:val="00081692"/>
    <w:rsid w:val="000818B6"/>
    <w:rsid w:val="00081EF8"/>
    <w:rsid w:val="00082417"/>
    <w:rsid w:val="0008357F"/>
    <w:rsid w:val="00083A35"/>
    <w:rsid w:val="00083A61"/>
    <w:rsid w:val="00083DAB"/>
    <w:rsid w:val="0008406B"/>
    <w:rsid w:val="00084918"/>
    <w:rsid w:val="00085A1A"/>
    <w:rsid w:val="00090DB6"/>
    <w:rsid w:val="00090E73"/>
    <w:rsid w:val="00091F11"/>
    <w:rsid w:val="00092511"/>
    <w:rsid w:val="00093255"/>
    <w:rsid w:val="00094235"/>
    <w:rsid w:val="00096AD4"/>
    <w:rsid w:val="000979FE"/>
    <w:rsid w:val="000A0598"/>
    <w:rsid w:val="000A05E0"/>
    <w:rsid w:val="000A06FB"/>
    <w:rsid w:val="000A31D3"/>
    <w:rsid w:val="000A50CF"/>
    <w:rsid w:val="000A511E"/>
    <w:rsid w:val="000A64B3"/>
    <w:rsid w:val="000A6C25"/>
    <w:rsid w:val="000B005C"/>
    <w:rsid w:val="000B10DE"/>
    <w:rsid w:val="000B2E86"/>
    <w:rsid w:val="000B576C"/>
    <w:rsid w:val="000B5D2F"/>
    <w:rsid w:val="000B5E32"/>
    <w:rsid w:val="000B6244"/>
    <w:rsid w:val="000B625C"/>
    <w:rsid w:val="000B695A"/>
    <w:rsid w:val="000B6EF1"/>
    <w:rsid w:val="000B72A8"/>
    <w:rsid w:val="000C0715"/>
    <w:rsid w:val="000C1254"/>
    <w:rsid w:val="000C210A"/>
    <w:rsid w:val="000C27E5"/>
    <w:rsid w:val="000C30D6"/>
    <w:rsid w:val="000C47D1"/>
    <w:rsid w:val="000C50A1"/>
    <w:rsid w:val="000C56DD"/>
    <w:rsid w:val="000C63F4"/>
    <w:rsid w:val="000D11CB"/>
    <w:rsid w:val="000D14C4"/>
    <w:rsid w:val="000D1672"/>
    <w:rsid w:val="000D178A"/>
    <w:rsid w:val="000D18CE"/>
    <w:rsid w:val="000D40C6"/>
    <w:rsid w:val="000D6C67"/>
    <w:rsid w:val="000E0CAB"/>
    <w:rsid w:val="000E1B84"/>
    <w:rsid w:val="000E21E4"/>
    <w:rsid w:val="000E2F62"/>
    <w:rsid w:val="000E38ED"/>
    <w:rsid w:val="000E45C7"/>
    <w:rsid w:val="000E67D5"/>
    <w:rsid w:val="000E755E"/>
    <w:rsid w:val="000E7F24"/>
    <w:rsid w:val="000F03BE"/>
    <w:rsid w:val="000F10AC"/>
    <w:rsid w:val="000F1757"/>
    <w:rsid w:val="000F225B"/>
    <w:rsid w:val="000F333E"/>
    <w:rsid w:val="000F3949"/>
    <w:rsid w:val="000F41BC"/>
    <w:rsid w:val="000F48E9"/>
    <w:rsid w:val="000F4DAE"/>
    <w:rsid w:val="000F7ADB"/>
    <w:rsid w:val="000F7D43"/>
    <w:rsid w:val="000F7FAF"/>
    <w:rsid w:val="00100D8B"/>
    <w:rsid w:val="00102045"/>
    <w:rsid w:val="00102264"/>
    <w:rsid w:val="00103537"/>
    <w:rsid w:val="0010421C"/>
    <w:rsid w:val="0010465B"/>
    <w:rsid w:val="001050D7"/>
    <w:rsid w:val="0010570F"/>
    <w:rsid w:val="00105975"/>
    <w:rsid w:val="00110090"/>
    <w:rsid w:val="00110407"/>
    <w:rsid w:val="0011116D"/>
    <w:rsid w:val="00111386"/>
    <w:rsid w:val="001118DF"/>
    <w:rsid w:val="00111F4D"/>
    <w:rsid w:val="001125B2"/>
    <w:rsid w:val="00112A28"/>
    <w:rsid w:val="00113571"/>
    <w:rsid w:val="00114DDF"/>
    <w:rsid w:val="00114FAA"/>
    <w:rsid w:val="00115230"/>
    <w:rsid w:val="00115AE1"/>
    <w:rsid w:val="00115B5F"/>
    <w:rsid w:val="00115D38"/>
    <w:rsid w:val="001162B4"/>
    <w:rsid w:val="00116DF3"/>
    <w:rsid w:val="001204CA"/>
    <w:rsid w:val="00122B90"/>
    <w:rsid w:val="00122CBC"/>
    <w:rsid w:val="0012414B"/>
    <w:rsid w:val="001244F8"/>
    <w:rsid w:val="001246AB"/>
    <w:rsid w:val="00124FA3"/>
    <w:rsid w:val="001255F8"/>
    <w:rsid w:val="00126AF1"/>
    <w:rsid w:val="00126C65"/>
    <w:rsid w:val="00126D4A"/>
    <w:rsid w:val="0012714C"/>
    <w:rsid w:val="001274FA"/>
    <w:rsid w:val="00131762"/>
    <w:rsid w:val="001318EB"/>
    <w:rsid w:val="00132DA9"/>
    <w:rsid w:val="0013305B"/>
    <w:rsid w:val="00133B99"/>
    <w:rsid w:val="0013569C"/>
    <w:rsid w:val="00135939"/>
    <w:rsid w:val="001369E3"/>
    <w:rsid w:val="001375DD"/>
    <w:rsid w:val="00142EFB"/>
    <w:rsid w:val="001438BF"/>
    <w:rsid w:val="001443BD"/>
    <w:rsid w:val="00144A87"/>
    <w:rsid w:val="00145B62"/>
    <w:rsid w:val="00146193"/>
    <w:rsid w:val="001471EB"/>
    <w:rsid w:val="00147E09"/>
    <w:rsid w:val="001519D2"/>
    <w:rsid w:val="00152022"/>
    <w:rsid w:val="00152026"/>
    <w:rsid w:val="00152392"/>
    <w:rsid w:val="00152A41"/>
    <w:rsid w:val="001544C3"/>
    <w:rsid w:val="00154D75"/>
    <w:rsid w:val="00156ED6"/>
    <w:rsid w:val="001577E9"/>
    <w:rsid w:val="00157A59"/>
    <w:rsid w:val="00157F37"/>
    <w:rsid w:val="0016138C"/>
    <w:rsid w:val="00162D60"/>
    <w:rsid w:val="001640D5"/>
    <w:rsid w:val="00164499"/>
    <w:rsid w:val="001653D7"/>
    <w:rsid w:val="001659FB"/>
    <w:rsid w:val="00171763"/>
    <w:rsid w:val="00171D3F"/>
    <w:rsid w:val="00172151"/>
    <w:rsid w:val="00172C99"/>
    <w:rsid w:val="001731CE"/>
    <w:rsid w:val="00173E0D"/>
    <w:rsid w:val="001742EE"/>
    <w:rsid w:val="00175C72"/>
    <w:rsid w:val="00177D1E"/>
    <w:rsid w:val="00180F93"/>
    <w:rsid w:val="00181B06"/>
    <w:rsid w:val="00181FC9"/>
    <w:rsid w:val="0018672E"/>
    <w:rsid w:val="001928FC"/>
    <w:rsid w:val="00193BD5"/>
    <w:rsid w:val="00194571"/>
    <w:rsid w:val="00196308"/>
    <w:rsid w:val="0019782F"/>
    <w:rsid w:val="00197E9B"/>
    <w:rsid w:val="001A1185"/>
    <w:rsid w:val="001A3D77"/>
    <w:rsid w:val="001A4A02"/>
    <w:rsid w:val="001A5878"/>
    <w:rsid w:val="001B30F7"/>
    <w:rsid w:val="001B31F0"/>
    <w:rsid w:val="001B4862"/>
    <w:rsid w:val="001B5147"/>
    <w:rsid w:val="001B65FF"/>
    <w:rsid w:val="001B710A"/>
    <w:rsid w:val="001B771D"/>
    <w:rsid w:val="001B7C20"/>
    <w:rsid w:val="001C0890"/>
    <w:rsid w:val="001C0B32"/>
    <w:rsid w:val="001C2D66"/>
    <w:rsid w:val="001C36F7"/>
    <w:rsid w:val="001C43A5"/>
    <w:rsid w:val="001C4BE1"/>
    <w:rsid w:val="001C5338"/>
    <w:rsid w:val="001C5847"/>
    <w:rsid w:val="001C7F21"/>
    <w:rsid w:val="001D1497"/>
    <w:rsid w:val="001D5534"/>
    <w:rsid w:val="001D63D9"/>
    <w:rsid w:val="001D6F0E"/>
    <w:rsid w:val="001D7ADF"/>
    <w:rsid w:val="001E0F71"/>
    <w:rsid w:val="001E1575"/>
    <w:rsid w:val="001E160D"/>
    <w:rsid w:val="001E17FB"/>
    <w:rsid w:val="001E255E"/>
    <w:rsid w:val="001E2B9B"/>
    <w:rsid w:val="001E2C06"/>
    <w:rsid w:val="001E35BA"/>
    <w:rsid w:val="001E3A31"/>
    <w:rsid w:val="001E4393"/>
    <w:rsid w:val="001E4690"/>
    <w:rsid w:val="001E49D3"/>
    <w:rsid w:val="001E4CCB"/>
    <w:rsid w:val="001E51A6"/>
    <w:rsid w:val="001E6D05"/>
    <w:rsid w:val="001E73E8"/>
    <w:rsid w:val="001E7C28"/>
    <w:rsid w:val="001F0C14"/>
    <w:rsid w:val="001F0F3B"/>
    <w:rsid w:val="001F11A1"/>
    <w:rsid w:val="001F1AB5"/>
    <w:rsid w:val="001F1BDF"/>
    <w:rsid w:val="001F1D6D"/>
    <w:rsid w:val="001F20A0"/>
    <w:rsid w:val="001F35F8"/>
    <w:rsid w:val="001F39FC"/>
    <w:rsid w:val="001F3E04"/>
    <w:rsid w:val="001F4AC3"/>
    <w:rsid w:val="001F4CAC"/>
    <w:rsid w:val="001F52E0"/>
    <w:rsid w:val="001F590C"/>
    <w:rsid w:val="001F7110"/>
    <w:rsid w:val="001F7185"/>
    <w:rsid w:val="001F773D"/>
    <w:rsid w:val="001F7E96"/>
    <w:rsid w:val="002005F5"/>
    <w:rsid w:val="0020202E"/>
    <w:rsid w:val="00202284"/>
    <w:rsid w:val="0020528D"/>
    <w:rsid w:val="0020543B"/>
    <w:rsid w:val="00205A66"/>
    <w:rsid w:val="002063CF"/>
    <w:rsid w:val="00206613"/>
    <w:rsid w:val="0020756B"/>
    <w:rsid w:val="00207E75"/>
    <w:rsid w:val="00210D86"/>
    <w:rsid w:val="0021158F"/>
    <w:rsid w:val="00211BA0"/>
    <w:rsid w:val="00212488"/>
    <w:rsid w:val="002129A6"/>
    <w:rsid w:val="002151DB"/>
    <w:rsid w:val="00220628"/>
    <w:rsid w:val="00221A45"/>
    <w:rsid w:val="00221BA0"/>
    <w:rsid w:val="00224CB4"/>
    <w:rsid w:val="002260C7"/>
    <w:rsid w:val="002304D2"/>
    <w:rsid w:val="002310E3"/>
    <w:rsid w:val="00232594"/>
    <w:rsid w:val="002338C1"/>
    <w:rsid w:val="00233D04"/>
    <w:rsid w:val="00234ABD"/>
    <w:rsid w:val="00236491"/>
    <w:rsid w:val="00236C3B"/>
    <w:rsid w:val="00236E2A"/>
    <w:rsid w:val="00237F62"/>
    <w:rsid w:val="00240D96"/>
    <w:rsid w:val="00241E10"/>
    <w:rsid w:val="00242093"/>
    <w:rsid w:val="00242C71"/>
    <w:rsid w:val="0024586A"/>
    <w:rsid w:val="0024601F"/>
    <w:rsid w:val="002464E3"/>
    <w:rsid w:val="0024732C"/>
    <w:rsid w:val="002502E1"/>
    <w:rsid w:val="00250C98"/>
    <w:rsid w:val="00250F80"/>
    <w:rsid w:val="0025124F"/>
    <w:rsid w:val="002518A2"/>
    <w:rsid w:val="002528B3"/>
    <w:rsid w:val="00253854"/>
    <w:rsid w:val="0025551F"/>
    <w:rsid w:val="00255F8C"/>
    <w:rsid w:val="00256174"/>
    <w:rsid w:val="002566B2"/>
    <w:rsid w:val="002569B9"/>
    <w:rsid w:val="00256F0C"/>
    <w:rsid w:val="00257231"/>
    <w:rsid w:val="00260318"/>
    <w:rsid w:val="00261C23"/>
    <w:rsid w:val="00262C05"/>
    <w:rsid w:val="002715AF"/>
    <w:rsid w:val="002717F0"/>
    <w:rsid w:val="0027214F"/>
    <w:rsid w:val="0027301C"/>
    <w:rsid w:val="00273099"/>
    <w:rsid w:val="00281D14"/>
    <w:rsid w:val="00282C13"/>
    <w:rsid w:val="002833D8"/>
    <w:rsid w:val="002836D7"/>
    <w:rsid w:val="00284538"/>
    <w:rsid w:val="00285669"/>
    <w:rsid w:val="002858F6"/>
    <w:rsid w:val="00286BF6"/>
    <w:rsid w:val="00286D3E"/>
    <w:rsid w:val="002903B7"/>
    <w:rsid w:val="002919AD"/>
    <w:rsid w:val="00292C23"/>
    <w:rsid w:val="00293E0F"/>
    <w:rsid w:val="00295E54"/>
    <w:rsid w:val="002962D7"/>
    <w:rsid w:val="00296C33"/>
    <w:rsid w:val="002A0D7B"/>
    <w:rsid w:val="002A0DF7"/>
    <w:rsid w:val="002A268C"/>
    <w:rsid w:val="002A2975"/>
    <w:rsid w:val="002A460D"/>
    <w:rsid w:val="002A505B"/>
    <w:rsid w:val="002A5464"/>
    <w:rsid w:val="002A5EE9"/>
    <w:rsid w:val="002A60E0"/>
    <w:rsid w:val="002A69D0"/>
    <w:rsid w:val="002A72F8"/>
    <w:rsid w:val="002B1AA8"/>
    <w:rsid w:val="002B1E87"/>
    <w:rsid w:val="002B4583"/>
    <w:rsid w:val="002B499E"/>
    <w:rsid w:val="002B687A"/>
    <w:rsid w:val="002C1344"/>
    <w:rsid w:val="002C252E"/>
    <w:rsid w:val="002C3A2A"/>
    <w:rsid w:val="002C458A"/>
    <w:rsid w:val="002C6093"/>
    <w:rsid w:val="002C6552"/>
    <w:rsid w:val="002C672A"/>
    <w:rsid w:val="002C6773"/>
    <w:rsid w:val="002C6F51"/>
    <w:rsid w:val="002C73EC"/>
    <w:rsid w:val="002D0FE0"/>
    <w:rsid w:val="002D269A"/>
    <w:rsid w:val="002D2A3D"/>
    <w:rsid w:val="002D3E72"/>
    <w:rsid w:val="002D3EAC"/>
    <w:rsid w:val="002D46A9"/>
    <w:rsid w:val="002D5D1D"/>
    <w:rsid w:val="002D6EFD"/>
    <w:rsid w:val="002D74CF"/>
    <w:rsid w:val="002D7B8C"/>
    <w:rsid w:val="002E0A45"/>
    <w:rsid w:val="002E0B17"/>
    <w:rsid w:val="002E26B4"/>
    <w:rsid w:val="002E31C0"/>
    <w:rsid w:val="002E3A73"/>
    <w:rsid w:val="002E4FFB"/>
    <w:rsid w:val="002E63A7"/>
    <w:rsid w:val="002E650E"/>
    <w:rsid w:val="002E6E2F"/>
    <w:rsid w:val="002E7DED"/>
    <w:rsid w:val="002F0334"/>
    <w:rsid w:val="002F2A7B"/>
    <w:rsid w:val="002F2F6B"/>
    <w:rsid w:val="002F4AB2"/>
    <w:rsid w:val="002F4F67"/>
    <w:rsid w:val="002F5944"/>
    <w:rsid w:val="002F7BC2"/>
    <w:rsid w:val="002F7E11"/>
    <w:rsid w:val="003002BA"/>
    <w:rsid w:val="0030037C"/>
    <w:rsid w:val="003008B9"/>
    <w:rsid w:val="003023CC"/>
    <w:rsid w:val="00302BC5"/>
    <w:rsid w:val="00304087"/>
    <w:rsid w:val="003053DC"/>
    <w:rsid w:val="003054B0"/>
    <w:rsid w:val="003057B1"/>
    <w:rsid w:val="003062AD"/>
    <w:rsid w:val="00306F21"/>
    <w:rsid w:val="00310ACD"/>
    <w:rsid w:val="00312C23"/>
    <w:rsid w:val="003133BD"/>
    <w:rsid w:val="0031379F"/>
    <w:rsid w:val="00313A9C"/>
    <w:rsid w:val="0031621E"/>
    <w:rsid w:val="00316A16"/>
    <w:rsid w:val="00316B30"/>
    <w:rsid w:val="00320228"/>
    <w:rsid w:val="00320372"/>
    <w:rsid w:val="00320A26"/>
    <w:rsid w:val="003212F3"/>
    <w:rsid w:val="00321344"/>
    <w:rsid w:val="00321622"/>
    <w:rsid w:val="00321788"/>
    <w:rsid w:val="003221D5"/>
    <w:rsid w:val="00323D57"/>
    <w:rsid w:val="00323FA3"/>
    <w:rsid w:val="00325064"/>
    <w:rsid w:val="00325EC9"/>
    <w:rsid w:val="00326735"/>
    <w:rsid w:val="003279C6"/>
    <w:rsid w:val="0032B295"/>
    <w:rsid w:val="00331A3E"/>
    <w:rsid w:val="0033451C"/>
    <w:rsid w:val="00334724"/>
    <w:rsid w:val="00335660"/>
    <w:rsid w:val="00335FBD"/>
    <w:rsid w:val="0033649A"/>
    <w:rsid w:val="00336854"/>
    <w:rsid w:val="0033769B"/>
    <w:rsid w:val="00337A89"/>
    <w:rsid w:val="0034015C"/>
    <w:rsid w:val="00341409"/>
    <w:rsid w:val="00341CAE"/>
    <w:rsid w:val="003442F4"/>
    <w:rsid w:val="00344546"/>
    <w:rsid w:val="003455CF"/>
    <w:rsid w:val="0034716E"/>
    <w:rsid w:val="00350CB4"/>
    <w:rsid w:val="00353705"/>
    <w:rsid w:val="00355536"/>
    <w:rsid w:val="003562E8"/>
    <w:rsid w:val="00357F94"/>
    <w:rsid w:val="00360350"/>
    <w:rsid w:val="003614D7"/>
    <w:rsid w:val="0036357D"/>
    <w:rsid w:val="00363637"/>
    <w:rsid w:val="003649BC"/>
    <w:rsid w:val="00364F7E"/>
    <w:rsid w:val="00365BE1"/>
    <w:rsid w:val="00365E44"/>
    <w:rsid w:val="003662B1"/>
    <w:rsid w:val="003663FD"/>
    <w:rsid w:val="003667AD"/>
    <w:rsid w:val="00366D19"/>
    <w:rsid w:val="00367AA1"/>
    <w:rsid w:val="00370A5B"/>
    <w:rsid w:val="00372497"/>
    <w:rsid w:val="00372E36"/>
    <w:rsid w:val="00373C15"/>
    <w:rsid w:val="00373D53"/>
    <w:rsid w:val="00375653"/>
    <w:rsid w:val="00375DFA"/>
    <w:rsid w:val="00375F7D"/>
    <w:rsid w:val="003767D3"/>
    <w:rsid w:val="00376EE9"/>
    <w:rsid w:val="00376FFC"/>
    <w:rsid w:val="00377CBB"/>
    <w:rsid w:val="00382CCB"/>
    <w:rsid w:val="00382DA3"/>
    <w:rsid w:val="00384F62"/>
    <w:rsid w:val="00385438"/>
    <w:rsid w:val="003858E5"/>
    <w:rsid w:val="003877B6"/>
    <w:rsid w:val="00391539"/>
    <w:rsid w:val="003921B7"/>
    <w:rsid w:val="00392D73"/>
    <w:rsid w:val="00393887"/>
    <w:rsid w:val="00393F1B"/>
    <w:rsid w:val="00394C6B"/>
    <w:rsid w:val="0039610B"/>
    <w:rsid w:val="00396442"/>
    <w:rsid w:val="003967E1"/>
    <w:rsid w:val="00397C2B"/>
    <w:rsid w:val="003A11DF"/>
    <w:rsid w:val="003A290F"/>
    <w:rsid w:val="003A2EB6"/>
    <w:rsid w:val="003A4AAA"/>
    <w:rsid w:val="003A4B10"/>
    <w:rsid w:val="003A4E2E"/>
    <w:rsid w:val="003A4E62"/>
    <w:rsid w:val="003A5A6A"/>
    <w:rsid w:val="003A775E"/>
    <w:rsid w:val="003B02F2"/>
    <w:rsid w:val="003B0BD0"/>
    <w:rsid w:val="003B0CDD"/>
    <w:rsid w:val="003B1069"/>
    <w:rsid w:val="003B1F2E"/>
    <w:rsid w:val="003B38CC"/>
    <w:rsid w:val="003B390A"/>
    <w:rsid w:val="003B3D53"/>
    <w:rsid w:val="003B4E3A"/>
    <w:rsid w:val="003B60C3"/>
    <w:rsid w:val="003B6373"/>
    <w:rsid w:val="003B79E1"/>
    <w:rsid w:val="003C0E8C"/>
    <w:rsid w:val="003C15DE"/>
    <w:rsid w:val="003C2096"/>
    <w:rsid w:val="003C2889"/>
    <w:rsid w:val="003C2AB0"/>
    <w:rsid w:val="003C34C9"/>
    <w:rsid w:val="003C4EB2"/>
    <w:rsid w:val="003C5801"/>
    <w:rsid w:val="003C5E05"/>
    <w:rsid w:val="003C63D0"/>
    <w:rsid w:val="003C7959"/>
    <w:rsid w:val="003D0055"/>
    <w:rsid w:val="003D3968"/>
    <w:rsid w:val="003D42AF"/>
    <w:rsid w:val="003D4899"/>
    <w:rsid w:val="003D4AD2"/>
    <w:rsid w:val="003D5E11"/>
    <w:rsid w:val="003D73C0"/>
    <w:rsid w:val="003E031D"/>
    <w:rsid w:val="003E0583"/>
    <w:rsid w:val="003E1833"/>
    <w:rsid w:val="003E4062"/>
    <w:rsid w:val="003E6DA3"/>
    <w:rsid w:val="003E7305"/>
    <w:rsid w:val="003F0C1C"/>
    <w:rsid w:val="003F1AF3"/>
    <w:rsid w:val="003F25E4"/>
    <w:rsid w:val="003F4804"/>
    <w:rsid w:val="003F4AAA"/>
    <w:rsid w:val="003F4D8D"/>
    <w:rsid w:val="003F4E93"/>
    <w:rsid w:val="003F5708"/>
    <w:rsid w:val="003F66A4"/>
    <w:rsid w:val="00401508"/>
    <w:rsid w:val="00401688"/>
    <w:rsid w:val="004024D9"/>
    <w:rsid w:val="0040257E"/>
    <w:rsid w:val="004033B2"/>
    <w:rsid w:val="0040386D"/>
    <w:rsid w:val="00404188"/>
    <w:rsid w:val="00406435"/>
    <w:rsid w:val="004066F9"/>
    <w:rsid w:val="00406CBE"/>
    <w:rsid w:val="004073DC"/>
    <w:rsid w:val="004137C0"/>
    <w:rsid w:val="004138F3"/>
    <w:rsid w:val="00420F5B"/>
    <w:rsid w:val="00421F20"/>
    <w:rsid w:val="0042238F"/>
    <w:rsid w:val="00423B63"/>
    <w:rsid w:val="00426E59"/>
    <w:rsid w:val="00427BEA"/>
    <w:rsid w:val="00430120"/>
    <w:rsid w:val="004305F8"/>
    <w:rsid w:val="004313E7"/>
    <w:rsid w:val="00432542"/>
    <w:rsid w:val="004339B2"/>
    <w:rsid w:val="00437F32"/>
    <w:rsid w:val="00440E7A"/>
    <w:rsid w:val="00442434"/>
    <w:rsid w:val="004433D5"/>
    <w:rsid w:val="0044344E"/>
    <w:rsid w:val="00444A70"/>
    <w:rsid w:val="0044763B"/>
    <w:rsid w:val="00452696"/>
    <w:rsid w:val="00452726"/>
    <w:rsid w:val="00453F32"/>
    <w:rsid w:val="00454DAA"/>
    <w:rsid w:val="0045535C"/>
    <w:rsid w:val="00456765"/>
    <w:rsid w:val="00456A53"/>
    <w:rsid w:val="00456F1E"/>
    <w:rsid w:val="0046213C"/>
    <w:rsid w:val="00462518"/>
    <w:rsid w:val="0046266D"/>
    <w:rsid w:val="004629B3"/>
    <w:rsid w:val="0046376E"/>
    <w:rsid w:val="00463B50"/>
    <w:rsid w:val="00464251"/>
    <w:rsid w:val="00464860"/>
    <w:rsid w:val="0046587C"/>
    <w:rsid w:val="0046690F"/>
    <w:rsid w:val="004677F8"/>
    <w:rsid w:val="00467CC0"/>
    <w:rsid w:val="00471116"/>
    <w:rsid w:val="0047218A"/>
    <w:rsid w:val="00472FEC"/>
    <w:rsid w:val="00473A2A"/>
    <w:rsid w:val="00473B89"/>
    <w:rsid w:val="004747D0"/>
    <w:rsid w:val="00476830"/>
    <w:rsid w:val="004770F6"/>
    <w:rsid w:val="004812D2"/>
    <w:rsid w:val="00483B28"/>
    <w:rsid w:val="00484218"/>
    <w:rsid w:val="004858E1"/>
    <w:rsid w:val="00485EF2"/>
    <w:rsid w:val="004864A1"/>
    <w:rsid w:val="004866F5"/>
    <w:rsid w:val="0048769E"/>
    <w:rsid w:val="00487A1F"/>
    <w:rsid w:val="00490A03"/>
    <w:rsid w:val="00490B0D"/>
    <w:rsid w:val="00490E5D"/>
    <w:rsid w:val="00492B0A"/>
    <w:rsid w:val="00492D88"/>
    <w:rsid w:val="00493327"/>
    <w:rsid w:val="0049382E"/>
    <w:rsid w:val="0049391A"/>
    <w:rsid w:val="004949B4"/>
    <w:rsid w:val="00494DBE"/>
    <w:rsid w:val="00495CE6"/>
    <w:rsid w:val="00497D5E"/>
    <w:rsid w:val="00497EB9"/>
    <w:rsid w:val="004A144D"/>
    <w:rsid w:val="004A1D27"/>
    <w:rsid w:val="004A2176"/>
    <w:rsid w:val="004A2703"/>
    <w:rsid w:val="004A323C"/>
    <w:rsid w:val="004A4D16"/>
    <w:rsid w:val="004A574A"/>
    <w:rsid w:val="004B0801"/>
    <w:rsid w:val="004B1117"/>
    <w:rsid w:val="004B1A6B"/>
    <w:rsid w:val="004B1FC8"/>
    <w:rsid w:val="004B328D"/>
    <w:rsid w:val="004B339A"/>
    <w:rsid w:val="004B39DA"/>
    <w:rsid w:val="004B54E8"/>
    <w:rsid w:val="004B7595"/>
    <w:rsid w:val="004B773C"/>
    <w:rsid w:val="004C0138"/>
    <w:rsid w:val="004C0686"/>
    <w:rsid w:val="004C12E8"/>
    <w:rsid w:val="004C130C"/>
    <w:rsid w:val="004C1389"/>
    <w:rsid w:val="004C1578"/>
    <w:rsid w:val="004C174B"/>
    <w:rsid w:val="004C33BA"/>
    <w:rsid w:val="004C47EA"/>
    <w:rsid w:val="004C4FEB"/>
    <w:rsid w:val="004C6570"/>
    <w:rsid w:val="004C678C"/>
    <w:rsid w:val="004C6B79"/>
    <w:rsid w:val="004C7345"/>
    <w:rsid w:val="004D059B"/>
    <w:rsid w:val="004D09F9"/>
    <w:rsid w:val="004D0E64"/>
    <w:rsid w:val="004D144F"/>
    <w:rsid w:val="004D1DBD"/>
    <w:rsid w:val="004D304E"/>
    <w:rsid w:val="004D4543"/>
    <w:rsid w:val="004D48A8"/>
    <w:rsid w:val="004D4CB6"/>
    <w:rsid w:val="004D4DCB"/>
    <w:rsid w:val="004D6CBC"/>
    <w:rsid w:val="004E0907"/>
    <w:rsid w:val="004E20CF"/>
    <w:rsid w:val="004E2324"/>
    <w:rsid w:val="004E28C9"/>
    <w:rsid w:val="004E3341"/>
    <w:rsid w:val="004E3406"/>
    <w:rsid w:val="004E5124"/>
    <w:rsid w:val="004E7BE2"/>
    <w:rsid w:val="004E7E3A"/>
    <w:rsid w:val="004F10C1"/>
    <w:rsid w:val="004F1A34"/>
    <w:rsid w:val="004F1C5E"/>
    <w:rsid w:val="004F2B00"/>
    <w:rsid w:val="004F3032"/>
    <w:rsid w:val="004F3E47"/>
    <w:rsid w:val="004F4CC8"/>
    <w:rsid w:val="004F4F5A"/>
    <w:rsid w:val="004F51FF"/>
    <w:rsid w:val="004F5AD9"/>
    <w:rsid w:val="004F5D98"/>
    <w:rsid w:val="0050159C"/>
    <w:rsid w:val="005022B7"/>
    <w:rsid w:val="00502E62"/>
    <w:rsid w:val="005044C2"/>
    <w:rsid w:val="00506B8A"/>
    <w:rsid w:val="005110D3"/>
    <w:rsid w:val="00511161"/>
    <w:rsid w:val="00512222"/>
    <w:rsid w:val="0051413C"/>
    <w:rsid w:val="00515F4A"/>
    <w:rsid w:val="0051693C"/>
    <w:rsid w:val="00520A65"/>
    <w:rsid w:val="00520DF6"/>
    <w:rsid w:val="005218B8"/>
    <w:rsid w:val="00521B13"/>
    <w:rsid w:val="0052212B"/>
    <w:rsid w:val="005221A8"/>
    <w:rsid w:val="005230C7"/>
    <w:rsid w:val="0052474F"/>
    <w:rsid w:val="0052625A"/>
    <w:rsid w:val="005266EA"/>
    <w:rsid w:val="00527072"/>
    <w:rsid w:val="005272FE"/>
    <w:rsid w:val="0053001D"/>
    <w:rsid w:val="00530E38"/>
    <w:rsid w:val="00533B0D"/>
    <w:rsid w:val="00534B46"/>
    <w:rsid w:val="00535018"/>
    <w:rsid w:val="005355DB"/>
    <w:rsid w:val="00535866"/>
    <w:rsid w:val="00536CBD"/>
    <w:rsid w:val="00540358"/>
    <w:rsid w:val="00540A05"/>
    <w:rsid w:val="00540D47"/>
    <w:rsid w:val="00540E25"/>
    <w:rsid w:val="005428D7"/>
    <w:rsid w:val="00542D43"/>
    <w:rsid w:val="00545516"/>
    <w:rsid w:val="005463C3"/>
    <w:rsid w:val="005465A3"/>
    <w:rsid w:val="00547C7C"/>
    <w:rsid w:val="005506D5"/>
    <w:rsid w:val="00550864"/>
    <w:rsid w:val="00551D6C"/>
    <w:rsid w:val="00553580"/>
    <w:rsid w:val="005550A8"/>
    <w:rsid w:val="0055571E"/>
    <w:rsid w:val="005565E8"/>
    <w:rsid w:val="00556F67"/>
    <w:rsid w:val="00557849"/>
    <w:rsid w:val="00563009"/>
    <w:rsid w:val="005635B7"/>
    <w:rsid w:val="00564B53"/>
    <w:rsid w:val="005652E8"/>
    <w:rsid w:val="0056772E"/>
    <w:rsid w:val="00567A17"/>
    <w:rsid w:val="005735E2"/>
    <w:rsid w:val="0057384B"/>
    <w:rsid w:val="0057392C"/>
    <w:rsid w:val="0057446D"/>
    <w:rsid w:val="0057667C"/>
    <w:rsid w:val="00576BDA"/>
    <w:rsid w:val="00577DB4"/>
    <w:rsid w:val="005826DA"/>
    <w:rsid w:val="00582943"/>
    <w:rsid w:val="00582D0E"/>
    <w:rsid w:val="00582E09"/>
    <w:rsid w:val="005833F0"/>
    <w:rsid w:val="005835F4"/>
    <w:rsid w:val="00585A6D"/>
    <w:rsid w:val="00586280"/>
    <w:rsid w:val="00586584"/>
    <w:rsid w:val="005865FC"/>
    <w:rsid w:val="00586913"/>
    <w:rsid w:val="005869CE"/>
    <w:rsid w:val="00586CAF"/>
    <w:rsid w:val="005873E9"/>
    <w:rsid w:val="00587A90"/>
    <w:rsid w:val="00591180"/>
    <w:rsid w:val="00592E9F"/>
    <w:rsid w:val="00595286"/>
    <w:rsid w:val="00596CED"/>
    <w:rsid w:val="00596D0C"/>
    <w:rsid w:val="0059722C"/>
    <w:rsid w:val="005977A6"/>
    <w:rsid w:val="00597D07"/>
    <w:rsid w:val="00597DD6"/>
    <w:rsid w:val="005A16E6"/>
    <w:rsid w:val="005A1746"/>
    <w:rsid w:val="005A30D7"/>
    <w:rsid w:val="005A3846"/>
    <w:rsid w:val="005A678F"/>
    <w:rsid w:val="005A7DE8"/>
    <w:rsid w:val="005A7E97"/>
    <w:rsid w:val="005B2CD2"/>
    <w:rsid w:val="005B632A"/>
    <w:rsid w:val="005B6788"/>
    <w:rsid w:val="005B6A58"/>
    <w:rsid w:val="005C112E"/>
    <w:rsid w:val="005C2212"/>
    <w:rsid w:val="005C4C2F"/>
    <w:rsid w:val="005C5A83"/>
    <w:rsid w:val="005C7112"/>
    <w:rsid w:val="005D0155"/>
    <w:rsid w:val="005D0561"/>
    <w:rsid w:val="005D0AD9"/>
    <w:rsid w:val="005D1A67"/>
    <w:rsid w:val="005D1F10"/>
    <w:rsid w:val="005D22F6"/>
    <w:rsid w:val="005D4647"/>
    <w:rsid w:val="005D4737"/>
    <w:rsid w:val="005D5EDE"/>
    <w:rsid w:val="005D6774"/>
    <w:rsid w:val="005D68AA"/>
    <w:rsid w:val="005D6BD1"/>
    <w:rsid w:val="005E060E"/>
    <w:rsid w:val="005E0C30"/>
    <w:rsid w:val="005E1DCB"/>
    <w:rsid w:val="005E2A31"/>
    <w:rsid w:val="005E33E0"/>
    <w:rsid w:val="005E3FBB"/>
    <w:rsid w:val="005E51FC"/>
    <w:rsid w:val="005E66B4"/>
    <w:rsid w:val="005E69D9"/>
    <w:rsid w:val="005E6CB1"/>
    <w:rsid w:val="005E7116"/>
    <w:rsid w:val="005E7971"/>
    <w:rsid w:val="005F17D1"/>
    <w:rsid w:val="005F23BC"/>
    <w:rsid w:val="005F2643"/>
    <w:rsid w:val="005F27F4"/>
    <w:rsid w:val="005F297C"/>
    <w:rsid w:val="005F3239"/>
    <w:rsid w:val="005F39BF"/>
    <w:rsid w:val="005F566C"/>
    <w:rsid w:val="005F5D54"/>
    <w:rsid w:val="005F5F4D"/>
    <w:rsid w:val="005F6567"/>
    <w:rsid w:val="005F676D"/>
    <w:rsid w:val="005F6A21"/>
    <w:rsid w:val="005F6D24"/>
    <w:rsid w:val="005F750F"/>
    <w:rsid w:val="005F7A8A"/>
    <w:rsid w:val="00600998"/>
    <w:rsid w:val="00600ACF"/>
    <w:rsid w:val="006019EB"/>
    <w:rsid w:val="00601CC1"/>
    <w:rsid w:val="006022D0"/>
    <w:rsid w:val="00605DFE"/>
    <w:rsid w:val="00607094"/>
    <w:rsid w:val="00607256"/>
    <w:rsid w:val="00607621"/>
    <w:rsid w:val="0060790C"/>
    <w:rsid w:val="0060791E"/>
    <w:rsid w:val="00611B7B"/>
    <w:rsid w:val="00611F08"/>
    <w:rsid w:val="00611FB2"/>
    <w:rsid w:val="00613103"/>
    <w:rsid w:val="00613BF1"/>
    <w:rsid w:val="006144B1"/>
    <w:rsid w:val="0061561D"/>
    <w:rsid w:val="00615A5C"/>
    <w:rsid w:val="00616C7F"/>
    <w:rsid w:val="006177FF"/>
    <w:rsid w:val="0062077F"/>
    <w:rsid w:val="00620AC6"/>
    <w:rsid w:val="00621BC7"/>
    <w:rsid w:val="00622033"/>
    <w:rsid w:val="00624237"/>
    <w:rsid w:val="0062460B"/>
    <w:rsid w:val="00630644"/>
    <w:rsid w:val="006335F1"/>
    <w:rsid w:val="006336FD"/>
    <w:rsid w:val="00633B49"/>
    <w:rsid w:val="006345B6"/>
    <w:rsid w:val="006345CD"/>
    <w:rsid w:val="00635616"/>
    <w:rsid w:val="00635712"/>
    <w:rsid w:val="00635984"/>
    <w:rsid w:val="00635F41"/>
    <w:rsid w:val="006368FF"/>
    <w:rsid w:val="00636D95"/>
    <w:rsid w:val="006377D4"/>
    <w:rsid w:val="00640135"/>
    <w:rsid w:val="006402FF"/>
    <w:rsid w:val="0064107F"/>
    <w:rsid w:val="00643372"/>
    <w:rsid w:val="00643D8A"/>
    <w:rsid w:val="00645A5C"/>
    <w:rsid w:val="006460E5"/>
    <w:rsid w:val="00647A78"/>
    <w:rsid w:val="00647AB9"/>
    <w:rsid w:val="00647C4B"/>
    <w:rsid w:val="006504AF"/>
    <w:rsid w:val="00650894"/>
    <w:rsid w:val="0065112B"/>
    <w:rsid w:val="00652091"/>
    <w:rsid w:val="00652229"/>
    <w:rsid w:val="00652793"/>
    <w:rsid w:val="006528DE"/>
    <w:rsid w:val="006541A1"/>
    <w:rsid w:val="00657789"/>
    <w:rsid w:val="00660320"/>
    <w:rsid w:val="0066187E"/>
    <w:rsid w:val="00662375"/>
    <w:rsid w:val="006626CA"/>
    <w:rsid w:val="00663487"/>
    <w:rsid w:val="006701CD"/>
    <w:rsid w:val="00672382"/>
    <w:rsid w:val="006733BB"/>
    <w:rsid w:val="0067607A"/>
    <w:rsid w:val="006763B5"/>
    <w:rsid w:val="00676E80"/>
    <w:rsid w:val="006775C2"/>
    <w:rsid w:val="00681257"/>
    <w:rsid w:val="00681C3E"/>
    <w:rsid w:val="00681D37"/>
    <w:rsid w:val="00682191"/>
    <w:rsid w:val="006822E9"/>
    <w:rsid w:val="00682643"/>
    <w:rsid w:val="00682EB9"/>
    <w:rsid w:val="00682F1E"/>
    <w:rsid w:val="0068378C"/>
    <w:rsid w:val="006839D3"/>
    <w:rsid w:val="0068441A"/>
    <w:rsid w:val="0068699A"/>
    <w:rsid w:val="00690B19"/>
    <w:rsid w:val="00691675"/>
    <w:rsid w:val="006938EE"/>
    <w:rsid w:val="00694195"/>
    <w:rsid w:val="0069650C"/>
    <w:rsid w:val="006A0A3C"/>
    <w:rsid w:val="006A1ED8"/>
    <w:rsid w:val="006A390A"/>
    <w:rsid w:val="006A3D5B"/>
    <w:rsid w:val="006A442A"/>
    <w:rsid w:val="006A59E9"/>
    <w:rsid w:val="006A5AB1"/>
    <w:rsid w:val="006A6F2B"/>
    <w:rsid w:val="006A75B8"/>
    <w:rsid w:val="006A79F0"/>
    <w:rsid w:val="006B048F"/>
    <w:rsid w:val="006B359D"/>
    <w:rsid w:val="006B47EE"/>
    <w:rsid w:val="006B499F"/>
    <w:rsid w:val="006B54C6"/>
    <w:rsid w:val="006B617F"/>
    <w:rsid w:val="006B6BE9"/>
    <w:rsid w:val="006B78E0"/>
    <w:rsid w:val="006C0D0A"/>
    <w:rsid w:val="006C187E"/>
    <w:rsid w:val="006C1FB8"/>
    <w:rsid w:val="006C2BB0"/>
    <w:rsid w:val="006C33BE"/>
    <w:rsid w:val="006C4B3D"/>
    <w:rsid w:val="006C53D0"/>
    <w:rsid w:val="006C5B53"/>
    <w:rsid w:val="006C7E78"/>
    <w:rsid w:val="006D006A"/>
    <w:rsid w:val="006D064D"/>
    <w:rsid w:val="006D098F"/>
    <w:rsid w:val="006D127F"/>
    <w:rsid w:val="006D20E3"/>
    <w:rsid w:val="006D2218"/>
    <w:rsid w:val="006D33E1"/>
    <w:rsid w:val="006D4996"/>
    <w:rsid w:val="006D4D0C"/>
    <w:rsid w:val="006D510B"/>
    <w:rsid w:val="006D535B"/>
    <w:rsid w:val="006D54AB"/>
    <w:rsid w:val="006D58E5"/>
    <w:rsid w:val="006E00F4"/>
    <w:rsid w:val="006E1084"/>
    <w:rsid w:val="006E1097"/>
    <w:rsid w:val="006E10B2"/>
    <w:rsid w:val="006E1A70"/>
    <w:rsid w:val="006E1FA9"/>
    <w:rsid w:val="006E2D24"/>
    <w:rsid w:val="006E3006"/>
    <w:rsid w:val="006E3AFC"/>
    <w:rsid w:val="006E4458"/>
    <w:rsid w:val="006E4F02"/>
    <w:rsid w:val="006E5032"/>
    <w:rsid w:val="006E5BDA"/>
    <w:rsid w:val="006E721E"/>
    <w:rsid w:val="006E7AC9"/>
    <w:rsid w:val="006F0FC7"/>
    <w:rsid w:val="006F200F"/>
    <w:rsid w:val="006F39A9"/>
    <w:rsid w:val="006F3D9D"/>
    <w:rsid w:val="006F524E"/>
    <w:rsid w:val="006F5D57"/>
    <w:rsid w:val="006F643F"/>
    <w:rsid w:val="006F670F"/>
    <w:rsid w:val="006F77F3"/>
    <w:rsid w:val="0070063C"/>
    <w:rsid w:val="00700D69"/>
    <w:rsid w:val="0070243F"/>
    <w:rsid w:val="00702921"/>
    <w:rsid w:val="00703272"/>
    <w:rsid w:val="0070362C"/>
    <w:rsid w:val="00703652"/>
    <w:rsid w:val="00704020"/>
    <w:rsid w:val="00704044"/>
    <w:rsid w:val="00705B35"/>
    <w:rsid w:val="00705BBE"/>
    <w:rsid w:val="00705C62"/>
    <w:rsid w:val="00706C6E"/>
    <w:rsid w:val="0070733C"/>
    <w:rsid w:val="007102D5"/>
    <w:rsid w:val="00710C5D"/>
    <w:rsid w:val="00712C06"/>
    <w:rsid w:val="0071348C"/>
    <w:rsid w:val="00717273"/>
    <w:rsid w:val="00720FD4"/>
    <w:rsid w:val="00721DFD"/>
    <w:rsid w:val="00721EEF"/>
    <w:rsid w:val="00722A02"/>
    <w:rsid w:val="00723A21"/>
    <w:rsid w:val="00723B91"/>
    <w:rsid w:val="00723C6D"/>
    <w:rsid w:val="00724550"/>
    <w:rsid w:val="00724AF2"/>
    <w:rsid w:val="00724E51"/>
    <w:rsid w:val="0072502E"/>
    <w:rsid w:val="00730624"/>
    <w:rsid w:val="0073096C"/>
    <w:rsid w:val="0073100D"/>
    <w:rsid w:val="00731368"/>
    <w:rsid w:val="00733429"/>
    <w:rsid w:val="00733A46"/>
    <w:rsid w:val="00733BB0"/>
    <w:rsid w:val="00735E2D"/>
    <w:rsid w:val="00736F2C"/>
    <w:rsid w:val="007371B2"/>
    <w:rsid w:val="00740F23"/>
    <w:rsid w:val="007419C8"/>
    <w:rsid w:val="00742398"/>
    <w:rsid w:val="007432A9"/>
    <w:rsid w:val="00745C0B"/>
    <w:rsid w:val="00746050"/>
    <w:rsid w:val="00746118"/>
    <w:rsid w:val="00746C7F"/>
    <w:rsid w:val="007507B5"/>
    <w:rsid w:val="0075091D"/>
    <w:rsid w:val="00750EC4"/>
    <w:rsid w:val="00751831"/>
    <w:rsid w:val="0075201B"/>
    <w:rsid w:val="00753A24"/>
    <w:rsid w:val="00754294"/>
    <w:rsid w:val="0075430D"/>
    <w:rsid w:val="00754FF6"/>
    <w:rsid w:val="0075779F"/>
    <w:rsid w:val="00757FC5"/>
    <w:rsid w:val="0076106F"/>
    <w:rsid w:val="00761D97"/>
    <w:rsid w:val="0076354B"/>
    <w:rsid w:val="00764668"/>
    <w:rsid w:val="007658F3"/>
    <w:rsid w:val="00765D0E"/>
    <w:rsid w:val="00765E3B"/>
    <w:rsid w:val="00766EA2"/>
    <w:rsid w:val="00767034"/>
    <w:rsid w:val="00770C51"/>
    <w:rsid w:val="00771FAA"/>
    <w:rsid w:val="00772188"/>
    <w:rsid w:val="0077222A"/>
    <w:rsid w:val="00773909"/>
    <w:rsid w:val="0077433B"/>
    <w:rsid w:val="00774E1E"/>
    <w:rsid w:val="0077544E"/>
    <w:rsid w:val="00776743"/>
    <w:rsid w:val="00776D7F"/>
    <w:rsid w:val="00777F5C"/>
    <w:rsid w:val="007813D0"/>
    <w:rsid w:val="007845AC"/>
    <w:rsid w:val="00785993"/>
    <w:rsid w:val="00785A0D"/>
    <w:rsid w:val="007863BF"/>
    <w:rsid w:val="007866E2"/>
    <w:rsid w:val="00786BA3"/>
    <w:rsid w:val="00790993"/>
    <w:rsid w:val="00791356"/>
    <w:rsid w:val="0079202F"/>
    <w:rsid w:val="0079203E"/>
    <w:rsid w:val="007934C3"/>
    <w:rsid w:val="00793FDA"/>
    <w:rsid w:val="00794903"/>
    <w:rsid w:val="00795486"/>
    <w:rsid w:val="00795AF2"/>
    <w:rsid w:val="00795E4F"/>
    <w:rsid w:val="007A0287"/>
    <w:rsid w:val="007A09FC"/>
    <w:rsid w:val="007A2AAD"/>
    <w:rsid w:val="007A2FB6"/>
    <w:rsid w:val="007A3017"/>
    <w:rsid w:val="007A4432"/>
    <w:rsid w:val="007A59E9"/>
    <w:rsid w:val="007A64E0"/>
    <w:rsid w:val="007A749D"/>
    <w:rsid w:val="007A784E"/>
    <w:rsid w:val="007A7E31"/>
    <w:rsid w:val="007B02A0"/>
    <w:rsid w:val="007B24F3"/>
    <w:rsid w:val="007B278C"/>
    <w:rsid w:val="007B2C2C"/>
    <w:rsid w:val="007B2DAD"/>
    <w:rsid w:val="007B3774"/>
    <w:rsid w:val="007B4939"/>
    <w:rsid w:val="007B499C"/>
    <w:rsid w:val="007B4D4B"/>
    <w:rsid w:val="007B58C6"/>
    <w:rsid w:val="007B5ABE"/>
    <w:rsid w:val="007B76D8"/>
    <w:rsid w:val="007C0646"/>
    <w:rsid w:val="007C0ED6"/>
    <w:rsid w:val="007C1ACD"/>
    <w:rsid w:val="007C1E5E"/>
    <w:rsid w:val="007C1E9D"/>
    <w:rsid w:val="007C3AE3"/>
    <w:rsid w:val="007C6C51"/>
    <w:rsid w:val="007D0000"/>
    <w:rsid w:val="007D2A02"/>
    <w:rsid w:val="007D39AD"/>
    <w:rsid w:val="007D5EA2"/>
    <w:rsid w:val="007D6144"/>
    <w:rsid w:val="007D617A"/>
    <w:rsid w:val="007D62A4"/>
    <w:rsid w:val="007D6CE5"/>
    <w:rsid w:val="007E0917"/>
    <w:rsid w:val="007E136B"/>
    <w:rsid w:val="007E1736"/>
    <w:rsid w:val="007E25DD"/>
    <w:rsid w:val="007E2887"/>
    <w:rsid w:val="007E3318"/>
    <w:rsid w:val="007E64ED"/>
    <w:rsid w:val="007E6EA1"/>
    <w:rsid w:val="007F0F16"/>
    <w:rsid w:val="007F0F63"/>
    <w:rsid w:val="007F2B1E"/>
    <w:rsid w:val="007F4590"/>
    <w:rsid w:val="007F62B4"/>
    <w:rsid w:val="007F7C05"/>
    <w:rsid w:val="007F7DF9"/>
    <w:rsid w:val="0080085A"/>
    <w:rsid w:val="00800FD6"/>
    <w:rsid w:val="00801517"/>
    <w:rsid w:val="008019C0"/>
    <w:rsid w:val="008028AF"/>
    <w:rsid w:val="008028DE"/>
    <w:rsid w:val="00804966"/>
    <w:rsid w:val="0080510A"/>
    <w:rsid w:val="0080596A"/>
    <w:rsid w:val="00805CBF"/>
    <w:rsid w:val="00807195"/>
    <w:rsid w:val="00807CCD"/>
    <w:rsid w:val="00810AC4"/>
    <w:rsid w:val="0081218E"/>
    <w:rsid w:val="0081228B"/>
    <w:rsid w:val="00813492"/>
    <w:rsid w:val="00814DE2"/>
    <w:rsid w:val="00815599"/>
    <w:rsid w:val="00815D34"/>
    <w:rsid w:val="008177EE"/>
    <w:rsid w:val="00817895"/>
    <w:rsid w:val="00817AE8"/>
    <w:rsid w:val="00817DE8"/>
    <w:rsid w:val="008229F5"/>
    <w:rsid w:val="00824293"/>
    <w:rsid w:val="008259DE"/>
    <w:rsid w:val="0082699A"/>
    <w:rsid w:val="00827F2A"/>
    <w:rsid w:val="00832633"/>
    <w:rsid w:val="0083342C"/>
    <w:rsid w:val="00833869"/>
    <w:rsid w:val="00833CEB"/>
    <w:rsid w:val="0083662B"/>
    <w:rsid w:val="008372D2"/>
    <w:rsid w:val="008377BC"/>
    <w:rsid w:val="00841179"/>
    <w:rsid w:val="00841353"/>
    <w:rsid w:val="00844C17"/>
    <w:rsid w:val="008450BB"/>
    <w:rsid w:val="00846017"/>
    <w:rsid w:val="008464F2"/>
    <w:rsid w:val="00847726"/>
    <w:rsid w:val="00850EEC"/>
    <w:rsid w:val="00851033"/>
    <w:rsid w:val="00851A55"/>
    <w:rsid w:val="00851CB1"/>
    <w:rsid w:val="00852511"/>
    <w:rsid w:val="0085252F"/>
    <w:rsid w:val="008530DF"/>
    <w:rsid w:val="00853FD6"/>
    <w:rsid w:val="00855F22"/>
    <w:rsid w:val="00855FD0"/>
    <w:rsid w:val="008564C4"/>
    <w:rsid w:val="0085658E"/>
    <w:rsid w:val="008568E6"/>
    <w:rsid w:val="00857408"/>
    <w:rsid w:val="008578A9"/>
    <w:rsid w:val="00860338"/>
    <w:rsid w:val="0086072A"/>
    <w:rsid w:val="0086088F"/>
    <w:rsid w:val="008614F1"/>
    <w:rsid w:val="008639B3"/>
    <w:rsid w:val="00863C1A"/>
    <w:rsid w:val="00863F9D"/>
    <w:rsid w:val="0086470F"/>
    <w:rsid w:val="00865882"/>
    <w:rsid w:val="00865C64"/>
    <w:rsid w:val="00866CDD"/>
    <w:rsid w:val="0087082E"/>
    <w:rsid w:val="008712FE"/>
    <w:rsid w:val="0087142D"/>
    <w:rsid w:val="00872928"/>
    <w:rsid w:val="00872DA6"/>
    <w:rsid w:val="00873416"/>
    <w:rsid w:val="0087393A"/>
    <w:rsid w:val="00873956"/>
    <w:rsid w:val="0087538C"/>
    <w:rsid w:val="00875495"/>
    <w:rsid w:val="00875A71"/>
    <w:rsid w:val="00875CB0"/>
    <w:rsid w:val="008762E7"/>
    <w:rsid w:val="008770CC"/>
    <w:rsid w:val="00877800"/>
    <w:rsid w:val="00877C32"/>
    <w:rsid w:val="00880580"/>
    <w:rsid w:val="0088094B"/>
    <w:rsid w:val="00880E72"/>
    <w:rsid w:val="0088176E"/>
    <w:rsid w:val="008825EE"/>
    <w:rsid w:val="00882DE4"/>
    <w:rsid w:val="0088313E"/>
    <w:rsid w:val="008849B2"/>
    <w:rsid w:val="0088596E"/>
    <w:rsid w:val="00885D26"/>
    <w:rsid w:val="00886C54"/>
    <w:rsid w:val="008870ED"/>
    <w:rsid w:val="008877FC"/>
    <w:rsid w:val="00892132"/>
    <w:rsid w:val="008947FF"/>
    <w:rsid w:val="0089796A"/>
    <w:rsid w:val="0089799B"/>
    <w:rsid w:val="008979FA"/>
    <w:rsid w:val="008A2375"/>
    <w:rsid w:val="008A54B6"/>
    <w:rsid w:val="008A7DEB"/>
    <w:rsid w:val="008B00CA"/>
    <w:rsid w:val="008B1B65"/>
    <w:rsid w:val="008B2185"/>
    <w:rsid w:val="008B3182"/>
    <w:rsid w:val="008B3557"/>
    <w:rsid w:val="008B39E0"/>
    <w:rsid w:val="008B4302"/>
    <w:rsid w:val="008B605A"/>
    <w:rsid w:val="008B6086"/>
    <w:rsid w:val="008B760D"/>
    <w:rsid w:val="008C093B"/>
    <w:rsid w:val="008C0E76"/>
    <w:rsid w:val="008C2665"/>
    <w:rsid w:val="008C287D"/>
    <w:rsid w:val="008C6041"/>
    <w:rsid w:val="008C74E3"/>
    <w:rsid w:val="008D0936"/>
    <w:rsid w:val="008D2331"/>
    <w:rsid w:val="008D403B"/>
    <w:rsid w:val="008D4707"/>
    <w:rsid w:val="008D6DD7"/>
    <w:rsid w:val="008D764F"/>
    <w:rsid w:val="008D76C5"/>
    <w:rsid w:val="008E0A04"/>
    <w:rsid w:val="008E0AFA"/>
    <w:rsid w:val="008E28BD"/>
    <w:rsid w:val="008E2C6D"/>
    <w:rsid w:val="008E4F56"/>
    <w:rsid w:val="008E6661"/>
    <w:rsid w:val="008E75D3"/>
    <w:rsid w:val="008F02E9"/>
    <w:rsid w:val="008F076A"/>
    <w:rsid w:val="008F0CE4"/>
    <w:rsid w:val="008F125E"/>
    <w:rsid w:val="008F1CC5"/>
    <w:rsid w:val="008F2444"/>
    <w:rsid w:val="008F2B54"/>
    <w:rsid w:val="008F2CC5"/>
    <w:rsid w:val="008F4C1E"/>
    <w:rsid w:val="008F4D2F"/>
    <w:rsid w:val="008F510A"/>
    <w:rsid w:val="008F55A2"/>
    <w:rsid w:val="00900235"/>
    <w:rsid w:val="00900D3C"/>
    <w:rsid w:val="00904FAA"/>
    <w:rsid w:val="00906292"/>
    <w:rsid w:val="0091352F"/>
    <w:rsid w:val="00914B5B"/>
    <w:rsid w:val="009152B8"/>
    <w:rsid w:val="00917162"/>
    <w:rsid w:val="009172B9"/>
    <w:rsid w:val="009178AA"/>
    <w:rsid w:val="00920430"/>
    <w:rsid w:val="00920544"/>
    <w:rsid w:val="00921C0C"/>
    <w:rsid w:val="00923001"/>
    <w:rsid w:val="0092358D"/>
    <w:rsid w:val="009238BF"/>
    <w:rsid w:val="009251CC"/>
    <w:rsid w:val="0092680D"/>
    <w:rsid w:val="0092714E"/>
    <w:rsid w:val="00927661"/>
    <w:rsid w:val="00931E24"/>
    <w:rsid w:val="009324F0"/>
    <w:rsid w:val="00933130"/>
    <w:rsid w:val="0093478F"/>
    <w:rsid w:val="00936826"/>
    <w:rsid w:val="00940B3D"/>
    <w:rsid w:val="00942002"/>
    <w:rsid w:val="00942359"/>
    <w:rsid w:val="00944AD5"/>
    <w:rsid w:val="0094623A"/>
    <w:rsid w:val="00946FC5"/>
    <w:rsid w:val="00947885"/>
    <w:rsid w:val="009504AB"/>
    <w:rsid w:val="00951212"/>
    <w:rsid w:val="00951818"/>
    <w:rsid w:val="00952168"/>
    <w:rsid w:val="009527FE"/>
    <w:rsid w:val="009529B2"/>
    <w:rsid w:val="009535A6"/>
    <w:rsid w:val="009538D0"/>
    <w:rsid w:val="0095421F"/>
    <w:rsid w:val="009555CA"/>
    <w:rsid w:val="00955D69"/>
    <w:rsid w:val="00957D2C"/>
    <w:rsid w:val="00957ED8"/>
    <w:rsid w:val="00960319"/>
    <w:rsid w:val="00960539"/>
    <w:rsid w:val="009605B1"/>
    <w:rsid w:val="00960CBC"/>
    <w:rsid w:val="009621CE"/>
    <w:rsid w:val="00962591"/>
    <w:rsid w:val="00962AD4"/>
    <w:rsid w:val="00963A06"/>
    <w:rsid w:val="00965192"/>
    <w:rsid w:val="00967DD4"/>
    <w:rsid w:val="009700B1"/>
    <w:rsid w:val="00970ECF"/>
    <w:rsid w:val="00971261"/>
    <w:rsid w:val="00971FD4"/>
    <w:rsid w:val="009722CB"/>
    <w:rsid w:val="009739A0"/>
    <w:rsid w:val="00974EE4"/>
    <w:rsid w:val="00974F84"/>
    <w:rsid w:val="00975D5B"/>
    <w:rsid w:val="00976216"/>
    <w:rsid w:val="009767C7"/>
    <w:rsid w:val="00977D30"/>
    <w:rsid w:val="00980E69"/>
    <w:rsid w:val="0098334C"/>
    <w:rsid w:val="00984643"/>
    <w:rsid w:val="0098576C"/>
    <w:rsid w:val="0098579A"/>
    <w:rsid w:val="00991475"/>
    <w:rsid w:val="009918DD"/>
    <w:rsid w:val="0099195A"/>
    <w:rsid w:val="00991BD2"/>
    <w:rsid w:val="00992407"/>
    <w:rsid w:val="00992A11"/>
    <w:rsid w:val="00994681"/>
    <w:rsid w:val="0099486A"/>
    <w:rsid w:val="00994EFB"/>
    <w:rsid w:val="009954D8"/>
    <w:rsid w:val="00997239"/>
    <w:rsid w:val="009A0B33"/>
    <w:rsid w:val="009A0E26"/>
    <w:rsid w:val="009A16EC"/>
    <w:rsid w:val="009A22C2"/>
    <w:rsid w:val="009A743E"/>
    <w:rsid w:val="009A79B8"/>
    <w:rsid w:val="009A7CF6"/>
    <w:rsid w:val="009A7F82"/>
    <w:rsid w:val="009B10F6"/>
    <w:rsid w:val="009B11ED"/>
    <w:rsid w:val="009B1B55"/>
    <w:rsid w:val="009B29B7"/>
    <w:rsid w:val="009B2D03"/>
    <w:rsid w:val="009B3199"/>
    <w:rsid w:val="009B3B37"/>
    <w:rsid w:val="009B63F4"/>
    <w:rsid w:val="009B7D1F"/>
    <w:rsid w:val="009C088E"/>
    <w:rsid w:val="009C17DC"/>
    <w:rsid w:val="009C292D"/>
    <w:rsid w:val="009C37AB"/>
    <w:rsid w:val="009C4C7A"/>
    <w:rsid w:val="009C4D35"/>
    <w:rsid w:val="009C5E51"/>
    <w:rsid w:val="009C6158"/>
    <w:rsid w:val="009C75A2"/>
    <w:rsid w:val="009C7B68"/>
    <w:rsid w:val="009D1522"/>
    <w:rsid w:val="009D51F0"/>
    <w:rsid w:val="009D61DC"/>
    <w:rsid w:val="009D7252"/>
    <w:rsid w:val="009D7652"/>
    <w:rsid w:val="009E1FF6"/>
    <w:rsid w:val="009E3CAF"/>
    <w:rsid w:val="009E3E5E"/>
    <w:rsid w:val="009E3F48"/>
    <w:rsid w:val="009E53A5"/>
    <w:rsid w:val="009E5EB4"/>
    <w:rsid w:val="009E7B37"/>
    <w:rsid w:val="009E7BCC"/>
    <w:rsid w:val="009F4451"/>
    <w:rsid w:val="009F563C"/>
    <w:rsid w:val="009F610E"/>
    <w:rsid w:val="00A00DA9"/>
    <w:rsid w:val="00A00F7E"/>
    <w:rsid w:val="00A044D6"/>
    <w:rsid w:val="00A04ADB"/>
    <w:rsid w:val="00A04D8F"/>
    <w:rsid w:val="00A04F89"/>
    <w:rsid w:val="00A05F11"/>
    <w:rsid w:val="00A11E0F"/>
    <w:rsid w:val="00A12378"/>
    <w:rsid w:val="00A12BF7"/>
    <w:rsid w:val="00A141E9"/>
    <w:rsid w:val="00A148CB"/>
    <w:rsid w:val="00A15B6B"/>
    <w:rsid w:val="00A15D78"/>
    <w:rsid w:val="00A15EBE"/>
    <w:rsid w:val="00A17F5B"/>
    <w:rsid w:val="00A216E5"/>
    <w:rsid w:val="00A24617"/>
    <w:rsid w:val="00A25165"/>
    <w:rsid w:val="00A25F5B"/>
    <w:rsid w:val="00A26744"/>
    <w:rsid w:val="00A26CB6"/>
    <w:rsid w:val="00A27073"/>
    <w:rsid w:val="00A2751B"/>
    <w:rsid w:val="00A30A00"/>
    <w:rsid w:val="00A316D9"/>
    <w:rsid w:val="00A32F82"/>
    <w:rsid w:val="00A32F8B"/>
    <w:rsid w:val="00A34F9F"/>
    <w:rsid w:val="00A36481"/>
    <w:rsid w:val="00A36675"/>
    <w:rsid w:val="00A3756F"/>
    <w:rsid w:val="00A37BF5"/>
    <w:rsid w:val="00A42D6F"/>
    <w:rsid w:val="00A43870"/>
    <w:rsid w:val="00A4474B"/>
    <w:rsid w:val="00A45A62"/>
    <w:rsid w:val="00A462DC"/>
    <w:rsid w:val="00A4657C"/>
    <w:rsid w:val="00A51DB8"/>
    <w:rsid w:val="00A52E0B"/>
    <w:rsid w:val="00A52FA1"/>
    <w:rsid w:val="00A540B0"/>
    <w:rsid w:val="00A54AC5"/>
    <w:rsid w:val="00A54C2A"/>
    <w:rsid w:val="00A54D12"/>
    <w:rsid w:val="00A55DC3"/>
    <w:rsid w:val="00A56D41"/>
    <w:rsid w:val="00A56DEC"/>
    <w:rsid w:val="00A60529"/>
    <w:rsid w:val="00A60899"/>
    <w:rsid w:val="00A608D3"/>
    <w:rsid w:val="00A60F91"/>
    <w:rsid w:val="00A61353"/>
    <w:rsid w:val="00A61481"/>
    <w:rsid w:val="00A616F1"/>
    <w:rsid w:val="00A61A48"/>
    <w:rsid w:val="00A629D6"/>
    <w:rsid w:val="00A63035"/>
    <w:rsid w:val="00A637C9"/>
    <w:rsid w:val="00A66DB1"/>
    <w:rsid w:val="00A67A92"/>
    <w:rsid w:val="00A70DC6"/>
    <w:rsid w:val="00A7315C"/>
    <w:rsid w:val="00A7420B"/>
    <w:rsid w:val="00A743B1"/>
    <w:rsid w:val="00A74FDC"/>
    <w:rsid w:val="00A77192"/>
    <w:rsid w:val="00A8089F"/>
    <w:rsid w:val="00A811D8"/>
    <w:rsid w:val="00A81C0A"/>
    <w:rsid w:val="00A820BE"/>
    <w:rsid w:val="00A842D5"/>
    <w:rsid w:val="00A87870"/>
    <w:rsid w:val="00A903F3"/>
    <w:rsid w:val="00A90F18"/>
    <w:rsid w:val="00A90FFB"/>
    <w:rsid w:val="00A9149D"/>
    <w:rsid w:val="00A91A70"/>
    <w:rsid w:val="00A92FCD"/>
    <w:rsid w:val="00A9302F"/>
    <w:rsid w:val="00A957F6"/>
    <w:rsid w:val="00A959CF"/>
    <w:rsid w:val="00A9635E"/>
    <w:rsid w:val="00A963F3"/>
    <w:rsid w:val="00A97316"/>
    <w:rsid w:val="00A97BD8"/>
    <w:rsid w:val="00AA010B"/>
    <w:rsid w:val="00AA0D54"/>
    <w:rsid w:val="00AA1B85"/>
    <w:rsid w:val="00AA3290"/>
    <w:rsid w:val="00AA46F0"/>
    <w:rsid w:val="00AA6481"/>
    <w:rsid w:val="00AA7270"/>
    <w:rsid w:val="00AB08B8"/>
    <w:rsid w:val="00AB0C08"/>
    <w:rsid w:val="00AB12AC"/>
    <w:rsid w:val="00AB1CB6"/>
    <w:rsid w:val="00AB1D9A"/>
    <w:rsid w:val="00AB4A1F"/>
    <w:rsid w:val="00AB5C61"/>
    <w:rsid w:val="00AB7EAC"/>
    <w:rsid w:val="00AC02F8"/>
    <w:rsid w:val="00AC22DB"/>
    <w:rsid w:val="00AC304D"/>
    <w:rsid w:val="00AC3204"/>
    <w:rsid w:val="00AC3540"/>
    <w:rsid w:val="00AC3D15"/>
    <w:rsid w:val="00AC5055"/>
    <w:rsid w:val="00AC5315"/>
    <w:rsid w:val="00AC7623"/>
    <w:rsid w:val="00AC7D60"/>
    <w:rsid w:val="00AD0A8D"/>
    <w:rsid w:val="00AD0C22"/>
    <w:rsid w:val="00AD1AD7"/>
    <w:rsid w:val="00AD1AE2"/>
    <w:rsid w:val="00AD3290"/>
    <w:rsid w:val="00AD442C"/>
    <w:rsid w:val="00AD44FE"/>
    <w:rsid w:val="00AD5A37"/>
    <w:rsid w:val="00AD6B50"/>
    <w:rsid w:val="00AE05A4"/>
    <w:rsid w:val="00AE177E"/>
    <w:rsid w:val="00AE25FC"/>
    <w:rsid w:val="00AE380A"/>
    <w:rsid w:val="00AE400C"/>
    <w:rsid w:val="00AE49F1"/>
    <w:rsid w:val="00AE4A1C"/>
    <w:rsid w:val="00AE4B7A"/>
    <w:rsid w:val="00AE5532"/>
    <w:rsid w:val="00AE58C4"/>
    <w:rsid w:val="00AE6F84"/>
    <w:rsid w:val="00AE74D8"/>
    <w:rsid w:val="00AF0B6F"/>
    <w:rsid w:val="00AF0F75"/>
    <w:rsid w:val="00AF1D69"/>
    <w:rsid w:val="00AF23A8"/>
    <w:rsid w:val="00AF30D0"/>
    <w:rsid w:val="00AF41FA"/>
    <w:rsid w:val="00AF4720"/>
    <w:rsid w:val="00AF4796"/>
    <w:rsid w:val="00AF71EB"/>
    <w:rsid w:val="00AF73E4"/>
    <w:rsid w:val="00B00988"/>
    <w:rsid w:val="00B01405"/>
    <w:rsid w:val="00B027BA"/>
    <w:rsid w:val="00B052E8"/>
    <w:rsid w:val="00B05CCA"/>
    <w:rsid w:val="00B05ECC"/>
    <w:rsid w:val="00B06DC3"/>
    <w:rsid w:val="00B07F73"/>
    <w:rsid w:val="00B100C9"/>
    <w:rsid w:val="00B11099"/>
    <w:rsid w:val="00B1114C"/>
    <w:rsid w:val="00B116B7"/>
    <w:rsid w:val="00B14271"/>
    <w:rsid w:val="00B16270"/>
    <w:rsid w:val="00B20182"/>
    <w:rsid w:val="00B20E4B"/>
    <w:rsid w:val="00B22578"/>
    <w:rsid w:val="00B2292F"/>
    <w:rsid w:val="00B23C16"/>
    <w:rsid w:val="00B23C52"/>
    <w:rsid w:val="00B24E86"/>
    <w:rsid w:val="00B259E1"/>
    <w:rsid w:val="00B2685D"/>
    <w:rsid w:val="00B26D1E"/>
    <w:rsid w:val="00B26EE8"/>
    <w:rsid w:val="00B30351"/>
    <w:rsid w:val="00B312F1"/>
    <w:rsid w:val="00B33837"/>
    <w:rsid w:val="00B33C2A"/>
    <w:rsid w:val="00B349F7"/>
    <w:rsid w:val="00B34A14"/>
    <w:rsid w:val="00B35967"/>
    <w:rsid w:val="00B35CBA"/>
    <w:rsid w:val="00B363D9"/>
    <w:rsid w:val="00B416D1"/>
    <w:rsid w:val="00B422EC"/>
    <w:rsid w:val="00B44875"/>
    <w:rsid w:val="00B44C07"/>
    <w:rsid w:val="00B46320"/>
    <w:rsid w:val="00B4657A"/>
    <w:rsid w:val="00B47F0A"/>
    <w:rsid w:val="00B50B6B"/>
    <w:rsid w:val="00B51D75"/>
    <w:rsid w:val="00B54329"/>
    <w:rsid w:val="00B54885"/>
    <w:rsid w:val="00B54BFF"/>
    <w:rsid w:val="00B554C9"/>
    <w:rsid w:val="00B56AD9"/>
    <w:rsid w:val="00B5714F"/>
    <w:rsid w:val="00B57158"/>
    <w:rsid w:val="00B5778D"/>
    <w:rsid w:val="00B60827"/>
    <w:rsid w:val="00B61117"/>
    <w:rsid w:val="00B614C0"/>
    <w:rsid w:val="00B61EBB"/>
    <w:rsid w:val="00B634AB"/>
    <w:rsid w:val="00B63624"/>
    <w:rsid w:val="00B671E3"/>
    <w:rsid w:val="00B7037B"/>
    <w:rsid w:val="00B719F6"/>
    <w:rsid w:val="00B726D4"/>
    <w:rsid w:val="00B72969"/>
    <w:rsid w:val="00B73A2D"/>
    <w:rsid w:val="00B758FD"/>
    <w:rsid w:val="00B76807"/>
    <w:rsid w:val="00B769E6"/>
    <w:rsid w:val="00B77D24"/>
    <w:rsid w:val="00B8214F"/>
    <w:rsid w:val="00B82B43"/>
    <w:rsid w:val="00B82B48"/>
    <w:rsid w:val="00B84956"/>
    <w:rsid w:val="00B84F2C"/>
    <w:rsid w:val="00B85133"/>
    <w:rsid w:val="00B8643A"/>
    <w:rsid w:val="00B86A4F"/>
    <w:rsid w:val="00B873D9"/>
    <w:rsid w:val="00B91786"/>
    <w:rsid w:val="00B93035"/>
    <w:rsid w:val="00B93D17"/>
    <w:rsid w:val="00B940EB"/>
    <w:rsid w:val="00B9431C"/>
    <w:rsid w:val="00B95798"/>
    <w:rsid w:val="00B958E8"/>
    <w:rsid w:val="00B97E4A"/>
    <w:rsid w:val="00BA09B2"/>
    <w:rsid w:val="00BA0F35"/>
    <w:rsid w:val="00BA397D"/>
    <w:rsid w:val="00BA465D"/>
    <w:rsid w:val="00BA52C0"/>
    <w:rsid w:val="00BA5B46"/>
    <w:rsid w:val="00BA621C"/>
    <w:rsid w:val="00BA63D4"/>
    <w:rsid w:val="00BB2D73"/>
    <w:rsid w:val="00BB400D"/>
    <w:rsid w:val="00BB45BA"/>
    <w:rsid w:val="00BB48B2"/>
    <w:rsid w:val="00BB4A3A"/>
    <w:rsid w:val="00BB5D0B"/>
    <w:rsid w:val="00BB629C"/>
    <w:rsid w:val="00BC0995"/>
    <w:rsid w:val="00BC1761"/>
    <w:rsid w:val="00BC19ED"/>
    <w:rsid w:val="00BC25A8"/>
    <w:rsid w:val="00BC513A"/>
    <w:rsid w:val="00BC585F"/>
    <w:rsid w:val="00BC6C56"/>
    <w:rsid w:val="00BC6DE2"/>
    <w:rsid w:val="00BC6E62"/>
    <w:rsid w:val="00BC782A"/>
    <w:rsid w:val="00BD010D"/>
    <w:rsid w:val="00BD013A"/>
    <w:rsid w:val="00BD2510"/>
    <w:rsid w:val="00BD3A53"/>
    <w:rsid w:val="00BD4640"/>
    <w:rsid w:val="00BD4ECD"/>
    <w:rsid w:val="00BD5A19"/>
    <w:rsid w:val="00BD6539"/>
    <w:rsid w:val="00BD656A"/>
    <w:rsid w:val="00BD6D1B"/>
    <w:rsid w:val="00BE2403"/>
    <w:rsid w:val="00BE2D0A"/>
    <w:rsid w:val="00BE47D4"/>
    <w:rsid w:val="00BE536C"/>
    <w:rsid w:val="00BE66DB"/>
    <w:rsid w:val="00BE793A"/>
    <w:rsid w:val="00BE7A0B"/>
    <w:rsid w:val="00BF114D"/>
    <w:rsid w:val="00BF1B93"/>
    <w:rsid w:val="00BF2B82"/>
    <w:rsid w:val="00BF2CEB"/>
    <w:rsid w:val="00BF432A"/>
    <w:rsid w:val="00BF66DA"/>
    <w:rsid w:val="00BF6E82"/>
    <w:rsid w:val="00C016CC"/>
    <w:rsid w:val="00C0361D"/>
    <w:rsid w:val="00C041A4"/>
    <w:rsid w:val="00C060C7"/>
    <w:rsid w:val="00C06DCC"/>
    <w:rsid w:val="00C07F92"/>
    <w:rsid w:val="00C10EA4"/>
    <w:rsid w:val="00C111D8"/>
    <w:rsid w:val="00C11D25"/>
    <w:rsid w:val="00C13217"/>
    <w:rsid w:val="00C15BEC"/>
    <w:rsid w:val="00C15DB5"/>
    <w:rsid w:val="00C208E2"/>
    <w:rsid w:val="00C213CF"/>
    <w:rsid w:val="00C21874"/>
    <w:rsid w:val="00C21897"/>
    <w:rsid w:val="00C2288E"/>
    <w:rsid w:val="00C22B54"/>
    <w:rsid w:val="00C22CEA"/>
    <w:rsid w:val="00C22F1F"/>
    <w:rsid w:val="00C24279"/>
    <w:rsid w:val="00C249E3"/>
    <w:rsid w:val="00C24C17"/>
    <w:rsid w:val="00C27C4A"/>
    <w:rsid w:val="00C31595"/>
    <w:rsid w:val="00C31B25"/>
    <w:rsid w:val="00C3309D"/>
    <w:rsid w:val="00C3411D"/>
    <w:rsid w:val="00C34357"/>
    <w:rsid w:val="00C34829"/>
    <w:rsid w:val="00C363B8"/>
    <w:rsid w:val="00C3758F"/>
    <w:rsid w:val="00C40B88"/>
    <w:rsid w:val="00C43DDD"/>
    <w:rsid w:val="00C44489"/>
    <w:rsid w:val="00C44FC2"/>
    <w:rsid w:val="00C47D87"/>
    <w:rsid w:val="00C47FCD"/>
    <w:rsid w:val="00C50FA6"/>
    <w:rsid w:val="00C51DE1"/>
    <w:rsid w:val="00C53430"/>
    <w:rsid w:val="00C5376E"/>
    <w:rsid w:val="00C549AA"/>
    <w:rsid w:val="00C554C1"/>
    <w:rsid w:val="00C558F2"/>
    <w:rsid w:val="00C55AEE"/>
    <w:rsid w:val="00C5701B"/>
    <w:rsid w:val="00C6069A"/>
    <w:rsid w:val="00C61501"/>
    <w:rsid w:val="00C61BDC"/>
    <w:rsid w:val="00C64D40"/>
    <w:rsid w:val="00C65957"/>
    <w:rsid w:val="00C66065"/>
    <w:rsid w:val="00C66218"/>
    <w:rsid w:val="00C677C9"/>
    <w:rsid w:val="00C70B76"/>
    <w:rsid w:val="00C70DBC"/>
    <w:rsid w:val="00C70FB7"/>
    <w:rsid w:val="00C71E80"/>
    <w:rsid w:val="00C75DCE"/>
    <w:rsid w:val="00C76008"/>
    <w:rsid w:val="00C7750A"/>
    <w:rsid w:val="00C808A6"/>
    <w:rsid w:val="00C83BA4"/>
    <w:rsid w:val="00C84AC6"/>
    <w:rsid w:val="00C855DB"/>
    <w:rsid w:val="00C855F3"/>
    <w:rsid w:val="00C86270"/>
    <w:rsid w:val="00C87338"/>
    <w:rsid w:val="00C90C20"/>
    <w:rsid w:val="00C9109C"/>
    <w:rsid w:val="00C9362C"/>
    <w:rsid w:val="00C948CF"/>
    <w:rsid w:val="00C95798"/>
    <w:rsid w:val="00C95A74"/>
    <w:rsid w:val="00C962BE"/>
    <w:rsid w:val="00C96FD6"/>
    <w:rsid w:val="00C97091"/>
    <w:rsid w:val="00C97260"/>
    <w:rsid w:val="00C97391"/>
    <w:rsid w:val="00CA14A5"/>
    <w:rsid w:val="00CA14DA"/>
    <w:rsid w:val="00CA1AB8"/>
    <w:rsid w:val="00CA2001"/>
    <w:rsid w:val="00CA2B10"/>
    <w:rsid w:val="00CA3F11"/>
    <w:rsid w:val="00CA5256"/>
    <w:rsid w:val="00CA5564"/>
    <w:rsid w:val="00CB078E"/>
    <w:rsid w:val="00CB3782"/>
    <w:rsid w:val="00CB4D20"/>
    <w:rsid w:val="00CB5B6C"/>
    <w:rsid w:val="00CB60EF"/>
    <w:rsid w:val="00CB74E3"/>
    <w:rsid w:val="00CC052E"/>
    <w:rsid w:val="00CC06E5"/>
    <w:rsid w:val="00CC0B14"/>
    <w:rsid w:val="00CC5B9C"/>
    <w:rsid w:val="00CC7C09"/>
    <w:rsid w:val="00CD02DF"/>
    <w:rsid w:val="00CD10A5"/>
    <w:rsid w:val="00CD16BE"/>
    <w:rsid w:val="00CD179F"/>
    <w:rsid w:val="00CD1F32"/>
    <w:rsid w:val="00CD223C"/>
    <w:rsid w:val="00CD2268"/>
    <w:rsid w:val="00CD4616"/>
    <w:rsid w:val="00CD50DC"/>
    <w:rsid w:val="00CD56AF"/>
    <w:rsid w:val="00CD5FFA"/>
    <w:rsid w:val="00CD608B"/>
    <w:rsid w:val="00CD61BB"/>
    <w:rsid w:val="00CE32F0"/>
    <w:rsid w:val="00CE33D5"/>
    <w:rsid w:val="00CE4712"/>
    <w:rsid w:val="00CE6073"/>
    <w:rsid w:val="00CE761C"/>
    <w:rsid w:val="00CF2B65"/>
    <w:rsid w:val="00CF5D37"/>
    <w:rsid w:val="00CF6353"/>
    <w:rsid w:val="00CF6F33"/>
    <w:rsid w:val="00D014F1"/>
    <w:rsid w:val="00D02248"/>
    <w:rsid w:val="00D04429"/>
    <w:rsid w:val="00D04B47"/>
    <w:rsid w:val="00D04E37"/>
    <w:rsid w:val="00D063B8"/>
    <w:rsid w:val="00D06825"/>
    <w:rsid w:val="00D0702E"/>
    <w:rsid w:val="00D07467"/>
    <w:rsid w:val="00D076E6"/>
    <w:rsid w:val="00D1044F"/>
    <w:rsid w:val="00D106BD"/>
    <w:rsid w:val="00D14E64"/>
    <w:rsid w:val="00D17185"/>
    <w:rsid w:val="00D17852"/>
    <w:rsid w:val="00D17D02"/>
    <w:rsid w:val="00D17E3B"/>
    <w:rsid w:val="00D22A9A"/>
    <w:rsid w:val="00D2306F"/>
    <w:rsid w:val="00D23C09"/>
    <w:rsid w:val="00D23CED"/>
    <w:rsid w:val="00D241D1"/>
    <w:rsid w:val="00D24BD2"/>
    <w:rsid w:val="00D24F2C"/>
    <w:rsid w:val="00D254F7"/>
    <w:rsid w:val="00D2573D"/>
    <w:rsid w:val="00D260A2"/>
    <w:rsid w:val="00D27EC0"/>
    <w:rsid w:val="00D30CC6"/>
    <w:rsid w:val="00D30DA4"/>
    <w:rsid w:val="00D31722"/>
    <w:rsid w:val="00D3260C"/>
    <w:rsid w:val="00D3391A"/>
    <w:rsid w:val="00D33DB5"/>
    <w:rsid w:val="00D34995"/>
    <w:rsid w:val="00D35379"/>
    <w:rsid w:val="00D35790"/>
    <w:rsid w:val="00D359FC"/>
    <w:rsid w:val="00D41276"/>
    <w:rsid w:val="00D41971"/>
    <w:rsid w:val="00D442D5"/>
    <w:rsid w:val="00D45043"/>
    <w:rsid w:val="00D46CCF"/>
    <w:rsid w:val="00D51576"/>
    <w:rsid w:val="00D519AF"/>
    <w:rsid w:val="00D532A9"/>
    <w:rsid w:val="00D5437A"/>
    <w:rsid w:val="00D5475B"/>
    <w:rsid w:val="00D5611E"/>
    <w:rsid w:val="00D5653B"/>
    <w:rsid w:val="00D56C30"/>
    <w:rsid w:val="00D5726D"/>
    <w:rsid w:val="00D572AC"/>
    <w:rsid w:val="00D6071F"/>
    <w:rsid w:val="00D6087E"/>
    <w:rsid w:val="00D61D6E"/>
    <w:rsid w:val="00D62580"/>
    <w:rsid w:val="00D62EF1"/>
    <w:rsid w:val="00D6309D"/>
    <w:rsid w:val="00D644CA"/>
    <w:rsid w:val="00D64961"/>
    <w:rsid w:val="00D64EA0"/>
    <w:rsid w:val="00D66FC2"/>
    <w:rsid w:val="00D7044E"/>
    <w:rsid w:val="00D704A8"/>
    <w:rsid w:val="00D76C7E"/>
    <w:rsid w:val="00D771DE"/>
    <w:rsid w:val="00D7776D"/>
    <w:rsid w:val="00D77ADC"/>
    <w:rsid w:val="00D81AEF"/>
    <w:rsid w:val="00D82A42"/>
    <w:rsid w:val="00D834F1"/>
    <w:rsid w:val="00D83609"/>
    <w:rsid w:val="00D83AA6"/>
    <w:rsid w:val="00D85C0D"/>
    <w:rsid w:val="00D866CB"/>
    <w:rsid w:val="00D86909"/>
    <w:rsid w:val="00D87A9A"/>
    <w:rsid w:val="00D87E39"/>
    <w:rsid w:val="00D90625"/>
    <w:rsid w:val="00D909F8"/>
    <w:rsid w:val="00D9152C"/>
    <w:rsid w:val="00D92179"/>
    <w:rsid w:val="00D922C6"/>
    <w:rsid w:val="00D9293F"/>
    <w:rsid w:val="00D92C6A"/>
    <w:rsid w:val="00D92DE7"/>
    <w:rsid w:val="00D93598"/>
    <w:rsid w:val="00D93B82"/>
    <w:rsid w:val="00D93FDD"/>
    <w:rsid w:val="00D94253"/>
    <w:rsid w:val="00D942F8"/>
    <w:rsid w:val="00D96FA9"/>
    <w:rsid w:val="00D97A5B"/>
    <w:rsid w:val="00D97AF7"/>
    <w:rsid w:val="00D97D9B"/>
    <w:rsid w:val="00DA1E18"/>
    <w:rsid w:val="00DA2009"/>
    <w:rsid w:val="00DA366C"/>
    <w:rsid w:val="00DA3F5E"/>
    <w:rsid w:val="00DA4152"/>
    <w:rsid w:val="00DA585A"/>
    <w:rsid w:val="00DA6DF7"/>
    <w:rsid w:val="00DA7741"/>
    <w:rsid w:val="00DA7769"/>
    <w:rsid w:val="00DA7945"/>
    <w:rsid w:val="00DB01C3"/>
    <w:rsid w:val="00DB05B1"/>
    <w:rsid w:val="00DB2594"/>
    <w:rsid w:val="00DB2823"/>
    <w:rsid w:val="00DB2D74"/>
    <w:rsid w:val="00DB3786"/>
    <w:rsid w:val="00DB59E8"/>
    <w:rsid w:val="00DB5A79"/>
    <w:rsid w:val="00DB638B"/>
    <w:rsid w:val="00DC2465"/>
    <w:rsid w:val="00DC34C4"/>
    <w:rsid w:val="00DC3878"/>
    <w:rsid w:val="00DC4BCA"/>
    <w:rsid w:val="00DC5E2C"/>
    <w:rsid w:val="00DC7D48"/>
    <w:rsid w:val="00DD0253"/>
    <w:rsid w:val="00DD145A"/>
    <w:rsid w:val="00DD362F"/>
    <w:rsid w:val="00DD512E"/>
    <w:rsid w:val="00DD5EC8"/>
    <w:rsid w:val="00DD5FF5"/>
    <w:rsid w:val="00DD61D4"/>
    <w:rsid w:val="00DD7BEC"/>
    <w:rsid w:val="00DE083E"/>
    <w:rsid w:val="00DE0A63"/>
    <w:rsid w:val="00DE0C22"/>
    <w:rsid w:val="00DE1177"/>
    <w:rsid w:val="00DE2CEA"/>
    <w:rsid w:val="00DE3CFE"/>
    <w:rsid w:val="00DE4DB3"/>
    <w:rsid w:val="00DE4F86"/>
    <w:rsid w:val="00DE5576"/>
    <w:rsid w:val="00DE567C"/>
    <w:rsid w:val="00DE6154"/>
    <w:rsid w:val="00DE634D"/>
    <w:rsid w:val="00DE6A3C"/>
    <w:rsid w:val="00DE74F4"/>
    <w:rsid w:val="00DE7C8B"/>
    <w:rsid w:val="00DE7F97"/>
    <w:rsid w:val="00DF0AAF"/>
    <w:rsid w:val="00DF1010"/>
    <w:rsid w:val="00DF2244"/>
    <w:rsid w:val="00DF334D"/>
    <w:rsid w:val="00DF53D9"/>
    <w:rsid w:val="00DF5AEA"/>
    <w:rsid w:val="00DF5D49"/>
    <w:rsid w:val="00DF63F6"/>
    <w:rsid w:val="00DF7992"/>
    <w:rsid w:val="00DF7BD0"/>
    <w:rsid w:val="00E00C8E"/>
    <w:rsid w:val="00E0219D"/>
    <w:rsid w:val="00E0276A"/>
    <w:rsid w:val="00E0374B"/>
    <w:rsid w:val="00E0392F"/>
    <w:rsid w:val="00E0632F"/>
    <w:rsid w:val="00E06C36"/>
    <w:rsid w:val="00E071A9"/>
    <w:rsid w:val="00E07D26"/>
    <w:rsid w:val="00E10047"/>
    <w:rsid w:val="00E10B28"/>
    <w:rsid w:val="00E117FD"/>
    <w:rsid w:val="00E13747"/>
    <w:rsid w:val="00E14758"/>
    <w:rsid w:val="00E16BDE"/>
    <w:rsid w:val="00E21088"/>
    <w:rsid w:val="00E21F5D"/>
    <w:rsid w:val="00E22B1C"/>
    <w:rsid w:val="00E23C5E"/>
    <w:rsid w:val="00E23E29"/>
    <w:rsid w:val="00E24632"/>
    <w:rsid w:val="00E24A05"/>
    <w:rsid w:val="00E25155"/>
    <w:rsid w:val="00E25AEA"/>
    <w:rsid w:val="00E27C2C"/>
    <w:rsid w:val="00E30D26"/>
    <w:rsid w:val="00E30DEF"/>
    <w:rsid w:val="00E30ED2"/>
    <w:rsid w:val="00E31276"/>
    <w:rsid w:val="00E3155D"/>
    <w:rsid w:val="00E32102"/>
    <w:rsid w:val="00E34666"/>
    <w:rsid w:val="00E349A2"/>
    <w:rsid w:val="00E36A66"/>
    <w:rsid w:val="00E37F70"/>
    <w:rsid w:val="00E41377"/>
    <w:rsid w:val="00E413B0"/>
    <w:rsid w:val="00E41985"/>
    <w:rsid w:val="00E42B89"/>
    <w:rsid w:val="00E430B8"/>
    <w:rsid w:val="00E446C1"/>
    <w:rsid w:val="00E46BCD"/>
    <w:rsid w:val="00E51CCC"/>
    <w:rsid w:val="00E52079"/>
    <w:rsid w:val="00E52FC7"/>
    <w:rsid w:val="00E54383"/>
    <w:rsid w:val="00E545D7"/>
    <w:rsid w:val="00E547FE"/>
    <w:rsid w:val="00E54960"/>
    <w:rsid w:val="00E55447"/>
    <w:rsid w:val="00E55927"/>
    <w:rsid w:val="00E5636F"/>
    <w:rsid w:val="00E5669C"/>
    <w:rsid w:val="00E570D4"/>
    <w:rsid w:val="00E57483"/>
    <w:rsid w:val="00E60ECA"/>
    <w:rsid w:val="00E613AB"/>
    <w:rsid w:val="00E637B6"/>
    <w:rsid w:val="00E6487C"/>
    <w:rsid w:val="00E654A9"/>
    <w:rsid w:val="00E658DC"/>
    <w:rsid w:val="00E663B6"/>
    <w:rsid w:val="00E66B13"/>
    <w:rsid w:val="00E66BBE"/>
    <w:rsid w:val="00E6780D"/>
    <w:rsid w:val="00E71DFE"/>
    <w:rsid w:val="00E728D3"/>
    <w:rsid w:val="00E72BDE"/>
    <w:rsid w:val="00E73083"/>
    <w:rsid w:val="00E758B9"/>
    <w:rsid w:val="00E76025"/>
    <w:rsid w:val="00E76B45"/>
    <w:rsid w:val="00E77C00"/>
    <w:rsid w:val="00E810D3"/>
    <w:rsid w:val="00E812A3"/>
    <w:rsid w:val="00E82FE5"/>
    <w:rsid w:val="00E83724"/>
    <w:rsid w:val="00E83A6D"/>
    <w:rsid w:val="00E84236"/>
    <w:rsid w:val="00E84C02"/>
    <w:rsid w:val="00E85569"/>
    <w:rsid w:val="00E856AF"/>
    <w:rsid w:val="00E859D9"/>
    <w:rsid w:val="00E8607C"/>
    <w:rsid w:val="00E86B83"/>
    <w:rsid w:val="00E86D6E"/>
    <w:rsid w:val="00E878FB"/>
    <w:rsid w:val="00E87976"/>
    <w:rsid w:val="00E87C64"/>
    <w:rsid w:val="00E912E1"/>
    <w:rsid w:val="00E919C3"/>
    <w:rsid w:val="00E92278"/>
    <w:rsid w:val="00E93A01"/>
    <w:rsid w:val="00E93F8E"/>
    <w:rsid w:val="00E93FF8"/>
    <w:rsid w:val="00E948D8"/>
    <w:rsid w:val="00E94EB6"/>
    <w:rsid w:val="00E94F16"/>
    <w:rsid w:val="00E950CA"/>
    <w:rsid w:val="00E95CA8"/>
    <w:rsid w:val="00E96643"/>
    <w:rsid w:val="00E96CE0"/>
    <w:rsid w:val="00E96EAF"/>
    <w:rsid w:val="00E97448"/>
    <w:rsid w:val="00EA044C"/>
    <w:rsid w:val="00EA1752"/>
    <w:rsid w:val="00EA1911"/>
    <w:rsid w:val="00EA1D90"/>
    <w:rsid w:val="00EA371E"/>
    <w:rsid w:val="00EA539B"/>
    <w:rsid w:val="00EA5996"/>
    <w:rsid w:val="00EA5A89"/>
    <w:rsid w:val="00EA5BDB"/>
    <w:rsid w:val="00EA63FA"/>
    <w:rsid w:val="00EA7720"/>
    <w:rsid w:val="00EB0A73"/>
    <w:rsid w:val="00EB0B55"/>
    <w:rsid w:val="00EB254F"/>
    <w:rsid w:val="00EB3A98"/>
    <w:rsid w:val="00EB46D9"/>
    <w:rsid w:val="00EB6EF6"/>
    <w:rsid w:val="00EC0199"/>
    <w:rsid w:val="00EC0E64"/>
    <w:rsid w:val="00EC142D"/>
    <w:rsid w:val="00EC1E16"/>
    <w:rsid w:val="00EC2DD1"/>
    <w:rsid w:val="00EC4A19"/>
    <w:rsid w:val="00EC4BA5"/>
    <w:rsid w:val="00EC52DA"/>
    <w:rsid w:val="00EC6F28"/>
    <w:rsid w:val="00EC7220"/>
    <w:rsid w:val="00ED0024"/>
    <w:rsid w:val="00ED0EA0"/>
    <w:rsid w:val="00ED0F85"/>
    <w:rsid w:val="00ED1B01"/>
    <w:rsid w:val="00ED2B5C"/>
    <w:rsid w:val="00ED3269"/>
    <w:rsid w:val="00ED3A18"/>
    <w:rsid w:val="00ED3AB7"/>
    <w:rsid w:val="00ED3C57"/>
    <w:rsid w:val="00EE1A8C"/>
    <w:rsid w:val="00EE3FED"/>
    <w:rsid w:val="00EE4643"/>
    <w:rsid w:val="00EE529F"/>
    <w:rsid w:val="00EE65B6"/>
    <w:rsid w:val="00EE7C86"/>
    <w:rsid w:val="00EF1330"/>
    <w:rsid w:val="00EF15FF"/>
    <w:rsid w:val="00EF2D80"/>
    <w:rsid w:val="00EF31D8"/>
    <w:rsid w:val="00EF55E6"/>
    <w:rsid w:val="00EF5707"/>
    <w:rsid w:val="00EF588D"/>
    <w:rsid w:val="00EF66B1"/>
    <w:rsid w:val="00EF67D3"/>
    <w:rsid w:val="00EF6F1F"/>
    <w:rsid w:val="00EF70EC"/>
    <w:rsid w:val="00EF7111"/>
    <w:rsid w:val="00EF7833"/>
    <w:rsid w:val="00EF7D1A"/>
    <w:rsid w:val="00F02350"/>
    <w:rsid w:val="00F02759"/>
    <w:rsid w:val="00F03B49"/>
    <w:rsid w:val="00F0448F"/>
    <w:rsid w:val="00F0716C"/>
    <w:rsid w:val="00F105AE"/>
    <w:rsid w:val="00F108A8"/>
    <w:rsid w:val="00F131E4"/>
    <w:rsid w:val="00F13319"/>
    <w:rsid w:val="00F14353"/>
    <w:rsid w:val="00F1567C"/>
    <w:rsid w:val="00F1628B"/>
    <w:rsid w:val="00F16990"/>
    <w:rsid w:val="00F22E81"/>
    <w:rsid w:val="00F250ED"/>
    <w:rsid w:val="00F26F5F"/>
    <w:rsid w:val="00F270E9"/>
    <w:rsid w:val="00F27440"/>
    <w:rsid w:val="00F275C0"/>
    <w:rsid w:val="00F3011D"/>
    <w:rsid w:val="00F30443"/>
    <w:rsid w:val="00F3048B"/>
    <w:rsid w:val="00F3141E"/>
    <w:rsid w:val="00F317B5"/>
    <w:rsid w:val="00F33348"/>
    <w:rsid w:val="00F346B6"/>
    <w:rsid w:val="00F34AB1"/>
    <w:rsid w:val="00F36145"/>
    <w:rsid w:val="00F36227"/>
    <w:rsid w:val="00F37BDD"/>
    <w:rsid w:val="00F40716"/>
    <w:rsid w:val="00F41503"/>
    <w:rsid w:val="00F417D4"/>
    <w:rsid w:val="00F41D5C"/>
    <w:rsid w:val="00F432CF"/>
    <w:rsid w:val="00F437FD"/>
    <w:rsid w:val="00F43B69"/>
    <w:rsid w:val="00F4479A"/>
    <w:rsid w:val="00F44D82"/>
    <w:rsid w:val="00F45589"/>
    <w:rsid w:val="00F460F3"/>
    <w:rsid w:val="00F46207"/>
    <w:rsid w:val="00F466C8"/>
    <w:rsid w:val="00F46706"/>
    <w:rsid w:val="00F469A9"/>
    <w:rsid w:val="00F46B50"/>
    <w:rsid w:val="00F47C20"/>
    <w:rsid w:val="00F50B46"/>
    <w:rsid w:val="00F50D1F"/>
    <w:rsid w:val="00F51545"/>
    <w:rsid w:val="00F521DE"/>
    <w:rsid w:val="00F52654"/>
    <w:rsid w:val="00F541D4"/>
    <w:rsid w:val="00F553CE"/>
    <w:rsid w:val="00F55BA8"/>
    <w:rsid w:val="00F56043"/>
    <w:rsid w:val="00F5664E"/>
    <w:rsid w:val="00F56BD8"/>
    <w:rsid w:val="00F56E86"/>
    <w:rsid w:val="00F56FA9"/>
    <w:rsid w:val="00F6171A"/>
    <w:rsid w:val="00F619BA"/>
    <w:rsid w:val="00F62306"/>
    <w:rsid w:val="00F6351F"/>
    <w:rsid w:val="00F635FC"/>
    <w:rsid w:val="00F63D03"/>
    <w:rsid w:val="00F64EFA"/>
    <w:rsid w:val="00F657E0"/>
    <w:rsid w:val="00F658A1"/>
    <w:rsid w:val="00F65E2F"/>
    <w:rsid w:val="00F67385"/>
    <w:rsid w:val="00F67DF1"/>
    <w:rsid w:val="00F7054E"/>
    <w:rsid w:val="00F70E9F"/>
    <w:rsid w:val="00F7137C"/>
    <w:rsid w:val="00F72A09"/>
    <w:rsid w:val="00F74E67"/>
    <w:rsid w:val="00F76734"/>
    <w:rsid w:val="00F76814"/>
    <w:rsid w:val="00F77A5F"/>
    <w:rsid w:val="00F8309B"/>
    <w:rsid w:val="00F833C9"/>
    <w:rsid w:val="00F836C8"/>
    <w:rsid w:val="00F85198"/>
    <w:rsid w:val="00F90064"/>
    <w:rsid w:val="00F90BF7"/>
    <w:rsid w:val="00F94217"/>
    <w:rsid w:val="00F95666"/>
    <w:rsid w:val="00F9586C"/>
    <w:rsid w:val="00F96AFD"/>
    <w:rsid w:val="00F96F4C"/>
    <w:rsid w:val="00FA07F4"/>
    <w:rsid w:val="00FA1398"/>
    <w:rsid w:val="00FA1515"/>
    <w:rsid w:val="00FA2053"/>
    <w:rsid w:val="00FA237D"/>
    <w:rsid w:val="00FA2E19"/>
    <w:rsid w:val="00FA397B"/>
    <w:rsid w:val="00FA3BE7"/>
    <w:rsid w:val="00FA4373"/>
    <w:rsid w:val="00FA4BA0"/>
    <w:rsid w:val="00FA697F"/>
    <w:rsid w:val="00FA6F4C"/>
    <w:rsid w:val="00FA7354"/>
    <w:rsid w:val="00FB0147"/>
    <w:rsid w:val="00FB0C8D"/>
    <w:rsid w:val="00FB0F92"/>
    <w:rsid w:val="00FB2FB3"/>
    <w:rsid w:val="00FB3846"/>
    <w:rsid w:val="00FB398A"/>
    <w:rsid w:val="00FB413E"/>
    <w:rsid w:val="00FB4BF5"/>
    <w:rsid w:val="00FB5059"/>
    <w:rsid w:val="00FB5521"/>
    <w:rsid w:val="00FB610D"/>
    <w:rsid w:val="00FB626E"/>
    <w:rsid w:val="00FB6CA8"/>
    <w:rsid w:val="00FC1E4C"/>
    <w:rsid w:val="00FC4477"/>
    <w:rsid w:val="00FC46FB"/>
    <w:rsid w:val="00FC4DD1"/>
    <w:rsid w:val="00FC55FD"/>
    <w:rsid w:val="00FC7B66"/>
    <w:rsid w:val="00FD0D94"/>
    <w:rsid w:val="00FD106C"/>
    <w:rsid w:val="00FD1E33"/>
    <w:rsid w:val="00FD2BD3"/>
    <w:rsid w:val="00FD2DE3"/>
    <w:rsid w:val="00FD3DEF"/>
    <w:rsid w:val="00FD4CCA"/>
    <w:rsid w:val="00FD58B1"/>
    <w:rsid w:val="00FE00EA"/>
    <w:rsid w:val="00FE04BA"/>
    <w:rsid w:val="00FE234B"/>
    <w:rsid w:val="00FE2A9E"/>
    <w:rsid w:val="00FE34B3"/>
    <w:rsid w:val="00FE46B7"/>
    <w:rsid w:val="00FE4CEC"/>
    <w:rsid w:val="00FE683A"/>
    <w:rsid w:val="00FF0420"/>
    <w:rsid w:val="00FF41B8"/>
    <w:rsid w:val="00FF47C1"/>
    <w:rsid w:val="00FF4F5A"/>
    <w:rsid w:val="00FF5237"/>
    <w:rsid w:val="00FF5629"/>
    <w:rsid w:val="00FF5B79"/>
    <w:rsid w:val="00FF689D"/>
    <w:rsid w:val="02D10842"/>
    <w:rsid w:val="06763376"/>
    <w:rsid w:val="06D79157"/>
    <w:rsid w:val="09566154"/>
    <w:rsid w:val="0AA419A2"/>
    <w:rsid w:val="0BF7005F"/>
    <w:rsid w:val="0DD79F36"/>
    <w:rsid w:val="10D77542"/>
    <w:rsid w:val="11E43BAB"/>
    <w:rsid w:val="121534C5"/>
    <w:rsid w:val="161E678D"/>
    <w:rsid w:val="19090967"/>
    <w:rsid w:val="1B3C24C5"/>
    <w:rsid w:val="206770AC"/>
    <w:rsid w:val="210B7837"/>
    <w:rsid w:val="21E111C9"/>
    <w:rsid w:val="23166AD4"/>
    <w:rsid w:val="23B4E6BE"/>
    <w:rsid w:val="24F18C83"/>
    <w:rsid w:val="25653D02"/>
    <w:rsid w:val="27AA7305"/>
    <w:rsid w:val="3310C0BE"/>
    <w:rsid w:val="34033A51"/>
    <w:rsid w:val="340D366E"/>
    <w:rsid w:val="38EF0D05"/>
    <w:rsid w:val="39903417"/>
    <w:rsid w:val="3999711F"/>
    <w:rsid w:val="39A07357"/>
    <w:rsid w:val="3A5974EF"/>
    <w:rsid w:val="3F561F90"/>
    <w:rsid w:val="42088138"/>
    <w:rsid w:val="43DB5D75"/>
    <w:rsid w:val="48BC0DF2"/>
    <w:rsid w:val="511D528A"/>
    <w:rsid w:val="583828D7"/>
    <w:rsid w:val="588ADAF6"/>
    <w:rsid w:val="59F36EBC"/>
    <w:rsid w:val="5CE173DD"/>
    <w:rsid w:val="66EB6E8A"/>
    <w:rsid w:val="670F2E1F"/>
    <w:rsid w:val="681010A3"/>
    <w:rsid w:val="69981A89"/>
    <w:rsid w:val="6A9B0AC1"/>
    <w:rsid w:val="738D266E"/>
    <w:rsid w:val="7629CDD5"/>
    <w:rsid w:val="772E53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F42090"/>
  <w15:docId w15:val="{696809CE-7D69-4695-9FDA-37D4B9F9C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宋体" w:hAnsi="Segoe UI"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unhideWhenUsed="1" w:qFormat="1"/>
    <w:lsdException w:name="annotation text" w:qFormat="1"/>
    <w:lsdException w:name="header" w:qFormat="1"/>
    <w:lsdException w:name="footer" w:uiPriority="99" w:qFormat="1"/>
    <w:lsdException w:name="caption" w:semiHidden="1" w:unhideWhenUsed="1" w:qFormat="1"/>
    <w:lsdException w:name="footnote reference" w:uiPriority="99" w:unhideWhenUsed="1" w:qFormat="1"/>
    <w:lsdException w:name="annotation reference"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Preformatted" w:semiHidden="1" w:unhideWhenUsed="1"/>
    <w:lsdException w:name="HTML Samp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76" w:lineRule="auto"/>
      <w:jc w:val="both"/>
    </w:pPr>
    <w:rPr>
      <w:sz w:val="22"/>
      <w:szCs w:val="24"/>
      <w:lang w:eastAsia="en-US"/>
    </w:rPr>
  </w:style>
  <w:style w:type="paragraph" w:styleId="Heading1">
    <w:name w:val="heading 1"/>
    <w:basedOn w:val="Normal"/>
    <w:next w:val="Normal"/>
    <w:link w:val="Heading1Char"/>
    <w:uiPriority w:val="99"/>
    <w:qFormat/>
    <w:pPr>
      <w:keepNext/>
      <w:spacing w:line="420" w:lineRule="atLeast"/>
      <w:outlineLvl w:val="0"/>
    </w:pPr>
    <w:rPr>
      <w:rFonts w:cs="Arial"/>
      <w:b/>
      <w:bCs/>
      <w:kern w:val="32"/>
      <w:sz w:val="36"/>
      <w:szCs w:val="32"/>
    </w:rPr>
  </w:style>
  <w:style w:type="paragraph" w:styleId="Heading2">
    <w:name w:val="heading 2"/>
    <w:basedOn w:val="Normal"/>
    <w:next w:val="Normal"/>
    <w:qFormat/>
    <w:pPr>
      <w:keepNext/>
      <w:outlineLvl w:val="1"/>
    </w:pPr>
    <w:rPr>
      <w:rFonts w:cs="Arial"/>
      <w:bCs/>
      <w:iCs/>
      <w:color w:val="E1000F"/>
      <w:szCs w:val="28"/>
    </w:rPr>
  </w:style>
  <w:style w:type="paragraph" w:styleId="Heading3">
    <w:name w:val="heading 3"/>
    <w:basedOn w:val="Heading2"/>
    <w:next w:val="Normal"/>
    <w:qFormat/>
    <w:pPr>
      <w:outlineLvl w:val="2"/>
    </w:pPr>
    <w:rPr>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spacing w:line="260" w:lineRule="atLeast"/>
      <w:jc w:val="left"/>
    </w:pPr>
    <w:rPr>
      <w:rFonts w:ascii="Arial" w:hAnsi="Arial"/>
      <w:sz w:val="20"/>
      <w:szCs w:val="20"/>
      <w:lang w:val="de-DE"/>
    </w:rPr>
  </w:style>
  <w:style w:type="paragraph" w:styleId="BalloonText">
    <w:name w:val="Balloon Text"/>
    <w:basedOn w:val="Normal"/>
    <w:link w:val="BalloonTextChar"/>
    <w:pPr>
      <w:spacing w:line="240" w:lineRule="auto"/>
    </w:pPr>
    <w:rPr>
      <w:sz w:val="18"/>
      <w:szCs w:val="18"/>
    </w:rPr>
  </w:style>
  <w:style w:type="paragraph" w:styleId="Footer">
    <w:name w:val="footer"/>
    <w:basedOn w:val="Normal"/>
    <w:link w:val="FooterChar"/>
    <w:uiPriority w:val="99"/>
    <w:qFormat/>
    <w:pPr>
      <w:tabs>
        <w:tab w:val="right" w:pos="7083"/>
        <w:tab w:val="right" w:pos="8640"/>
      </w:tabs>
      <w:spacing w:line="180" w:lineRule="atLeast"/>
      <w:jc w:val="right"/>
    </w:pPr>
    <w:rPr>
      <w:bCs/>
      <w:sz w:val="12"/>
    </w:rPr>
  </w:style>
  <w:style w:type="paragraph" w:styleId="Header">
    <w:name w:val="header"/>
    <w:basedOn w:val="Normal"/>
    <w:qFormat/>
    <w:pPr>
      <w:tabs>
        <w:tab w:val="left" w:pos="2607"/>
        <w:tab w:val="center" w:pos="4320"/>
        <w:tab w:val="right" w:pos="9356"/>
      </w:tabs>
      <w:spacing w:before="1440" w:line="100" w:lineRule="atLeast"/>
      <w:jc w:val="right"/>
    </w:pPr>
    <w:rPr>
      <w:rFonts w:cs="Segoe UI"/>
      <w:b/>
      <w:bCs/>
      <w:color w:val="3E3C3C"/>
      <w:sz w:val="40"/>
      <w:szCs w:val="40"/>
    </w:rPr>
  </w:style>
  <w:style w:type="paragraph" w:styleId="FootnoteText">
    <w:name w:val="footnote text"/>
    <w:basedOn w:val="Normal"/>
    <w:link w:val="FootnoteTextChar"/>
    <w:uiPriority w:val="99"/>
    <w:unhideWhenUsed/>
    <w:qFormat/>
    <w:pPr>
      <w:spacing w:line="240" w:lineRule="auto"/>
      <w:jc w:val="left"/>
    </w:pPr>
    <w:rPr>
      <w:rFonts w:eastAsiaTheme="minorHAnsi" w:cstheme="minorBidi"/>
      <w:szCs w:val="20"/>
      <w:lang w:val="de-DE"/>
    </w:rPr>
  </w:style>
  <w:style w:type="paragraph" w:styleId="NormalWeb">
    <w:name w:val="Normal (Web)"/>
    <w:basedOn w:val="Normal"/>
    <w:uiPriority w:val="99"/>
    <w:unhideWhenUsed/>
    <w:qFormat/>
    <w:pPr>
      <w:spacing w:before="100" w:beforeAutospacing="1" w:after="100" w:afterAutospacing="1" w:line="240" w:lineRule="auto"/>
      <w:jc w:val="left"/>
    </w:pPr>
    <w:rPr>
      <w:rFonts w:ascii="Times New Roman" w:hAnsi="Times New Roman"/>
      <w:sz w:val="24"/>
      <w:lang w:val="de-DE" w:eastAsia="de-DE"/>
    </w:rPr>
  </w:style>
  <w:style w:type="paragraph" w:styleId="CommentSubject">
    <w:name w:val="annotation subject"/>
    <w:basedOn w:val="CommentText"/>
    <w:next w:val="CommentText"/>
    <w:link w:val="CommentSubjectChar"/>
    <w:qFormat/>
    <w:pPr>
      <w:spacing w:line="240" w:lineRule="auto"/>
      <w:jc w:val="both"/>
    </w:pPr>
    <w:rPr>
      <w:rFonts w:ascii="Segoe UI" w:hAnsi="Segoe UI"/>
      <w:b/>
      <w:bCs/>
      <w:lang w:val="en-US"/>
    </w:rPr>
  </w:style>
  <w:style w:type="table" w:styleId="TableGrid">
    <w:name w:val="Table Grid"/>
    <w:basedOn w:val="TableNormal"/>
    <w:qFormat/>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qFormat/>
    <w:rPr>
      <w:rFonts w:ascii="Segoe UI" w:hAnsi="Segoe UI"/>
      <w:color w:val="0000FF"/>
      <w:sz w:val="18"/>
      <w:szCs w:val="18"/>
      <w:u w:val="single"/>
    </w:rPr>
  </w:style>
  <w:style w:type="character" w:styleId="CommentReference">
    <w:name w:val="annotation reference"/>
    <w:qFormat/>
    <w:rPr>
      <w:sz w:val="16"/>
      <w:szCs w:val="16"/>
    </w:rPr>
  </w:style>
  <w:style w:type="character" w:styleId="FootnoteReference">
    <w:name w:val="footnote reference"/>
    <w:basedOn w:val="DefaultParagraphFont"/>
    <w:uiPriority w:val="99"/>
    <w:unhideWhenUsed/>
    <w:qFormat/>
    <w:rPr>
      <w:vertAlign w:val="superscript"/>
    </w:rPr>
  </w:style>
  <w:style w:type="paragraph" w:customStyle="1" w:styleId="Intro">
    <w:name w:val="Intro"/>
    <w:basedOn w:val="Normal"/>
    <w:qFormat/>
    <w:pPr>
      <w:spacing w:after="300"/>
    </w:pPr>
    <w:rPr>
      <w:color w:val="415055"/>
      <w:sz w:val="24"/>
    </w:rPr>
  </w:style>
  <w:style w:type="paragraph" w:customStyle="1" w:styleId="NumBullet">
    <w:name w:val="Num_Bullet"/>
    <w:basedOn w:val="Normal"/>
    <w:qFormat/>
    <w:pPr>
      <w:numPr>
        <w:numId w:val="1"/>
      </w:numPr>
      <w:tabs>
        <w:tab w:val="clear" w:pos="567"/>
        <w:tab w:val="left" w:pos="357"/>
      </w:tabs>
      <w:ind w:left="357" w:hanging="357"/>
    </w:pPr>
  </w:style>
  <w:style w:type="paragraph" w:customStyle="1" w:styleId="Page1Name">
    <w:name w:val="Page1_Name"/>
    <w:basedOn w:val="Normal"/>
    <w:qFormat/>
    <w:pPr>
      <w:spacing w:after="420" w:line="360" w:lineRule="atLeast"/>
    </w:pPr>
    <w:rPr>
      <w:b/>
      <w:sz w:val="30"/>
    </w:rPr>
  </w:style>
  <w:style w:type="paragraph" w:customStyle="1" w:styleId="Page1Title">
    <w:name w:val="Page1_Title"/>
    <w:basedOn w:val="Normal"/>
    <w:qFormat/>
    <w:pPr>
      <w:spacing w:line="228" w:lineRule="auto"/>
    </w:pPr>
    <w:rPr>
      <w:color w:val="E1000F"/>
      <w:sz w:val="90"/>
    </w:rPr>
  </w:style>
  <w:style w:type="paragraph" w:customStyle="1" w:styleId="Page1Author">
    <w:name w:val="Page1_Author"/>
    <w:basedOn w:val="Page1Name"/>
    <w:qFormat/>
    <w:pPr>
      <w:spacing w:before="240" w:after="0"/>
    </w:pPr>
    <w:rPr>
      <w:b w:val="0"/>
      <w:bCs/>
    </w:rPr>
  </w:style>
  <w:style w:type="paragraph" w:customStyle="1" w:styleId="Info">
    <w:name w:val="Info"/>
    <w:basedOn w:val="Normal"/>
    <w:link w:val="InfoZchn"/>
    <w:qFormat/>
    <w:pPr>
      <w:spacing w:line="240" w:lineRule="atLeast"/>
    </w:pPr>
    <w:rPr>
      <w:sz w:val="13"/>
    </w:rPr>
  </w:style>
  <w:style w:type="character" w:customStyle="1" w:styleId="InfoZchn">
    <w:name w:val="Info Zchn"/>
    <w:link w:val="Info"/>
    <w:qFormat/>
    <w:rPr>
      <w:rFonts w:ascii="Arial" w:hAnsi="Arial"/>
      <w:sz w:val="13"/>
      <w:szCs w:val="24"/>
      <w:lang w:val="de-DE" w:eastAsia="en-US" w:bidi="ar-SA"/>
    </w:rPr>
  </w:style>
  <w:style w:type="paragraph" w:customStyle="1" w:styleId="Standard12pt">
    <w:name w:val="Standard_12pt"/>
    <w:basedOn w:val="Normal"/>
    <w:qFormat/>
    <w:pPr>
      <w:spacing w:line="300" w:lineRule="atLeast"/>
    </w:pPr>
    <w:rPr>
      <w:sz w:val="24"/>
    </w:rPr>
  </w:style>
  <w:style w:type="character" w:customStyle="1" w:styleId="Heading1Char">
    <w:name w:val="Heading 1 Char"/>
    <w:link w:val="Heading1"/>
    <w:uiPriority w:val="99"/>
    <w:qFormat/>
    <w:locked/>
    <w:rPr>
      <w:rFonts w:ascii="Arial" w:hAnsi="Arial" w:cs="Arial"/>
      <w:b/>
      <w:bCs/>
      <w:kern w:val="32"/>
      <w:sz w:val="36"/>
      <w:szCs w:val="32"/>
      <w:lang w:val="de-DE"/>
    </w:rPr>
  </w:style>
  <w:style w:type="paragraph" w:customStyle="1" w:styleId="MittleresRaster1-Akzent21">
    <w:name w:val="Mittleres Raster 1 - Akzent 21"/>
    <w:basedOn w:val="Normal"/>
    <w:uiPriority w:val="34"/>
    <w:qFormat/>
    <w:pPr>
      <w:ind w:left="720"/>
    </w:pPr>
  </w:style>
  <w:style w:type="character" w:customStyle="1" w:styleId="BalloonTextChar">
    <w:name w:val="Balloon Text Char"/>
    <w:link w:val="BalloonText"/>
    <w:qFormat/>
    <w:rPr>
      <w:rFonts w:ascii="Segoe UI" w:hAnsi="Segoe UI"/>
      <w:sz w:val="18"/>
      <w:szCs w:val="18"/>
      <w:lang w:val="de-DE"/>
    </w:rPr>
  </w:style>
  <w:style w:type="paragraph" w:customStyle="1" w:styleId="MittlereListe2-Akzent21">
    <w:name w:val="Mittlere Liste 2 - Akzent 21"/>
    <w:hidden/>
    <w:uiPriority w:val="99"/>
    <w:semiHidden/>
    <w:qFormat/>
    <w:rPr>
      <w:rFonts w:ascii="Arial" w:hAnsi="Arial"/>
      <w:sz w:val="18"/>
      <w:szCs w:val="24"/>
      <w:lang w:val="de-DE" w:eastAsia="en-US"/>
    </w:rPr>
  </w:style>
  <w:style w:type="character" w:customStyle="1" w:styleId="FooterChar">
    <w:name w:val="Footer Char"/>
    <w:link w:val="Footer"/>
    <w:uiPriority w:val="99"/>
    <w:qFormat/>
    <w:rPr>
      <w:rFonts w:ascii="Segoe UI" w:hAnsi="Segoe UI"/>
      <w:bCs/>
      <w:sz w:val="12"/>
      <w:szCs w:val="24"/>
      <w:lang w:val="de-DE"/>
    </w:rPr>
  </w:style>
  <w:style w:type="character" w:customStyle="1" w:styleId="1">
    <w:name w:val="未处理的提及1"/>
    <w:uiPriority w:val="99"/>
    <w:semiHidden/>
    <w:unhideWhenUsed/>
    <w:qFormat/>
    <w:rPr>
      <w:color w:val="605E5C"/>
      <w:shd w:val="clear" w:color="auto" w:fill="E1DFDD"/>
    </w:rPr>
  </w:style>
  <w:style w:type="paragraph" w:customStyle="1" w:styleId="Style12ptJustifiedLinespacing15lines">
    <w:name w:val="Style 12 pt Justified Line spacing:  1.5 lines"/>
    <w:basedOn w:val="Normal"/>
    <w:qFormat/>
    <w:rPr>
      <w:szCs w:val="20"/>
    </w:rPr>
  </w:style>
  <w:style w:type="paragraph" w:customStyle="1" w:styleId="Style12ptJustifiedLinespacing15lines1">
    <w:name w:val="Style 12 pt Justified Line spacing:  1.5 lines1"/>
    <w:basedOn w:val="Normal"/>
    <w:qFormat/>
    <w:pPr>
      <w:spacing w:before="120"/>
    </w:pPr>
    <w:rPr>
      <w:szCs w:val="20"/>
    </w:rPr>
  </w:style>
  <w:style w:type="character" w:customStyle="1" w:styleId="Headline">
    <w:name w:val="Headline"/>
    <w:basedOn w:val="DefaultParagraphFont"/>
    <w:qFormat/>
    <w:rPr>
      <w:b/>
      <w:bCs/>
      <w:sz w:val="32"/>
    </w:rPr>
  </w:style>
  <w:style w:type="paragraph" w:customStyle="1" w:styleId="MonthDayYear">
    <w:name w:val="Month Day Year"/>
    <w:basedOn w:val="Normal"/>
    <w:qFormat/>
    <w:pPr>
      <w:spacing w:before="120"/>
      <w:ind w:right="-1"/>
      <w:jc w:val="right"/>
    </w:pPr>
    <w:rPr>
      <w:szCs w:val="20"/>
    </w:rPr>
  </w:style>
  <w:style w:type="paragraph" w:customStyle="1" w:styleId="Topline">
    <w:name w:val="Topline"/>
    <w:basedOn w:val="Normal"/>
    <w:qFormat/>
    <w:pPr>
      <w:spacing w:before="560" w:after="560"/>
    </w:pPr>
    <w:rPr>
      <w:rFonts w:cs="Segoe UI"/>
      <w:szCs w:val="22"/>
    </w:rPr>
  </w:style>
  <w:style w:type="character" w:customStyle="1" w:styleId="AboutandContactBody">
    <w:name w:val="About and Contact Body"/>
    <w:basedOn w:val="DefaultParagraphFont"/>
    <w:qFormat/>
    <w:rPr>
      <w:rFonts w:ascii="Segoe UI" w:hAnsi="Segoe UI"/>
      <w:sz w:val="18"/>
    </w:rPr>
  </w:style>
  <w:style w:type="character" w:customStyle="1" w:styleId="AboutandContactHeadline">
    <w:name w:val="About and Contact Headline"/>
    <w:basedOn w:val="DefaultParagraphFont"/>
    <w:qFormat/>
    <w:rPr>
      <w:rFonts w:ascii="Segoe UI" w:hAnsi="Segoe UI"/>
      <w:b/>
      <w:bCs/>
      <w:sz w:val="18"/>
    </w:rPr>
  </w:style>
  <w:style w:type="paragraph" w:styleId="ListParagraph">
    <w:name w:val="List Paragraph"/>
    <w:basedOn w:val="Normal"/>
    <w:uiPriority w:val="1"/>
    <w:qFormat/>
    <w:pPr>
      <w:ind w:left="720"/>
      <w:contextualSpacing/>
    </w:pPr>
  </w:style>
  <w:style w:type="character" w:customStyle="1" w:styleId="CommentTextChar">
    <w:name w:val="Comment Text Char"/>
    <w:basedOn w:val="DefaultParagraphFont"/>
    <w:link w:val="CommentText"/>
    <w:qFormat/>
    <w:rPr>
      <w:rFonts w:ascii="Arial" w:hAnsi="Arial"/>
      <w:sz w:val="20"/>
      <w:szCs w:val="20"/>
      <w:lang w:val="de-DE"/>
    </w:rPr>
  </w:style>
  <w:style w:type="character" w:customStyle="1" w:styleId="CommentSubjectChar">
    <w:name w:val="Comment Subject Char"/>
    <w:basedOn w:val="CommentTextChar"/>
    <w:link w:val="CommentSubject"/>
    <w:qFormat/>
    <w:rPr>
      <w:rFonts w:ascii="Arial" w:hAnsi="Arial"/>
      <w:b/>
      <w:bCs/>
      <w:sz w:val="20"/>
      <w:szCs w:val="20"/>
      <w:lang w:val="de-DE"/>
    </w:rPr>
  </w:style>
  <w:style w:type="paragraph" w:customStyle="1" w:styleId="10">
    <w:name w:val="修订1"/>
    <w:hidden/>
    <w:uiPriority w:val="62"/>
    <w:unhideWhenUsed/>
    <w:qFormat/>
    <w:rPr>
      <w:sz w:val="22"/>
      <w:szCs w:val="24"/>
      <w:lang w:eastAsia="en-US"/>
    </w:rPr>
  </w:style>
  <w:style w:type="paragraph" w:customStyle="1" w:styleId="He04Funote">
    <w:name w:val="_He_04_Fußnote"/>
    <w:next w:val="Normal"/>
    <w:qFormat/>
    <w:pPr>
      <w:tabs>
        <w:tab w:val="left" w:pos="85"/>
      </w:tabs>
      <w:spacing w:line="256" w:lineRule="auto"/>
      <w:ind w:left="85" w:hanging="85"/>
    </w:pPr>
    <w:rPr>
      <w:rFonts w:eastAsiaTheme="minorHAnsi" w:cstheme="minorBidi"/>
      <w:sz w:val="15"/>
      <w:szCs w:val="22"/>
      <w:lang w:val="de-DE" w:eastAsia="en-US"/>
      <w14:numForm w14:val="lining"/>
    </w:rPr>
  </w:style>
  <w:style w:type="paragraph" w:customStyle="1" w:styleId="He05Fett">
    <w:name w:val="_He_05_Fett"/>
    <w:next w:val="Normal"/>
    <w:link w:val="He05FettZchn"/>
    <w:qFormat/>
    <w:pPr>
      <w:spacing w:after="160" w:line="259" w:lineRule="auto"/>
    </w:pPr>
    <w:rPr>
      <w:rFonts w:eastAsiaTheme="minorHAnsi" w:cstheme="minorBidi"/>
      <w:b/>
      <w:sz w:val="18"/>
      <w:szCs w:val="22"/>
      <w:lang w:val="de-DE" w:eastAsia="en-US"/>
    </w:rPr>
  </w:style>
  <w:style w:type="character" w:customStyle="1" w:styleId="He05FettZchn">
    <w:name w:val="_He_05_Fett Zchn"/>
    <w:basedOn w:val="DefaultParagraphFont"/>
    <w:link w:val="He05Fett"/>
    <w:qFormat/>
    <w:rPr>
      <w:rFonts w:eastAsiaTheme="minorHAnsi" w:cstheme="minorBidi"/>
      <w:b/>
      <w:szCs w:val="22"/>
      <w:lang w:val="de-DE"/>
    </w:rPr>
  </w:style>
  <w:style w:type="paragraph" w:customStyle="1" w:styleId="He01Flietext">
    <w:name w:val="_He_01_Fließtext"/>
    <w:qFormat/>
    <w:pPr>
      <w:tabs>
        <w:tab w:val="left" w:pos="284"/>
      </w:tabs>
      <w:spacing w:after="160" w:line="259" w:lineRule="auto"/>
      <w:jc w:val="both"/>
    </w:pPr>
    <w:rPr>
      <w:rFonts w:eastAsiaTheme="minorHAnsi" w:cstheme="minorBidi"/>
      <w:sz w:val="18"/>
      <w:szCs w:val="22"/>
      <w:lang w:val="de-DE" w:eastAsia="en-US"/>
    </w:rPr>
  </w:style>
  <w:style w:type="character" w:customStyle="1" w:styleId="FootnoteTextChar">
    <w:name w:val="Footnote Text Char"/>
    <w:basedOn w:val="DefaultParagraphFont"/>
    <w:link w:val="FootnoteText"/>
    <w:uiPriority w:val="99"/>
    <w:qFormat/>
    <w:rPr>
      <w:rFonts w:eastAsiaTheme="minorHAnsi" w:cstheme="minorBidi"/>
      <w:sz w:val="22"/>
      <w:szCs w:val="20"/>
      <w:lang w:val="de-DE"/>
    </w:rPr>
  </w:style>
  <w:style w:type="paragraph" w:styleId="Revision">
    <w:name w:val="Revision"/>
    <w:hidden/>
    <w:uiPriority w:val="99"/>
    <w:unhideWhenUsed/>
    <w:rsid w:val="00360350"/>
    <w:rPr>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liki.qin@henkel.com" TargetMode="External"/><Relationship Id="rId2" Type="http://schemas.openxmlformats.org/officeDocument/2006/relationships/customXml" Target="../customXml/item2.xml"/><Relationship Id="rId16" Type="http://schemas.openxmlformats.org/officeDocument/2006/relationships/hyperlink" Target="mailto:louise.cheung@henkel.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protect.checkpoint.com/v2/r01/___http://www.henkel.cn___.YzJ1OndlY29tbXVuaWNhdGlvbnM6YzpvZmZpY2UzNjVfZW1haWxzX2F0dGFjaG1lbnQ6M2ZjNjU1ZDc3ZjI0ZWUzNmFlZGEyMmI1NDEyODcyY2M6Nzo1ZWMzOmI0OGJjZjQ0M2RkMTI4YTIxYzE4ZjBjYzVlYTg1ZTM0NzI0Mzk0YzZhMTY0MThmZTI0NTAyYTRjYzVlMGY0ZDQ6cDpUOkY"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ohng\AppData\Local\Temp\Temp1_Completed.zip\Completed\segoe-Henkel-press-release-template-2020-english.dotx" TargetMode="External"/></Relationships>
</file>

<file path=word/theme/theme1.xml><?xml version="1.0" encoding="utf-8"?>
<a:theme xmlns:a="http://schemas.openxmlformats.org/drawingml/2006/main" name="Henkel Theme">
  <a:themeElements>
    <a:clrScheme name="Custom 4">
      <a:dk1>
        <a:srgbClr val="000000"/>
      </a:dk1>
      <a:lt1>
        <a:srgbClr val="FFFFFF"/>
      </a:lt1>
      <a:dk2>
        <a:srgbClr val="E1000F"/>
      </a:dk2>
      <a:lt2>
        <a:srgbClr val="E6E7E7"/>
      </a:lt2>
      <a:accent1>
        <a:srgbClr val="5F6973"/>
      </a:accent1>
      <a:accent2>
        <a:srgbClr val="AFB4B9"/>
      </a:accent2>
      <a:accent3>
        <a:srgbClr val="00AA75"/>
      </a:accent3>
      <a:accent4>
        <a:srgbClr val="004C79"/>
      </a:accent4>
      <a:accent5>
        <a:srgbClr val="9A141B"/>
      </a:accent5>
      <a:accent6>
        <a:srgbClr val="FFDB23"/>
      </a:accent6>
      <a:hlink>
        <a:srgbClr val="0563C1"/>
      </a:hlink>
      <a:folHlink>
        <a:srgbClr val="954F72"/>
      </a:folHlink>
    </a:clrScheme>
    <a:fontScheme name="Henkel Template">
      <a:majorFont>
        <a:latin typeface="Segoe UI"/>
        <a:ea typeface=""/>
        <a:cs typeface=""/>
      </a:majorFont>
      <a:minorFont>
        <a:latin typeface="Segoe U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ED1C24"/>
        </a:solidFill>
        <a:ln>
          <a:noFill/>
        </a:ln>
      </a:spPr>
      <a:bodyPr rot="0" vert="horz" wrap="square" lIns="91440" tIns="45720" rIns="91440" bIns="45720" anchor="t" anchorCtr="0" upright="1">
        <a:noAutofit/>
      </a:bodyPr>
      <a:lstStyle/>
    </a:spDef>
    <a:lnDef>
      <a:spPr bwMode="auto">
        <a:xfrm>
          <a:off x="0" y="0"/>
          <a:ext cx="1" cy="1"/>
        </a:xfrm>
        <a:custGeom>
          <a:avLst/>
          <a:gdLst/>
          <a:ahLst/>
          <a:cxnLst/>
          <a:rect l="0" t="0" r="0" b="0"/>
          <a:pathLst/>
        </a:custGeom>
        <a:solidFill>
          <a:schemeClr val="bg1"/>
        </a:solidFill>
        <a:ln w="9525" cap="flat" cmpd="sng" algn="ctr">
          <a:solidFill>
            <a:schemeClr val="tx1"/>
          </a:solidFill>
          <a:prstDash val="solid"/>
          <a:round/>
          <a:headEnd type="none" w="med" len="med"/>
          <a:tailEnd type="none" w="med" len="med"/>
        </a:ln>
      </a:spPr>
      <a:bodyPr vert="horz" wrap="none" lIns="90000" tIns="46800" rIns="90000" bIns="46800" numCol="1" anchor="ctr" anchorCtr="0" compatLnSpc="1"/>
      <a:lstStyle/>
    </a:lnDef>
  </a:objectDefaults>
  <a:extraClrSchemeLst>
    <a:extraClrScheme>
      <a:clrScheme name="Standarddesign 1">
        <a:dk1>
          <a:srgbClr val="000000"/>
        </a:dk1>
        <a:lt1>
          <a:srgbClr val="FFFFFF"/>
        </a:lt1>
        <a:dk2>
          <a:srgbClr val="E1000F"/>
        </a:dk2>
        <a:lt2>
          <a:srgbClr val="CDD2D2"/>
        </a:lt2>
        <a:accent1>
          <a:srgbClr val="AFB4B9"/>
        </a:accent1>
        <a:accent2>
          <a:srgbClr val="828C96"/>
        </a:accent2>
        <a:accent3>
          <a:srgbClr val="FFFFFF"/>
        </a:accent3>
        <a:accent4>
          <a:srgbClr val="000000"/>
        </a:accent4>
        <a:accent5>
          <a:srgbClr val="D4D6D9"/>
        </a:accent5>
        <a:accent6>
          <a:srgbClr val="757E87"/>
        </a:accent6>
        <a:hlink>
          <a:srgbClr val="5F6973"/>
        </a:hlink>
        <a:folHlink>
          <a:srgbClr val="0078C8"/>
        </a:folHlink>
      </a:clrScheme>
      <a:clrMap bg1="lt1" tx1="dk1" bg2="lt2" tx2="dk2" accent1="accent1" accent2="accent2" accent3="accent3" accent4="accent4" accent5="accent5" accent6="accent6" hlink="hlink" folHlink="folHlink"/>
    </a:extraClrScheme>
  </a:extraClrSchemeLst>
  <a:custClrLst>
    <a:custClr name="Henkel Red">
      <a:srgbClr val="E1000F"/>
    </a:custClr>
    <a:custClr name="White">
      <a:srgbClr val="FFFFFF"/>
    </a:custClr>
    <a:custClr name="Black">
      <a:srgbClr val="000000"/>
    </a:custClr>
    <a:custClr name="Grey 1">
      <a:srgbClr val="5F6973"/>
    </a:custClr>
    <a:custClr name="Grey 2">
      <a:srgbClr val="AFB4B9"/>
    </a:custClr>
    <a:custClr name="Grey 3">
      <a:srgbClr val="E6E7E7"/>
    </a:custClr>
    <a:custClr name="Green">
      <a:srgbClr val="00AA75"/>
    </a:custClr>
    <a:custClr name="Blue">
      <a:srgbClr val="004C79"/>
    </a:custClr>
    <a:custClr name="Accent Dark Red">
      <a:srgbClr val="9A141B"/>
    </a:custClr>
    <a:custClr name="Accent Yellow 1">
      <a:srgbClr val="FFDB23"/>
    </a:custClr>
    <a:custClr name="Accent Yellow 2">
      <a:srgbClr val="FCF092"/>
    </a:custClr>
    <a:custClr name="Accent Green">
      <a:srgbClr val="A7DC92"/>
    </a:custClr>
    <a:custClr name="Accent Blue 1">
      <a:srgbClr val="55CAD3"/>
    </a:custClr>
    <a:custClr name="Accent Blue 2">
      <a:srgbClr val="0078C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406d6b-70e0-427c-b08d-4edfc77771aa" xsi:nil="true"/>
    <lcf76f155ced4ddcb4097134ff3c332f xmlns="487aa4a8-6e08-4624-a126-3644f60fbb35">
      <Terms xmlns="http://schemas.microsoft.com/office/infopath/2007/PartnerControls"/>
    </lcf76f155ced4ddcb4097134ff3c332f>
    <Datum xmlns="487aa4a8-6e08-4624-a126-3644f60fbb3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3C925157EE074095811C87522C7BC7" ma:contentTypeVersion="22" ma:contentTypeDescription="Create a new document." ma:contentTypeScope="" ma:versionID="74ca59087a68a0460257cfd765d09988">
  <xsd:schema xmlns:xsd="http://www.w3.org/2001/XMLSchema" xmlns:xs="http://www.w3.org/2001/XMLSchema" xmlns:p="http://schemas.microsoft.com/office/2006/metadata/properties" xmlns:ns2="487aa4a8-6e08-4624-a126-3644f60fbb35" xmlns:ns3="cec4b484-d643-4c02-a873-288aa5369532" xmlns:ns4="ef406d6b-70e0-427c-b08d-4edfc77771aa" targetNamespace="http://schemas.microsoft.com/office/2006/metadata/properties" ma:root="true" ma:fieldsID="8033796c042ced27f4b2ab1bf1ebc10c" ns2:_="" ns3:_="" ns4:_="">
    <xsd:import namespace="487aa4a8-6e08-4624-a126-3644f60fbb35"/>
    <xsd:import namespace="cec4b484-d643-4c02-a873-288aa5369532"/>
    <xsd:import namespace="ef406d6b-70e0-427c-b08d-4edfc77771a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Datum"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aa4a8-6e08-4624-a126-3644f60fbb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Datum" ma:index="20" nillable="true" ma:displayName="Datum" ma:format="DateOnly" ma:internalName="Datum">
      <xsd:simpleType>
        <xsd:restriction base="dms:DateTime"/>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2f792e8-4dad-42c1-ad63-44982727bf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c4b484-d643-4c02-a873-288aa536953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406d6b-70e0-427c-b08d-4edfc77771a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099daea-b67b-4b58-9130-be82b407cc11}" ma:internalName="TaxCatchAll" ma:showField="CatchAllData" ma:web="cec4b484-d643-4c02-a873-288aa53695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customData xmlns="http://www.wps.cn/officeDocument/2013/wpsCustomData" xmlns:s="http://www.wps.cn/officeDocument/2013/wpsCustomData">
  <customSectProps/>
  <customShpExts>
    <customShpInfo spid="_x0000_s1026" textRotate="1"/>
  </customShpExts>
</s:custom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haredContentType xmlns="Microsoft.SharePoint.Taxonomy.ContentTypeSync" SourceId="72f792e8-4dad-42c1-ad63-44982727bf4d" ContentTypeId="0x01" PreviousValue="false"/>
</file>

<file path=customXml/itemProps1.xml><?xml version="1.0" encoding="utf-8"?>
<ds:datastoreItem xmlns:ds="http://schemas.openxmlformats.org/officeDocument/2006/customXml" ds:itemID="{F3245D12-BDB4-413F-ABB3-2AF0CF323A38}">
  <ds:schemaRefs>
    <ds:schemaRef ds:uri="http://schemas.microsoft.com/office/2006/metadata/properties"/>
    <ds:schemaRef ds:uri="http://schemas.microsoft.com/office/infopath/2007/PartnerControls"/>
    <ds:schemaRef ds:uri="ef406d6b-70e0-427c-b08d-4edfc77771aa"/>
    <ds:schemaRef ds:uri="487aa4a8-6e08-4624-a126-3644f60fbb35"/>
  </ds:schemaRefs>
</ds:datastoreItem>
</file>

<file path=customXml/itemProps2.xml><?xml version="1.0" encoding="utf-8"?>
<ds:datastoreItem xmlns:ds="http://schemas.openxmlformats.org/officeDocument/2006/customXml" ds:itemID="{EC226D13-73FC-4A7A-93C2-AC11939BB4A9}">
  <ds:schemaRefs>
    <ds:schemaRef ds:uri="http://schemas.microsoft.com/sharepoint/v3/contenttype/forms"/>
  </ds:schemaRefs>
</ds:datastoreItem>
</file>

<file path=customXml/itemProps3.xml><?xml version="1.0" encoding="utf-8"?>
<ds:datastoreItem xmlns:ds="http://schemas.openxmlformats.org/officeDocument/2006/customXml" ds:itemID="{13AA53AF-ABE2-4687-80CC-AE0B9CFC5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aa4a8-6e08-4624-a126-3644f60fbb35"/>
    <ds:schemaRef ds:uri="cec4b484-d643-4c02-a873-288aa5369532"/>
    <ds:schemaRef ds:uri="ef406d6b-70e0-427c-b08d-4edfc77771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E5F5E823-FD9A-4CF5-8C4B-A2151B3E8DB5}">
  <ds:schemaRefs>
    <ds:schemaRef ds:uri="http://schemas.openxmlformats.org/officeDocument/2006/bibliography"/>
  </ds:schemaRefs>
</ds:datastoreItem>
</file>

<file path=customXml/itemProps6.xml><?xml version="1.0" encoding="utf-8"?>
<ds:datastoreItem xmlns:ds="http://schemas.openxmlformats.org/officeDocument/2006/customXml" ds:itemID="{70E590B4-7A0D-4F62-ACD8-2A023F14A264}">
  <ds:schemaRefs>
    <ds:schemaRef ds:uri="Microsoft.SharePoint.Taxonomy.ContentTypeSync"/>
  </ds:schemaRefs>
</ds:datastoreItem>
</file>

<file path=docMetadata/LabelInfo.xml><?xml version="1.0" encoding="utf-8"?>
<clbl:labelList xmlns:clbl="http://schemas.microsoft.com/office/2020/mipLabelMetadata">
  <clbl:label id="{3ed60ab4-5567-4971-a534-1a5f0f7cc7f5}" enabled="0" method="" siteId="{3ed60ab4-5567-4971-a534-1a5f0f7cc7f5}" removed="1"/>
  <clbl:label id="{e8701075-0d9e-4ea1-991d-5a0d110a5d29}" enabled="0" method="" siteId="{e8701075-0d9e-4ea1-991d-5a0d110a5d29}" removed="1"/>
</clbl:labelList>
</file>

<file path=docProps/app.xml><?xml version="1.0" encoding="utf-8"?>
<Properties xmlns="http://schemas.openxmlformats.org/officeDocument/2006/extended-properties" xmlns:vt="http://schemas.openxmlformats.org/officeDocument/2006/docPropsVTypes">
  <Template>segoe-Henkel-press-release-template-2020-english.dotx</Template>
  <TotalTime>0</TotalTime>
  <Pages>7</Pages>
  <Words>1734</Words>
  <Characters>4459</Characters>
  <Application>Microsoft Office Word</Application>
  <DocSecurity>0</DocSecurity>
  <Lines>92</Lines>
  <Paragraphs>32</Paragraphs>
  <ScaleCrop>false</ScaleCrop>
  <HeadingPairs>
    <vt:vector size="2" baseType="variant">
      <vt:variant>
        <vt:lpstr>Title</vt:lpstr>
      </vt:variant>
      <vt:variant>
        <vt:i4>1</vt:i4>
      </vt:variant>
    </vt:vector>
  </HeadingPairs>
  <TitlesOfParts>
    <vt:vector size="1" baseType="lpstr">
      <vt:lpstr>Pressemitteilung</vt:lpstr>
    </vt:vector>
  </TitlesOfParts>
  <Company>Henkel AG &amp; Co. KGaA</Company>
  <LinksUpToDate>false</LinksUpToDate>
  <CharactersWithSpaces>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Henkel</dc:creator>
  <cp:lastModifiedBy>Liki Qin</cp:lastModifiedBy>
  <cp:revision>5</cp:revision>
  <cp:lastPrinted>2026-02-11T08:17:00Z</cp:lastPrinted>
  <dcterms:created xsi:type="dcterms:W3CDTF">2026-08-10T10:14:00Z</dcterms:created>
  <dcterms:modified xsi:type="dcterms:W3CDTF">2026-08-10T10:16:00Z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0x0101004E3C925157EE074095811C87522C7BC7</vt:lpwstr>
  </property>
  <property fmtid="{D5CDD505-2E9C-101B-9397-08002B2CF9AE}" pid="3" name="ICV">
    <vt:lpwstr>E59E1C5951F14A5EAB30FD680ACD212F_12</vt:lpwstr>
  </property>
  <property fmtid="{D5CDD505-2E9C-101B-9397-08002B2CF9AE}" pid="4" name="KSOProductBuildVer">
    <vt:lpwstr>2052-12.1.0.28043</vt:lpwstr>
  </property>
  <property fmtid="{D5CDD505-2E9C-101B-9397-08002B2CF9AE}" pid="5" name="KSOTemplateDocerSaveRecord">
    <vt:lpwstr>eyJoZGlkIjoiOTc3M2Y5NzIzMDFlZjAyY2Q4Njk5ODkyYjFjNzBiNTQiLCJ1c2VySWQiOiIxMzM3MjcwOTMwIn0=</vt:lpwstr>
  </property>
  <property fmtid="{D5CDD505-2E9C-101B-9397-08002B2CF9AE}" pid="6" name="MediaServiceImageTags">
    <vt:lpwstr/>
  </property>
</Properties>
</file>