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5E39A" w14:textId="6296436A" w:rsidR="00B422EC" w:rsidRPr="00921C0C" w:rsidRDefault="0034583F" w:rsidP="005929A5">
      <w:pPr>
        <w:pStyle w:val="MonthDayYear"/>
        <w:tabs>
          <w:tab w:val="left" w:pos="7088"/>
        </w:tabs>
        <w:jc w:val="left"/>
      </w:pPr>
      <w:r>
        <w:t xml:space="preserve">           </w:t>
      </w:r>
      <w:r w:rsidR="00081692">
        <w:tab/>
        <w:t xml:space="preserve">    6 серпня 2026 р.</w:t>
      </w:r>
    </w:p>
    <w:p w14:paraId="166A9534" w14:textId="0E9371DF" w:rsidR="00497D5E" w:rsidRPr="009D61DC" w:rsidRDefault="007A2FB6" w:rsidP="00790993">
      <w:pPr>
        <w:pStyle w:val="Topline"/>
        <w:spacing w:after="240"/>
        <w:rPr>
          <w:rFonts w:asciiTheme="majorHAnsi" w:hAnsiTheme="majorHAnsi" w:cstheme="majorHAnsi"/>
        </w:rPr>
      </w:pPr>
      <w:bookmarkStart w:id="0" w:name="_Hlk190695874"/>
      <w:r>
        <w:rPr>
          <w:rFonts w:asciiTheme="majorHAnsi" w:hAnsiTheme="majorHAnsi"/>
        </w:rPr>
        <w:t>Henkel реалізує свою програму зростання: інвестиції в бренди, інновації та злиття й поглинання (M&amp;A)</w:t>
      </w:r>
    </w:p>
    <w:bookmarkEnd w:id="0"/>
    <w:p w14:paraId="3FE075DA" w14:textId="4BD09C87" w:rsidR="00633B49" w:rsidRPr="00A81C0A" w:rsidRDefault="0012714C" w:rsidP="00C208E2">
      <w:pPr>
        <w:jc w:val="left"/>
        <w:rPr>
          <w:rStyle w:val="Headline"/>
          <w:rFonts w:asciiTheme="majorHAnsi" w:hAnsiTheme="majorHAnsi" w:cstheme="majorHAnsi"/>
        </w:rPr>
      </w:pPr>
      <w:r>
        <w:rPr>
          <w:rStyle w:val="Headline"/>
          <w:rFonts w:asciiTheme="majorHAnsi" w:hAnsiTheme="majorHAnsi"/>
        </w:rPr>
        <w:t xml:space="preserve">Henkel демонструє високі показники продажів </w:t>
      </w:r>
      <w:r w:rsidR="006E2C4D">
        <w:rPr>
          <w:rStyle w:val="Headline"/>
          <w:rFonts w:asciiTheme="majorHAnsi" w:hAnsiTheme="majorHAnsi"/>
        </w:rPr>
        <w:t>і</w:t>
      </w:r>
      <w:r w:rsidR="005929A5">
        <w:rPr>
          <w:rStyle w:val="Headline"/>
          <w:rFonts w:asciiTheme="majorHAnsi" w:hAnsiTheme="majorHAnsi"/>
        </w:rPr>
        <w:t xml:space="preserve"> </w:t>
      </w:r>
      <w:r>
        <w:rPr>
          <w:rStyle w:val="Headline"/>
          <w:rFonts w:asciiTheme="majorHAnsi" w:hAnsiTheme="majorHAnsi"/>
        </w:rPr>
        <w:t xml:space="preserve">прибутку </w:t>
      </w:r>
      <w:r w:rsidR="005C5766">
        <w:rPr>
          <w:rStyle w:val="Headline"/>
          <w:rFonts w:asciiTheme="majorHAnsi" w:hAnsiTheme="majorHAnsi"/>
        </w:rPr>
        <w:t xml:space="preserve">в </w:t>
      </w:r>
      <w:r>
        <w:rPr>
          <w:rStyle w:val="Headline"/>
          <w:rFonts w:asciiTheme="majorHAnsi" w:hAnsiTheme="majorHAnsi"/>
        </w:rPr>
        <w:t>першому півріччі та підвищує прогноз щодо доходу на 2026 рік</w:t>
      </w:r>
    </w:p>
    <w:p w14:paraId="5E22EDC4" w14:textId="77777777" w:rsidR="00A54C2A" w:rsidRPr="00A81C0A" w:rsidRDefault="00A54C2A" w:rsidP="00C65957">
      <w:pPr>
        <w:spacing w:line="240" w:lineRule="auto"/>
        <w:jc w:val="left"/>
        <w:rPr>
          <w:sz w:val="16"/>
          <w:szCs w:val="16"/>
        </w:rPr>
      </w:pPr>
    </w:p>
    <w:p w14:paraId="55670377" w14:textId="1D11C8D4" w:rsidR="00DC34C4" w:rsidRPr="005929A5" w:rsidRDefault="005929A5" w:rsidP="007A2FB6">
      <w:pPr>
        <w:pStyle w:val="ListParagraph"/>
        <w:numPr>
          <w:ilvl w:val="0"/>
          <w:numId w:val="7"/>
        </w:numPr>
        <w:spacing w:after="80"/>
        <w:ind w:left="284" w:right="-108" w:hanging="357"/>
        <w:contextualSpacing w:val="0"/>
        <w:jc w:val="left"/>
        <w:rPr>
          <w:rFonts w:asciiTheme="majorHAnsi" w:hAnsiTheme="majorHAnsi"/>
          <w:b/>
        </w:rPr>
      </w:pPr>
      <w:bookmarkStart w:id="1" w:name="_Hlk64363173"/>
      <w:bookmarkStart w:id="2" w:name="_Hlk43712519"/>
      <w:r w:rsidRPr="005929A5">
        <w:rPr>
          <w:rFonts w:asciiTheme="majorHAnsi" w:hAnsiTheme="majorHAnsi"/>
          <w:b/>
        </w:rPr>
        <w:t xml:space="preserve">Обсяг продажів Групи </w:t>
      </w:r>
      <w:r w:rsidR="005C5766">
        <w:rPr>
          <w:rFonts w:asciiTheme="majorHAnsi" w:hAnsiTheme="majorHAnsi"/>
          <w:b/>
        </w:rPr>
        <w:t xml:space="preserve">в </w:t>
      </w:r>
      <w:r w:rsidRPr="005929A5">
        <w:rPr>
          <w:rFonts w:asciiTheme="majorHAnsi" w:hAnsiTheme="majorHAnsi"/>
          <w:b/>
        </w:rPr>
        <w:t>першому півріччі продемонстрував впевнене органічне зростання на 3,2 %, сягнувши 10,3 млрд євро</w:t>
      </w:r>
    </w:p>
    <w:p w14:paraId="6BFCBE6D" w14:textId="642AA32D" w:rsidR="00DC34C4" w:rsidRPr="00E812A3" w:rsidRDefault="0087393A"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Pr>
          <w:rFonts w:asciiTheme="majorHAnsi" w:hAnsiTheme="majorHAnsi"/>
          <w:b/>
        </w:rPr>
        <w:t>Впевнене зростання забезпечено позитивною динамікою цін та обсягів у всіх бізнес-підрозділах</w:t>
      </w:r>
    </w:p>
    <w:p w14:paraId="5A223F67" w14:textId="41EEB7C6" w:rsidR="00DC34C4" w:rsidRPr="00E812A3"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Pr>
          <w:rFonts w:asciiTheme="majorHAnsi" w:hAnsiTheme="majorHAnsi"/>
          <w:b/>
        </w:rPr>
        <w:t>Операційний прибуток (EBIT)* зріс до 1 620 млн євро (+0,3 %)</w:t>
      </w:r>
    </w:p>
    <w:p w14:paraId="6EE72A28" w14:textId="6890DDDF" w:rsidR="00DC34C4" w:rsidRPr="00E812A3"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Pr>
          <w:rFonts w:asciiTheme="majorHAnsi" w:hAnsiTheme="majorHAnsi"/>
          <w:b/>
        </w:rPr>
        <w:t>Висока маржа EBIT* на рівні 15,7 % (+10 базисних пунктів), забезпечена обома бізнес-підрозділами, що свідчить про їхню стійкість</w:t>
      </w:r>
    </w:p>
    <w:p w14:paraId="35493545" w14:textId="541E021D" w:rsidR="00DC34C4" w:rsidRPr="00E812A3"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Pr>
          <w:rFonts w:asciiTheme="majorHAnsi" w:hAnsiTheme="majorHAnsi"/>
          <w:b/>
        </w:rPr>
        <w:t>Прибуток на привілейовану акцію (EPS)* зріс до 2,86 євро, що становить збільшення на 7,1 % за незмінних валютних курсів</w:t>
      </w:r>
    </w:p>
    <w:p w14:paraId="55DDFC3A" w14:textId="3FF1B0BB" w:rsidR="00DC34C4" w:rsidRPr="00E812A3"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Pr>
          <w:rFonts w:asciiTheme="majorHAnsi" w:hAnsiTheme="majorHAnsi"/>
          <w:b/>
        </w:rPr>
        <w:t xml:space="preserve">Успішна реалізація стратегії зростання шляхом злиття та поглинань у першому півріччі, що забезпечило перші позитивні результати для обсягів продажів </w:t>
      </w:r>
      <w:r w:rsidR="009045FA">
        <w:rPr>
          <w:rFonts w:asciiTheme="majorHAnsi" w:hAnsiTheme="majorHAnsi"/>
          <w:b/>
        </w:rPr>
        <w:t>і</w:t>
      </w:r>
      <w:r w:rsidR="009045FA">
        <w:rPr>
          <w:rFonts w:asciiTheme="majorHAnsi" w:hAnsiTheme="majorHAnsi"/>
          <w:b/>
          <w:lang w:val="ru-RU"/>
        </w:rPr>
        <w:t xml:space="preserve"> </w:t>
      </w:r>
      <w:r>
        <w:rPr>
          <w:rFonts w:asciiTheme="majorHAnsi" w:hAnsiTheme="majorHAnsi"/>
          <w:b/>
        </w:rPr>
        <w:t xml:space="preserve"> прибутку </w:t>
      </w:r>
      <w:r w:rsidR="009045FA">
        <w:rPr>
          <w:rFonts w:asciiTheme="majorHAnsi" w:hAnsiTheme="majorHAnsi"/>
          <w:b/>
        </w:rPr>
        <w:t xml:space="preserve">в </w:t>
      </w:r>
      <w:r>
        <w:rPr>
          <w:rFonts w:asciiTheme="majorHAnsi" w:hAnsiTheme="majorHAnsi"/>
          <w:b/>
        </w:rPr>
        <w:t>2026 році</w:t>
      </w:r>
    </w:p>
    <w:bookmarkEnd w:id="1"/>
    <w:bookmarkEnd w:id="2"/>
    <w:p w14:paraId="1D293644" w14:textId="136E2BE2" w:rsidR="00DC34C4" w:rsidRPr="00E812A3" w:rsidRDefault="00DC34C4" w:rsidP="007A2FB6">
      <w:pPr>
        <w:pStyle w:val="ListParagraph"/>
        <w:numPr>
          <w:ilvl w:val="0"/>
          <w:numId w:val="7"/>
        </w:numPr>
        <w:spacing w:after="80"/>
        <w:ind w:left="284" w:right="-108" w:hanging="357"/>
        <w:contextualSpacing w:val="0"/>
        <w:jc w:val="left"/>
        <w:rPr>
          <w:rFonts w:asciiTheme="majorHAnsi" w:hAnsiTheme="majorHAnsi" w:cstheme="majorHAnsi"/>
          <w:b/>
          <w:szCs w:val="22"/>
        </w:rPr>
      </w:pPr>
      <w:r>
        <w:rPr>
          <w:rFonts w:asciiTheme="majorHAnsi" w:hAnsiTheme="majorHAnsi"/>
          <w:b/>
        </w:rPr>
        <w:t>Прогноз на 2026 фінансовий рік: підвищено очікування щодо обсягів продажів для Групи та підрозділу «Клейові технології»</w:t>
      </w:r>
    </w:p>
    <w:p w14:paraId="5113870C" w14:textId="6CB987D0" w:rsidR="00DC34C4" w:rsidRPr="007A2FB6" w:rsidRDefault="00DC34C4" w:rsidP="00DC34C4">
      <w:pPr>
        <w:pStyle w:val="ListParagraph"/>
        <w:widowControl w:val="0"/>
        <w:numPr>
          <w:ilvl w:val="1"/>
          <w:numId w:val="7"/>
        </w:numPr>
        <w:tabs>
          <w:tab w:val="left" w:pos="702"/>
        </w:tabs>
        <w:autoSpaceDE w:val="0"/>
        <w:autoSpaceDN w:val="0"/>
        <w:spacing w:before="113" w:line="240" w:lineRule="auto"/>
        <w:ind w:left="702"/>
        <w:contextualSpacing w:val="0"/>
        <w:jc w:val="left"/>
      </w:pPr>
      <w:r>
        <w:t>Зростання продажів в органічному вираженні: від 1,5 до 3,5 % (раніше: від 1,0 до 3,0 %)</w:t>
      </w:r>
    </w:p>
    <w:p w14:paraId="7530C7F9" w14:textId="581E6AEB" w:rsidR="00DC34C4" w:rsidRPr="001F3E04" w:rsidRDefault="00DC34C4" w:rsidP="00DC34C4">
      <w:pPr>
        <w:pStyle w:val="ListParagraph"/>
        <w:widowControl w:val="0"/>
        <w:numPr>
          <w:ilvl w:val="1"/>
          <w:numId w:val="7"/>
        </w:numPr>
        <w:tabs>
          <w:tab w:val="left" w:pos="702"/>
        </w:tabs>
        <w:autoSpaceDE w:val="0"/>
        <w:autoSpaceDN w:val="0"/>
        <w:spacing w:before="113" w:line="240" w:lineRule="auto"/>
        <w:ind w:left="702"/>
        <w:contextualSpacing w:val="0"/>
        <w:jc w:val="left"/>
      </w:pPr>
      <w:r>
        <w:t>Скоригована рентабельність продажів: від 14,5 до 16,0 %</w:t>
      </w:r>
    </w:p>
    <w:p w14:paraId="738D13D3" w14:textId="1AFD4F2D" w:rsidR="00DC34C4" w:rsidRPr="00DC34C4" w:rsidRDefault="00DC34C4" w:rsidP="00026124">
      <w:pPr>
        <w:pStyle w:val="ListParagraph"/>
        <w:widowControl w:val="0"/>
        <w:numPr>
          <w:ilvl w:val="1"/>
          <w:numId w:val="7"/>
        </w:numPr>
        <w:tabs>
          <w:tab w:val="left" w:pos="702"/>
        </w:tabs>
        <w:autoSpaceDE w:val="0"/>
        <w:autoSpaceDN w:val="0"/>
        <w:spacing w:before="113" w:line="240" w:lineRule="auto"/>
        <w:ind w:left="702"/>
        <w:contextualSpacing w:val="0"/>
        <w:jc w:val="left"/>
      </w:pPr>
      <w:r>
        <w:t>Скоригований прибуток на привілейовану акцію (EPS): зростання в діапазоні від низьких до високих однозначних відсоткових значень (за незмінних валютних курсів)</w:t>
      </w:r>
    </w:p>
    <w:p w14:paraId="0E973721" w14:textId="3F3EF3D0" w:rsidR="00D93B82" w:rsidRPr="00921C0C" w:rsidRDefault="00D93B82" w:rsidP="00037396">
      <w:pPr>
        <w:rPr>
          <w:rFonts w:cs="Segoe UI"/>
          <w:b/>
          <w:bCs/>
          <w:szCs w:val="22"/>
        </w:rPr>
      </w:pPr>
    </w:p>
    <w:p w14:paraId="1F0E6762" w14:textId="33FCE921" w:rsidR="002566B2" w:rsidRPr="002566B2" w:rsidRDefault="00F26F5F" w:rsidP="002566B2">
      <w:pPr>
        <w:rPr>
          <w:rFonts w:cs="Segoe UI"/>
          <w:szCs w:val="22"/>
        </w:rPr>
      </w:pPr>
      <w:r>
        <w:lastRenderedPageBreak/>
        <w:t>Дюссельдорф –</w:t>
      </w:r>
      <w:r>
        <w:rPr>
          <w:b/>
        </w:rPr>
        <w:t xml:space="preserve"> </w:t>
      </w:r>
      <w:r>
        <w:t xml:space="preserve">Компанія Henkel продемонструвала впевнене органічне зростання продажів </w:t>
      </w:r>
      <w:r w:rsidR="009045FA">
        <w:t xml:space="preserve">і </w:t>
      </w:r>
      <w:r>
        <w:t xml:space="preserve">дуже хороші показники прибутку </w:t>
      </w:r>
      <w:r w:rsidR="009045FA">
        <w:t xml:space="preserve">в </w:t>
      </w:r>
      <w:r>
        <w:t xml:space="preserve">першому півріччі 2026 року попри стабільно складні економічні умови. «Органічне зростання продажів знову було забезпечене обома бізнес-підрозділами, кожен з яких досяг позитивної динаміки цін та обсягів. У підрозділі «Клейові технології» покращення показників продажів і прибутку також підтримувалося послідовним і швидким впровадженням цінових ініціатив для компенсації негативного впливу від підвищення цін на сировину, — зазначив </w:t>
      </w:r>
      <w:proofErr w:type="spellStart"/>
      <w:r w:rsidR="002B6B59" w:rsidRPr="00333843">
        <w:t>Карстен</w:t>
      </w:r>
      <w:proofErr w:type="spellEnd"/>
      <w:r w:rsidR="002B6B59" w:rsidRPr="00333843">
        <w:t xml:space="preserve"> </w:t>
      </w:r>
      <w:proofErr w:type="spellStart"/>
      <w:r w:rsidR="002B6B59" w:rsidRPr="00333843">
        <w:t>Кнобель</w:t>
      </w:r>
      <w:proofErr w:type="spellEnd"/>
      <w:r w:rsidR="002B6B59" w:rsidRPr="00333843">
        <w:t xml:space="preserve"> (Carsten </w:t>
      </w:r>
      <w:proofErr w:type="spellStart"/>
      <w:r w:rsidR="002B6B59" w:rsidRPr="00333843">
        <w:t>Knobel</w:t>
      </w:r>
      <w:proofErr w:type="spellEnd"/>
      <w:r w:rsidR="002B6B59" w:rsidRPr="00333843">
        <w:t>), голова правління Ради директорів компанії «</w:t>
      </w:r>
      <w:proofErr w:type="spellStart"/>
      <w:r w:rsidR="002B6B59" w:rsidRPr="00333843">
        <w:t>Хенкель</w:t>
      </w:r>
      <w:proofErr w:type="spellEnd"/>
      <w:r w:rsidR="002B6B59" w:rsidRPr="00333843">
        <w:t>»</w:t>
      </w:r>
      <w:r>
        <w:t xml:space="preserve">. </w:t>
      </w:r>
      <w:r w:rsidR="009045FA">
        <w:t xml:space="preserve">– </w:t>
      </w:r>
      <w:r>
        <w:t>У підрозділі «Споживчі бренди» напрям «Засоби для волосся» продовжив свою дуже сильну траєкторію зростання, а напрям «Засоби для прання» повернувся до позитивного зростання».</w:t>
      </w:r>
    </w:p>
    <w:p w14:paraId="341CB32D" w14:textId="06A0E23D" w:rsidR="002566B2" w:rsidRPr="002566B2" w:rsidRDefault="002566B2" w:rsidP="002566B2">
      <w:pPr>
        <w:rPr>
          <w:rFonts w:cs="Segoe UI"/>
          <w:szCs w:val="22"/>
        </w:rPr>
      </w:pPr>
    </w:p>
    <w:p w14:paraId="4C128449" w14:textId="08885D80" w:rsidR="002566B2" w:rsidRPr="002566B2" w:rsidRDefault="002566B2" w:rsidP="008530DF">
      <w:pPr>
        <w:rPr>
          <w:rFonts w:cs="Segoe UI"/>
          <w:szCs w:val="22"/>
        </w:rPr>
      </w:pPr>
      <w:r>
        <w:t xml:space="preserve">«Ми послідовно реалізуємо нашу стратегію з чітким акцентом на цілеспрямоване зростання, і наші результати свідчать про успішність такого підходу. У першому півріччі ми продемонстрували дуже високі бізнес-результати в цілому, продовжуючи при цьому значно інвестувати в наше майбутнє, зокрема в наші бренди, технології та інновації. Крім того, ми значно прискорили нашу діяльність у сфері злиття та поглинання (M&amp;A). Ми домовилися про п'ять придбань загальною вартістю близько 5 мільярдів євро, які суттєво посилять два наші бізнес-підрозділи. Чотири з цих угод про придбання вже закрито. Очікується, що найближчими роками придбані компанії забезпечать зростання вище середнього в діапазоні від середніх до високих однозначних чисел у відсотковому вираженні </w:t>
      </w:r>
      <w:r w:rsidR="009045FA">
        <w:t xml:space="preserve">та </w:t>
      </w:r>
      <w:r>
        <w:t xml:space="preserve">принесуть близько 2 мільярдів євро додаткових річних продажів. Це є ще одним важливим кроком у сталому просуванні нашої програми зростання», — продовжив </w:t>
      </w:r>
      <w:proofErr w:type="spellStart"/>
      <w:r>
        <w:t>Карстен</w:t>
      </w:r>
      <w:proofErr w:type="spellEnd"/>
      <w:r>
        <w:t xml:space="preserve"> </w:t>
      </w:r>
      <w:proofErr w:type="spellStart"/>
      <w:r>
        <w:t>Кнобель</w:t>
      </w:r>
      <w:proofErr w:type="spellEnd"/>
      <w:r>
        <w:t>.</w:t>
      </w:r>
    </w:p>
    <w:p w14:paraId="68E01B8E" w14:textId="77777777" w:rsidR="002566B2" w:rsidRPr="002566B2" w:rsidRDefault="002566B2" w:rsidP="002566B2">
      <w:pPr>
        <w:rPr>
          <w:rFonts w:cs="Segoe UI"/>
          <w:szCs w:val="22"/>
        </w:rPr>
      </w:pPr>
    </w:p>
    <w:p w14:paraId="33735EE5" w14:textId="1614A67D" w:rsidR="002566B2" w:rsidRPr="002566B2" w:rsidRDefault="002566B2" w:rsidP="002566B2">
      <w:pPr>
        <w:rPr>
          <w:rFonts w:cs="Segoe UI"/>
          <w:szCs w:val="22"/>
        </w:rPr>
      </w:pPr>
      <w:r>
        <w:t>«Спираючись на наші високі результати в першому півріччі, ми підвищили очікування щодо обсягів продажів як для Групи, так і для бізнес-підрозділу «Клейові технології». На рівні Групи тепер очікуємо органічн</w:t>
      </w:r>
      <w:r w:rsidR="009045FA">
        <w:t xml:space="preserve">ого </w:t>
      </w:r>
      <w:r>
        <w:t>зростання продажів від 1,5 до 3,5</w:t>
      </w:r>
      <w:r w:rsidR="006E2C4D">
        <w:t> </w:t>
      </w:r>
      <w:r>
        <w:t>% порівняно з нашим попереднім прогнозом від 1 до 3 %. Для бізнес-підрозділу «Клейові технології» ми підвищили наші очікування щодо органічного зростання продажів з 1</w:t>
      </w:r>
      <w:r w:rsidR="006E2C4D">
        <w:t>–</w:t>
      </w:r>
      <w:r>
        <w:t>3</w:t>
      </w:r>
      <w:r w:rsidR="006E2C4D">
        <w:t> </w:t>
      </w:r>
      <w:r>
        <w:t>% до теперішніх 2</w:t>
      </w:r>
      <w:r w:rsidR="006E2C4D">
        <w:t>–</w:t>
      </w:r>
      <w:r>
        <w:t>4 %. Таким чином, бачимо, що Henkel впевнено прямує до сталого та прибуткового зростання».</w:t>
      </w:r>
    </w:p>
    <w:p w14:paraId="59F5F4F0" w14:textId="77777777" w:rsidR="006D4D0C" w:rsidRPr="005F750F" w:rsidRDefault="006D4D0C" w:rsidP="001274FA">
      <w:pPr>
        <w:spacing w:after="120"/>
        <w:rPr>
          <w:rFonts w:cs="Segoe UI"/>
          <w:b/>
          <w:bCs/>
          <w:szCs w:val="22"/>
          <w:lang w:eastAsia="de-DE"/>
        </w:rPr>
      </w:pPr>
    </w:p>
    <w:p w14:paraId="2706BE4B" w14:textId="555EEA54" w:rsidR="000C47D1" w:rsidRPr="000311F4" w:rsidRDefault="006D4D0C" w:rsidP="001274FA">
      <w:pPr>
        <w:spacing w:after="120"/>
        <w:rPr>
          <w:rFonts w:cs="Segoe UI"/>
          <w:b/>
          <w:bCs/>
          <w:szCs w:val="22"/>
        </w:rPr>
      </w:pPr>
      <w:r>
        <w:rPr>
          <w:b/>
        </w:rPr>
        <w:t>Показники продажів і прибутку Групи в першому півріччі 2026 року</w:t>
      </w:r>
    </w:p>
    <w:p w14:paraId="0C3735E3" w14:textId="01C1C16B" w:rsidR="00E812A3" w:rsidRPr="000311F4" w:rsidRDefault="00E812A3" w:rsidP="00E812A3">
      <w:pPr>
        <w:rPr>
          <w:rFonts w:cs="Segoe UI"/>
          <w:szCs w:val="22"/>
        </w:rPr>
      </w:pPr>
      <w:r>
        <w:t>У першому півріччі 2026 року компанія Henkel зафіксувала обсяг продажів Групи на рівні 10 348 млн євро, що еквівалентно номінальній динаміці на рівні -0,5 % (</w:t>
      </w:r>
      <w:r w:rsidR="009045FA">
        <w:t xml:space="preserve">ІІ </w:t>
      </w:r>
      <w:r>
        <w:t xml:space="preserve">квартал: 5 396 млн євро, +4,6 %). Вплив валютних курсів на продажі </w:t>
      </w:r>
      <w:r w:rsidR="009045FA">
        <w:t xml:space="preserve">становив </w:t>
      </w:r>
      <w:r>
        <w:t>-3,9 % (</w:t>
      </w:r>
      <w:r w:rsidR="009045FA">
        <w:t xml:space="preserve">ІІ </w:t>
      </w:r>
      <w:r>
        <w:t xml:space="preserve">квартал: -2,6 %). Придбання та продаж активів мали незначний позитивний вплив на продажі на рівні </w:t>
      </w:r>
      <w:r>
        <w:lastRenderedPageBreak/>
        <w:t>0,2</w:t>
      </w:r>
      <w:r w:rsidR="006E2C4D">
        <w:t> </w:t>
      </w:r>
      <w:r>
        <w:t>% (</w:t>
      </w:r>
      <w:r w:rsidR="009045FA">
        <w:t xml:space="preserve">ІІ </w:t>
      </w:r>
      <w:r>
        <w:t xml:space="preserve">квартал: +2,5 %). Хоча продаж бізнес-напряму роздрібних брендів у Північній Америці у квітні 2025 року мав негативний вплив, придбання, завершені в обох бізнес-підрозділах у першому півріччі 2026 року </w:t>
      </w:r>
      <w:r w:rsidR="0044709D">
        <w:t>(</w:t>
      </w:r>
      <w:r>
        <w:t>зокрема</w:t>
      </w:r>
      <w:r w:rsidR="0044709D">
        <w:t>,</w:t>
      </w:r>
      <w:r>
        <w:t xml:space="preserve"> ATP </w:t>
      </w:r>
      <w:proofErr w:type="spellStart"/>
      <w:r>
        <w:t>Adhesive</w:t>
      </w:r>
      <w:proofErr w:type="spellEnd"/>
      <w:r>
        <w:t xml:space="preserve"> </w:t>
      </w:r>
      <w:proofErr w:type="spellStart"/>
      <w:r>
        <w:t>Systems</w:t>
      </w:r>
      <w:proofErr w:type="spellEnd"/>
      <w:r>
        <w:t xml:space="preserve"> та </w:t>
      </w:r>
      <w:proofErr w:type="spellStart"/>
      <w:r>
        <w:t>Not</w:t>
      </w:r>
      <w:proofErr w:type="spellEnd"/>
      <w:r>
        <w:t xml:space="preserve"> </w:t>
      </w:r>
      <w:proofErr w:type="spellStart"/>
      <w:r>
        <w:t>Your</w:t>
      </w:r>
      <w:proofErr w:type="spellEnd"/>
      <w:r>
        <w:t xml:space="preserve"> </w:t>
      </w:r>
      <w:proofErr w:type="spellStart"/>
      <w:r>
        <w:t>Mother’s</w:t>
      </w:r>
      <w:proofErr w:type="spellEnd"/>
      <w:r w:rsidR="0044709D">
        <w:t>),</w:t>
      </w:r>
      <w:r>
        <w:t xml:space="preserve"> зробили позитивний внесок. В органічному вираженні, тобто з коригуванням на вплив валютних курсів і придбання/продаж активів, Henkel зафіксувала </w:t>
      </w:r>
      <w:r w:rsidR="006E2C4D">
        <w:t>значне</w:t>
      </w:r>
      <w:r>
        <w:t xml:space="preserve"> зростання продажів на 3,2 % (</w:t>
      </w:r>
      <w:r w:rsidR="009045FA">
        <w:t xml:space="preserve">ІІ </w:t>
      </w:r>
      <w:r>
        <w:t>квартал: +4,7 %).</w:t>
      </w:r>
    </w:p>
    <w:p w14:paraId="5125CC31" w14:textId="77777777" w:rsidR="00E812A3" w:rsidRPr="000311F4" w:rsidRDefault="00E812A3" w:rsidP="00E812A3">
      <w:pPr>
        <w:rPr>
          <w:rFonts w:cs="Segoe UI"/>
          <w:szCs w:val="22"/>
        </w:rPr>
      </w:pPr>
    </w:p>
    <w:p w14:paraId="4EB6CF32" w14:textId="25B3AA20" w:rsidR="00E812A3" w:rsidRPr="000311F4" w:rsidRDefault="00E812A3" w:rsidP="00E812A3">
      <w:pPr>
        <w:rPr>
          <w:rFonts w:cs="Segoe UI"/>
          <w:szCs w:val="22"/>
        </w:rPr>
      </w:pPr>
      <w:r>
        <w:t xml:space="preserve">Бізнес-підрозділ </w:t>
      </w:r>
      <w:r>
        <w:rPr>
          <w:b/>
          <w:bCs/>
        </w:rPr>
        <w:t>«Клейові технології»</w:t>
      </w:r>
      <w:r>
        <w:t xml:space="preserve"> досяг дуже сильного органічного зростання продажів на 4,5 % (</w:t>
      </w:r>
      <w:r w:rsidR="009045FA">
        <w:t xml:space="preserve">ІІ </w:t>
      </w:r>
      <w:r>
        <w:t xml:space="preserve">квартал: +7,4 %) у першому півріччі 2026 року, що було зумовлено насамперед напрямом «Мобільність та електроніка». Бізнес-підрозділ </w:t>
      </w:r>
      <w:r>
        <w:rPr>
          <w:b/>
          <w:bCs/>
        </w:rPr>
        <w:t>«Споживчі бренди»</w:t>
      </w:r>
      <w:r>
        <w:t xml:space="preserve"> також продемонстрував позитивну динаміку з хорошим органічним зростанням продажів на 1,7 % (</w:t>
      </w:r>
      <w:r w:rsidR="009045FA">
        <w:t xml:space="preserve">ІІ </w:t>
      </w:r>
      <w:r>
        <w:t>квартал: +1,6 %), що було зумовлено, зокрема, дуже сильним зростанням у напрям</w:t>
      </w:r>
      <w:r w:rsidR="006E2C4D">
        <w:t>і</w:t>
      </w:r>
      <w:r>
        <w:t xml:space="preserve"> «Засоби для волосся».</w:t>
      </w:r>
    </w:p>
    <w:p w14:paraId="25B9A9F2" w14:textId="3D51B412" w:rsidR="00211BA0" w:rsidRPr="00211BA0" w:rsidRDefault="00211BA0" w:rsidP="00211BA0">
      <w:pPr>
        <w:rPr>
          <w:rFonts w:cs="Segoe UI"/>
          <w:szCs w:val="22"/>
        </w:rPr>
      </w:pPr>
      <w:r>
        <w:t xml:space="preserve">У регіоні </w:t>
      </w:r>
      <w:r>
        <w:rPr>
          <w:b/>
          <w:bCs/>
        </w:rPr>
        <w:t>Європа</w:t>
      </w:r>
      <w:r>
        <w:t xml:space="preserve"> зафіксовано негативну органічну динаміку продажів на рівні -1,5 % (</w:t>
      </w:r>
      <w:r w:rsidR="009045FA">
        <w:t xml:space="preserve">ІІ </w:t>
      </w:r>
      <w:r>
        <w:t xml:space="preserve">квартал: +0,4 %). Натомість у регіоні </w:t>
      </w:r>
      <w:r>
        <w:rPr>
          <w:b/>
          <w:bCs/>
        </w:rPr>
        <w:t>Північна Америка</w:t>
      </w:r>
      <w:r>
        <w:t xml:space="preserve"> було досягнуто хорошого органічного зростання на рівні 2,4 % (</w:t>
      </w:r>
      <w:r w:rsidR="009045FA">
        <w:t xml:space="preserve">ІІ </w:t>
      </w:r>
      <w:r>
        <w:t xml:space="preserve">квартал: +3,9 %). У регіонах </w:t>
      </w:r>
      <w:r>
        <w:rPr>
          <w:b/>
          <w:bCs/>
        </w:rPr>
        <w:t>IMEA</w:t>
      </w:r>
      <w:r>
        <w:t xml:space="preserve"> та </w:t>
      </w:r>
      <w:proofErr w:type="spellStart"/>
      <w:r>
        <w:rPr>
          <w:b/>
          <w:bCs/>
        </w:rPr>
        <w:t>Азійсько</w:t>
      </w:r>
      <w:proofErr w:type="spellEnd"/>
      <w:r>
        <w:rPr>
          <w:b/>
          <w:bCs/>
        </w:rPr>
        <w:t>-Тихоокеанському</w:t>
      </w:r>
      <w:r>
        <w:t xml:space="preserve"> компанія Henkel досягла двозначного органічного зростання продажів на 14,9 % (</w:t>
      </w:r>
      <w:r w:rsidR="009045FA">
        <w:t xml:space="preserve">ІІ </w:t>
      </w:r>
      <w:r>
        <w:t>квартал: +17,4 %) та 10,3 %</w:t>
      </w:r>
      <w:r w:rsidR="009045FA">
        <w:t xml:space="preserve"> </w:t>
      </w:r>
      <w:r>
        <w:t>(</w:t>
      </w:r>
      <w:r w:rsidR="009045FA">
        <w:t xml:space="preserve">ІІ </w:t>
      </w:r>
      <w:r>
        <w:t xml:space="preserve">квартал: +10,3 %) відповідно. У регіоні </w:t>
      </w:r>
      <w:r>
        <w:rPr>
          <w:b/>
          <w:bCs/>
        </w:rPr>
        <w:t>Латинська Америка</w:t>
      </w:r>
      <w:r>
        <w:t xml:space="preserve"> натомість було зафіксовано дещо негативну органічну динаміку продажів на рівні -1,3 % (</w:t>
      </w:r>
      <w:r w:rsidR="009045FA">
        <w:t xml:space="preserve">ІІ </w:t>
      </w:r>
      <w:r>
        <w:t>квартал: +0,5 %).</w:t>
      </w:r>
    </w:p>
    <w:p w14:paraId="0C44AA06" w14:textId="77777777" w:rsidR="00211BA0" w:rsidRPr="008530DF" w:rsidRDefault="00211BA0" w:rsidP="00211BA0">
      <w:pPr>
        <w:rPr>
          <w:rFonts w:cs="Segoe UI"/>
          <w:szCs w:val="22"/>
        </w:rPr>
      </w:pPr>
    </w:p>
    <w:p w14:paraId="722810C9" w14:textId="024E6282" w:rsidR="000311F4" w:rsidRDefault="003663FD" w:rsidP="00211BA0">
      <w:pPr>
        <w:rPr>
          <w:rFonts w:cs="Segoe UI"/>
          <w:szCs w:val="22"/>
        </w:rPr>
      </w:pPr>
      <w:r>
        <w:rPr>
          <w:b/>
          <w:bCs/>
        </w:rPr>
        <w:t>Скоригований операційний прибуток (скоригований EBIT)</w:t>
      </w:r>
      <w:r>
        <w:t xml:space="preserve"> </w:t>
      </w:r>
      <w:r w:rsidR="009045FA">
        <w:t xml:space="preserve">становив </w:t>
      </w:r>
      <w:r>
        <w:t xml:space="preserve">1 620 млн євро, що трохи вище за показник попереднього року 1 614 млн євро. </w:t>
      </w:r>
    </w:p>
    <w:p w14:paraId="02E68EC1" w14:textId="77777777" w:rsidR="000311F4" w:rsidRDefault="000311F4" w:rsidP="000311F4">
      <w:pPr>
        <w:rPr>
          <w:rFonts w:cs="Segoe UI"/>
          <w:szCs w:val="22"/>
        </w:rPr>
      </w:pPr>
    </w:p>
    <w:p w14:paraId="7D455914" w14:textId="0DD4C61B" w:rsidR="000311F4" w:rsidRDefault="000311F4" w:rsidP="000311F4">
      <w:pPr>
        <w:rPr>
          <w:rFonts w:cs="Segoe UI"/>
          <w:szCs w:val="22"/>
        </w:rPr>
      </w:pPr>
      <w:r>
        <w:rPr>
          <w:b/>
          <w:bCs/>
        </w:rPr>
        <w:t xml:space="preserve">Скоригована рентабельність продажів (скоригована маржа EBIT) </w:t>
      </w:r>
      <w:r>
        <w:t>Групи Henkel також зросла до 15,7 % (попередній рік: 15,5 %).</w:t>
      </w:r>
    </w:p>
    <w:p w14:paraId="4415DB2B" w14:textId="77777777" w:rsidR="000311F4" w:rsidRDefault="000311F4" w:rsidP="000311F4">
      <w:pPr>
        <w:rPr>
          <w:rFonts w:cs="Segoe UI"/>
          <w:szCs w:val="22"/>
        </w:rPr>
      </w:pPr>
    </w:p>
    <w:p w14:paraId="4F5EEB63" w14:textId="36C0AA4A" w:rsidR="000311F4" w:rsidRDefault="003663FD" w:rsidP="000311F4">
      <w:pPr>
        <w:rPr>
          <w:rFonts w:cs="Segoe UI"/>
          <w:szCs w:val="22"/>
        </w:rPr>
      </w:pPr>
      <w:bookmarkStart w:id="3" w:name="_Hlk190081485"/>
      <w:r>
        <w:rPr>
          <w:b/>
          <w:bCs/>
        </w:rPr>
        <w:t>Скоригований прибуток на привілейовану акцію</w:t>
      </w:r>
      <w:r>
        <w:t xml:space="preserve"> зріс на 1,8 % до 2,86 євро (попередній рік: 2,81 євро). За незмінних обмінних курсів скоригований прибуток на привілейовану акцію зріс на 7,1 %.</w:t>
      </w:r>
    </w:p>
    <w:p w14:paraId="4A7BE388" w14:textId="77777777" w:rsidR="000311F4" w:rsidRDefault="000311F4" w:rsidP="000311F4">
      <w:pPr>
        <w:rPr>
          <w:rFonts w:cs="Segoe UI"/>
          <w:szCs w:val="22"/>
        </w:rPr>
      </w:pPr>
    </w:p>
    <w:bookmarkEnd w:id="3"/>
    <w:p w14:paraId="2D4BE88B" w14:textId="49F72AE0" w:rsidR="000311F4" w:rsidRPr="000311F4" w:rsidRDefault="003663FD" w:rsidP="000311F4">
      <w:pPr>
        <w:rPr>
          <w:rFonts w:cs="Segoe UI"/>
          <w:szCs w:val="22"/>
        </w:rPr>
      </w:pPr>
      <w:r>
        <w:rPr>
          <w:b/>
          <w:bCs/>
        </w:rPr>
        <w:t>Чистий оборотний капітал</w:t>
      </w:r>
      <w:r>
        <w:t xml:space="preserve"> у відсотках від продажів у другому кварталі зріс з 6,0 % до 7,0</w:t>
      </w:r>
      <w:r w:rsidR="006E2C4D">
        <w:t> </w:t>
      </w:r>
      <w:r>
        <w:t>% порівняно з аналогічним періодом минулого року, що частково було зумовлено придбаннями.</w:t>
      </w:r>
    </w:p>
    <w:p w14:paraId="5424E5ED" w14:textId="77777777" w:rsidR="000311F4" w:rsidRPr="000311F4" w:rsidRDefault="000311F4" w:rsidP="000311F4">
      <w:pPr>
        <w:rPr>
          <w:rFonts w:cs="Segoe UI"/>
          <w:szCs w:val="22"/>
        </w:rPr>
      </w:pPr>
    </w:p>
    <w:p w14:paraId="52A4DE57" w14:textId="1B8FCC29" w:rsidR="000311F4" w:rsidRDefault="005D4737" w:rsidP="005D4737">
      <w:pPr>
        <w:rPr>
          <w:rFonts w:cs="Segoe UI"/>
          <w:szCs w:val="22"/>
        </w:rPr>
      </w:pPr>
      <w:r>
        <w:rPr>
          <w:b/>
        </w:rPr>
        <w:t xml:space="preserve">Вільний грошовий потік </w:t>
      </w:r>
      <w:r>
        <w:t>зріс до 612 млн євро (перше півріччя 2025 року: 485 млн євро),</w:t>
      </w:r>
      <w:r>
        <w:rPr>
          <w:b/>
        </w:rPr>
        <w:t xml:space="preserve"> </w:t>
      </w:r>
      <w:r>
        <w:t xml:space="preserve"> переважно завдяки вищому грошовому потоку від операційної діяльності.</w:t>
      </w:r>
    </w:p>
    <w:p w14:paraId="2DA96DA1" w14:textId="77777777" w:rsidR="005D4737" w:rsidRPr="005D4737" w:rsidRDefault="005D4737" w:rsidP="005D4737">
      <w:pPr>
        <w:rPr>
          <w:rFonts w:cs="Segoe UI"/>
          <w:szCs w:val="22"/>
        </w:rPr>
      </w:pPr>
    </w:p>
    <w:p w14:paraId="64A8E4B0" w14:textId="17A87883" w:rsidR="000311F4" w:rsidRDefault="000311F4" w:rsidP="000311F4">
      <w:pPr>
        <w:rPr>
          <w:rFonts w:cs="Segoe UI"/>
          <w:szCs w:val="22"/>
        </w:rPr>
      </w:pPr>
      <w:r>
        <w:rPr>
          <w:b/>
        </w:rPr>
        <w:lastRenderedPageBreak/>
        <w:t>Чиста фінансова позиція</w:t>
      </w:r>
      <w:r>
        <w:t xml:space="preserve"> становила -1 855 млн євро станом на 30 червня 2026 року (31 грудня 2025 року: 109 млн євро), що головним чином відображає від</w:t>
      </w:r>
      <w:r w:rsidR="006E2C4D">
        <w:t>плив</w:t>
      </w:r>
      <w:r>
        <w:t xml:space="preserve"> грошових коштів, пов'язаний </w:t>
      </w:r>
      <w:r w:rsidR="009045FA">
        <w:t>і</w:t>
      </w:r>
      <w:r>
        <w:t>з нещодавно закритими угодами з поглинання та програмою зворотного викупу акцій.</w:t>
      </w:r>
    </w:p>
    <w:p w14:paraId="247B272B" w14:textId="77777777" w:rsidR="000311F4" w:rsidRDefault="000311F4" w:rsidP="000311F4">
      <w:pPr>
        <w:rPr>
          <w:rFonts w:cs="Segoe UI"/>
          <w:szCs w:val="22"/>
        </w:rPr>
      </w:pPr>
    </w:p>
    <w:p w14:paraId="4649C4D4" w14:textId="42D9D5A2" w:rsidR="00846017" w:rsidRPr="005D4737" w:rsidRDefault="00DE4DB3" w:rsidP="00CD1F32">
      <w:pPr>
        <w:spacing w:after="120"/>
        <w:rPr>
          <w:rFonts w:cs="Segoe UI"/>
          <w:b/>
          <w:bCs/>
          <w:szCs w:val="22"/>
        </w:rPr>
      </w:pPr>
      <w:r>
        <w:rPr>
          <w:b/>
        </w:rPr>
        <w:t>Результати діяльності бізнес-підрозділів у першому півріччі 2026 фінансового року</w:t>
      </w:r>
    </w:p>
    <w:p w14:paraId="6A3D995D" w14:textId="089A29AD" w:rsidR="005D4737" w:rsidRDefault="00B312F1" w:rsidP="00B312F1">
      <w:pPr>
        <w:rPr>
          <w:rFonts w:cs="Segoe UI"/>
          <w:szCs w:val="22"/>
        </w:rPr>
      </w:pPr>
      <w:r>
        <w:rPr>
          <w:b/>
        </w:rPr>
        <w:t>Продажі</w:t>
      </w:r>
      <w:r>
        <w:t xml:space="preserve"> у бізнес-підрозділі </w:t>
      </w:r>
      <w:r>
        <w:rPr>
          <w:b/>
        </w:rPr>
        <w:t>«Клейові технології»</w:t>
      </w:r>
      <w:r>
        <w:t xml:space="preserve"> зросли на 2,2 % в номінальному вираженні</w:t>
      </w:r>
      <w:r w:rsidR="004334D8">
        <w:t xml:space="preserve"> –</w:t>
      </w:r>
      <w:r>
        <w:t xml:space="preserve"> до 5 534 млн євро у першому півріччі 2026 року (</w:t>
      </w:r>
      <w:r w:rsidR="004334D8">
        <w:t xml:space="preserve">ІІ </w:t>
      </w:r>
      <w:r>
        <w:t xml:space="preserve">квартал: 2 908 млн євро, +7,6 %). </w:t>
      </w:r>
      <w:r>
        <w:rPr>
          <w:b/>
        </w:rPr>
        <w:t>В органічному вираженні</w:t>
      </w:r>
      <w:r>
        <w:t xml:space="preserve"> підрозділ «Клейові технології» досяг дуже сильного зростання продажів на 4,5 % (</w:t>
      </w:r>
      <w:r w:rsidR="004334D8">
        <w:t xml:space="preserve">ІІ </w:t>
      </w:r>
      <w:r>
        <w:t>квартал: +7,4 %). Це зростання було зумовлене як позитивною ціновою динамікою, так і збільшенням обсягів продажів.</w:t>
      </w:r>
    </w:p>
    <w:p w14:paraId="7DCABAF6" w14:textId="77777777" w:rsidR="005D4737" w:rsidRDefault="005D4737" w:rsidP="00B312F1">
      <w:pPr>
        <w:rPr>
          <w:rFonts w:cs="Segoe UI"/>
          <w:szCs w:val="22"/>
        </w:rPr>
      </w:pPr>
    </w:p>
    <w:p w14:paraId="17A3AF2D" w14:textId="03F509C7" w:rsidR="005D4737" w:rsidRPr="005977D4" w:rsidRDefault="005D4737" w:rsidP="005D4737">
      <w:pPr>
        <w:rPr>
          <w:rFonts w:eastAsia="Segoe UI" w:cs="Segoe UI"/>
          <w:szCs w:val="18"/>
        </w:rPr>
      </w:pPr>
      <w:r>
        <w:t xml:space="preserve">У розрізі бізнес-напрямів органічне зростання продажів у бізнес-підрозділі «Клейові технології» </w:t>
      </w:r>
      <w:r w:rsidR="0044709D">
        <w:t xml:space="preserve">в </w:t>
      </w:r>
      <w:r>
        <w:t xml:space="preserve">першому півріччі було зумовлене, зокрема, значним органічним збільшенням продажів на 7,8 % </w:t>
      </w:r>
      <w:r w:rsidR="0044709D">
        <w:t xml:space="preserve">у </w:t>
      </w:r>
      <w:r>
        <w:t xml:space="preserve">бізнес-напрямі </w:t>
      </w:r>
      <w:r w:rsidR="004334D8">
        <w:t>«</w:t>
      </w:r>
      <w:r>
        <w:rPr>
          <w:b/>
        </w:rPr>
        <w:t>Мобільність та електроніка</w:t>
      </w:r>
      <w:r w:rsidR="004334D8">
        <w:rPr>
          <w:b/>
        </w:rPr>
        <w:t>»</w:t>
      </w:r>
      <w:r>
        <w:rPr>
          <w:b/>
        </w:rPr>
        <w:t xml:space="preserve"> </w:t>
      </w:r>
      <w:r>
        <w:t>(</w:t>
      </w:r>
      <w:r w:rsidR="004334D8">
        <w:t xml:space="preserve">ІІ </w:t>
      </w:r>
      <w:r>
        <w:t>квартал: +8,8 %). Це зростання було підкріплене двозначним органічним зростанням продажів у сегменті «Електроніка» та значним органічним збільшенням продажів у сегменті «Товари для промисловості». Натомість сегмент</w:t>
      </w:r>
      <w:r w:rsidR="005929A5" w:rsidRPr="000A4E75">
        <w:rPr>
          <w:lang w:val="ru-RU"/>
        </w:rPr>
        <w:t xml:space="preserve"> </w:t>
      </w:r>
      <w:r>
        <w:t>«Автомобільні товари» у першому півріччі загалом скоротився, проте продемонстрував покращення</w:t>
      </w:r>
      <w:r w:rsidR="0044709D">
        <w:t xml:space="preserve"> в </w:t>
      </w:r>
      <w:r>
        <w:t xml:space="preserve">другому кварталі з хорошим органічним зростанням продажів. Бізнес-напрям </w:t>
      </w:r>
      <w:r>
        <w:rPr>
          <w:b/>
        </w:rPr>
        <w:t xml:space="preserve">«Упаковка та споживчі товари» </w:t>
      </w:r>
      <w:r>
        <w:t>досяг дуже сильного органічного зростання продажів на 4,7 %, зумовленого сильним зростанням у сегменті «Упаковка» та дуже значним органічним збільшенням продажів у сегменті «Споживчі товари» (</w:t>
      </w:r>
      <w:r w:rsidR="004334D8">
        <w:t xml:space="preserve">ІІ </w:t>
      </w:r>
      <w:r>
        <w:t xml:space="preserve">квартал: +9,1 %). Цьому розвитку подій також сприяли випереджувальні закупівлі клієнтів, зумовлені геополітичною невизначеністю. Бізнес-напрям </w:t>
      </w:r>
      <w:r>
        <w:rPr>
          <w:b/>
        </w:rPr>
        <w:t>«Домашній ремонт, будівництво та товари для професіоналів»</w:t>
      </w:r>
      <w:r>
        <w:t xml:space="preserve"> продемонстрував зростання продажів в органічному вираженні на 1,0 % (</w:t>
      </w:r>
      <w:r w:rsidR="004334D8">
        <w:t xml:space="preserve">ІІ </w:t>
      </w:r>
      <w:r>
        <w:t xml:space="preserve">квартал: +4,4 %). Це зростання було зумовлене, зокрема, значним збільшенням органічних продажів у бізнес-напрямі «Загальне виробництво та технічне обслуговування», </w:t>
      </w:r>
      <w:r w:rsidR="0044709D">
        <w:t xml:space="preserve">а от </w:t>
      </w:r>
      <w:r>
        <w:t xml:space="preserve"> у сегменті «Споживчі товари та будівництво» було зафіксовано незначну негативну динаміку органічних продажів.</w:t>
      </w:r>
    </w:p>
    <w:p w14:paraId="27A9A0CF" w14:textId="77777777" w:rsidR="005D4737" w:rsidRDefault="005D4737" w:rsidP="00B312F1">
      <w:pPr>
        <w:rPr>
          <w:rFonts w:cs="Segoe UI"/>
          <w:szCs w:val="22"/>
          <w:highlight w:val="yellow"/>
        </w:rPr>
      </w:pPr>
      <w:bookmarkStart w:id="4" w:name="_Hlk190097207"/>
    </w:p>
    <w:p w14:paraId="70926E97" w14:textId="6A84C9A4" w:rsidR="005D4737" w:rsidRPr="005D4737" w:rsidRDefault="005D4737" w:rsidP="005D4737">
      <w:pPr>
        <w:rPr>
          <w:rFonts w:cs="Segoe UI"/>
          <w:szCs w:val="22"/>
        </w:rPr>
      </w:pPr>
      <w:r>
        <w:rPr>
          <w:b/>
        </w:rPr>
        <w:t>Скоригований операційний прибуток</w:t>
      </w:r>
      <w:r>
        <w:t xml:space="preserve"> перевищив показник попереднього року і становив 982 млн євро попри негативний вплив курсових різниць.</w:t>
      </w:r>
      <w:r>
        <w:rPr>
          <w:b/>
        </w:rPr>
        <w:t xml:space="preserve"> Скоригована рентабельність продажів</w:t>
      </w:r>
      <w:r>
        <w:t xml:space="preserve"> зросла до 17,7 % порівняно з 17,2 % за аналогічний період минулого року. Сприятливий вплив на це справили ефект масштабу, зумовлений зростанням обсягів, та структура бізнесу.</w:t>
      </w:r>
    </w:p>
    <w:p w14:paraId="4FF29955" w14:textId="77777777" w:rsidR="005D4737" w:rsidRPr="005D4737" w:rsidRDefault="005D4737" w:rsidP="005D4737">
      <w:pPr>
        <w:rPr>
          <w:rFonts w:cs="Segoe UI"/>
          <w:szCs w:val="22"/>
        </w:rPr>
      </w:pPr>
    </w:p>
    <w:bookmarkEnd w:id="4"/>
    <w:p w14:paraId="23ADC4EC" w14:textId="541D9F9A" w:rsidR="00A27073" w:rsidRPr="00A27073" w:rsidRDefault="00A27073" w:rsidP="00A27073">
      <w:pPr>
        <w:rPr>
          <w:rFonts w:cs="Segoe UI"/>
          <w:szCs w:val="22"/>
        </w:rPr>
      </w:pPr>
      <w:r>
        <w:lastRenderedPageBreak/>
        <w:t xml:space="preserve">Бізнес-підрозділ </w:t>
      </w:r>
      <w:r>
        <w:rPr>
          <w:b/>
          <w:bCs/>
        </w:rPr>
        <w:t>«Споживчі бренди»</w:t>
      </w:r>
      <w:r>
        <w:t xml:space="preserve"> отримав дохід від </w:t>
      </w:r>
      <w:r>
        <w:rPr>
          <w:b/>
          <w:bCs/>
        </w:rPr>
        <w:t>продажів</w:t>
      </w:r>
      <w:r>
        <w:t xml:space="preserve"> розмір</w:t>
      </w:r>
      <w:r w:rsidR="004334D8">
        <w:t xml:space="preserve">ом </w:t>
      </w:r>
      <w:r>
        <w:t xml:space="preserve">4 733 млн євро </w:t>
      </w:r>
      <w:r w:rsidR="004334D8">
        <w:t xml:space="preserve">в </w:t>
      </w:r>
      <w:r>
        <w:t>першому півріччі 2026 року, що становить номінальне зниження на 3,5 % порівняно з аналогічним періодом минулого року (</w:t>
      </w:r>
      <w:r w:rsidR="004334D8">
        <w:t xml:space="preserve">ІІ </w:t>
      </w:r>
      <w:r>
        <w:t xml:space="preserve">квартал: 2 448 млн євро, +1,1 %). </w:t>
      </w:r>
      <w:r>
        <w:rPr>
          <w:b/>
        </w:rPr>
        <w:t>В органічному вираженні</w:t>
      </w:r>
      <w:r>
        <w:t xml:space="preserve"> продажі зросли на 1,7 % (</w:t>
      </w:r>
      <w:r w:rsidR="004334D8">
        <w:t xml:space="preserve">ІІ </w:t>
      </w:r>
      <w:r>
        <w:t xml:space="preserve">квартал: +1,6 %), при цьому </w:t>
      </w:r>
      <w:r w:rsidR="0044709D">
        <w:t xml:space="preserve">в </w:t>
      </w:r>
      <w:r>
        <w:t>бізнес-підрозділі було зафіксовано позитивну динаміку як цін, так і обсягів порівняно з першим півріччям 2025 року.</w:t>
      </w:r>
    </w:p>
    <w:p w14:paraId="5EF78331" w14:textId="77777777" w:rsidR="00A27073" w:rsidRPr="00A27073" w:rsidRDefault="00A27073" w:rsidP="00521B13">
      <w:pPr>
        <w:rPr>
          <w:rFonts w:cs="Segoe UI"/>
          <w:szCs w:val="22"/>
          <w:highlight w:val="yellow"/>
        </w:rPr>
      </w:pPr>
    </w:p>
    <w:p w14:paraId="3BF6D58D" w14:textId="02874370" w:rsidR="00A27073" w:rsidRPr="00A27073" w:rsidRDefault="00A27073" w:rsidP="00A27073">
      <w:pPr>
        <w:rPr>
          <w:rFonts w:cs="Segoe UI"/>
          <w:szCs w:val="22"/>
          <w:highlight w:val="yellow"/>
        </w:rPr>
      </w:pPr>
      <w:r>
        <w:t xml:space="preserve">У першому півріччі бізнес-напрям </w:t>
      </w:r>
      <w:r>
        <w:rPr>
          <w:b/>
        </w:rPr>
        <w:t>«Засоби для прання та догляду за оселею»</w:t>
      </w:r>
      <w:r>
        <w:t xml:space="preserve"> продемонстрував позитивну динаміку органічних продажів на рівні 0,7 % (</w:t>
      </w:r>
      <w:r w:rsidR="004334D8">
        <w:t xml:space="preserve">ІІ </w:t>
      </w:r>
      <w:r>
        <w:t>квартал: +1,3 %). Бізнес-напрям «Засоби для прання» продемонстрував зростання органічних продажів, зумовлене значним збільшенням продажів у категорії «Догляд за тканинами» та позитивною динамікою в категорії «Кондиціонери для білизни». Натомість у категорії «Засоби для чищення тканин» було зафіксовано незначне зниження. Бізнес-напрям «Догляд за оселею» продемонстрував впевнене зростання продажів в органічному вираженні, зумовлене, зокрема, двозначним збільшенням у категорії засобів для ручного миття посуду. Бізнес-напрям «Засоби для волосся» продемонстрував дуже високе зростання продажів в органічному вираженні на рівні 4,2 % (</w:t>
      </w:r>
      <w:r w:rsidR="004334D8">
        <w:t xml:space="preserve">ІІ </w:t>
      </w:r>
      <w:r>
        <w:t xml:space="preserve">квартал: +3,3 %) і, таким чином, став основним драйвером зростання бізнес-підрозділу «Споживчі бренди». Цей позитивний результат був зумовлений як діяльністю у споживчому сегменті, що зафіксував впевнене зростання продажів в органічному вираженні, так і професійним напрямом, який продемонстрував дуже високі показники зростання. У межах споживчого сегмента зростання продемонстрували всі категорії, причому найбільший внесок забезпечили засоби для фарбування </w:t>
      </w:r>
      <w:r w:rsidR="0044709D">
        <w:t xml:space="preserve">й </w:t>
      </w:r>
      <w:r>
        <w:t>укладання волосся. Бізнес-напрям «Інші споживчі товари», навпаки, зафіксував негативну динаміку продажів в органічному вираженні на рівні -2,1 % (</w:t>
      </w:r>
      <w:r w:rsidR="004334D8">
        <w:t xml:space="preserve">ІІ </w:t>
      </w:r>
      <w:r>
        <w:t xml:space="preserve">квартал: -4,6 %) у першому півріччі, головним чином через показники </w:t>
      </w:r>
      <w:r w:rsidR="0044709D">
        <w:t xml:space="preserve">в </w:t>
      </w:r>
      <w:r>
        <w:t>категорії «Догляд за тілом» у регіоні Європа. Натомість регіон Північна Америка продемонстрував впевнене зростання продажів в органічному вираженні.</w:t>
      </w:r>
    </w:p>
    <w:p w14:paraId="0101AD53" w14:textId="77777777" w:rsidR="00A27073" w:rsidRPr="00A27073" w:rsidRDefault="00A27073" w:rsidP="00521B13">
      <w:pPr>
        <w:rPr>
          <w:rFonts w:cs="Segoe UI"/>
          <w:szCs w:val="22"/>
        </w:rPr>
      </w:pPr>
      <w:bookmarkStart w:id="5" w:name="_Hlk190100714"/>
    </w:p>
    <w:p w14:paraId="2669D3B3" w14:textId="39BDE271" w:rsidR="005F2643" w:rsidRPr="00A27073" w:rsidRDefault="00A27073" w:rsidP="00A27073">
      <w:pPr>
        <w:rPr>
          <w:rFonts w:cs="Segoe UI"/>
          <w:szCs w:val="22"/>
        </w:rPr>
      </w:pPr>
      <w:r>
        <w:rPr>
          <w:b/>
        </w:rPr>
        <w:t xml:space="preserve">Скоригований операційний прибуток </w:t>
      </w:r>
      <w:r>
        <w:t xml:space="preserve">становив 724 млн євро і тому був дещо нижчим за рівень попереднього року, насамперед через продаж бізнес-напряму роздрібних брендів у Північній Америці у квітні 2025 року та негативний вплив валютних курсів. Натомість </w:t>
      </w:r>
      <w:r>
        <w:rPr>
          <w:b/>
        </w:rPr>
        <w:t xml:space="preserve">скоригована рентабельність продажів </w:t>
      </w:r>
      <w:r>
        <w:t xml:space="preserve">залишилася незмінною на рівні 15,3 % порівняно з аналогічним періодом минулого року. </w:t>
      </w:r>
      <w:bookmarkEnd w:id="5"/>
    </w:p>
    <w:p w14:paraId="45F7F611" w14:textId="6AC974FB" w:rsidR="00B05ECC" w:rsidRPr="005F750F" w:rsidRDefault="00B05ECC" w:rsidP="00B05ECC">
      <w:pPr>
        <w:rPr>
          <w:rFonts w:cs="Segoe UI"/>
          <w:szCs w:val="22"/>
        </w:rPr>
      </w:pPr>
    </w:p>
    <w:p w14:paraId="2024FF95" w14:textId="222DDBFE" w:rsidR="00E21F5D" w:rsidRPr="00E21F5D" w:rsidRDefault="00A811D8" w:rsidP="00E21F5D">
      <w:pPr>
        <w:spacing w:after="120"/>
        <w:rPr>
          <w:rFonts w:cs="Segoe UI"/>
          <w:b/>
          <w:bCs/>
          <w:szCs w:val="22"/>
        </w:rPr>
      </w:pPr>
      <w:r>
        <w:rPr>
          <w:b/>
        </w:rPr>
        <w:t>Успішна реалізація стратегії зростання шляхом злиття та поглинань у першому півріччі</w:t>
      </w:r>
    </w:p>
    <w:p w14:paraId="02BF1EFC" w14:textId="351A8E98" w:rsidR="005110D3" w:rsidRPr="00E21F5D" w:rsidRDefault="00A811D8" w:rsidP="00A811D8">
      <w:pPr>
        <w:autoSpaceDE w:val="0"/>
        <w:autoSpaceDN w:val="0"/>
        <w:adjustRightInd w:val="0"/>
        <w:rPr>
          <w:rFonts w:cs="Segoe UI"/>
          <w:bCs/>
          <w:szCs w:val="22"/>
        </w:rPr>
      </w:pPr>
      <w:r>
        <w:t xml:space="preserve">У першому півріччі 2026 року компанія Henkel також досягла значного прогресу в реалізації своєї стратегії зростання шляхом злиття та поглинань, яка є невід’ємною </w:t>
      </w:r>
      <w:r w:rsidR="0044709D">
        <w:lastRenderedPageBreak/>
        <w:t xml:space="preserve">складовою </w:t>
      </w:r>
      <w:r>
        <w:t xml:space="preserve">загальної </w:t>
      </w:r>
      <w:r>
        <w:rPr>
          <w:b/>
        </w:rPr>
        <w:t>стратегії зростання</w:t>
      </w:r>
      <w:r>
        <w:t xml:space="preserve"> компанії, в обох бізнес-підрозділах. Завдяки нещодавно оголошеним придбанням компанія Henkel інвестує загалом 5 млрд євро, що дозволить розширити бізнес на сукупний річний обсяг продажів приблизно в 1,6 млрд євро. На сьогодні Henkel успішно завершила чотири з п’яти угод: </w:t>
      </w:r>
      <w:proofErr w:type="spellStart"/>
      <w:r>
        <w:t>Wetherby</w:t>
      </w:r>
      <w:proofErr w:type="spellEnd"/>
      <w:r>
        <w:t xml:space="preserve"> </w:t>
      </w:r>
      <w:proofErr w:type="spellStart"/>
      <w:r>
        <w:t>Laroc</w:t>
      </w:r>
      <w:proofErr w:type="spellEnd"/>
      <w:r>
        <w:t xml:space="preserve"> та ATP </w:t>
      </w:r>
      <w:proofErr w:type="spellStart"/>
      <w:r>
        <w:t>Adhesive</w:t>
      </w:r>
      <w:proofErr w:type="spellEnd"/>
      <w:r>
        <w:t xml:space="preserve"> </w:t>
      </w:r>
      <w:proofErr w:type="spellStart"/>
      <w:r>
        <w:t>Systems</w:t>
      </w:r>
      <w:proofErr w:type="spellEnd"/>
      <w:r>
        <w:t xml:space="preserve"> у бізнес-підрозділі «Клейові технології», а також </w:t>
      </w:r>
      <w:proofErr w:type="spellStart"/>
      <w:r>
        <w:t>Not</w:t>
      </w:r>
      <w:proofErr w:type="spellEnd"/>
      <w:r>
        <w:t xml:space="preserve"> </w:t>
      </w:r>
      <w:proofErr w:type="spellStart"/>
      <w:r>
        <w:t>Your</w:t>
      </w:r>
      <w:proofErr w:type="spellEnd"/>
      <w:r>
        <w:t xml:space="preserve"> </w:t>
      </w:r>
      <w:proofErr w:type="spellStart"/>
      <w:r>
        <w:t>Mother’s</w:t>
      </w:r>
      <w:proofErr w:type="spellEnd"/>
      <w:r>
        <w:t xml:space="preserve"> і зовсім нещодавно OLAPLEX у бізнес-підрозділі «Споживчі бренди». Завершення придбання </w:t>
      </w:r>
      <w:proofErr w:type="spellStart"/>
      <w:r>
        <w:t>Stahl</w:t>
      </w:r>
      <w:proofErr w:type="spellEnd"/>
      <w:r>
        <w:t xml:space="preserve"> Group у сфері клейових технологій очікується </w:t>
      </w:r>
      <w:r w:rsidR="000F79E6">
        <w:t xml:space="preserve">в </w:t>
      </w:r>
      <w:r>
        <w:t>другому півріччі 2026 фінансового року.</w:t>
      </w:r>
    </w:p>
    <w:p w14:paraId="0F99C05C" w14:textId="77777777" w:rsidR="00E21F5D" w:rsidRPr="0006442E" w:rsidRDefault="00E21F5D" w:rsidP="008762E7">
      <w:pPr>
        <w:autoSpaceDE w:val="0"/>
        <w:autoSpaceDN w:val="0"/>
        <w:adjustRightInd w:val="0"/>
        <w:rPr>
          <w:rFonts w:cs="Segoe UI"/>
          <w:bCs/>
          <w:szCs w:val="22"/>
        </w:rPr>
      </w:pPr>
    </w:p>
    <w:p w14:paraId="77AA3405" w14:textId="581868BF" w:rsidR="00C76008" w:rsidRDefault="00C76008" w:rsidP="00C76008">
      <w:pPr>
        <w:autoSpaceDE w:val="0"/>
        <w:autoSpaceDN w:val="0"/>
        <w:adjustRightInd w:val="0"/>
        <w:rPr>
          <w:rFonts w:cs="Segoe UI"/>
          <w:bCs/>
          <w:szCs w:val="22"/>
        </w:rPr>
      </w:pPr>
      <w:r>
        <w:t>Завдяки придбанню бренд</w:t>
      </w:r>
      <w:r w:rsidR="000F79E6">
        <w:t>а</w:t>
      </w:r>
      <w:r>
        <w:t xml:space="preserve"> преміальних засобів для догляду за волоссям </w:t>
      </w:r>
      <w:r>
        <w:rPr>
          <w:b/>
          <w:bCs/>
        </w:rPr>
        <w:t>OLAPLEX</w:t>
      </w:r>
      <w:r>
        <w:t>, який забезпечує приблизно 370 млн євро річного обсягу продажів, компанія Henkel ще більше зміцнює свою глобальну присутність у сегменті преміальних засобів для догляду за волоссям і тепер посідає друге місце у світі у сфері професійного догляду за волоссям. Ринок преміальних засобів для догляду за волоссям є надзвичайно привабливим, а очікуваний середньорічний темп його зростання найближч</w:t>
      </w:r>
      <w:r w:rsidR="004334D8">
        <w:t xml:space="preserve">ими </w:t>
      </w:r>
      <w:r>
        <w:t>рок</w:t>
      </w:r>
      <w:r w:rsidR="004334D8">
        <w:t>ам</w:t>
      </w:r>
      <w:r>
        <w:t xml:space="preserve">и становитиме </w:t>
      </w:r>
      <w:r w:rsidR="004334D8">
        <w:t>при</w:t>
      </w:r>
      <w:r>
        <w:t>близ</w:t>
      </w:r>
      <w:r w:rsidR="004334D8">
        <w:t xml:space="preserve">но </w:t>
      </w:r>
      <w:r>
        <w:t xml:space="preserve">5 %. OLAPLEX — це добре відомий бренд преміальних засобів для догляду за волоссям із портфелем науково обґрунтованих високоефективних продуктів. Завершивши цю угоду, Henkel ще більше зміцнює свою глобальну присутність у категорії догляду за волоссям, яка є ключовою для бізнес-підрозділу «Споживчі бренди». Henkel впевнена, що зможе забезпечити значне зростання цього бізнесу завдяки використанню можливостей перехресних продажів </w:t>
      </w:r>
      <w:r w:rsidR="004334D8">
        <w:t xml:space="preserve">і </w:t>
      </w:r>
      <w:r>
        <w:t xml:space="preserve">зміцненню як спеціалізованих роздрібних каналів, так і перукарень як каналів збуту. Крім того, це придбання створює привабливі можливості для впровадження інновацій </w:t>
      </w:r>
      <w:r w:rsidR="004334D8">
        <w:t xml:space="preserve">і </w:t>
      </w:r>
      <w:r>
        <w:t>розвитку технологій.</w:t>
      </w:r>
    </w:p>
    <w:p w14:paraId="62E961AE" w14:textId="77777777" w:rsidR="00C76008" w:rsidRDefault="00C76008" w:rsidP="00C76008">
      <w:pPr>
        <w:autoSpaceDE w:val="0"/>
        <w:autoSpaceDN w:val="0"/>
        <w:adjustRightInd w:val="0"/>
        <w:rPr>
          <w:rFonts w:cs="Segoe UI"/>
          <w:bCs/>
          <w:szCs w:val="22"/>
        </w:rPr>
      </w:pPr>
    </w:p>
    <w:p w14:paraId="7B2072E3" w14:textId="3B774FEA" w:rsidR="00C76008" w:rsidRPr="00C76008" w:rsidRDefault="00C76008" w:rsidP="00C76008">
      <w:pPr>
        <w:autoSpaceDE w:val="0"/>
        <w:autoSpaceDN w:val="0"/>
        <w:adjustRightInd w:val="0"/>
        <w:rPr>
          <w:rFonts w:cs="Segoe UI"/>
          <w:bCs/>
          <w:szCs w:val="22"/>
        </w:rPr>
      </w:pPr>
      <w:r>
        <w:t xml:space="preserve">Завдяки придбанню компанії </w:t>
      </w:r>
      <w:r>
        <w:rPr>
          <w:b/>
          <w:bCs/>
        </w:rPr>
        <w:t xml:space="preserve">ATP </w:t>
      </w:r>
      <w:proofErr w:type="spellStart"/>
      <w:r>
        <w:rPr>
          <w:b/>
          <w:bCs/>
        </w:rPr>
        <w:t>Adhesive</w:t>
      </w:r>
      <w:proofErr w:type="spellEnd"/>
      <w:r>
        <w:rPr>
          <w:b/>
          <w:bCs/>
        </w:rPr>
        <w:t xml:space="preserve"> </w:t>
      </w:r>
      <w:proofErr w:type="spellStart"/>
      <w:r>
        <w:rPr>
          <w:b/>
          <w:bCs/>
        </w:rPr>
        <w:t>Systems</w:t>
      </w:r>
      <w:proofErr w:type="spellEnd"/>
      <w:r>
        <w:t xml:space="preserve">, річний обсяг продажів якої становить близько 270 млн євро, Henkel виходить за межі рідких технологій, створюючи нову платформу для розвитку високоефективних спеціальних стрічок на водній основі. Це дуже привабливий ринок, який, як очікується, зростатиме на 7 % на рік. Спеціальні стрічки на водній основі завойовують частку ринку як більш екологічна альтернатива рішенням на основі розчинників. Вони </w:t>
      </w:r>
      <w:r w:rsidR="007D2379">
        <w:t>дають можливість</w:t>
      </w:r>
      <w:r>
        <w:t xml:space="preserve"> скоротити викиди летких органічних </w:t>
      </w:r>
      <w:proofErr w:type="spellStart"/>
      <w:r>
        <w:t>сполук</w:t>
      </w:r>
      <w:proofErr w:type="spellEnd"/>
      <w:r>
        <w:t xml:space="preserve"> (ЛОС) на 90 % </w:t>
      </w:r>
      <w:r w:rsidR="000F79E6">
        <w:t xml:space="preserve">і </w:t>
      </w:r>
      <w:r>
        <w:t>зменшити вуглецевий слід на 60 %. Спеціальні стрічки ATP використовуються, наприклад, в автомобільній промисловості для передових систем допомоги водієві. Це придбання також зміцнює інноваційні можливості Henkel, створює привабливі можливості для перехресних продажів і ще більше покращує позиції Henkel на ринку екологічних клейових рішень.</w:t>
      </w:r>
    </w:p>
    <w:p w14:paraId="37C82585" w14:textId="77777777" w:rsidR="00754FF6" w:rsidRDefault="00754FF6" w:rsidP="00CD223C">
      <w:pPr>
        <w:rPr>
          <w:rFonts w:cs="Segoe UI"/>
          <w:bCs/>
          <w:szCs w:val="22"/>
        </w:rPr>
      </w:pPr>
    </w:p>
    <w:p w14:paraId="5FE9F64E" w14:textId="6F56A93E" w:rsidR="00CD223C" w:rsidRPr="00293E0F" w:rsidRDefault="00C76008" w:rsidP="00CD223C">
      <w:pPr>
        <w:rPr>
          <w:rFonts w:cs="Segoe UI"/>
          <w:bCs/>
          <w:szCs w:val="22"/>
        </w:rPr>
      </w:pPr>
      <w:r>
        <w:t xml:space="preserve">Henkel очікує, що нещодавні придбання вперше позитивно вплинуть на обсяг продажів і прибуток у поточному фінансовому році. У 2026 році очікується, що придбані компанії </w:t>
      </w:r>
      <w:r>
        <w:lastRenderedPageBreak/>
        <w:t>забезпечать обсяг продажів на суму приблизно 700 млн євро</w:t>
      </w:r>
      <w:r w:rsidRPr="00211BA0">
        <w:rPr>
          <w:rStyle w:val="FootnoteReference"/>
          <w:rFonts w:cs="Segoe UI"/>
          <w:lang w:val="de-DE" w:eastAsia="de-DE"/>
        </w:rPr>
        <w:footnoteReference w:id="2"/>
      </w:r>
      <w:r w:rsidR="004334D8">
        <w:t>.</w:t>
      </w:r>
      <w:r>
        <w:t xml:space="preserve"> У майбутньому очікується, що п’ять придбаних компаній забезпечать зростання вище середнього в діапазоні від середніх до високих однозначних відсоткових значень, а їхній сукупний обсяг продажів за прогнозами зросте приблизно до 2 млрд євро до 2030 року. З точки зору прибутковості Henkel очікує, що до 2030 року ці придбання забезпечать принаймні 10 % скоригованого прибутку на привілейовану акцію.</w:t>
      </w:r>
    </w:p>
    <w:p w14:paraId="4DFD3C6C" w14:textId="77777777" w:rsidR="00211BA0" w:rsidRPr="009C6158" w:rsidRDefault="00211BA0" w:rsidP="00C76008">
      <w:pPr>
        <w:rPr>
          <w:rFonts w:cs="Segoe UI"/>
          <w:bCs/>
          <w:szCs w:val="22"/>
        </w:rPr>
      </w:pPr>
    </w:p>
    <w:p w14:paraId="2F2FD7C3" w14:textId="4AED9D90" w:rsidR="00E83A6D" w:rsidRPr="00DC34C4" w:rsidRDefault="00E83A6D" w:rsidP="00E83A6D">
      <w:pPr>
        <w:spacing w:after="80"/>
        <w:ind w:right="-108"/>
        <w:jc w:val="left"/>
        <w:rPr>
          <w:rFonts w:asciiTheme="majorHAnsi" w:hAnsiTheme="majorHAnsi" w:cstheme="majorHAnsi"/>
          <w:b/>
          <w:szCs w:val="22"/>
        </w:rPr>
      </w:pPr>
      <w:bookmarkStart w:id="6" w:name="_Hlk190182989"/>
      <w:r>
        <w:rPr>
          <w:rFonts w:asciiTheme="majorHAnsi" w:hAnsiTheme="majorHAnsi"/>
          <w:b/>
        </w:rPr>
        <w:t>Прогноз на 2026 фінансовий рік: підвищено очікування щодо обсягів продажів для Групи та підрозділу «Клейові технології»</w:t>
      </w:r>
    </w:p>
    <w:p w14:paraId="3AFD25E5" w14:textId="6D7D8954" w:rsidR="0061561D" w:rsidRDefault="008B00CA" w:rsidP="00E83A6D">
      <w:pPr>
        <w:rPr>
          <w:rFonts w:cs="Segoe UI"/>
          <w:szCs w:val="22"/>
        </w:rPr>
      </w:pPr>
      <w:r>
        <w:t xml:space="preserve">З огляду на високі показники за перше півріччя компанія Henkel підвищила прогноз щодо обсягів продажів як для Групи, так і для бізнес-підрозділу «Клейові технології», </w:t>
      </w:r>
      <w:r w:rsidR="000F79E6">
        <w:t xml:space="preserve">а от </w:t>
      </w:r>
      <w:r>
        <w:t xml:space="preserve">очікування щодо скоригованої маржі EBIT </w:t>
      </w:r>
      <w:r w:rsidR="000F79E6">
        <w:t xml:space="preserve">і </w:t>
      </w:r>
      <w:r>
        <w:t>зростання скоригованого показника EPS за незмінних обмінних курсів залишаються без змін.</w:t>
      </w:r>
    </w:p>
    <w:p w14:paraId="4CF8E151" w14:textId="77777777" w:rsidR="0061561D" w:rsidRDefault="0061561D" w:rsidP="00E83A6D">
      <w:pPr>
        <w:rPr>
          <w:rFonts w:cs="Segoe UI"/>
          <w:szCs w:val="22"/>
        </w:rPr>
      </w:pPr>
    </w:p>
    <w:p w14:paraId="13C33C91" w14:textId="68E623DF" w:rsidR="00E83A6D" w:rsidRPr="00E83A6D" w:rsidRDefault="00E83A6D" w:rsidP="00E83A6D">
      <w:pPr>
        <w:rPr>
          <w:rFonts w:cs="Segoe UI"/>
          <w:szCs w:val="22"/>
        </w:rPr>
      </w:pPr>
      <w:r>
        <w:t xml:space="preserve">На поточний рік Henkel тепер очікує </w:t>
      </w:r>
      <w:r>
        <w:rPr>
          <w:b/>
        </w:rPr>
        <w:t>зростання продажів в органічному вираженні</w:t>
      </w:r>
      <w:r>
        <w:t xml:space="preserve"> у діапазоні від 1,5 до 3,5 % (раніше: від 1,0 до 3,0 %). Для бізнес-підрозділу «Клейові технології» зростання продажів в органічному вираженні тепер очікується в діапазоні від 2,0 до 4,0 % (раніше: від 1,0 до 3,0 %). Для бізнес-підрозділу «Споживчі бренди» Henkel, як і раніше, прогнозує зростання продажів в органічному вираженні на рівні від 0,5 до 2,5 %. </w:t>
      </w:r>
    </w:p>
    <w:p w14:paraId="100C5C2D" w14:textId="77777777" w:rsidR="00E83A6D" w:rsidRDefault="00E83A6D" w:rsidP="00E83A6D">
      <w:pPr>
        <w:rPr>
          <w:rFonts w:cs="Segoe UI"/>
          <w:szCs w:val="22"/>
        </w:rPr>
      </w:pPr>
    </w:p>
    <w:p w14:paraId="43F73761" w14:textId="4EAAC17D" w:rsidR="00E83A6D" w:rsidRDefault="00E83A6D" w:rsidP="00E83A6D">
      <w:pPr>
        <w:rPr>
          <w:rFonts w:cs="Segoe UI"/>
          <w:szCs w:val="22"/>
        </w:rPr>
      </w:pPr>
      <w:r>
        <w:rPr>
          <w:b/>
        </w:rPr>
        <w:t>Скоригована рентабельність продажів</w:t>
      </w:r>
      <w:r>
        <w:t xml:space="preserve"> (скоригована маржа EBIT) очікується в діапазоні від 14,5 до 16,0 %. Передбачається, що скоригована рентабельність продажів становитиме від 16,5 до 18,0 % для бізнес-підрозділу «Клейові технології» та від 14,0 до 15,5 % для бізнес-підрозділу «Споживчі бренди». </w:t>
      </w:r>
    </w:p>
    <w:p w14:paraId="312FBE80" w14:textId="77777777" w:rsidR="00E83A6D" w:rsidRPr="00E83A6D" w:rsidRDefault="00E83A6D" w:rsidP="00E83A6D">
      <w:pPr>
        <w:rPr>
          <w:rFonts w:cs="Segoe UI"/>
          <w:szCs w:val="22"/>
        </w:rPr>
      </w:pPr>
    </w:p>
    <w:p w14:paraId="5292E09C" w14:textId="2E12B8AB" w:rsidR="00E83A6D" w:rsidRDefault="00E83A6D" w:rsidP="00E83A6D">
      <w:pPr>
        <w:rPr>
          <w:rFonts w:cs="Segoe UI"/>
          <w:szCs w:val="22"/>
        </w:rPr>
      </w:pPr>
      <w:r>
        <w:rPr>
          <w:b/>
        </w:rPr>
        <w:t>Скоригований прибуток на привілейовану акцію</w:t>
      </w:r>
      <w:r>
        <w:t xml:space="preserve"> (EPS) за незмінних обмінних курсів, як очікується, зросте в діапазоні від низького до високого однозначного відсоткового показника.</w:t>
      </w:r>
    </w:p>
    <w:p w14:paraId="3E57D116" w14:textId="77777777" w:rsidR="00E83A6D" w:rsidRDefault="00E83A6D" w:rsidP="00E83A6D">
      <w:pPr>
        <w:rPr>
          <w:rFonts w:cs="Segoe UI"/>
          <w:szCs w:val="22"/>
        </w:rPr>
      </w:pPr>
    </w:p>
    <w:p w14:paraId="108B3DB6" w14:textId="040A5714" w:rsidR="00E83A6D" w:rsidRDefault="00E83A6D" w:rsidP="00E83A6D">
      <w:pPr>
        <w:rPr>
          <w:rFonts w:cs="Segoe UI"/>
          <w:szCs w:val="22"/>
        </w:rPr>
      </w:pPr>
      <w:r>
        <w:t xml:space="preserve">«Дуже високі результати діяльності </w:t>
      </w:r>
      <w:r w:rsidR="000F79E6">
        <w:t xml:space="preserve">в </w:t>
      </w:r>
      <w:r>
        <w:t xml:space="preserve">першому півріччі 2026 року, що характеризуються значним зростанням продажів в органічному вираженні та подальшим підвищенням як маржі, так і прибутку, демонструють, що трансформація Henkel приносить результати. Ми й надалі активно впроваджуватимемо цю трансформацію, щоб зміцнювати нашу довгострокову конкурентоспроможність і забезпечувати успіх компанії в майбутньому. Ми трансформуємо Henkel для успішного майбутнього, і завдяки чіткій стратегії впевнено прямуємо до подальшого прибуткового зростання», — підкреслив </w:t>
      </w:r>
      <w:proofErr w:type="spellStart"/>
      <w:r>
        <w:t>Карстен</w:t>
      </w:r>
      <w:proofErr w:type="spellEnd"/>
      <w:r>
        <w:t xml:space="preserve"> </w:t>
      </w:r>
      <w:proofErr w:type="spellStart"/>
      <w:r>
        <w:t>Кнобель</w:t>
      </w:r>
      <w:proofErr w:type="spellEnd"/>
      <w:r>
        <w:t>.</w:t>
      </w:r>
    </w:p>
    <w:bookmarkEnd w:id="6"/>
    <w:p w14:paraId="33E22388" w14:textId="77777777" w:rsidR="00B312F1" w:rsidRDefault="00B312F1">
      <w:pPr>
        <w:spacing w:line="240" w:lineRule="auto"/>
        <w:jc w:val="left"/>
        <w:rPr>
          <w:rFonts w:eastAsia="PMingLiU"/>
          <w:b/>
          <w:bCs/>
          <w:sz w:val="18"/>
        </w:rPr>
      </w:pPr>
    </w:p>
    <w:p w14:paraId="32C17D28" w14:textId="77777777" w:rsidR="00DD1D60" w:rsidRPr="00614EA6" w:rsidRDefault="00DD1D60" w:rsidP="00DD1D60">
      <w:pPr>
        <w:rPr>
          <w:b/>
          <w:bCs/>
          <w:sz w:val="16"/>
          <w:szCs w:val="22"/>
        </w:rPr>
      </w:pPr>
      <w:r w:rsidRPr="00614EA6">
        <w:rPr>
          <w:b/>
          <w:bCs/>
          <w:sz w:val="16"/>
          <w:szCs w:val="22"/>
        </w:rPr>
        <w:lastRenderedPageBreak/>
        <w:t>Про компанію «</w:t>
      </w:r>
      <w:proofErr w:type="spellStart"/>
      <w:r w:rsidRPr="00614EA6">
        <w:rPr>
          <w:b/>
          <w:bCs/>
          <w:sz w:val="16"/>
          <w:szCs w:val="22"/>
        </w:rPr>
        <w:t>Хенкель</w:t>
      </w:r>
      <w:proofErr w:type="spellEnd"/>
      <w:r w:rsidRPr="00614EA6">
        <w:rPr>
          <w:b/>
          <w:bCs/>
          <w:sz w:val="16"/>
          <w:szCs w:val="22"/>
        </w:rPr>
        <w:t>»</w:t>
      </w:r>
    </w:p>
    <w:p w14:paraId="43EB3F46" w14:textId="77777777" w:rsidR="00DD1D60" w:rsidRPr="00823595" w:rsidRDefault="00DD1D60" w:rsidP="00DD1D60">
      <w:pPr>
        <w:rPr>
          <w:sz w:val="18"/>
        </w:rPr>
      </w:pPr>
      <w:r w:rsidRPr="00823595">
        <w:rPr>
          <w:rFonts w:cs="Segoe UI"/>
          <w:sz w:val="18"/>
        </w:rPr>
        <w:t xml:space="preserve">Завдяки своїм брендам, інноваціям і технологіям компанія Henkel займає провідні позиції на світовому ринку промислових і споживчих товарів. Бізнес-підрозділ «Клейові технології» компанії Henkel є світовим лідером на ринку клеїв, герметиків і покриттів. Завдяки бізнес-підрозділу «Споживчі бренди» компанія займає провідні позиції на багатьох ринках і в багатьох категоріях по всьому світу, особливо в бізнес-напрямах «Засоби для прання та догляду за оселею» і «Засоби для волосся». Три провідні бренди компанії – це </w:t>
      </w:r>
      <w:proofErr w:type="spellStart"/>
      <w:r w:rsidRPr="00823595">
        <w:rPr>
          <w:rFonts w:cs="Segoe UI"/>
          <w:sz w:val="18"/>
        </w:rPr>
        <w:t>Loctite</w:t>
      </w:r>
      <w:proofErr w:type="spellEnd"/>
      <w:r w:rsidRPr="00823595">
        <w:rPr>
          <w:rFonts w:cs="Segoe UI"/>
          <w:sz w:val="18"/>
        </w:rPr>
        <w:t xml:space="preserve">, </w:t>
      </w:r>
      <w:proofErr w:type="spellStart"/>
      <w:r w:rsidRPr="00823595">
        <w:rPr>
          <w:rFonts w:cs="Segoe UI"/>
          <w:sz w:val="18"/>
        </w:rPr>
        <w:t>Persil</w:t>
      </w:r>
      <w:proofErr w:type="spellEnd"/>
      <w:r w:rsidRPr="00823595">
        <w:rPr>
          <w:rFonts w:cs="Segoe UI"/>
          <w:sz w:val="18"/>
        </w:rPr>
        <w:t xml:space="preserve"> </w:t>
      </w:r>
      <w:r>
        <w:rPr>
          <w:rFonts w:cs="Segoe UI"/>
          <w:sz w:val="18"/>
        </w:rPr>
        <w:t xml:space="preserve">і </w:t>
      </w:r>
      <w:proofErr w:type="spellStart"/>
      <w:r w:rsidRPr="00823595">
        <w:rPr>
          <w:rFonts w:cs="Segoe UI"/>
          <w:sz w:val="18"/>
        </w:rPr>
        <w:t>Schwarzkopf</w:t>
      </w:r>
      <w:proofErr w:type="spellEnd"/>
      <w:r w:rsidRPr="00823595">
        <w:rPr>
          <w:rFonts w:cs="Segoe UI"/>
          <w:sz w:val="18"/>
        </w:rPr>
        <w:t>. У 202</w:t>
      </w:r>
      <w:r>
        <w:rPr>
          <w:rFonts w:cs="Segoe UI"/>
          <w:sz w:val="18"/>
        </w:rPr>
        <w:t>5</w:t>
      </w:r>
      <w:r w:rsidRPr="00823595">
        <w:rPr>
          <w:rFonts w:cs="Segoe UI"/>
          <w:sz w:val="18"/>
        </w:rPr>
        <w:t xml:space="preserve"> фінансовому році Henkel відзвітувала про обсяг продажів на суму понад 2</w:t>
      </w:r>
      <w:r>
        <w:rPr>
          <w:rFonts w:cs="Segoe UI"/>
          <w:sz w:val="18"/>
        </w:rPr>
        <w:t>0</w:t>
      </w:r>
      <w:r w:rsidRPr="00823595">
        <w:rPr>
          <w:rFonts w:cs="Segoe UI"/>
          <w:sz w:val="18"/>
        </w:rPr>
        <w:t>,</w:t>
      </w:r>
      <w:r>
        <w:rPr>
          <w:rFonts w:cs="Segoe UI"/>
          <w:sz w:val="18"/>
        </w:rPr>
        <w:t>5</w:t>
      </w:r>
      <w:r w:rsidRPr="00823595">
        <w:rPr>
          <w:rFonts w:cs="Segoe UI"/>
          <w:sz w:val="18"/>
        </w:rPr>
        <w:t xml:space="preserve"> млрд євро та скоригований операційний прибуток на суму близько 3,</w:t>
      </w:r>
      <w:r>
        <w:rPr>
          <w:rFonts w:cs="Segoe UI"/>
          <w:sz w:val="18"/>
        </w:rPr>
        <w:t>0</w:t>
      </w:r>
      <w:r w:rsidRPr="00823595">
        <w:rPr>
          <w:rFonts w:cs="Segoe UI"/>
          <w:sz w:val="18"/>
        </w:rPr>
        <w:t xml:space="preserve"> млрд євро. Привілейовані акції компанії Henkel включені до фондового індексу Німеччини DAX. Сталий розвиток – це давня традиція у Henkel, і компанія має чітку стратегію сталого розвитку з конкретними цілями. Компанію Henkel було засновано в 1876 році. Станом на сьогодні в ній </w:t>
      </w:r>
      <w:r w:rsidRPr="00414C7B">
        <w:rPr>
          <w:rFonts w:cs="Segoe UI"/>
          <w:sz w:val="18"/>
        </w:rPr>
        <w:t>працює понад 47 000 співробітників</w:t>
      </w:r>
      <w:r w:rsidRPr="00823595">
        <w:rPr>
          <w:rFonts w:cs="Segoe UI"/>
          <w:sz w:val="18"/>
        </w:rPr>
        <w:t xml:space="preserve"> по всьому світу, об'єднаних сильною корпоративною культурою, спільними цінностями та спільною метою: «Піонери в серці на благо наступних поколінь» (</w:t>
      </w:r>
      <w:proofErr w:type="spellStart"/>
      <w:r w:rsidRPr="00823595">
        <w:rPr>
          <w:rFonts w:cs="Segoe UI"/>
          <w:sz w:val="18"/>
        </w:rPr>
        <w:t>Pioneers</w:t>
      </w:r>
      <w:proofErr w:type="spellEnd"/>
      <w:r w:rsidRPr="00823595">
        <w:rPr>
          <w:rFonts w:cs="Segoe UI"/>
          <w:sz w:val="18"/>
        </w:rPr>
        <w:t xml:space="preserve"> </w:t>
      </w:r>
      <w:proofErr w:type="spellStart"/>
      <w:r w:rsidRPr="00823595">
        <w:rPr>
          <w:rFonts w:cs="Segoe UI"/>
          <w:sz w:val="18"/>
        </w:rPr>
        <w:t>at</w:t>
      </w:r>
      <w:proofErr w:type="spellEnd"/>
      <w:r w:rsidRPr="00823595">
        <w:rPr>
          <w:rFonts w:cs="Segoe UI"/>
          <w:sz w:val="18"/>
        </w:rPr>
        <w:t xml:space="preserve"> </w:t>
      </w:r>
      <w:proofErr w:type="spellStart"/>
      <w:r w:rsidRPr="00823595">
        <w:rPr>
          <w:rFonts w:cs="Segoe UI"/>
          <w:sz w:val="18"/>
        </w:rPr>
        <w:t>heart</w:t>
      </w:r>
      <w:proofErr w:type="spellEnd"/>
      <w:r w:rsidRPr="00823595">
        <w:rPr>
          <w:rFonts w:cs="Segoe UI"/>
          <w:sz w:val="18"/>
        </w:rPr>
        <w:t xml:space="preserve"> </w:t>
      </w:r>
      <w:proofErr w:type="spellStart"/>
      <w:r w:rsidRPr="00823595">
        <w:rPr>
          <w:rFonts w:cs="Segoe UI"/>
          <w:sz w:val="18"/>
        </w:rPr>
        <w:t>for</w:t>
      </w:r>
      <w:proofErr w:type="spellEnd"/>
      <w:r w:rsidRPr="00823595">
        <w:rPr>
          <w:rFonts w:cs="Segoe UI"/>
          <w:sz w:val="18"/>
        </w:rPr>
        <w:t xml:space="preserve"> </w:t>
      </w:r>
      <w:proofErr w:type="spellStart"/>
      <w:r w:rsidRPr="00823595">
        <w:rPr>
          <w:rFonts w:cs="Segoe UI"/>
          <w:sz w:val="18"/>
        </w:rPr>
        <w:t>the</w:t>
      </w:r>
      <w:proofErr w:type="spellEnd"/>
      <w:r w:rsidRPr="00823595">
        <w:rPr>
          <w:rFonts w:cs="Segoe UI"/>
          <w:sz w:val="18"/>
        </w:rPr>
        <w:t xml:space="preserve"> </w:t>
      </w:r>
      <w:proofErr w:type="spellStart"/>
      <w:r w:rsidRPr="00823595">
        <w:rPr>
          <w:rFonts w:cs="Segoe UI"/>
          <w:sz w:val="18"/>
        </w:rPr>
        <w:t>good</w:t>
      </w:r>
      <w:proofErr w:type="spellEnd"/>
      <w:r w:rsidRPr="00823595">
        <w:rPr>
          <w:rFonts w:cs="Segoe UI"/>
          <w:sz w:val="18"/>
        </w:rPr>
        <w:t xml:space="preserve"> </w:t>
      </w:r>
      <w:proofErr w:type="spellStart"/>
      <w:r w:rsidRPr="00823595">
        <w:rPr>
          <w:rFonts w:cs="Segoe UI"/>
          <w:sz w:val="18"/>
        </w:rPr>
        <w:t>of</w:t>
      </w:r>
      <w:proofErr w:type="spellEnd"/>
      <w:r w:rsidRPr="00823595">
        <w:rPr>
          <w:rFonts w:cs="Segoe UI"/>
          <w:sz w:val="18"/>
        </w:rPr>
        <w:t xml:space="preserve"> </w:t>
      </w:r>
      <w:proofErr w:type="spellStart"/>
      <w:r w:rsidRPr="00823595">
        <w:rPr>
          <w:rFonts w:cs="Segoe UI"/>
          <w:sz w:val="18"/>
        </w:rPr>
        <w:t>generations</w:t>
      </w:r>
      <w:proofErr w:type="spellEnd"/>
      <w:r w:rsidRPr="00823595">
        <w:rPr>
          <w:rFonts w:cs="Segoe UI"/>
          <w:sz w:val="18"/>
        </w:rPr>
        <w:t xml:space="preserve">). Більше інформації на сайті </w:t>
      </w:r>
      <w:hyperlink r:id="rId12" w:history="1">
        <w:r w:rsidRPr="00823595">
          <w:rPr>
            <w:rFonts w:cs="Segoe UI"/>
            <w:color w:val="0000FF"/>
            <w:sz w:val="18"/>
            <w:szCs w:val="18"/>
            <w:u w:val="single"/>
          </w:rPr>
          <w:t>www.henkel.com</w:t>
        </w:r>
      </w:hyperlink>
      <w:r w:rsidRPr="00823595">
        <w:rPr>
          <w:rFonts w:cs="Segoe UI"/>
          <w:sz w:val="18"/>
        </w:rPr>
        <w:t xml:space="preserve"> </w:t>
      </w:r>
    </w:p>
    <w:p w14:paraId="32E72ECE" w14:textId="77777777" w:rsidR="00DD1D60" w:rsidRDefault="00DD1D60" w:rsidP="00DD1D60">
      <w:pPr>
        <w:rPr>
          <w:rStyle w:val="AboutandContactHeadline"/>
        </w:rPr>
      </w:pPr>
    </w:p>
    <w:p w14:paraId="69FB6E86" w14:textId="77777777" w:rsidR="00DD1D60" w:rsidRPr="00AB7332" w:rsidRDefault="00DD1D60" w:rsidP="00DD1D60">
      <w:pPr>
        <w:rPr>
          <w:rFonts w:cs="Segoe UI"/>
          <w:color w:val="000000"/>
          <w:sz w:val="18"/>
          <w:szCs w:val="18"/>
          <w:u w:val="single"/>
        </w:rPr>
      </w:pPr>
      <w:r>
        <w:rPr>
          <w:rFonts w:cs="Segoe UI"/>
          <w:color w:val="000000"/>
          <w:sz w:val="18"/>
          <w:szCs w:val="18"/>
          <w:u w:val="single"/>
        </w:rPr>
        <w:t>По</w:t>
      </w:r>
      <w:r w:rsidRPr="00AB7332">
        <w:rPr>
          <w:rFonts w:cs="Segoe UI"/>
          <w:color w:val="000000"/>
          <w:sz w:val="18"/>
          <w:szCs w:val="18"/>
          <w:u w:val="single"/>
        </w:rPr>
        <w:t xml:space="preserve"> додатков</w:t>
      </w:r>
      <w:r>
        <w:rPr>
          <w:rFonts w:cs="Segoe UI"/>
          <w:color w:val="000000"/>
          <w:sz w:val="18"/>
          <w:szCs w:val="18"/>
          <w:u w:val="single"/>
        </w:rPr>
        <w:t>у</w:t>
      </w:r>
      <w:r w:rsidRPr="00AB7332">
        <w:rPr>
          <w:rFonts w:cs="Segoe UI"/>
          <w:color w:val="000000"/>
          <w:sz w:val="18"/>
          <w:szCs w:val="18"/>
          <w:u w:val="single"/>
        </w:rPr>
        <w:t xml:space="preserve"> інформацію, будь ласка, звертайтеся до:</w:t>
      </w:r>
    </w:p>
    <w:p w14:paraId="6DCBF4C7" w14:textId="77777777" w:rsidR="00DD1D60" w:rsidRPr="00AB7332" w:rsidRDefault="00DD1D60" w:rsidP="00DD1D60">
      <w:pPr>
        <w:spacing w:line="240" w:lineRule="auto"/>
        <w:rPr>
          <w:rStyle w:val="AboutandContactBody"/>
          <w:rFonts w:cs="Segoe UI"/>
          <w:b/>
          <w:szCs w:val="16"/>
        </w:rPr>
      </w:pPr>
    </w:p>
    <w:tbl>
      <w:tblPr>
        <w:tblW w:w="9322" w:type="dxa"/>
        <w:tblLayout w:type="fixed"/>
        <w:tblLook w:val="0000" w:firstRow="0" w:lastRow="0" w:firstColumn="0" w:lastColumn="0" w:noHBand="0" w:noVBand="0"/>
      </w:tblPr>
      <w:tblGrid>
        <w:gridCol w:w="4644"/>
        <w:gridCol w:w="4678"/>
      </w:tblGrid>
      <w:tr w:rsidR="00DD1D60" w:rsidRPr="00AB7332" w14:paraId="00C63468" w14:textId="77777777" w:rsidTr="00F57E6B">
        <w:trPr>
          <w:trHeight w:val="615"/>
        </w:trPr>
        <w:tc>
          <w:tcPr>
            <w:tcW w:w="4644" w:type="dxa"/>
          </w:tcPr>
          <w:p w14:paraId="447A57ED" w14:textId="77777777" w:rsidR="00DD1D60" w:rsidRPr="00E52646" w:rsidRDefault="00DD1D60" w:rsidP="00F57E6B">
            <w:pPr>
              <w:shd w:val="clear" w:color="auto" w:fill="FFFFFF" w:themeFill="background1"/>
              <w:rPr>
                <w:rFonts w:cs="Segoe UI"/>
                <w:color w:val="000000"/>
                <w:sz w:val="18"/>
                <w:szCs w:val="18"/>
              </w:rPr>
            </w:pPr>
            <w:r w:rsidRPr="00E52646">
              <w:rPr>
                <w:rFonts w:cs="Segoe UI"/>
                <w:color w:val="000000"/>
                <w:sz w:val="18"/>
                <w:szCs w:val="18"/>
              </w:rPr>
              <w:t>Олени Андрощук,</w:t>
            </w:r>
          </w:p>
          <w:p w14:paraId="248BECA7" w14:textId="77777777" w:rsidR="00DD1D60" w:rsidRPr="00E52646" w:rsidRDefault="00DD1D60" w:rsidP="00F57E6B">
            <w:pPr>
              <w:shd w:val="clear" w:color="auto" w:fill="FFFFFF" w:themeFill="background1"/>
              <w:rPr>
                <w:rFonts w:cs="Segoe UI"/>
                <w:color w:val="000000"/>
                <w:sz w:val="18"/>
                <w:szCs w:val="18"/>
              </w:rPr>
            </w:pPr>
            <w:r w:rsidRPr="00D03E3E">
              <w:rPr>
                <w:rFonts w:cs="Segoe UI"/>
                <w:color w:val="000000"/>
                <w:sz w:val="18"/>
                <w:szCs w:val="18"/>
              </w:rPr>
              <w:t>керівника</w:t>
            </w:r>
            <w:r w:rsidRPr="00E52646">
              <w:rPr>
                <w:rFonts w:cs="Segoe UI"/>
                <w:color w:val="000000"/>
                <w:sz w:val="18"/>
                <w:szCs w:val="18"/>
              </w:rPr>
              <w:t xml:space="preserve"> відділу</w:t>
            </w:r>
          </w:p>
          <w:p w14:paraId="27027612" w14:textId="77777777" w:rsidR="00DD1D60" w:rsidRPr="00E52646" w:rsidRDefault="00DD1D60" w:rsidP="00F57E6B">
            <w:pPr>
              <w:shd w:val="clear" w:color="auto" w:fill="FFFFFF" w:themeFill="background1"/>
              <w:rPr>
                <w:rFonts w:cs="Segoe UI"/>
                <w:color w:val="000000"/>
                <w:sz w:val="18"/>
                <w:szCs w:val="18"/>
              </w:rPr>
            </w:pPr>
            <w:r w:rsidRPr="00E52646">
              <w:rPr>
                <w:rFonts w:cs="Segoe UI"/>
                <w:color w:val="000000"/>
                <w:sz w:val="18"/>
                <w:szCs w:val="18"/>
              </w:rPr>
              <w:t xml:space="preserve">корпоративних комунікацій </w:t>
            </w:r>
          </w:p>
          <w:p w14:paraId="24785B3F" w14:textId="77777777" w:rsidR="00DD1D60" w:rsidRPr="00AB7332" w:rsidRDefault="00DD1D60" w:rsidP="00F57E6B">
            <w:pPr>
              <w:shd w:val="clear" w:color="auto" w:fill="FFFFFF" w:themeFill="background1"/>
              <w:rPr>
                <w:rFonts w:cs="Segoe UI"/>
                <w:color w:val="000000"/>
                <w:sz w:val="18"/>
                <w:szCs w:val="18"/>
              </w:rPr>
            </w:pPr>
            <w:r w:rsidRPr="00E52646">
              <w:rPr>
                <w:rFonts w:cs="Segoe UI"/>
                <w:color w:val="000000"/>
                <w:sz w:val="18"/>
                <w:szCs w:val="18"/>
              </w:rPr>
              <w:t>«</w:t>
            </w:r>
            <w:proofErr w:type="spellStart"/>
            <w:r w:rsidRPr="00E52646">
              <w:rPr>
                <w:rFonts w:cs="Segoe UI"/>
                <w:color w:val="000000"/>
                <w:sz w:val="18"/>
                <w:szCs w:val="18"/>
              </w:rPr>
              <w:t>Хенкель</w:t>
            </w:r>
            <w:proofErr w:type="spellEnd"/>
            <w:r w:rsidRPr="00E52646">
              <w:rPr>
                <w:rFonts w:cs="Segoe UI"/>
                <w:color w:val="000000"/>
                <w:sz w:val="18"/>
                <w:szCs w:val="18"/>
              </w:rPr>
              <w:t>» в Україні</w:t>
            </w:r>
          </w:p>
          <w:p w14:paraId="38513709" w14:textId="77777777" w:rsidR="00DD1D60" w:rsidRPr="00873F29" w:rsidRDefault="00DD1D60" w:rsidP="00F57E6B">
            <w:pPr>
              <w:shd w:val="clear" w:color="auto" w:fill="FFFFFF" w:themeFill="background1"/>
              <w:rPr>
                <w:rFonts w:cs="Segoe UI"/>
                <w:color w:val="000000"/>
                <w:sz w:val="18"/>
                <w:szCs w:val="18"/>
                <w:lang w:val="ru-RU"/>
              </w:rPr>
            </w:pPr>
          </w:p>
          <w:p w14:paraId="1EB9221F" w14:textId="77777777" w:rsidR="00DD1D60" w:rsidRPr="00AB7332" w:rsidRDefault="00DD1D60" w:rsidP="00F57E6B">
            <w:pPr>
              <w:rPr>
                <w:rFonts w:cs="Segoe UI"/>
                <w:color w:val="000000"/>
                <w:sz w:val="18"/>
                <w:szCs w:val="18"/>
              </w:rPr>
            </w:pPr>
            <w:r w:rsidRPr="00AB7332">
              <w:rPr>
                <w:rFonts w:cs="Segoe UI"/>
                <w:color w:val="000000"/>
                <w:sz w:val="18"/>
                <w:szCs w:val="18"/>
              </w:rPr>
              <w:t>«</w:t>
            </w:r>
            <w:proofErr w:type="spellStart"/>
            <w:r w:rsidRPr="00AB7332">
              <w:rPr>
                <w:rFonts w:cs="Segoe UI"/>
                <w:color w:val="000000"/>
                <w:sz w:val="18"/>
                <w:szCs w:val="18"/>
              </w:rPr>
              <w:t>Хенкель</w:t>
            </w:r>
            <w:proofErr w:type="spellEnd"/>
            <w:r w:rsidRPr="00AB7332">
              <w:rPr>
                <w:rFonts w:cs="Segoe UI"/>
                <w:color w:val="000000"/>
                <w:sz w:val="18"/>
                <w:szCs w:val="18"/>
              </w:rPr>
              <w:t xml:space="preserve"> Україна» </w:t>
            </w:r>
          </w:p>
          <w:p w14:paraId="3F5ECE89" w14:textId="77777777" w:rsidR="00DD1D60" w:rsidRPr="00AB7332" w:rsidRDefault="00DD1D60" w:rsidP="00F57E6B">
            <w:pPr>
              <w:rPr>
                <w:rFonts w:cs="Segoe UI"/>
                <w:color w:val="000000"/>
                <w:sz w:val="18"/>
                <w:szCs w:val="18"/>
              </w:rPr>
            </w:pPr>
            <w:proofErr w:type="spellStart"/>
            <w:r w:rsidRPr="00AB7332">
              <w:rPr>
                <w:rFonts w:cs="Segoe UI"/>
                <w:color w:val="000000"/>
                <w:sz w:val="18"/>
                <w:szCs w:val="18"/>
              </w:rPr>
              <w:t>Тел</w:t>
            </w:r>
            <w:proofErr w:type="spellEnd"/>
            <w:r w:rsidRPr="00AB7332">
              <w:rPr>
                <w:rFonts w:cs="Segoe UI"/>
                <w:color w:val="000000"/>
                <w:sz w:val="18"/>
                <w:szCs w:val="18"/>
              </w:rPr>
              <w:t>.: +38 050 389 83 45</w:t>
            </w:r>
          </w:p>
          <w:p w14:paraId="33263E5A" w14:textId="77777777" w:rsidR="00DD1D60" w:rsidRPr="00AB7332" w:rsidRDefault="00DD1D60" w:rsidP="00F57E6B">
            <w:pPr>
              <w:rPr>
                <w:rFonts w:cs="Segoe UI"/>
                <w:color w:val="000000"/>
                <w:sz w:val="18"/>
                <w:szCs w:val="18"/>
              </w:rPr>
            </w:pPr>
            <w:r w:rsidRPr="00AB7332">
              <w:rPr>
                <w:rFonts w:cs="Segoe UI"/>
                <w:color w:val="000000"/>
                <w:sz w:val="18"/>
                <w:szCs w:val="18"/>
              </w:rPr>
              <w:t xml:space="preserve">Факс: +38 044 247 51 00 </w:t>
            </w:r>
          </w:p>
          <w:p w14:paraId="5D32E1B4" w14:textId="77777777" w:rsidR="00DD1D60" w:rsidRPr="00AB7332" w:rsidRDefault="00DD1D60" w:rsidP="00F57E6B">
            <w:pPr>
              <w:rPr>
                <w:rFonts w:cs="Segoe UI"/>
                <w:b/>
                <w:color w:val="000000"/>
                <w:sz w:val="18"/>
                <w:szCs w:val="18"/>
              </w:rPr>
            </w:pPr>
            <w:r w:rsidRPr="00AB7332">
              <w:rPr>
                <w:rFonts w:cs="Segoe UI"/>
                <w:color w:val="000000"/>
                <w:sz w:val="18"/>
                <w:szCs w:val="18"/>
              </w:rPr>
              <w:t>e-</w:t>
            </w:r>
            <w:proofErr w:type="spellStart"/>
            <w:r w:rsidRPr="00AB7332">
              <w:rPr>
                <w:rFonts w:cs="Segoe UI"/>
                <w:color w:val="000000"/>
                <w:sz w:val="18"/>
                <w:szCs w:val="18"/>
              </w:rPr>
              <w:t>mail</w:t>
            </w:r>
            <w:proofErr w:type="spellEnd"/>
            <w:r w:rsidRPr="00AB7332">
              <w:rPr>
                <w:rFonts w:cs="Segoe UI"/>
                <w:color w:val="000000"/>
                <w:sz w:val="18"/>
                <w:szCs w:val="18"/>
              </w:rPr>
              <w:t xml:space="preserve">: </w:t>
            </w:r>
            <w:hyperlink r:id="rId13" w:history="1">
              <w:r w:rsidRPr="00FD2984">
                <w:rPr>
                  <w:rStyle w:val="Hyperlink"/>
                </w:rPr>
                <w:t>elena.androschuk@henkel.com</w:t>
              </w:r>
            </w:hyperlink>
          </w:p>
        </w:tc>
        <w:tc>
          <w:tcPr>
            <w:tcW w:w="4678" w:type="dxa"/>
          </w:tcPr>
          <w:p w14:paraId="04099C86" w14:textId="77777777" w:rsidR="00DD1D60" w:rsidRPr="00AB7332" w:rsidRDefault="00DD1D60" w:rsidP="00F57E6B">
            <w:pPr>
              <w:rPr>
                <w:rFonts w:cs="Segoe UI"/>
                <w:color w:val="000000"/>
                <w:sz w:val="18"/>
                <w:szCs w:val="18"/>
              </w:rPr>
            </w:pPr>
            <w:r w:rsidRPr="00AB7332">
              <w:rPr>
                <w:rFonts w:cs="Segoe UI"/>
                <w:color w:val="000000"/>
                <w:sz w:val="18"/>
                <w:szCs w:val="18"/>
              </w:rPr>
              <w:t>Олени Хмари,</w:t>
            </w:r>
          </w:p>
          <w:p w14:paraId="7FC663E4" w14:textId="77777777" w:rsidR="00DD1D60" w:rsidRPr="00AB7332" w:rsidRDefault="00DD1D60" w:rsidP="00F57E6B">
            <w:pPr>
              <w:rPr>
                <w:rFonts w:cs="Segoe UI"/>
                <w:color w:val="000000"/>
                <w:sz w:val="18"/>
                <w:szCs w:val="18"/>
              </w:rPr>
            </w:pPr>
            <w:r w:rsidRPr="00D03E3E">
              <w:rPr>
                <w:rFonts w:cs="Segoe UI"/>
                <w:color w:val="000000"/>
                <w:sz w:val="18"/>
                <w:szCs w:val="18"/>
              </w:rPr>
              <w:t>керівника PR-п</w:t>
            </w:r>
            <w:r w:rsidRPr="00AB7332">
              <w:rPr>
                <w:rFonts w:cs="Segoe UI"/>
                <w:color w:val="000000"/>
                <w:sz w:val="18"/>
                <w:szCs w:val="18"/>
              </w:rPr>
              <w:t xml:space="preserve">роєктів </w:t>
            </w:r>
          </w:p>
          <w:p w14:paraId="78F33043" w14:textId="77777777" w:rsidR="00DD1D60" w:rsidRPr="00AB7332" w:rsidRDefault="00DD1D60" w:rsidP="00F57E6B">
            <w:pPr>
              <w:rPr>
                <w:rFonts w:cs="Segoe UI"/>
                <w:color w:val="000000"/>
                <w:sz w:val="18"/>
                <w:szCs w:val="18"/>
              </w:rPr>
            </w:pPr>
          </w:p>
          <w:p w14:paraId="248F8615" w14:textId="77777777" w:rsidR="00DD1D60" w:rsidRPr="00AB7332" w:rsidRDefault="00DD1D60" w:rsidP="00F57E6B">
            <w:pPr>
              <w:rPr>
                <w:rFonts w:cs="Segoe UI"/>
                <w:color w:val="000000"/>
                <w:sz w:val="18"/>
                <w:szCs w:val="18"/>
              </w:rPr>
            </w:pPr>
          </w:p>
          <w:p w14:paraId="3117A454" w14:textId="77777777" w:rsidR="00DD1D60" w:rsidRPr="00AB7332" w:rsidRDefault="00DD1D60" w:rsidP="00F57E6B">
            <w:pPr>
              <w:rPr>
                <w:rFonts w:cs="Segoe UI"/>
                <w:color w:val="000000"/>
                <w:sz w:val="18"/>
                <w:szCs w:val="18"/>
              </w:rPr>
            </w:pPr>
          </w:p>
          <w:p w14:paraId="7307F60A" w14:textId="77777777" w:rsidR="00DD1D60" w:rsidRPr="00AB7332" w:rsidRDefault="00DD1D60" w:rsidP="00F57E6B">
            <w:pPr>
              <w:rPr>
                <w:rFonts w:cs="Segoe UI"/>
                <w:color w:val="000000"/>
                <w:sz w:val="18"/>
                <w:szCs w:val="18"/>
              </w:rPr>
            </w:pPr>
            <w:r w:rsidRPr="00AB7332">
              <w:rPr>
                <w:rFonts w:cs="Segoe UI"/>
                <w:color w:val="000000"/>
                <w:sz w:val="18"/>
                <w:szCs w:val="18"/>
              </w:rPr>
              <w:t>Агенція «PR-</w:t>
            </w:r>
            <w:proofErr w:type="spellStart"/>
            <w:r w:rsidRPr="00AB7332">
              <w:rPr>
                <w:rFonts w:cs="Segoe UI"/>
                <w:color w:val="000000"/>
                <w:sz w:val="18"/>
                <w:szCs w:val="18"/>
              </w:rPr>
              <w:t>Service</w:t>
            </w:r>
            <w:proofErr w:type="spellEnd"/>
            <w:r w:rsidRPr="00AB7332">
              <w:rPr>
                <w:rFonts w:cs="Segoe UI"/>
                <w:color w:val="000000"/>
                <w:sz w:val="18"/>
                <w:szCs w:val="18"/>
              </w:rPr>
              <w:t>»</w:t>
            </w:r>
          </w:p>
          <w:p w14:paraId="1376E16F" w14:textId="77777777" w:rsidR="00DD1D60" w:rsidRPr="0055588E" w:rsidRDefault="00DD1D60" w:rsidP="00F57E6B">
            <w:pPr>
              <w:rPr>
                <w:rFonts w:cs="Segoe UI"/>
                <w:color w:val="000000"/>
                <w:sz w:val="18"/>
                <w:szCs w:val="18"/>
              </w:rPr>
            </w:pPr>
            <w:proofErr w:type="spellStart"/>
            <w:r w:rsidRPr="00AB7332">
              <w:rPr>
                <w:rFonts w:cs="Segoe UI"/>
                <w:color w:val="000000"/>
                <w:sz w:val="18"/>
                <w:szCs w:val="18"/>
              </w:rPr>
              <w:t>Тел</w:t>
            </w:r>
            <w:proofErr w:type="spellEnd"/>
            <w:r w:rsidRPr="00AB7332">
              <w:rPr>
                <w:rFonts w:cs="Segoe UI"/>
                <w:color w:val="000000"/>
                <w:sz w:val="18"/>
                <w:szCs w:val="18"/>
              </w:rPr>
              <w:t>./факс: +38 044 501 32 44</w:t>
            </w:r>
          </w:p>
          <w:p w14:paraId="52B32648" w14:textId="77777777" w:rsidR="00DD1D60" w:rsidRPr="00AB7332" w:rsidRDefault="00DD1D60" w:rsidP="00F57E6B">
            <w:pPr>
              <w:rPr>
                <w:rFonts w:cs="Segoe UI"/>
                <w:color w:val="000000"/>
                <w:sz w:val="18"/>
                <w:szCs w:val="18"/>
              </w:rPr>
            </w:pPr>
            <w:proofErr w:type="spellStart"/>
            <w:r w:rsidRPr="00AB7332">
              <w:rPr>
                <w:rFonts w:cs="Segoe UI"/>
                <w:color w:val="000000"/>
                <w:sz w:val="18"/>
                <w:szCs w:val="18"/>
              </w:rPr>
              <w:t>Моб</w:t>
            </w:r>
            <w:proofErr w:type="spellEnd"/>
            <w:r w:rsidRPr="00AB7332">
              <w:rPr>
                <w:rFonts w:cs="Segoe UI"/>
                <w:color w:val="000000"/>
                <w:sz w:val="18"/>
                <w:szCs w:val="18"/>
              </w:rPr>
              <w:t>. тел.: +38 050 382 82 74</w:t>
            </w:r>
          </w:p>
          <w:p w14:paraId="3DD07285" w14:textId="77777777" w:rsidR="00DD1D60" w:rsidRPr="00AB7332" w:rsidRDefault="00DD1D60" w:rsidP="00F57E6B">
            <w:pPr>
              <w:rPr>
                <w:rFonts w:cs="Segoe UI"/>
                <w:b/>
                <w:color w:val="000000"/>
                <w:sz w:val="18"/>
                <w:szCs w:val="18"/>
              </w:rPr>
            </w:pPr>
            <w:r w:rsidRPr="00AB7332">
              <w:rPr>
                <w:rFonts w:cs="Segoe UI"/>
                <w:color w:val="000000"/>
                <w:sz w:val="18"/>
                <w:szCs w:val="18"/>
              </w:rPr>
              <w:t>e-</w:t>
            </w:r>
            <w:proofErr w:type="spellStart"/>
            <w:r w:rsidRPr="00AB7332">
              <w:rPr>
                <w:rFonts w:cs="Segoe UI"/>
                <w:color w:val="000000"/>
                <w:sz w:val="18"/>
                <w:szCs w:val="18"/>
              </w:rPr>
              <w:t>mail</w:t>
            </w:r>
            <w:proofErr w:type="spellEnd"/>
            <w:r w:rsidRPr="00AB7332">
              <w:rPr>
                <w:rFonts w:cs="Segoe UI"/>
                <w:color w:val="000000"/>
                <w:sz w:val="18"/>
                <w:szCs w:val="18"/>
              </w:rPr>
              <w:t xml:space="preserve">: </w:t>
            </w:r>
            <w:hyperlink r:id="rId14" w:history="1">
              <w:r w:rsidRPr="00FD2984">
                <w:rPr>
                  <w:rStyle w:val="Hyperlink"/>
                </w:rPr>
                <w:t>a.khmara@pr-service.com.ua</w:t>
              </w:r>
            </w:hyperlink>
          </w:p>
        </w:tc>
      </w:tr>
    </w:tbl>
    <w:p w14:paraId="23552B25" w14:textId="24BB41F8" w:rsidR="00A15D78" w:rsidRPr="001F3E04" w:rsidRDefault="00A15D78" w:rsidP="00DD1D60">
      <w:pPr>
        <w:rPr>
          <w:rStyle w:val="Hyperlink"/>
        </w:rPr>
      </w:pPr>
    </w:p>
    <w:sectPr w:rsidR="00A15D78" w:rsidRPr="001F3E04" w:rsidSect="00C65957">
      <w:headerReference w:type="even" r:id="rId15"/>
      <w:footerReference w:type="default" r:id="rId16"/>
      <w:headerReference w:type="first" r:id="rId17"/>
      <w:footerReference w:type="first" r:id="rId18"/>
      <w:pgSz w:w="11907" w:h="16840" w:code="9"/>
      <w:pgMar w:top="1944" w:right="1411" w:bottom="1843" w:left="1411" w:header="1253" w:footer="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C9E08" w14:textId="77777777" w:rsidR="00E97502" w:rsidRDefault="00E97502">
      <w:r>
        <w:separator/>
      </w:r>
    </w:p>
  </w:endnote>
  <w:endnote w:type="continuationSeparator" w:id="0">
    <w:p w14:paraId="3A74F30B" w14:textId="77777777" w:rsidR="00E97502" w:rsidRDefault="00E97502">
      <w:r>
        <w:continuationSeparator/>
      </w:r>
    </w:p>
  </w:endnote>
  <w:endnote w:type="continuationNotice" w:id="1">
    <w:p w14:paraId="1FC43A15" w14:textId="77777777" w:rsidR="00E97502" w:rsidRDefault="00E975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10C9" w14:textId="03489EAF" w:rsidR="00CF6F33" w:rsidRPr="00112A28" w:rsidRDefault="00112A28" w:rsidP="00112A28">
    <w:pPr>
      <w:pStyle w:val="Footer"/>
      <w:tabs>
        <w:tab w:val="clear" w:pos="7083"/>
        <w:tab w:val="clear" w:pos="8640"/>
        <w:tab w:val="right" w:pos="9071"/>
      </w:tabs>
      <w:jc w:val="both"/>
    </w:pPr>
    <w:r>
      <w:t>Henkel AG &amp; Co. KGaA</w:t>
    </w:r>
    <w:r>
      <w:tab/>
      <w:t xml:space="preserve">Стор. </w:t>
    </w:r>
    <w:r w:rsidRPr="00BF6E82">
      <w:fldChar w:fldCharType="begin"/>
    </w:r>
    <w:r w:rsidRPr="00BF6E82">
      <w:instrText xml:space="preserve"> PAGE  \* Arabic  \* MERGEFORMAT </w:instrText>
    </w:r>
    <w:r w:rsidRPr="00BF6E82">
      <w:fldChar w:fldCharType="separate"/>
    </w:r>
    <w:r w:rsidR="000F79E6">
      <w:t>9</w:t>
    </w:r>
    <w:r w:rsidRPr="00BF6E82">
      <w:fldChar w:fldCharType="end"/>
    </w:r>
    <w:r>
      <w:t>/</w:t>
    </w:r>
    <w:fldSimple w:instr="NUMPAGES  \* Arabic  \* MERGEFORMAT">
      <w:r w:rsidR="000F79E6">
        <w:t>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A058E" w14:textId="633468ED" w:rsidR="00CF6F33" w:rsidRPr="00992A11" w:rsidRDefault="00C016CC" w:rsidP="005929A5">
    <w:pPr>
      <w:pStyle w:val="Footer"/>
      <w:tabs>
        <w:tab w:val="clear" w:pos="8640"/>
        <w:tab w:val="right" w:pos="8647"/>
      </w:tabs>
    </w:pPr>
    <w:r>
      <w:rPr>
        <w:b/>
        <w:sz w:val="24"/>
        <w:lang w:val="ru-RU" w:eastAsia="ru-RU"/>
      </w:rPr>
      <mc:AlternateContent>
        <mc:Choice Requires="wps">
          <w:drawing>
            <wp:anchor distT="45720" distB="45720" distL="114300" distR="114300" simplePos="0" relativeHeight="251660290" behindDoc="0" locked="0" layoutInCell="1" allowOverlap="1" wp14:anchorId="7668DE83" wp14:editId="783DFF8F">
              <wp:simplePos x="0" y="0"/>
              <wp:positionH relativeFrom="margin">
                <wp:posOffset>2512</wp:posOffset>
              </wp:positionH>
              <wp:positionV relativeFrom="paragraph">
                <wp:posOffset>42793</wp:posOffset>
              </wp:positionV>
              <wp:extent cx="5231959" cy="232834"/>
              <wp:effectExtent l="0" t="0" r="6985" b="0"/>
              <wp:wrapNone/>
              <wp:docPr id="35485232" name="Textfeld 35485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959" cy="2328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15F460" w14:textId="77777777" w:rsidR="00C016CC" w:rsidRPr="00CF56F5" w:rsidRDefault="00C016CC" w:rsidP="00C016CC">
                          <w:pPr>
                            <w:pStyle w:val="He04Funote"/>
                            <w:rPr>
                              <w:sz w:val="12"/>
                              <w:szCs w:val="12"/>
                            </w:rPr>
                          </w:pPr>
                          <w:r>
                            <w:rPr>
                              <w:sz w:val="12"/>
                            </w:rPr>
                            <w:t>* Скориговано з урахуванням одноразових витрат і доходів, а також витрат на реструктуризацію.</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68DE83" id="_x0000_t202" coordsize="21600,21600" o:spt="202" path="m,l,21600r21600,l21600,xe">
              <v:stroke joinstyle="miter"/>
              <v:path gradientshapeok="t" o:connecttype="rect"/>
            </v:shapetype>
            <v:shape id="Textfeld 35485232" o:spid="_x0000_s1026" type="#_x0000_t202" style="position:absolute;left:0;text-align:left;margin-left:.2pt;margin-top:3.35pt;width:411.95pt;height:18.35pt;z-index:25166029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Rs79AEAAMoDAAAOAAAAZHJzL2Uyb0RvYy54bWysU9uO0zAQfUfiHyy/07RpC9uo6Wrpqghp&#10;WZAWPsBxnItwPGbsNilfz9jJdgu8IfJgeTz2mTlnTra3Q6fZSaFrweR8MZtzpoyEsjV1zr99Pby5&#10;4cx5YUqhwaicn5Xjt7vXr7a9zVQKDehSISMQ47Le5rzx3mZJ4mSjOuFmYJWhZAXYCU8h1kmJoif0&#10;TifpfP426QFLiyCVc3R6Pyb5LuJXlZL+c1U55ZnOOfXm44pxLcKa7LYiq1HYppVTG+IfuuhEa6jo&#10;BepeeMGO2P4F1bUSwUHlZxK6BKqqlSpyIDaL+R9snhphVeRC4jh7kcn9P1j5eHqyX5D54T0MNMBI&#10;wtkHkN8dM7BvhKnVHSL0jRIlFV4EyZLeumx6GqR2mQsgRf8JShqyOHqIQEOFXVCFeDJCpwGcL6Kr&#10;wTNJh+t0udisN5xJyqXL9Ga5iiVE9vzaovMfFHQsbHKONNSILk4PzoduRPZ8JRRzoNvy0GodA6yL&#10;vUZ2EmSAQ/wm9N+uaRMuGwjPRsRwEmkGZiNHPxQDJQPdAsozEUYYDUU/AG0awJ+c9WSmnLsfR4GK&#10;M/3RkGibxWoV3BeD1fpdSgFeZ4rrjDCSoHLuORu3ez869mixrRuqNI7JwB0JXbVRg5eupr7JMFGa&#10;ydzBkddxvPXyC+5+AQAA//8DAFBLAwQUAAYACAAAACEASkgF59kAAAAFAQAADwAAAGRycy9kb3du&#10;cmV2LnhtbEyO3U6DQBCF7018h82YeGPsYotQkaVRE423rX2AAaZAZGcJuy307Z1e1cvzk3O+fDPb&#10;Xp1o9J1jA0+LCBRx5eqOGwP7n8/HNSgfkGvsHZOBM3nYFLc3OWa1m3hLp11olIywz9BAG8KQae2r&#10;liz6hRuIJTu40WIQOTa6HnGScdvrZRQl2mLH8tDiQB8tVb+7ozVw+J4enl+m8ivs022cvGOXlu5s&#10;zP3d/PYKKtAcrmW44As6FMJUuiPXXvUGYukZSFJQEq6X8QpUKe4qBl3k+j998QcAAP//AwBQSwEC&#10;LQAUAAYACAAAACEAtoM4kv4AAADhAQAAEwAAAAAAAAAAAAAAAAAAAAAAW0NvbnRlbnRfVHlwZXNd&#10;LnhtbFBLAQItABQABgAIAAAAIQA4/SH/1gAAAJQBAAALAAAAAAAAAAAAAAAAAC8BAABfcmVscy8u&#10;cmVsc1BLAQItABQABgAIAAAAIQC52Rs79AEAAMoDAAAOAAAAAAAAAAAAAAAAAC4CAABkcnMvZTJv&#10;RG9jLnhtbFBLAQItABQABgAIAAAAIQBKSAXn2QAAAAUBAAAPAAAAAAAAAAAAAAAAAE4EAABkcnMv&#10;ZG93bnJldi54bWxQSwUGAAAAAAQABADzAAAAVAUAAAAA&#10;" stroked="f">
              <v:textbox>
                <w:txbxContent>
                  <w:p w14:paraId="3815F460" w14:textId="77777777" w:rsidR="00C016CC" w:rsidRPr="00CF56F5" w:rsidRDefault="00C016CC" w:rsidP="00C016CC">
                    <w:pPr>
                      <w:pStyle w:val="He04Funote"/>
                      <w:rPr>
                        <w:sz w:val="12"/>
                        <w:szCs w:val="12"/>
                      </w:rPr>
                    </w:pPr>
                    <w:r>
                      <w:rPr>
                        <w:sz w:val="12"/>
                      </w:rPr>
                      <w:t>* Скориговано з урахуванням одноразових витрат і доходів, а також витрат на реструктуризацію.</w:t>
                    </w:r>
                  </w:p>
                </w:txbxContent>
              </v:textbox>
              <w10:wrap anchorx="margin"/>
            </v:shape>
          </w:pict>
        </mc:Fallback>
      </mc:AlternateContent>
    </w:r>
    <w:r>
      <w:rPr>
        <w:lang w:val="ru-RU" w:eastAsia="ru-RU"/>
      </w:rPr>
      <w:drawing>
        <wp:anchor distT="0" distB="0" distL="114300" distR="114300" simplePos="0" relativeHeight="251658242" behindDoc="0" locked="0" layoutInCell="1" allowOverlap="1" wp14:anchorId="134B6F6F" wp14:editId="687DE7DE">
          <wp:simplePos x="0" y="0"/>
          <wp:positionH relativeFrom="column">
            <wp:posOffset>0</wp:posOffset>
          </wp:positionH>
          <wp:positionV relativeFrom="paragraph">
            <wp:posOffset>-365833</wp:posOffset>
          </wp:positionV>
          <wp:extent cx="4967544" cy="407963"/>
          <wp:effectExtent l="0" t="0" r="5080" b="0"/>
          <wp:wrapNone/>
          <wp:docPr id="7340495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49568" name=""/>
                  <pic:cNvPicPr/>
                </pic:nvPicPr>
                <pic:blipFill>
                  <a:blip r:embed="rId1">
                    <a:extLst>
                      <a:ext uri="{28A0092B-C50C-407E-A947-70E740481C1C}">
                        <a14:useLocalDpi xmlns:a14="http://schemas.microsoft.com/office/drawing/2010/main" val="0"/>
                      </a:ext>
                    </a:extLst>
                  </a:blip>
                  <a:stretch>
                    <a:fillRect/>
                  </a:stretch>
                </pic:blipFill>
                <pic:spPr>
                  <a:xfrm>
                    <a:off x="0" y="0"/>
                    <a:ext cx="4967544" cy="407963"/>
                  </a:xfrm>
                  <a:prstGeom prst="rect">
                    <a:avLst/>
                  </a:prstGeom>
                </pic:spPr>
              </pic:pic>
            </a:graphicData>
          </a:graphic>
          <wp14:sizeRelH relativeFrom="page">
            <wp14:pctWidth>0</wp14:pctWidth>
          </wp14:sizeRelH>
          <wp14:sizeRelV relativeFrom="page">
            <wp14:pctHeight>0</wp14:pctHeight>
          </wp14:sizeRelV>
        </wp:anchor>
      </w:drawing>
    </w:r>
    <w:r>
      <w:t>Стор</w:t>
    </w:r>
    <w:r w:rsidR="005929A5">
      <w:rPr>
        <w:lang w:val="en-US"/>
      </w:rPr>
      <w:t>.</w:t>
    </w:r>
    <w:r>
      <w:t xml:space="preserve"> </w:t>
    </w:r>
    <w:r w:rsidR="00CF6F33" w:rsidRPr="00992A11">
      <w:fldChar w:fldCharType="begin"/>
    </w:r>
    <w:r w:rsidR="00CF6F33" w:rsidRPr="00992A11">
      <w:instrText xml:space="preserve"> </w:instrText>
    </w:r>
    <w:r w:rsidR="00262C05" w:rsidRPr="00992A11">
      <w:instrText>PAGE</w:instrText>
    </w:r>
    <w:r w:rsidR="00CF6F33" w:rsidRPr="00992A11">
      <w:instrText xml:space="preserve">  \* Arabic  \* MERGEFORMAT </w:instrText>
    </w:r>
    <w:r w:rsidR="00CF6F33" w:rsidRPr="00992A11">
      <w:fldChar w:fldCharType="separate"/>
    </w:r>
    <w:r w:rsidR="0044709D">
      <w:t>1</w:t>
    </w:r>
    <w:r w:rsidR="00CF6F33" w:rsidRPr="00992A11">
      <w:fldChar w:fldCharType="end"/>
    </w:r>
    <w:r>
      <w:t>/</w:t>
    </w:r>
    <w:r w:rsidR="00CF6F33" w:rsidRPr="00992A11">
      <w:fldChar w:fldCharType="begin"/>
    </w:r>
    <w:r w:rsidR="00CF6F33" w:rsidRPr="00992A11">
      <w:instrText xml:space="preserve"> </w:instrText>
    </w:r>
    <w:r w:rsidR="00262C05" w:rsidRPr="00992A11">
      <w:instrText>NUMPAGES</w:instrText>
    </w:r>
    <w:r w:rsidR="00CF6F33" w:rsidRPr="00992A11">
      <w:instrText xml:space="preserve">  \* Arabic  \* MERGEFORMAT </w:instrText>
    </w:r>
    <w:r w:rsidR="00CF6F33" w:rsidRPr="00992A11">
      <w:fldChar w:fldCharType="separate"/>
    </w:r>
    <w:r w:rsidR="0044709D">
      <w:t>9</w:t>
    </w:r>
    <w:r w:rsidR="00CF6F33" w:rsidRPr="00992A1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A42E9" w14:textId="77777777" w:rsidR="00E97502" w:rsidRDefault="00E97502">
      <w:r>
        <w:separator/>
      </w:r>
    </w:p>
  </w:footnote>
  <w:footnote w:type="continuationSeparator" w:id="0">
    <w:p w14:paraId="1D630B3E" w14:textId="77777777" w:rsidR="00E97502" w:rsidRDefault="00E97502">
      <w:r>
        <w:continuationSeparator/>
      </w:r>
    </w:p>
  </w:footnote>
  <w:footnote w:type="continuationNotice" w:id="1">
    <w:p w14:paraId="1E94EFAC" w14:textId="77777777" w:rsidR="00E97502" w:rsidRDefault="00E97502">
      <w:pPr>
        <w:spacing w:line="240" w:lineRule="auto"/>
      </w:pPr>
    </w:p>
  </w:footnote>
  <w:footnote w:id="2">
    <w:p w14:paraId="798A1A37" w14:textId="79A404DD" w:rsidR="00C76008" w:rsidRPr="00C76008" w:rsidRDefault="00C76008" w:rsidP="00C76008">
      <w:pPr>
        <w:pStyle w:val="FootnoteText"/>
        <w:rPr>
          <w:sz w:val="18"/>
          <w:szCs w:val="16"/>
        </w:rPr>
      </w:pPr>
      <w:r>
        <w:rPr>
          <w:rStyle w:val="FootnoteReference"/>
          <w:sz w:val="18"/>
          <w:szCs w:val="16"/>
        </w:rPr>
        <w:footnoteRef/>
      </w:r>
      <w:r>
        <w:rPr>
          <w:sz w:val="18"/>
        </w:rPr>
        <w:t xml:space="preserve"> Включаючи придбання </w:t>
      </w:r>
      <w:proofErr w:type="spellStart"/>
      <w:r>
        <w:rPr>
          <w:sz w:val="18"/>
        </w:rPr>
        <w:t>Stahl</w:t>
      </w:r>
      <w:proofErr w:type="spellEnd"/>
      <w:r>
        <w:rPr>
          <w:sz w:val="18"/>
        </w:rPr>
        <w:t xml:space="preserve"> Group, яке ще не завершене.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CE39" w14:textId="77777777" w:rsidR="00112A28" w:rsidRDefault="00112A28" w:rsidP="00112A28">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86010" w14:textId="0FF530F6" w:rsidR="00CF6F33" w:rsidRPr="00EB46D9" w:rsidRDefault="0059722C" w:rsidP="00EB46D9">
    <w:pPr>
      <w:pStyle w:val="Header"/>
    </w:pPr>
    <w:r>
      <w:rPr>
        <w:noProof/>
        <w:lang w:val="ru-RU" w:eastAsia="ru-RU"/>
      </w:rPr>
      <w:drawing>
        <wp:anchor distT="0" distB="0" distL="114300" distR="114300" simplePos="0" relativeHeight="251658241" behindDoc="0" locked="1" layoutInCell="1" allowOverlap="1" wp14:anchorId="5559ED3E" wp14:editId="20ECCE45">
          <wp:simplePos x="0" y="0"/>
          <wp:positionH relativeFrom="margin">
            <wp:posOffset>5036820</wp:posOffset>
          </wp:positionH>
          <wp:positionV relativeFrom="margin">
            <wp:posOffset>-1478915</wp:posOffset>
          </wp:positionV>
          <wp:extent cx="1051560" cy="603250"/>
          <wp:effectExtent l="0" t="0" r="0" b="6350"/>
          <wp:wrapNone/>
          <wp:docPr id="1653066876" name="Grafik 1653066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l="4736" t="10539" r="5063" b="12550"/>
                  <a:stretch>
                    <a:fillRect/>
                  </a:stretch>
                </pic:blipFill>
                <pic:spPr bwMode="auto">
                  <a:xfrm>
                    <a:off x="0" y="0"/>
                    <a:ext cx="1051560" cy="603250"/>
                  </a:xfrm>
                  <a:prstGeom prst="rect">
                    <a:avLst/>
                  </a:prstGeom>
                  <a:noFill/>
                </pic:spPr>
              </pic:pic>
            </a:graphicData>
          </a:graphic>
          <wp14:sizeRelH relativeFrom="page">
            <wp14:pctWidth>0</wp14:pctWidth>
          </wp14:sizeRelH>
          <wp14:sizeRelV relativeFrom="page">
            <wp14:pctHeight>0</wp14:pctHeight>
          </wp14:sizeRelV>
        </wp:anchor>
      </w:drawing>
    </w:r>
    <w:r>
      <w:rPr>
        <w:noProof/>
        <w:lang w:val="ru-RU" w:eastAsia="ru-RU"/>
      </w:rPr>
      <mc:AlternateContent>
        <mc:Choice Requires="wpg">
          <w:drawing>
            <wp:anchor distT="0" distB="0" distL="114300" distR="114300" simplePos="0" relativeHeight="251658240" behindDoc="0" locked="0" layoutInCell="1" allowOverlap="1" wp14:anchorId="76D561A9" wp14:editId="7310849B">
              <wp:simplePos x="0" y="0"/>
              <wp:positionH relativeFrom="page">
                <wp:posOffset>180340</wp:posOffset>
              </wp:positionH>
              <wp:positionV relativeFrom="page">
                <wp:posOffset>3780790</wp:posOffset>
              </wp:positionV>
              <wp:extent cx="179705" cy="3780155"/>
              <wp:effectExtent l="0" t="0" r="1905" b="1143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3780155"/>
                        <a:chOff x="0" y="5954"/>
                        <a:chExt cx="283" cy="5953"/>
                      </a:xfrm>
                    </wpg:grpSpPr>
                    <wps:wsp>
                      <wps:cNvPr id="3" name="Line 17"/>
                      <wps:cNvCnPr>
                        <a:cxnSpLocks noChangeShapeType="1"/>
                      </wps:cNvCnPr>
                      <wps:spPr bwMode="auto">
                        <a:xfrm>
                          <a:off x="0" y="5954"/>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4" name="Line 18"/>
                      <wps:cNvCnPr>
                        <a:cxnSpLocks noChangeShapeType="1"/>
                      </wps:cNvCnPr>
                      <wps:spPr bwMode="auto">
                        <a:xfrm>
                          <a:off x="0" y="8420"/>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5" name="Line 19"/>
                      <wps:cNvCnPr>
                        <a:cxnSpLocks noChangeShapeType="1"/>
                      </wps:cNvCnPr>
                      <wps:spPr bwMode="auto">
                        <a:xfrm>
                          <a:off x="0" y="11907"/>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0C7F2F11" id="Group 16" o:spid="_x0000_s1026" style="position:absolute;margin-left:14.2pt;margin-top:297.7pt;width:14.15pt;height:297.65pt;z-index:251658240;mso-position-horizontal-relative:page;mso-position-vertical-relative:page" coordorigin=",5954" coordsize="283,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MB7AgMAALAMAAAOAAAAZHJzL2Uyb0RvYy54bWzsV0tvnDAQvlfqf7C4EwwLu4DCRu2y5JK2&#10;kZL+AC+Yhwo2ssk+VPW/d2yzz16iRGoue0G2x57HN/N5zO3dtmvRmgrZcJZY7g22EGU5LxpWJdbP&#10;58wOLSQHwgrSckYTa0eldTf//Ol208fU4zVvCyoQKGEy3vSJVQ9DHzuOzGvaEXnDe8pAWHLRkQGm&#10;onIKQTagvWsdD+Ops+Gi6AXPqZSwmhqhNdf6y5Lmw4+ylHRAbWKBb4P+Cv1dqa8zvyVxJUhfN/no&#10;BnmDFx1pGBg9qErJQNCLaP5R1TW54JKXw03OO4eXZZNTHQNE4+KLaO4Ff+l1LFW8qfoDTADtBU5v&#10;Vpt/Xz8K1BSJ5VmIkQ5SpK0id6qw2fRVDFvuRf/UPwoTIAwfeP5Lgti5lKt5ZTaj1eYbL0AfeRm4&#10;xmZbik6pgKjRVqdgd0gB3Q4oh0V3Fs1wYKEcRJNZiN0gMDnKa0jk8VgQBf5esBzPeuHEHAThRAkd&#10;Ehub2s/RLxUU1Jo8winfB+dTTXqqsyQVViOc4IqB86FhFLkzg6besWAGynzLRigR44uasIpqXc+7&#10;HmBzdQTKV1BqjqiJhDy8EtojRnt0Dwjpwj/AQ+JeyOGe8g6pQWK14LNOGVk/yMEgud+iMsh41rQt&#10;rJO4ZWcLoNOsgEk4qmTKuKbC7whHy3AZ+rbvTZe2j9PU/pItfHuaubMgnaSLRer+UXZdP66boqBM&#10;mdnT0vVfl6fxgjCEOhDz4LJzrl1XCbh44anr+firF9nZNJzZfuYHNtRlaGM3+hpNsR/5aXbuqU6z&#10;ucfAwFs9RZvEmk4CrMGXvG0KhYDyTYpqtWgFWhO4yZYuxjgbS/xsG9wYrNCJqSkpluN4IE1rxifR&#10;K4+P0UPi9ikDtpg6M1RZ8WL3KFQRjMT5TwzyzxkUfgCDQt8bW4QqYnU/XRmkSuaMn8caOuP6lUG6&#10;YyrOfBSDoI+e9qDoAxjkuhHWvc/UxpVCpm9eKTQ2+Hc0If2og2exvn/GJ7x6d5/OYXz6ozH/CwAA&#10;//8DAFBLAwQUAAYACAAAACEA5HPOSeEAAAAKAQAADwAAAGRycy9kb3ducmV2LnhtbEyPTUvDQBCG&#10;74L/YRnBm92kmn7EbEop6qkItkLpbZudJqHZ2ZDdJum/dzzpbYZ5eOd5s9VoG9Fj52tHCuJJBAKp&#10;cKamUsH3/v1pAcIHTUY3jlDBDT2s8vu7TKfGDfSF/S6UgkPIp1pBFUKbSumLCq32E9ci8e3sOqsD&#10;r10pTacHDreNnEbRTFpdE3+odIubCovL7moVfAx6WD/Hb/32ct7cjvvk87CNUanHh3H9CiLgGP5g&#10;+NVndcjZ6eSuZLxoFEwXL0wqSJYJDwwkszmIE4PxMpqDzDP5v0L+AwAA//8DAFBLAQItABQABgAI&#10;AAAAIQC2gziS/gAAAOEBAAATAAAAAAAAAAAAAAAAAAAAAABbQ29udGVudF9UeXBlc10ueG1sUEsB&#10;Ai0AFAAGAAgAAAAhADj9If/WAAAAlAEAAAsAAAAAAAAAAAAAAAAALwEAAF9yZWxzLy5yZWxzUEsB&#10;Ai0AFAAGAAgAAAAhACZcwHsCAwAAsAwAAA4AAAAAAAAAAAAAAAAALgIAAGRycy9lMm9Eb2MueG1s&#10;UEsBAi0AFAAGAAgAAAAhAORzzknhAAAACgEAAA8AAAAAAAAAAAAAAAAAXAUAAGRycy9kb3ducmV2&#10;LnhtbFBLBQYAAAAABAAEAPMAAABqBgAAAAA=&#10;">
              <v:line id="Line 17" o:spid="_x0000_s1027" style="position:absolute;visibility:visible;mso-wrap-style:square" from="0,5954" to="283,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8rBwgAAANoAAAAPAAAAZHJzL2Rvd25yZXYueG1sRI9PawIx&#10;FMTvBb9DeAVvmm0V0dUoKgpSPPjv4PGxed1dmrwsSarrt28EocdhZn7DzBatNeJGPtSOFXz0MxDE&#10;hdM1lwou521vDCJEZI3GMSl4UIDFvPM2w1y7Ox/pdoqlSBAOOSqoYmxyKUNRkcXQdw1x8r6dtxiT&#10;9KXUHu8Jbo38zLKRtFhzWqiwoXVFxc/p1yq4Lv0GN3Y1nOz92QwO29EazZdS3fd2OQURqY3/4Vd7&#10;pxUM4Hkl3QA5/wMAAP//AwBQSwECLQAUAAYACAAAACEA2+H2y+4AAACFAQAAEwAAAAAAAAAAAAAA&#10;AAAAAAAAW0NvbnRlbnRfVHlwZXNdLnhtbFBLAQItABQABgAIAAAAIQBa9CxbvwAAABUBAAALAAAA&#10;AAAAAAAAAAAAAB8BAABfcmVscy8ucmVsc1BLAQItABQABgAIAAAAIQBOO8rBwgAAANoAAAAPAAAA&#10;AAAAAAAAAAAAAAcCAABkcnMvZG93bnJldi54bWxQSwUGAAAAAAMAAwC3AAAA9gIAAAAA&#10;" stroked="f" strokecolor="#e1000f" strokeweight=".5pt"/>
              <v:line id="Line 18" o:spid="_x0000_s1028" style="position:absolute;visibility:visible;mso-wrap-style:square" from="0,8420" to="283,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lK1wgAAANoAAAAPAAAAZHJzL2Rvd25yZXYueG1sRI9BawIx&#10;FITvBf9DeEJvmtWK2K1RVBSKeNC1hx4fm9fdpcnLkkTd/nsjCD0OM/MNM1921ogr+dA4VjAaZiCI&#10;S6cbrhR8nXeDGYgQkTUax6TgjwIsF72XOeba3fhE1yJWIkE45KigjrHNpQxlTRbD0LXEyftx3mJM&#10;0ldSe7wluDVynGVTabHhtFBjS5uayt/iYhV8r/wWt3Y9eT/4s3k77qYbNHulXvvd6gNEpC7+h5/t&#10;T61gAo8r6QbIxR0AAP//AwBQSwECLQAUAAYACAAAACEA2+H2y+4AAACFAQAAEwAAAAAAAAAAAAAA&#10;AAAAAAAAW0NvbnRlbnRfVHlwZXNdLnhtbFBLAQItABQABgAIAAAAIQBa9CxbvwAAABUBAAALAAAA&#10;AAAAAAAAAAAAAB8BAABfcmVscy8ucmVsc1BLAQItABQABgAIAAAAIQDB0lK1wgAAANoAAAAPAAAA&#10;AAAAAAAAAAAAAAcCAABkcnMvZG93bnJldi54bWxQSwUGAAAAAAMAAwC3AAAA9gIAAAAA&#10;" stroked="f" strokecolor="#e1000f" strokeweight=".5pt"/>
              <v:line id="Line 19" o:spid="_x0000_s1029" style="position:absolute;visibility:visible;mso-wrap-style:square" from="0,11907" to="283,1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vcuxAAAANoAAAAPAAAAZHJzL2Rvd25yZXYueG1sRI9PawIx&#10;FMTvBb9DeII3zba20q6bFSsKpXjwTw89PjbP3aXJy5Kkun57UxB6HGbmN0yx6K0RZ/KhdazgcZKB&#10;IK6cbrlW8HXcjF9BhIis0TgmBVcKsCgHDwXm2l14T+dDrEWCcMhRQRNjl0sZqoYshonriJN3ct5i&#10;TNLXUnu8JLg18inLZtJiy2mhwY5WDVU/h1+r4Hvp17i2789vW380091mtkLzqdRo2C/nICL18T98&#10;b39oBS/wdyXdAFneAAAA//8DAFBLAQItABQABgAIAAAAIQDb4fbL7gAAAIUBAAATAAAAAAAAAAAA&#10;AAAAAAAAAABbQ29udGVudF9UeXBlc10ueG1sUEsBAi0AFAAGAAgAAAAhAFr0LFu/AAAAFQEAAAsA&#10;AAAAAAAAAAAAAAAAHwEAAF9yZWxzLy5yZWxzUEsBAi0AFAAGAAgAAAAhAK6e9y7EAAAA2gAAAA8A&#10;AAAAAAAAAAAAAAAABwIAAGRycy9kb3ducmV2LnhtbFBLBQYAAAAAAwADALcAAAD4AgAAAAA=&#10;" stroked="f" strokecolor="#e1000f" strokeweight=".5pt"/>
              <w10:wrap anchorx="page" anchory="page"/>
            </v:group>
          </w:pict>
        </mc:Fallback>
      </mc:AlternateContent>
    </w:r>
    <w:r>
      <w:t>Пресреліз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865"/>
    <w:multiLevelType w:val="hybridMultilevel"/>
    <w:tmpl w:val="4A063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F4270"/>
    <w:multiLevelType w:val="hybridMultilevel"/>
    <w:tmpl w:val="12EC31FA"/>
    <w:lvl w:ilvl="0" w:tplc="785A8864">
      <w:start w:val="1"/>
      <w:numFmt w:val="bullet"/>
      <w:pStyle w:val="NumBullet"/>
      <w:lvlText w:val="•"/>
      <w:lvlJc w:val="left"/>
      <w:pPr>
        <w:tabs>
          <w:tab w:val="num" w:pos="567"/>
        </w:tabs>
        <w:ind w:left="567" w:hanging="567"/>
      </w:pPr>
      <w:rPr>
        <w:rFonts w:ascii="Times New Roman" w:hAnsi="Times New Roman" w:cs="Times New Roman" w:hint="default"/>
        <w:color w:val="E1000F"/>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0B585C"/>
    <w:multiLevelType w:val="hybridMultilevel"/>
    <w:tmpl w:val="70D4F3A4"/>
    <w:lvl w:ilvl="0" w:tplc="68061C8C">
      <w:start w:val="1"/>
      <w:numFmt w:val="bullet"/>
      <w:lvlText w:val=""/>
      <w:lvlJc w:val="left"/>
      <w:pPr>
        <w:ind w:left="1004" w:hanging="360"/>
      </w:pPr>
      <w:rPr>
        <w:rFonts w:ascii="Wingdings" w:hAnsi="Wingdings" w:hint="default"/>
        <w:sz w:val="24"/>
        <w:szCs w:val="24"/>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3F4B6752"/>
    <w:multiLevelType w:val="hybridMultilevel"/>
    <w:tmpl w:val="1DAEF754"/>
    <w:lvl w:ilvl="0" w:tplc="36002C28">
      <w:start w:val="1"/>
      <w:numFmt w:val="bullet"/>
      <w:lvlText w:val=""/>
      <w:lvlJc w:val="left"/>
      <w:pPr>
        <w:ind w:left="360" w:hanging="360"/>
      </w:pPr>
      <w:rPr>
        <w:rFonts w:ascii="Wingdings" w:hAnsi="Wingdings" w:hint="default"/>
        <w:color w:val="E1000F"/>
        <w:sz w:val="24"/>
        <w:szCs w:val="24"/>
      </w:rPr>
    </w:lvl>
    <w:lvl w:ilvl="1" w:tplc="645A6B9C">
      <w:numFmt w:val="bullet"/>
      <w:lvlText w:val="-"/>
      <w:lvlJc w:val="left"/>
      <w:pPr>
        <w:ind w:left="1080" w:hanging="360"/>
      </w:pPr>
      <w:rPr>
        <w:rFonts w:ascii="Arial" w:hAnsi="Arial" w:hint="default"/>
        <w:color w:val="FF0000"/>
      </w:rPr>
    </w:lvl>
    <w:lvl w:ilvl="2" w:tplc="04070005" w:tentative="1">
      <w:start w:val="1"/>
      <w:numFmt w:val="bullet"/>
      <w:lvlText w:val=""/>
      <w:lvlJc w:val="left"/>
      <w:pPr>
        <w:ind w:left="1800" w:hanging="360"/>
      </w:pPr>
      <w:rPr>
        <w:rFonts w:ascii="Wingdings" w:hAnsi="Wingdings" w:cs="Wingdings" w:hint="default"/>
      </w:rPr>
    </w:lvl>
    <w:lvl w:ilvl="3" w:tplc="04070001" w:tentative="1">
      <w:start w:val="1"/>
      <w:numFmt w:val="bullet"/>
      <w:lvlText w:val=""/>
      <w:lvlJc w:val="left"/>
      <w:pPr>
        <w:ind w:left="2520" w:hanging="360"/>
      </w:pPr>
      <w:rPr>
        <w:rFonts w:ascii="Symbol" w:hAnsi="Symbol" w:cs="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cs="Wingdings" w:hint="default"/>
      </w:rPr>
    </w:lvl>
    <w:lvl w:ilvl="6" w:tplc="04070001" w:tentative="1">
      <w:start w:val="1"/>
      <w:numFmt w:val="bullet"/>
      <w:lvlText w:val=""/>
      <w:lvlJc w:val="left"/>
      <w:pPr>
        <w:ind w:left="4680" w:hanging="360"/>
      </w:pPr>
      <w:rPr>
        <w:rFonts w:ascii="Symbol" w:hAnsi="Symbol" w:cs="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cs="Wingdings" w:hint="default"/>
      </w:rPr>
    </w:lvl>
  </w:abstractNum>
  <w:abstractNum w:abstractNumId="4" w15:restartNumberingAfterBreak="0">
    <w:nsid w:val="40C5131F"/>
    <w:multiLevelType w:val="hybridMultilevel"/>
    <w:tmpl w:val="8F8421B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549B0C97"/>
    <w:multiLevelType w:val="hybridMultilevel"/>
    <w:tmpl w:val="DCD2F366"/>
    <w:lvl w:ilvl="0" w:tplc="53A0857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BB6FB3"/>
    <w:multiLevelType w:val="hybridMultilevel"/>
    <w:tmpl w:val="FD7E88F4"/>
    <w:lvl w:ilvl="0" w:tplc="A86EF76C">
      <w:start w:val="1"/>
      <w:numFmt w:val="bullet"/>
      <w:lvlText w:val=""/>
      <w:lvlJc w:val="left"/>
      <w:pPr>
        <w:ind w:left="720" w:hanging="360"/>
      </w:pPr>
      <w:rPr>
        <w:rFonts w:ascii="Wingdings" w:hAnsi="Wingdings" w:hint="default"/>
        <w:color w:val="E1000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A89532E"/>
    <w:multiLevelType w:val="hybridMultilevel"/>
    <w:tmpl w:val="357663A0"/>
    <w:lvl w:ilvl="0" w:tplc="5FB28F00">
      <w:start w:val="1"/>
      <w:numFmt w:val="bullet"/>
      <w:lvlText w:val=""/>
      <w:lvlJc w:val="left"/>
      <w:pPr>
        <w:ind w:left="786" w:hanging="360"/>
      </w:pPr>
      <w:rPr>
        <w:rFonts w:ascii="Wingdings" w:hAnsi="Wingdings" w:hint="default"/>
        <w:sz w:val="24"/>
        <w:szCs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8839592">
    <w:abstractNumId w:val="1"/>
  </w:num>
  <w:num w:numId="2" w16cid:durableId="381172432">
    <w:abstractNumId w:val="0"/>
  </w:num>
  <w:num w:numId="3" w16cid:durableId="1017387872">
    <w:abstractNumId w:val="7"/>
  </w:num>
  <w:num w:numId="4" w16cid:durableId="532353023">
    <w:abstractNumId w:val="4"/>
  </w:num>
  <w:num w:numId="5" w16cid:durableId="1873104392">
    <w:abstractNumId w:val="2"/>
  </w:num>
  <w:num w:numId="6" w16cid:durableId="87043497">
    <w:abstractNumId w:val="5"/>
  </w:num>
  <w:num w:numId="7" w16cid:durableId="415131955">
    <w:abstractNumId w:val="3"/>
  </w:num>
  <w:num w:numId="8" w16cid:durableId="332755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WAFVersion" w:val="5.0"/>
  </w:docVars>
  <w:rsids>
    <w:rsidRoot w:val="0033451C"/>
    <w:rsid w:val="00000839"/>
    <w:rsid w:val="00002AA4"/>
    <w:rsid w:val="00005267"/>
    <w:rsid w:val="00005415"/>
    <w:rsid w:val="00006346"/>
    <w:rsid w:val="000069EB"/>
    <w:rsid w:val="00006A45"/>
    <w:rsid w:val="00007410"/>
    <w:rsid w:val="00011DDB"/>
    <w:rsid w:val="00013644"/>
    <w:rsid w:val="00014FC1"/>
    <w:rsid w:val="00016137"/>
    <w:rsid w:val="00017389"/>
    <w:rsid w:val="00020DC3"/>
    <w:rsid w:val="00021C67"/>
    <w:rsid w:val="00024147"/>
    <w:rsid w:val="00024483"/>
    <w:rsid w:val="000256A9"/>
    <w:rsid w:val="00026EEE"/>
    <w:rsid w:val="000301F0"/>
    <w:rsid w:val="00030557"/>
    <w:rsid w:val="00030701"/>
    <w:rsid w:val="00030F51"/>
    <w:rsid w:val="000311F4"/>
    <w:rsid w:val="000343EB"/>
    <w:rsid w:val="00035A84"/>
    <w:rsid w:val="0003650E"/>
    <w:rsid w:val="00037396"/>
    <w:rsid w:val="000378F9"/>
    <w:rsid w:val="00037D04"/>
    <w:rsid w:val="00040816"/>
    <w:rsid w:val="00040CC9"/>
    <w:rsid w:val="00041F81"/>
    <w:rsid w:val="000425ED"/>
    <w:rsid w:val="00045A1D"/>
    <w:rsid w:val="00045CCB"/>
    <w:rsid w:val="000471D0"/>
    <w:rsid w:val="000510FC"/>
    <w:rsid w:val="00051555"/>
    <w:rsid w:val="000517E2"/>
    <w:rsid w:val="00051E86"/>
    <w:rsid w:val="00054AFE"/>
    <w:rsid w:val="0005544E"/>
    <w:rsid w:val="00055CE4"/>
    <w:rsid w:val="000575F9"/>
    <w:rsid w:val="000618FC"/>
    <w:rsid w:val="00062741"/>
    <w:rsid w:val="0006442E"/>
    <w:rsid w:val="00065466"/>
    <w:rsid w:val="000665F3"/>
    <w:rsid w:val="00066A9C"/>
    <w:rsid w:val="00067071"/>
    <w:rsid w:val="00067F67"/>
    <w:rsid w:val="00070652"/>
    <w:rsid w:val="00070757"/>
    <w:rsid w:val="00071284"/>
    <w:rsid w:val="0007275A"/>
    <w:rsid w:val="00073AED"/>
    <w:rsid w:val="000751A7"/>
    <w:rsid w:val="000759DC"/>
    <w:rsid w:val="0007746E"/>
    <w:rsid w:val="00077AF9"/>
    <w:rsid w:val="00080D10"/>
    <w:rsid w:val="00081241"/>
    <w:rsid w:val="00081692"/>
    <w:rsid w:val="000818B6"/>
    <w:rsid w:val="00081EF8"/>
    <w:rsid w:val="00082417"/>
    <w:rsid w:val="0008357F"/>
    <w:rsid w:val="00083A35"/>
    <w:rsid w:val="00083A61"/>
    <w:rsid w:val="00083DAB"/>
    <w:rsid w:val="0008406B"/>
    <w:rsid w:val="00084918"/>
    <w:rsid w:val="00085A1A"/>
    <w:rsid w:val="00090DB6"/>
    <w:rsid w:val="00090E73"/>
    <w:rsid w:val="00091F11"/>
    <w:rsid w:val="00092511"/>
    <w:rsid w:val="00093255"/>
    <w:rsid w:val="00094235"/>
    <w:rsid w:val="00096AD4"/>
    <w:rsid w:val="000979FE"/>
    <w:rsid w:val="000A0598"/>
    <w:rsid w:val="000A05E0"/>
    <w:rsid w:val="000A06FB"/>
    <w:rsid w:val="000A31D3"/>
    <w:rsid w:val="000A4E75"/>
    <w:rsid w:val="000A50CF"/>
    <w:rsid w:val="000A511E"/>
    <w:rsid w:val="000A64B3"/>
    <w:rsid w:val="000A6C25"/>
    <w:rsid w:val="000B005C"/>
    <w:rsid w:val="000B10DE"/>
    <w:rsid w:val="000B2E86"/>
    <w:rsid w:val="000B576C"/>
    <w:rsid w:val="000B5D2F"/>
    <w:rsid w:val="000B5E32"/>
    <w:rsid w:val="000B6244"/>
    <w:rsid w:val="000B695A"/>
    <w:rsid w:val="000B6EF1"/>
    <w:rsid w:val="000B72A8"/>
    <w:rsid w:val="000C0715"/>
    <w:rsid w:val="000C1254"/>
    <w:rsid w:val="000C210A"/>
    <w:rsid w:val="000C27E5"/>
    <w:rsid w:val="000C30D6"/>
    <w:rsid w:val="000C47D1"/>
    <w:rsid w:val="000C50A1"/>
    <w:rsid w:val="000C56DD"/>
    <w:rsid w:val="000C63F4"/>
    <w:rsid w:val="000D11CB"/>
    <w:rsid w:val="000D14C4"/>
    <w:rsid w:val="000D1672"/>
    <w:rsid w:val="000D178A"/>
    <w:rsid w:val="000D18CE"/>
    <w:rsid w:val="000D40C6"/>
    <w:rsid w:val="000D6C67"/>
    <w:rsid w:val="000E0CAB"/>
    <w:rsid w:val="000E1B84"/>
    <w:rsid w:val="000E21E4"/>
    <w:rsid w:val="000E2F62"/>
    <w:rsid w:val="000E38ED"/>
    <w:rsid w:val="000E45C7"/>
    <w:rsid w:val="000E67D5"/>
    <w:rsid w:val="000E755E"/>
    <w:rsid w:val="000E7F24"/>
    <w:rsid w:val="000F03BE"/>
    <w:rsid w:val="000F10AC"/>
    <w:rsid w:val="000F1757"/>
    <w:rsid w:val="000F225B"/>
    <w:rsid w:val="000F333E"/>
    <w:rsid w:val="000F3949"/>
    <w:rsid w:val="000F41BC"/>
    <w:rsid w:val="000F48E9"/>
    <w:rsid w:val="000F4DAE"/>
    <w:rsid w:val="000F79E6"/>
    <w:rsid w:val="000F7ADB"/>
    <w:rsid w:val="000F7D43"/>
    <w:rsid w:val="000F7FAF"/>
    <w:rsid w:val="00100D8B"/>
    <w:rsid w:val="00102045"/>
    <w:rsid w:val="00102264"/>
    <w:rsid w:val="00103537"/>
    <w:rsid w:val="0010421C"/>
    <w:rsid w:val="0010465B"/>
    <w:rsid w:val="001050D7"/>
    <w:rsid w:val="0010570F"/>
    <w:rsid w:val="00105975"/>
    <w:rsid w:val="00110090"/>
    <w:rsid w:val="00110407"/>
    <w:rsid w:val="0011116D"/>
    <w:rsid w:val="00111386"/>
    <w:rsid w:val="001118DF"/>
    <w:rsid w:val="00111F4D"/>
    <w:rsid w:val="001125B2"/>
    <w:rsid w:val="00112A28"/>
    <w:rsid w:val="00113571"/>
    <w:rsid w:val="00114DDF"/>
    <w:rsid w:val="00114FAA"/>
    <w:rsid w:val="00115230"/>
    <w:rsid w:val="00115AE1"/>
    <w:rsid w:val="00115B5F"/>
    <w:rsid w:val="001162B4"/>
    <w:rsid w:val="00116DF3"/>
    <w:rsid w:val="00122B90"/>
    <w:rsid w:val="00122CBC"/>
    <w:rsid w:val="0012414B"/>
    <w:rsid w:val="001244F8"/>
    <w:rsid w:val="001246AB"/>
    <w:rsid w:val="00124FA3"/>
    <w:rsid w:val="001255F8"/>
    <w:rsid w:val="00126AF1"/>
    <w:rsid w:val="00126C65"/>
    <w:rsid w:val="00126D4A"/>
    <w:rsid w:val="0012714C"/>
    <w:rsid w:val="001274FA"/>
    <w:rsid w:val="00131762"/>
    <w:rsid w:val="001318EB"/>
    <w:rsid w:val="00132DA9"/>
    <w:rsid w:val="0013305B"/>
    <w:rsid w:val="00133B99"/>
    <w:rsid w:val="0013569C"/>
    <w:rsid w:val="00135939"/>
    <w:rsid w:val="001369E3"/>
    <w:rsid w:val="001375DD"/>
    <w:rsid w:val="00142EFB"/>
    <w:rsid w:val="001438BF"/>
    <w:rsid w:val="001443BD"/>
    <w:rsid w:val="00144A87"/>
    <w:rsid w:val="00145B62"/>
    <w:rsid w:val="00146193"/>
    <w:rsid w:val="00147770"/>
    <w:rsid w:val="00147E09"/>
    <w:rsid w:val="001519D2"/>
    <w:rsid w:val="00152022"/>
    <w:rsid w:val="00152026"/>
    <w:rsid w:val="00152392"/>
    <w:rsid w:val="00152A41"/>
    <w:rsid w:val="001544C3"/>
    <w:rsid w:val="00154D75"/>
    <w:rsid w:val="00156ED6"/>
    <w:rsid w:val="001577E9"/>
    <w:rsid w:val="00157A59"/>
    <w:rsid w:val="00157F37"/>
    <w:rsid w:val="0016138C"/>
    <w:rsid w:val="00162D60"/>
    <w:rsid w:val="001640D5"/>
    <w:rsid w:val="00164499"/>
    <w:rsid w:val="001653D7"/>
    <w:rsid w:val="001659FB"/>
    <w:rsid w:val="00171763"/>
    <w:rsid w:val="00171D3F"/>
    <w:rsid w:val="00172151"/>
    <w:rsid w:val="00172C99"/>
    <w:rsid w:val="001731CE"/>
    <w:rsid w:val="00173E0D"/>
    <w:rsid w:val="001742EE"/>
    <w:rsid w:val="00175C72"/>
    <w:rsid w:val="00177D1E"/>
    <w:rsid w:val="00180F93"/>
    <w:rsid w:val="00181B06"/>
    <w:rsid w:val="0018672E"/>
    <w:rsid w:val="001928FC"/>
    <w:rsid w:val="00193BD5"/>
    <w:rsid w:val="00194571"/>
    <w:rsid w:val="00196308"/>
    <w:rsid w:val="0019782F"/>
    <w:rsid w:val="00197E9B"/>
    <w:rsid w:val="001A1185"/>
    <w:rsid w:val="001A3D77"/>
    <w:rsid w:val="001A4A02"/>
    <w:rsid w:val="001B30F7"/>
    <w:rsid w:val="001B31F0"/>
    <w:rsid w:val="001B4862"/>
    <w:rsid w:val="001B5147"/>
    <w:rsid w:val="001B65FF"/>
    <w:rsid w:val="001B710A"/>
    <w:rsid w:val="001B771D"/>
    <w:rsid w:val="001B7C20"/>
    <w:rsid w:val="001C0890"/>
    <w:rsid w:val="001C0B32"/>
    <w:rsid w:val="001C2D66"/>
    <w:rsid w:val="001C36F7"/>
    <w:rsid w:val="001C43A5"/>
    <w:rsid w:val="001C4BE1"/>
    <w:rsid w:val="001C5338"/>
    <w:rsid w:val="001C5847"/>
    <w:rsid w:val="001C7F21"/>
    <w:rsid w:val="001D1497"/>
    <w:rsid w:val="001D5534"/>
    <w:rsid w:val="001D63D9"/>
    <w:rsid w:val="001D6F0E"/>
    <w:rsid w:val="001D7ADF"/>
    <w:rsid w:val="001E0F71"/>
    <w:rsid w:val="001E1575"/>
    <w:rsid w:val="001E160D"/>
    <w:rsid w:val="001E17FB"/>
    <w:rsid w:val="001E255E"/>
    <w:rsid w:val="001E2B9B"/>
    <w:rsid w:val="001E2C06"/>
    <w:rsid w:val="001E35BA"/>
    <w:rsid w:val="001E3A31"/>
    <w:rsid w:val="001E4393"/>
    <w:rsid w:val="001E4690"/>
    <w:rsid w:val="001E49D3"/>
    <w:rsid w:val="001E4CCB"/>
    <w:rsid w:val="001E51A6"/>
    <w:rsid w:val="001E6D05"/>
    <w:rsid w:val="001E73E8"/>
    <w:rsid w:val="001E7C28"/>
    <w:rsid w:val="001F0C14"/>
    <w:rsid w:val="001F0F3B"/>
    <w:rsid w:val="001F11A1"/>
    <w:rsid w:val="001F1AB5"/>
    <w:rsid w:val="001F1BDF"/>
    <w:rsid w:val="001F1D6D"/>
    <w:rsid w:val="001F20A0"/>
    <w:rsid w:val="001F35F8"/>
    <w:rsid w:val="001F39FC"/>
    <w:rsid w:val="001F3E04"/>
    <w:rsid w:val="001F4AC3"/>
    <w:rsid w:val="001F4CAC"/>
    <w:rsid w:val="001F52E0"/>
    <w:rsid w:val="001F590C"/>
    <w:rsid w:val="001F7110"/>
    <w:rsid w:val="001F7185"/>
    <w:rsid w:val="001F773D"/>
    <w:rsid w:val="001F7E96"/>
    <w:rsid w:val="002005F5"/>
    <w:rsid w:val="0020202E"/>
    <w:rsid w:val="00202284"/>
    <w:rsid w:val="0020528D"/>
    <w:rsid w:val="0020543B"/>
    <w:rsid w:val="00205A66"/>
    <w:rsid w:val="002063CF"/>
    <w:rsid w:val="00206613"/>
    <w:rsid w:val="0020756B"/>
    <w:rsid w:val="00207E75"/>
    <w:rsid w:val="00210D86"/>
    <w:rsid w:val="0021158F"/>
    <w:rsid w:val="00211BA0"/>
    <w:rsid w:val="00212488"/>
    <w:rsid w:val="002129A6"/>
    <w:rsid w:val="002151DB"/>
    <w:rsid w:val="00220628"/>
    <w:rsid w:val="00221A45"/>
    <w:rsid w:val="00221BA0"/>
    <w:rsid w:val="00224CB4"/>
    <w:rsid w:val="002260C7"/>
    <w:rsid w:val="002304D2"/>
    <w:rsid w:val="002310E3"/>
    <w:rsid w:val="00232594"/>
    <w:rsid w:val="002338C1"/>
    <w:rsid w:val="00233D04"/>
    <w:rsid w:val="00234ABD"/>
    <w:rsid w:val="00236491"/>
    <w:rsid w:val="00236C3B"/>
    <w:rsid w:val="00236E2A"/>
    <w:rsid w:val="00237F62"/>
    <w:rsid w:val="00240D96"/>
    <w:rsid w:val="00241E10"/>
    <w:rsid w:val="00242C71"/>
    <w:rsid w:val="0024586A"/>
    <w:rsid w:val="0024601F"/>
    <w:rsid w:val="002464E3"/>
    <w:rsid w:val="0024732C"/>
    <w:rsid w:val="00250150"/>
    <w:rsid w:val="002502E1"/>
    <w:rsid w:val="00250C98"/>
    <w:rsid w:val="00250F80"/>
    <w:rsid w:val="0025124F"/>
    <w:rsid w:val="002518A2"/>
    <w:rsid w:val="002528B3"/>
    <w:rsid w:val="00253854"/>
    <w:rsid w:val="0025551F"/>
    <w:rsid w:val="00255F8C"/>
    <w:rsid w:val="00256174"/>
    <w:rsid w:val="002566B2"/>
    <w:rsid w:val="002569B9"/>
    <w:rsid w:val="00256F0C"/>
    <w:rsid w:val="00257231"/>
    <w:rsid w:val="00260318"/>
    <w:rsid w:val="00261C23"/>
    <w:rsid w:val="00262C05"/>
    <w:rsid w:val="002715AF"/>
    <w:rsid w:val="002717F0"/>
    <w:rsid w:val="0027214F"/>
    <w:rsid w:val="0027301C"/>
    <w:rsid w:val="00273099"/>
    <w:rsid w:val="00281D14"/>
    <w:rsid w:val="00282C13"/>
    <w:rsid w:val="002833D8"/>
    <w:rsid w:val="002836D7"/>
    <w:rsid w:val="00284538"/>
    <w:rsid w:val="00285669"/>
    <w:rsid w:val="002858F6"/>
    <w:rsid w:val="00286BF6"/>
    <w:rsid w:val="00286D3E"/>
    <w:rsid w:val="002903B7"/>
    <w:rsid w:val="002919AD"/>
    <w:rsid w:val="00292C23"/>
    <w:rsid w:val="00293E0F"/>
    <w:rsid w:val="00295E54"/>
    <w:rsid w:val="002962D7"/>
    <w:rsid w:val="00296C33"/>
    <w:rsid w:val="002A0D7B"/>
    <w:rsid w:val="002A0DF7"/>
    <w:rsid w:val="002A268C"/>
    <w:rsid w:val="002A2975"/>
    <w:rsid w:val="002A460D"/>
    <w:rsid w:val="002A505B"/>
    <w:rsid w:val="002A5EE9"/>
    <w:rsid w:val="002A60E0"/>
    <w:rsid w:val="002A69D0"/>
    <w:rsid w:val="002A72F8"/>
    <w:rsid w:val="002B1AA8"/>
    <w:rsid w:val="002B1E87"/>
    <w:rsid w:val="002B4583"/>
    <w:rsid w:val="002B5D65"/>
    <w:rsid w:val="002B687A"/>
    <w:rsid w:val="002B6B59"/>
    <w:rsid w:val="002C1344"/>
    <w:rsid w:val="002C252E"/>
    <w:rsid w:val="002C3A2A"/>
    <w:rsid w:val="002C458A"/>
    <w:rsid w:val="002C6093"/>
    <w:rsid w:val="002C6552"/>
    <w:rsid w:val="002C672A"/>
    <w:rsid w:val="002C6773"/>
    <w:rsid w:val="002C6F51"/>
    <w:rsid w:val="002C73EC"/>
    <w:rsid w:val="002D0FE0"/>
    <w:rsid w:val="002D269A"/>
    <w:rsid w:val="002D2A3D"/>
    <w:rsid w:val="002D3E72"/>
    <w:rsid w:val="002D3EAC"/>
    <w:rsid w:val="002D46A9"/>
    <w:rsid w:val="002D5D1D"/>
    <w:rsid w:val="002D6EFD"/>
    <w:rsid w:val="002D74CF"/>
    <w:rsid w:val="002D7B8C"/>
    <w:rsid w:val="002E0A45"/>
    <w:rsid w:val="002E0B17"/>
    <w:rsid w:val="002E1E7A"/>
    <w:rsid w:val="002E26B4"/>
    <w:rsid w:val="002E31C0"/>
    <w:rsid w:val="002E3A73"/>
    <w:rsid w:val="002E4FFB"/>
    <w:rsid w:val="002E63A7"/>
    <w:rsid w:val="002E650E"/>
    <w:rsid w:val="002E6E2F"/>
    <w:rsid w:val="002E7DED"/>
    <w:rsid w:val="002F0334"/>
    <w:rsid w:val="002F2A7B"/>
    <w:rsid w:val="002F4AB2"/>
    <w:rsid w:val="002F4F67"/>
    <w:rsid w:val="002F5944"/>
    <w:rsid w:val="002F7BC2"/>
    <w:rsid w:val="002F7E11"/>
    <w:rsid w:val="003002BA"/>
    <w:rsid w:val="0030037C"/>
    <w:rsid w:val="003008B9"/>
    <w:rsid w:val="003024B2"/>
    <w:rsid w:val="00302BC5"/>
    <w:rsid w:val="00304087"/>
    <w:rsid w:val="003053DC"/>
    <w:rsid w:val="003054B0"/>
    <w:rsid w:val="003057B1"/>
    <w:rsid w:val="003062AD"/>
    <w:rsid w:val="00310ACD"/>
    <w:rsid w:val="00312C23"/>
    <w:rsid w:val="0031379F"/>
    <w:rsid w:val="00313A9C"/>
    <w:rsid w:val="0031621E"/>
    <w:rsid w:val="00316A16"/>
    <w:rsid w:val="00316B30"/>
    <w:rsid w:val="00320228"/>
    <w:rsid w:val="00320372"/>
    <w:rsid w:val="00320A26"/>
    <w:rsid w:val="003212F3"/>
    <w:rsid w:val="00321344"/>
    <w:rsid w:val="00321622"/>
    <w:rsid w:val="00321788"/>
    <w:rsid w:val="003221D5"/>
    <w:rsid w:val="00323D57"/>
    <w:rsid w:val="00323FA3"/>
    <w:rsid w:val="00325064"/>
    <w:rsid w:val="00325EC9"/>
    <w:rsid w:val="00326735"/>
    <w:rsid w:val="003279C6"/>
    <w:rsid w:val="0032B295"/>
    <w:rsid w:val="00331A3E"/>
    <w:rsid w:val="0033451C"/>
    <w:rsid w:val="00334724"/>
    <w:rsid w:val="00335660"/>
    <w:rsid w:val="00335FBD"/>
    <w:rsid w:val="0033649A"/>
    <w:rsid w:val="00336854"/>
    <w:rsid w:val="0033769B"/>
    <w:rsid w:val="00337A89"/>
    <w:rsid w:val="0034015C"/>
    <w:rsid w:val="00341409"/>
    <w:rsid w:val="00341CAE"/>
    <w:rsid w:val="003442F4"/>
    <w:rsid w:val="00344546"/>
    <w:rsid w:val="003455CF"/>
    <w:rsid w:val="0034583F"/>
    <w:rsid w:val="0034716E"/>
    <w:rsid w:val="00350CB4"/>
    <w:rsid w:val="00353705"/>
    <w:rsid w:val="00355536"/>
    <w:rsid w:val="003562E8"/>
    <w:rsid w:val="00357F94"/>
    <w:rsid w:val="003614D7"/>
    <w:rsid w:val="0036357D"/>
    <w:rsid w:val="00363637"/>
    <w:rsid w:val="003649BC"/>
    <w:rsid w:val="00364F7E"/>
    <w:rsid w:val="00365BE1"/>
    <w:rsid w:val="00365E44"/>
    <w:rsid w:val="003662B1"/>
    <w:rsid w:val="003663FD"/>
    <w:rsid w:val="003667AD"/>
    <w:rsid w:val="00367AA1"/>
    <w:rsid w:val="00370A5B"/>
    <w:rsid w:val="00372497"/>
    <w:rsid w:val="00372E36"/>
    <w:rsid w:val="00373C15"/>
    <w:rsid w:val="00373D53"/>
    <w:rsid w:val="00375653"/>
    <w:rsid w:val="00375DFA"/>
    <w:rsid w:val="00375F7D"/>
    <w:rsid w:val="003767D3"/>
    <w:rsid w:val="00376EE9"/>
    <w:rsid w:val="00376FFC"/>
    <w:rsid w:val="00377CBB"/>
    <w:rsid w:val="00382CCB"/>
    <w:rsid w:val="00382DA3"/>
    <w:rsid w:val="00384F62"/>
    <w:rsid w:val="00385438"/>
    <w:rsid w:val="003858E5"/>
    <w:rsid w:val="003877B6"/>
    <w:rsid w:val="00391539"/>
    <w:rsid w:val="003921B7"/>
    <w:rsid w:val="00392D73"/>
    <w:rsid w:val="00393887"/>
    <w:rsid w:val="00393F1B"/>
    <w:rsid w:val="00394C6B"/>
    <w:rsid w:val="0039610B"/>
    <w:rsid w:val="00396442"/>
    <w:rsid w:val="003967E1"/>
    <w:rsid w:val="00397C2B"/>
    <w:rsid w:val="003A11DF"/>
    <w:rsid w:val="003A290F"/>
    <w:rsid w:val="003A4AAA"/>
    <w:rsid w:val="003A4B10"/>
    <w:rsid w:val="003A4E2E"/>
    <w:rsid w:val="003A4E62"/>
    <w:rsid w:val="003A5A6A"/>
    <w:rsid w:val="003A775E"/>
    <w:rsid w:val="003B02F2"/>
    <w:rsid w:val="003B06F6"/>
    <w:rsid w:val="003B0BD0"/>
    <w:rsid w:val="003B0CDD"/>
    <w:rsid w:val="003B1069"/>
    <w:rsid w:val="003B1F2E"/>
    <w:rsid w:val="003B38CC"/>
    <w:rsid w:val="003B390A"/>
    <w:rsid w:val="003B3D53"/>
    <w:rsid w:val="003B4E3A"/>
    <w:rsid w:val="003B60C3"/>
    <w:rsid w:val="003B6373"/>
    <w:rsid w:val="003B79E1"/>
    <w:rsid w:val="003C0E8C"/>
    <w:rsid w:val="003C15DE"/>
    <w:rsid w:val="003C2096"/>
    <w:rsid w:val="003C2889"/>
    <w:rsid w:val="003C2AB0"/>
    <w:rsid w:val="003C34C9"/>
    <w:rsid w:val="003C4EB2"/>
    <w:rsid w:val="003C5801"/>
    <w:rsid w:val="003C5E05"/>
    <w:rsid w:val="003C63D0"/>
    <w:rsid w:val="003C73C9"/>
    <w:rsid w:val="003C7959"/>
    <w:rsid w:val="003D0055"/>
    <w:rsid w:val="003D3968"/>
    <w:rsid w:val="003D42AF"/>
    <w:rsid w:val="003D4899"/>
    <w:rsid w:val="003D4AD2"/>
    <w:rsid w:val="003D5E11"/>
    <w:rsid w:val="003D73C0"/>
    <w:rsid w:val="003E031D"/>
    <w:rsid w:val="003E0583"/>
    <w:rsid w:val="003E1833"/>
    <w:rsid w:val="003E4062"/>
    <w:rsid w:val="003E6DA3"/>
    <w:rsid w:val="003E7305"/>
    <w:rsid w:val="003F0C1C"/>
    <w:rsid w:val="003F1AF3"/>
    <w:rsid w:val="003F25E4"/>
    <w:rsid w:val="003F4804"/>
    <w:rsid w:val="003F4AAA"/>
    <w:rsid w:val="003F4D8D"/>
    <w:rsid w:val="003F4E93"/>
    <w:rsid w:val="003F5708"/>
    <w:rsid w:val="003F66A4"/>
    <w:rsid w:val="00401508"/>
    <w:rsid w:val="00401688"/>
    <w:rsid w:val="004024D9"/>
    <w:rsid w:val="0040257E"/>
    <w:rsid w:val="0040386D"/>
    <w:rsid w:val="00404188"/>
    <w:rsid w:val="00406435"/>
    <w:rsid w:val="004066F9"/>
    <w:rsid w:val="00406CBE"/>
    <w:rsid w:val="004073DC"/>
    <w:rsid w:val="004137C0"/>
    <w:rsid w:val="004138F3"/>
    <w:rsid w:val="00414C7B"/>
    <w:rsid w:val="00420F5B"/>
    <w:rsid w:val="00421F20"/>
    <w:rsid w:val="0042238F"/>
    <w:rsid w:val="00423B63"/>
    <w:rsid w:val="00427BEA"/>
    <w:rsid w:val="00430120"/>
    <w:rsid w:val="004313E7"/>
    <w:rsid w:val="00432542"/>
    <w:rsid w:val="004334D8"/>
    <w:rsid w:val="004339B2"/>
    <w:rsid w:val="00437F32"/>
    <w:rsid w:val="00440E7A"/>
    <w:rsid w:val="004433D5"/>
    <w:rsid w:val="0044344E"/>
    <w:rsid w:val="00444A70"/>
    <w:rsid w:val="0044709D"/>
    <w:rsid w:val="0044763B"/>
    <w:rsid w:val="00452696"/>
    <w:rsid w:val="00452726"/>
    <w:rsid w:val="00453F32"/>
    <w:rsid w:val="00454DAA"/>
    <w:rsid w:val="0045535C"/>
    <w:rsid w:val="00456765"/>
    <w:rsid w:val="00456A53"/>
    <w:rsid w:val="00456F1E"/>
    <w:rsid w:val="0046213C"/>
    <w:rsid w:val="00462518"/>
    <w:rsid w:val="0046266D"/>
    <w:rsid w:val="004629B3"/>
    <w:rsid w:val="0046376E"/>
    <w:rsid w:val="00463B50"/>
    <w:rsid w:val="00464251"/>
    <w:rsid w:val="00464860"/>
    <w:rsid w:val="0046587C"/>
    <w:rsid w:val="0046690F"/>
    <w:rsid w:val="004677F8"/>
    <w:rsid w:val="00467CC0"/>
    <w:rsid w:val="00471116"/>
    <w:rsid w:val="00472FEC"/>
    <w:rsid w:val="00473A2A"/>
    <w:rsid w:val="00473B89"/>
    <w:rsid w:val="004747D0"/>
    <w:rsid w:val="00476830"/>
    <w:rsid w:val="004770F6"/>
    <w:rsid w:val="004812D2"/>
    <w:rsid w:val="00483B28"/>
    <w:rsid w:val="00484218"/>
    <w:rsid w:val="004858E1"/>
    <w:rsid w:val="00485EF2"/>
    <w:rsid w:val="004864A1"/>
    <w:rsid w:val="0048769E"/>
    <w:rsid w:val="00487A1F"/>
    <w:rsid w:val="00490A03"/>
    <w:rsid w:val="00490B0D"/>
    <w:rsid w:val="00490E5D"/>
    <w:rsid w:val="00492B0A"/>
    <w:rsid w:val="00492D88"/>
    <w:rsid w:val="00493327"/>
    <w:rsid w:val="0049382E"/>
    <w:rsid w:val="0049391A"/>
    <w:rsid w:val="00494DBE"/>
    <w:rsid w:val="00495CE6"/>
    <w:rsid w:val="00497D5E"/>
    <w:rsid w:val="00497EB9"/>
    <w:rsid w:val="004A144D"/>
    <w:rsid w:val="004A1D27"/>
    <w:rsid w:val="004A2176"/>
    <w:rsid w:val="004A2703"/>
    <w:rsid w:val="004A323C"/>
    <w:rsid w:val="004A4D16"/>
    <w:rsid w:val="004B0801"/>
    <w:rsid w:val="004B1117"/>
    <w:rsid w:val="004B1A6B"/>
    <w:rsid w:val="004B1FC8"/>
    <w:rsid w:val="004B339A"/>
    <w:rsid w:val="004B39DA"/>
    <w:rsid w:val="004B54E8"/>
    <w:rsid w:val="004B7595"/>
    <w:rsid w:val="004B773C"/>
    <w:rsid w:val="004C0138"/>
    <w:rsid w:val="004C0686"/>
    <w:rsid w:val="004C12E8"/>
    <w:rsid w:val="004C130C"/>
    <w:rsid w:val="004C1389"/>
    <w:rsid w:val="004C1578"/>
    <w:rsid w:val="004C174B"/>
    <w:rsid w:val="004C33BA"/>
    <w:rsid w:val="004C47EA"/>
    <w:rsid w:val="004C4FEB"/>
    <w:rsid w:val="004C6570"/>
    <w:rsid w:val="004C678C"/>
    <w:rsid w:val="004C6B79"/>
    <w:rsid w:val="004C7345"/>
    <w:rsid w:val="004D059B"/>
    <w:rsid w:val="004D09F9"/>
    <w:rsid w:val="004D0E64"/>
    <w:rsid w:val="004D144F"/>
    <w:rsid w:val="004D1DBD"/>
    <w:rsid w:val="004D304E"/>
    <w:rsid w:val="004D4543"/>
    <w:rsid w:val="004D48A8"/>
    <w:rsid w:val="004D4CB6"/>
    <w:rsid w:val="004D4DCB"/>
    <w:rsid w:val="004E0907"/>
    <w:rsid w:val="004E20CF"/>
    <w:rsid w:val="004E2324"/>
    <w:rsid w:val="004E28C9"/>
    <w:rsid w:val="004E3341"/>
    <w:rsid w:val="004E3406"/>
    <w:rsid w:val="004E5124"/>
    <w:rsid w:val="004E7BE2"/>
    <w:rsid w:val="004E7E3A"/>
    <w:rsid w:val="004F10C1"/>
    <w:rsid w:val="004F1A34"/>
    <w:rsid w:val="004F1C5E"/>
    <w:rsid w:val="004F3032"/>
    <w:rsid w:val="004F3E47"/>
    <w:rsid w:val="004F4CC8"/>
    <w:rsid w:val="004F4F5A"/>
    <w:rsid w:val="004F51FF"/>
    <w:rsid w:val="004F5AD9"/>
    <w:rsid w:val="004F5D74"/>
    <w:rsid w:val="0050159C"/>
    <w:rsid w:val="005022B7"/>
    <w:rsid w:val="00502E62"/>
    <w:rsid w:val="005044C2"/>
    <w:rsid w:val="00506B8A"/>
    <w:rsid w:val="005110D3"/>
    <w:rsid w:val="00511161"/>
    <w:rsid w:val="00512222"/>
    <w:rsid w:val="0051413C"/>
    <w:rsid w:val="00515F4A"/>
    <w:rsid w:val="0051693C"/>
    <w:rsid w:val="00520A65"/>
    <w:rsid w:val="005218B8"/>
    <w:rsid w:val="00521B13"/>
    <w:rsid w:val="0052212B"/>
    <w:rsid w:val="005221A8"/>
    <w:rsid w:val="005230C7"/>
    <w:rsid w:val="0052474F"/>
    <w:rsid w:val="0052625A"/>
    <w:rsid w:val="005266EA"/>
    <w:rsid w:val="00527072"/>
    <w:rsid w:val="005272FE"/>
    <w:rsid w:val="0053001D"/>
    <w:rsid w:val="00530E38"/>
    <w:rsid w:val="00533B0D"/>
    <w:rsid w:val="00534B46"/>
    <w:rsid w:val="00535018"/>
    <w:rsid w:val="005355DB"/>
    <w:rsid w:val="00535866"/>
    <w:rsid w:val="00536CBD"/>
    <w:rsid w:val="00540358"/>
    <w:rsid w:val="00540A05"/>
    <w:rsid w:val="00540D47"/>
    <w:rsid w:val="00540E25"/>
    <w:rsid w:val="005428D7"/>
    <w:rsid w:val="00542D43"/>
    <w:rsid w:val="00545516"/>
    <w:rsid w:val="005463C3"/>
    <w:rsid w:val="005465A3"/>
    <w:rsid w:val="00547C7C"/>
    <w:rsid w:val="005506D5"/>
    <w:rsid w:val="00550864"/>
    <w:rsid w:val="00551D6C"/>
    <w:rsid w:val="00553580"/>
    <w:rsid w:val="005550A8"/>
    <w:rsid w:val="0055571E"/>
    <w:rsid w:val="005565E8"/>
    <w:rsid w:val="00556F67"/>
    <w:rsid w:val="00557849"/>
    <w:rsid w:val="00563009"/>
    <w:rsid w:val="005635B7"/>
    <w:rsid w:val="005652E8"/>
    <w:rsid w:val="0056772E"/>
    <w:rsid w:val="00567A17"/>
    <w:rsid w:val="005735E2"/>
    <w:rsid w:val="0057384B"/>
    <w:rsid w:val="0057392C"/>
    <w:rsid w:val="0057446D"/>
    <w:rsid w:val="0057667C"/>
    <w:rsid w:val="00576BDA"/>
    <w:rsid w:val="00577DB4"/>
    <w:rsid w:val="005826DA"/>
    <w:rsid w:val="00582943"/>
    <w:rsid w:val="00582D0E"/>
    <w:rsid w:val="00582E09"/>
    <w:rsid w:val="005833F0"/>
    <w:rsid w:val="005835F4"/>
    <w:rsid w:val="00585A6D"/>
    <w:rsid w:val="00586280"/>
    <w:rsid w:val="00586584"/>
    <w:rsid w:val="005865FC"/>
    <w:rsid w:val="00586913"/>
    <w:rsid w:val="005869CE"/>
    <w:rsid w:val="00586CAF"/>
    <w:rsid w:val="005873E9"/>
    <w:rsid w:val="00587A90"/>
    <w:rsid w:val="00591180"/>
    <w:rsid w:val="005929A5"/>
    <w:rsid w:val="00592E9F"/>
    <w:rsid w:val="00595286"/>
    <w:rsid w:val="0059722C"/>
    <w:rsid w:val="005977A6"/>
    <w:rsid w:val="00597D07"/>
    <w:rsid w:val="00597DD6"/>
    <w:rsid w:val="005A16E6"/>
    <w:rsid w:val="005A1746"/>
    <w:rsid w:val="005A30D7"/>
    <w:rsid w:val="005A3846"/>
    <w:rsid w:val="005A678F"/>
    <w:rsid w:val="005A7DE8"/>
    <w:rsid w:val="005A7E97"/>
    <w:rsid w:val="005B2CD2"/>
    <w:rsid w:val="005B632A"/>
    <w:rsid w:val="005B6788"/>
    <w:rsid w:val="005B6A58"/>
    <w:rsid w:val="005C4C2F"/>
    <w:rsid w:val="005C5766"/>
    <w:rsid w:val="005C5A83"/>
    <w:rsid w:val="005C7112"/>
    <w:rsid w:val="005D0155"/>
    <w:rsid w:val="005D0561"/>
    <w:rsid w:val="005D0AD9"/>
    <w:rsid w:val="005D1A67"/>
    <w:rsid w:val="005D1F10"/>
    <w:rsid w:val="005D22F6"/>
    <w:rsid w:val="005D4647"/>
    <w:rsid w:val="005D4737"/>
    <w:rsid w:val="005D5EDE"/>
    <w:rsid w:val="005D6774"/>
    <w:rsid w:val="005D68AA"/>
    <w:rsid w:val="005D6BD1"/>
    <w:rsid w:val="005E060E"/>
    <w:rsid w:val="005E0C30"/>
    <w:rsid w:val="005E1DCB"/>
    <w:rsid w:val="005E2A31"/>
    <w:rsid w:val="005E33E0"/>
    <w:rsid w:val="005E3FBB"/>
    <w:rsid w:val="005E51FC"/>
    <w:rsid w:val="005E66B4"/>
    <w:rsid w:val="005E69D9"/>
    <w:rsid w:val="005E6CB1"/>
    <w:rsid w:val="005E7116"/>
    <w:rsid w:val="005E7971"/>
    <w:rsid w:val="005F17D1"/>
    <w:rsid w:val="005F23BC"/>
    <w:rsid w:val="005F2643"/>
    <w:rsid w:val="005F27F4"/>
    <w:rsid w:val="005F297C"/>
    <w:rsid w:val="005F3239"/>
    <w:rsid w:val="005F39BF"/>
    <w:rsid w:val="005F566C"/>
    <w:rsid w:val="005F5D54"/>
    <w:rsid w:val="005F5F4D"/>
    <w:rsid w:val="005F6567"/>
    <w:rsid w:val="005F676D"/>
    <w:rsid w:val="005F6A21"/>
    <w:rsid w:val="005F6D24"/>
    <w:rsid w:val="005F750F"/>
    <w:rsid w:val="005F7A8A"/>
    <w:rsid w:val="00600998"/>
    <w:rsid w:val="00600ACF"/>
    <w:rsid w:val="006019EB"/>
    <w:rsid w:val="00601CC1"/>
    <w:rsid w:val="006022D0"/>
    <w:rsid w:val="00605DFE"/>
    <w:rsid w:val="00607094"/>
    <w:rsid w:val="00607256"/>
    <w:rsid w:val="00607621"/>
    <w:rsid w:val="0060790C"/>
    <w:rsid w:val="0060791E"/>
    <w:rsid w:val="00611B7B"/>
    <w:rsid w:val="00611F08"/>
    <w:rsid w:val="00611FB2"/>
    <w:rsid w:val="00613BF1"/>
    <w:rsid w:val="006144B1"/>
    <w:rsid w:val="0061561D"/>
    <w:rsid w:val="00615A5C"/>
    <w:rsid w:val="00616C7F"/>
    <w:rsid w:val="006177FF"/>
    <w:rsid w:val="0062077F"/>
    <w:rsid w:val="00621BC7"/>
    <w:rsid w:val="00622033"/>
    <w:rsid w:val="0062460B"/>
    <w:rsid w:val="00630644"/>
    <w:rsid w:val="006335F1"/>
    <w:rsid w:val="006336FD"/>
    <w:rsid w:val="00633B49"/>
    <w:rsid w:val="006345B6"/>
    <w:rsid w:val="006345CD"/>
    <w:rsid w:val="00635616"/>
    <w:rsid w:val="00635712"/>
    <w:rsid w:val="00635984"/>
    <w:rsid w:val="00635F41"/>
    <w:rsid w:val="006368FF"/>
    <w:rsid w:val="00636D95"/>
    <w:rsid w:val="006377D4"/>
    <w:rsid w:val="00640135"/>
    <w:rsid w:val="006402FF"/>
    <w:rsid w:val="0064107F"/>
    <w:rsid w:val="00643372"/>
    <w:rsid w:val="00643D8A"/>
    <w:rsid w:val="00645A5C"/>
    <w:rsid w:val="006460E5"/>
    <w:rsid w:val="00647A78"/>
    <w:rsid w:val="00647AB9"/>
    <w:rsid w:val="00647C4B"/>
    <w:rsid w:val="006504AF"/>
    <w:rsid w:val="00650894"/>
    <w:rsid w:val="0065112B"/>
    <w:rsid w:val="00652091"/>
    <w:rsid w:val="00652229"/>
    <w:rsid w:val="00652793"/>
    <w:rsid w:val="006528DE"/>
    <w:rsid w:val="006541A1"/>
    <w:rsid w:val="00657789"/>
    <w:rsid w:val="00660320"/>
    <w:rsid w:val="0066187E"/>
    <w:rsid w:val="00662375"/>
    <w:rsid w:val="006626CA"/>
    <w:rsid w:val="00663487"/>
    <w:rsid w:val="006701CD"/>
    <w:rsid w:val="00672382"/>
    <w:rsid w:val="006733BB"/>
    <w:rsid w:val="0067607A"/>
    <w:rsid w:val="006763B5"/>
    <w:rsid w:val="00676E80"/>
    <w:rsid w:val="006775C2"/>
    <w:rsid w:val="00681257"/>
    <w:rsid w:val="00681C3E"/>
    <w:rsid w:val="00681D37"/>
    <w:rsid w:val="00682191"/>
    <w:rsid w:val="006822E9"/>
    <w:rsid w:val="00682643"/>
    <w:rsid w:val="00682EB9"/>
    <w:rsid w:val="00682F1E"/>
    <w:rsid w:val="0068378C"/>
    <w:rsid w:val="006839D3"/>
    <w:rsid w:val="0068441A"/>
    <w:rsid w:val="0068699A"/>
    <w:rsid w:val="00690B19"/>
    <w:rsid w:val="00691675"/>
    <w:rsid w:val="006938EE"/>
    <w:rsid w:val="00694195"/>
    <w:rsid w:val="0069650C"/>
    <w:rsid w:val="006A0A3C"/>
    <w:rsid w:val="006A1ED8"/>
    <w:rsid w:val="006A3D5B"/>
    <w:rsid w:val="006A442A"/>
    <w:rsid w:val="006A59E9"/>
    <w:rsid w:val="006A5AB1"/>
    <w:rsid w:val="006A6F2B"/>
    <w:rsid w:val="006A75B8"/>
    <w:rsid w:val="006A79F0"/>
    <w:rsid w:val="006B048F"/>
    <w:rsid w:val="006B359D"/>
    <w:rsid w:val="006B47EE"/>
    <w:rsid w:val="006B499F"/>
    <w:rsid w:val="006B54C6"/>
    <w:rsid w:val="006B617F"/>
    <w:rsid w:val="006B78E0"/>
    <w:rsid w:val="006C187E"/>
    <w:rsid w:val="006C1FB8"/>
    <w:rsid w:val="006C2BB0"/>
    <w:rsid w:val="006C33BE"/>
    <w:rsid w:val="006C4B3D"/>
    <w:rsid w:val="006C53D0"/>
    <w:rsid w:val="006C5B53"/>
    <w:rsid w:val="006C7E78"/>
    <w:rsid w:val="006D006A"/>
    <w:rsid w:val="006D064D"/>
    <w:rsid w:val="006D098F"/>
    <w:rsid w:val="006D127F"/>
    <w:rsid w:val="006D20E3"/>
    <w:rsid w:val="006D2218"/>
    <w:rsid w:val="006D2A9C"/>
    <w:rsid w:val="006D33E1"/>
    <w:rsid w:val="006D4996"/>
    <w:rsid w:val="006D4D0C"/>
    <w:rsid w:val="006D510B"/>
    <w:rsid w:val="006D535B"/>
    <w:rsid w:val="006D54AB"/>
    <w:rsid w:val="006D58E5"/>
    <w:rsid w:val="006E1084"/>
    <w:rsid w:val="006E1097"/>
    <w:rsid w:val="006E10B2"/>
    <w:rsid w:val="006E1A70"/>
    <w:rsid w:val="006E1FA9"/>
    <w:rsid w:val="006E2C4D"/>
    <w:rsid w:val="006E2D24"/>
    <w:rsid w:val="006E3006"/>
    <w:rsid w:val="006E3AFC"/>
    <w:rsid w:val="006E4458"/>
    <w:rsid w:val="006E4F02"/>
    <w:rsid w:val="006E5032"/>
    <w:rsid w:val="006E5BDA"/>
    <w:rsid w:val="006E7AC9"/>
    <w:rsid w:val="006F0FC7"/>
    <w:rsid w:val="006F39A9"/>
    <w:rsid w:val="006F3D9D"/>
    <w:rsid w:val="006F524E"/>
    <w:rsid w:val="006F5D57"/>
    <w:rsid w:val="006F643F"/>
    <w:rsid w:val="006F670F"/>
    <w:rsid w:val="006F77F3"/>
    <w:rsid w:val="0070063C"/>
    <w:rsid w:val="00700D69"/>
    <w:rsid w:val="0070243F"/>
    <w:rsid w:val="00702921"/>
    <w:rsid w:val="00703272"/>
    <w:rsid w:val="0070362C"/>
    <w:rsid w:val="00703652"/>
    <w:rsid w:val="00704020"/>
    <w:rsid w:val="00704044"/>
    <w:rsid w:val="00705B35"/>
    <w:rsid w:val="00705BBE"/>
    <w:rsid w:val="00706C6E"/>
    <w:rsid w:val="0070733C"/>
    <w:rsid w:val="007102D5"/>
    <w:rsid w:val="00710C5D"/>
    <w:rsid w:val="00712C06"/>
    <w:rsid w:val="0071348C"/>
    <w:rsid w:val="00717273"/>
    <w:rsid w:val="00720FD4"/>
    <w:rsid w:val="00721DFD"/>
    <w:rsid w:val="00721EEF"/>
    <w:rsid w:val="00722A02"/>
    <w:rsid w:val="00723A21"/>
    <w:rsid w:val="00723B91"/>
    <w:rsid w:val="00723C6D"/>
    <w:rsid w:val="00724550"/>
    <w:rsid w:val="00724AF2"/>
    <w:rsid w:val="00724E51"/>
    <w:rsid w:val="0072502E"/>
    <w:rsid w:val="00725414"/>
    <w:rsid w:val="00730624"/>
    <w:rsid w:val="0073096C"/>
    <w:rsid w:val="0073100D"/>
    <w:rsid w:val="00731368"/>
    <w:rsid w:val="00733429"/>
    <w:rsid w:val="00733A46"/>
    <w:rsid w:val="00733BB0"/>
    <w:rsid w:val="00735E2D"/>
    <w:rsid w:val="00736F2C"/>
    <w:rsid w:val="007371B2"/>
    <w:rsid w:val="00740F23"/>
    <w:rsid w:val="007419C8"/>
    <w:rsid w:val="00742398"/>
    <w:rsid w:val="007432A9"/>
    <w:rsid w:val="00745C0B"/>
    <w:rsid w:val="00746050"/>
    <w:rsid w:val="00746118"/>
    <w:rsid w:val="00746C7F"/>
    <w:rsid w:val="007507B5"/>
    <w:rsid w:val="0075091D"/>
    <w:rsid w:val="00750EC4"/>
    <w:rsid w:val="00751831"/>
    <w:rsid w:val="0075201B"/>
    <w:rsid w:val="00753A24"/>
    <w:rsid w:val="00754294"/>
    <w:rsid w:val="0075430D"/>
    <w:rsid w:val="00754FF6"/>
    <w:rsid w:val="0075779F"/>
    <w:rsid w:val="00757FC5"/>
    <w:rsid w:val="0076106F"/>
    <w:rsid w:val="00761D97"/>
    <w:rsid w:val="0076354B"/>
    <w:rsid w:val="00764668"/>
    <w:rsid w:val="007658F3"/>
    <w:rsid w:val="00765D0E"/>
    <w:rsid w:val="00765E3B"/>
    <w:rsid w:val="00766EA2"/>
    <w:rsid w:val="00767034"/>
    <w:rsid w:val="00772188"/>
    <w:rsid w:val="0077222A"/>
    <w:rsid w:val="00773909"/>
    <w:rsid w:val="0077433B"/>
    <w:rsid w:val="00774E1E"/>
    <w:rsid w:val="0077544E"/>
    <w:rsid w:val="00776743"/>
    <w:rsid w:val="00776D7F"/>
    <w:rsid w:val="00777F5C"/>
    <w:rsid w:val="007813D0"/>
    <w:rsid w:val="007845AC"/>
    <w:rsid w:val="00785993"/>
    <w:rsid w:val="00785A0D"/>
    <w:rsid w:val="007863BF"/>
    <w:rsid w:val="007866E2"/>
    <w:rsid w:val="00786BA3"/>
    <w:rsid w:val="00790993"/>
    <w:rsid w:val="0079202F"/>
    <w:rsid w:val="0079203E"/>
    <w:rsid w:val="007934C3"/>
    <w:rsid w:val="00793FDA"/>
    <w:rsid w:val="00794903"/>
    <w:rsid w:val="00795486"/>
    <w:rsid w:val="00795AF2"/>
    <w:rsid w:val="00795E4F"/>
    <w:rsid w:val="007A0287"/>
    <w:rsid w:val="007A09FC"/>
    <w:rsid w:val="007A2AAD"/>
    <w:rsid w:val="007A2FB6"/>
    <w:rsid w:val="007A3017"/>
    <w:rsid w:val="007A4432"/>
    <w:rsid w:val="007A59E9"/>
    <w:rsid w:val="007A784E"/>
    <w:rsid w:val="007A7E31"/>
    <w:rsid w:val="007B02A0"/>
    <w:rsid w:val="007B278C"/>
    <w:rsid w:val="007B2C2C"/>
    <w:rsid w:val="007B2DAD"/>
    <w:rsid w:val="007B3774"/>
    <w:rsid w:val="007B4939"/>
    <w:rsid w:val="007B499C"/>
    <w:rsid w:val="007B4D4B"/>
    <w:rsid w:val="007B58C6"/>
    <w:rsid w:val="007B76D8"/>
    <w:rsid w:val="007C0646"/>
    <w:rsid w:val="007C0ED6"/>
    <w:rsid w:val="007C1ACD"/>
    <w:rsid w:val="007C1E5E"/>
    <w:rsid w:val="007C1E9D"/>
    <w:rsid w:val="007C3AE3"/>
    <w:rsid w:val="007C6C51"/>
    <w:rsid w:val="007D0000"/>
    <w:rsid w:val="007D2379"/>
    <w:rsid w:val="007D2A02"/>
    <w:rsid w:val="007D39AD"/>
    <w:rsid w:val="007D5EA2"/>
    <w:rsid w:val="007D6144"/>
    <w:rsid w:val="007D617A"/>
    <w:rsid w:val="007D62A4"/>
    <w:rsid w:val="007D6CE5"/>
    <w:rsid w:val="007E0917"/>
    <w:rsid w:val="007E136B"/>
    <w:rsid w:val="007E1736"/>
    <w:rsid w:val="007E25DD"/>
    <w:rsid w:val="007E2887"/>
    <w:rsid w:val="007E3318"/>
    <w:rsid w:val="007E6EA1"/>
    <w:rsid w:val="007F0F16"/>
    <w:rsid w:val="007F0F63"/>
    <w:rsid w:val="007F2B1E"/>
    <w:rsid w:val="007F4590"/>
    <w:rsid w:val="007F62B4"/>
    <w:rsid w:val="007F7C05"/>
    <w:rsid w:val="007F7DF9"/>
    <w:rsid w:val="00800FD6"/>
    <w:rsid w:val="00801517"/>
    <w:rsid w:val="008019C0"/>
    <w:rsid w:val="008028AF"/>
    <w:rsid w:val="008028DE"/>
    <w:rsid w:val="00804966"/>
    <w:rsid w:val="0080510A"/>
    <w:rsid w:val="0080596A"/>
    <w:rsid w:val="00805CBF"/>
    <w:rsid w:val="00807195"/>
    <w:rsid w:val="00810AC4"/>
    <w:rsid w:val="0081218E"/>
    <w:rsid w:val="0081228B"/>
    <w:rsid w:val="00813492"/>
    <w:rsid w:val="00814DE2"/>
    <w:rsid w:val="00815599"/>
    <w:rsid w:val="00815D34"/>
    <w:rsid w:val="008177EE"/>
    <w:rsid w:val="00817895"/>
    <w:rsid w:val="00817AE8"/>
    <w:rsid w:val="00817DE8"/>
    <w:rsid w:val="008229F5"/>
    <w:rsid w:val="00824293"/>
    <w:rsid w:val="008259DE"/>
    <w:rsid w:val="0082699A"/>
    <w:rsid w:val="00827F2A"/>
    <w:rsid w:val="00832633"/>
    <w:rsid w:val="0083342C"/>
    <w:rsid w:val="00833869"/>
    <w:rsid w:val="00833CEB"/>
    <w:rsid w:val="0083662B"/>
    <w:rsid w:val="008372D2"/>
    <w:rsid w:val="008377BC"/>
    <w:rsid w:val="00841179"/>
    <w:rsid w:val="00841353"/>
    <w:rsid w:val="00844C17"/>
    <w:rsid w:val="008450BB"/>
    <w:rsid w:val="00846017"/>
    <w:rsid w:val="008464F2"/>
    <w:rsid w:val="00847726"/>
    <w:rsid w:val="00851033"/>
    <w:rsid w:val="00851A55"/>
    <w:rsid w:val="00851CB1"/>
    <w:rsid w:val="00852511"/>
    <w:rsid w:val="0085252F"/>
    <w:rsid w:val="008530DF"/>
    <w:rsid w:val="00853FD6"/>
    <w:rsid w:val="00855F22"/>
    <w:rsid w:val="00855FD0"/>
    <w:rsid w:val="008564C4"/>
    <w:rsid w:val="0085658E"/>
    <w:rsid w:val="008568E6"/>
    <w:rsid w:val="00857408"/>
    <w:rsid w:val="008578A9"/>
    <w:rsid w:val="00860338"/>
    <w:rsid w:val="0086072A"/>
    <w:rsid w:val="0086088F"/>
    <w:rsid w:val="008614F1"/>
    <w:rsid w:val="008639B3"/>
    <w:rsid w:val="00863C1A"/>
    <w:rsid w:val="00863F9D"/>
    <w:rsid w:val="0086470F"/>
    <w:rsid w:val="00865882"/>
    <w:rsid w:val="00866CDD"/>
    <w:rsid w:val="0087082E"/>
    <w:rsid w:val="008712FE"/>
    <w:rsid w:val="0087142D"/>
    <w:rsid w:val="00872928"/>
    <w:rsid w:val="00872DA6"/>
    <w:rsid w:val="00873416"/>
    <w:rsid w:val="0087393A"/>
    <w:rsid w:val="00873956"/>
    <w:rsid w:val="0087538C"/>
    <w:rsid w:val="00875495"/>
    <w:rsid w:val="00875A71"/>
    <w:rsid w:val="00875CB0"/>
    <w:rsid w:val="008762E7"/>
    <w:rsid w:val="008770CC"/>
    <w:rsid w:val="00877800"/>
    <w:rsid w:val="00877C32"/>
    <w:rsid w:val="00880580"/>
    <w:rsid w:val="0088094B"/>
    <w:rsid w:val="00880E72"/>
    <w:rsid w:val="0088176E"/>
    <w:rsid w:val="008825EE"/>
    <w:rsid w:val="00882DE4"/>
    <w:rsid w:val="0088313E"/>
    <w:rsid w:val="008849B2"/>
    <w:rsid w:val="0088596E"/>
    <w:rsid w:val="00885D26"/>
    <w:rsid w:val="00886C54"/>
    <w:rsid w:val="008870ED"/>
    <w:rsid w:val="008877FC"/>
    <w:rsid w:val="00892132"/>
    <w:rsid w:val="008947FF"/>
    <w:rsid w:val="0089796A"/>
    <w:rsid w:val="0089799B"/>
    <w:rsid w:val="008979FA"/>
    <w:rsid w:val="008A2375"/>
    <w:rsid w:val="008A54B6"/>
    <w:rsid w:val="008A7DEB"/>
    <w:rsid w:val="008B00CA"/>
    <w:rsid w:val="008B1B65"/>
    <w:rsid w:val="008B2185"/>
    <w:rsid w:val="008B3182"/>
    <w:rsid w:val="008B3557"/>
    <w:rsid w:val="008B39E0"/>
    <w:rsid w:val="008B4302"/>
    <w:rsid w:val="008B605A"/>
    <w:rsid w:val="008B6086"/>
    <w:rsid w:val="008B760D"/>
    <w:rsid w:val="008C093B"/>
    <w:rsid w:val="008C0E76"/>
    <w:rsid w:val="008C2665"/>
    <w:rsid w:val="008C287D"/>
    <w:rsid w:val="008C6041"/>
    <w:rsid w:val="008C74E3"/>
    <w:rsid w:val="008D0936"/>
    <w:rsid w:val="008D403B"/>
    <w:rsid w:val="008D4707"/>
    <w:rsid w:val="008D6DD7"/>
    <w:rsid w:val="008D764F"/>
    <w:rsid w:val="008D76C5"/>
    <w:rsid w:val="008E0A04"/>
    <w:rsid w:val="008E0AFA"/>
    <w:rsid w:val="008E28BD"/>
    <w:rsid w:val="008E2C6D"/>
    <w:rsid w:val="008E4F56"/>
    <w:rsid w:val="008E6661"/>
    <w:rsid w:val="008E75D3"/>
    <w:rsid w:val="008F02E9"/>
    <w:rsid w:val="008F076A"/>
    <w:rsid w:val="008F0CE4"/>
    <w:rsid w:val="008F125E"/>
    <w:rsid w:val="008F1CC5"/>
    <w:rsid w:val="008F2444"/>
    <w:rsid w:val="008F2B54"/>
    <w:rsid w:val="008F2CC5"/>
    <w:rsid w:val="008F4C1E"/>
    <w:rsid w:val="008F4D2F"/>
    <w:rsid w:val="008F510A"/>
    <w:rsid w:val="008F55A2"/>
    <w:rsid w:val="00900235"/>
    <w:rsid w:val="00900D3C"/>
    <w:rsid w:val="009045FA"/>
    <w:rsid w:val="00904FAA"/>
    <w:rsid w:val="00906292"/>
    <w:rsid w:val="0091352F"/>
    <w:rsid w:val="00914B5B"/>
    <w:rsid w:val="009152B8"/>
    <w:rsid w:val="00917162"/>
    <w:rsid w:val="009172B9"/>
    <w:rsid w:val="009178AA"/>
    <w:rsid w:val="00920430"/>
    <w:rsid w:val="00920544"/>
    <w:rsid w:val="00921C0C"/>
    <w:rsid w:val="00923001"/>
    <w:rsid w:val="0092358D"/>
    <w:rsid w:val="009238BF"/>
    <w:rsid w:val="009251CC"/>
    <w:rsid w:val="0092680D"/>
    <w:rsid w:val="0092714E"/>
    <w:rsid w:val="00927661"/>
    <w:rsid w:val="00931E24"/>
    <w:rsid w:val="009324F0"/>
    <w:rsid w:val="00933130"/>
    <w:rsid w:val="0093478F"/>
    <w:rsid w:val="00936826"/>
    <w:rsid w:val="00940B3D"/>
    <w:rsid w:val="00942002"/>
    <w:rsid w:val="00942359"/>
    <w:rsid w:val="0094623A"/>
    <w:rsid w:val="00946FC5"/>
    <w:rsid w:val="00947885"/>
    <w:rsid w:val="009504AB"/>
    <w:rsid w:val="00951212"/>
    <w:rsid w:val="00951818"/>
    <w:rsid w:val="00952168"/>
    <w:rsid w:val="009527FE"/>
    <w:rsid w:val="009529B2"/>
    <w:rsid w:val="009535A6"/>
    <w:rsid w:val="009538D0"/>
    <w:rsid w:val="0095421F"/>
    <w:rsid w:val="009555CA"/>
    <w:rsid w:val="00955D69"/>
    <w:rsid w:val="00957D2C"/>
    <w:rsid w:val="00960319"/>
    <w:rsid w:val="00960539"/>
    <w:rsid w:val="009605B1"/>
    <w:rsid w:val="00960CBC"/>
    <w:rsid w:val="00962591"/>
    <w:rsid w:val="00962AD4"/>
    <w:rsid w:val="00963A06"/>
    <w:rsid w:val="00965192"/>
    <w:rsid w:val="00967DD4"/>
    <w:rsid w:val="009700B1"/>
    <w:rsid w:val="00970ECF"/>
    <w:rsid w:val="00971261"/>
    <w:rsid w:val="00971FD4"/>
    <w:rsid w:val="009722CB"/>
    <w:rsid w:val="009739A0"/>
    <w:rsid w:val="00974EE4"/>
    <w:rsid w:val="00974F84"/>
    <w:rsid w:val="00975D5B"/>
    <w:rsid w:val="00976216"/>
    <w:rsid w:val="009767C7"/>
    <w:rsid w:val="00977D30"/>
    <w:rsid w:val="00980E69"/>
    <w:rsid w:val="0098334C"/>
    <w:rsid w:val="00984643"/>
    <w:rsid w:val="0098576C"/>
    <w:rsid w:val="0098579A"/>
    <w:rsid w:val="00991475"/>
    <w:rsid w:val="009918DD"/>
    <w:rsid w:val="0099195A"/>
    <w:rsid w:val="00991BD2"/>
    <w:rsid w:val="00992407"/>
    <w:rsid w:val="00992A11"/>
    <w:rsid w:val="00994681"/>
    <w:rsid w:val="0099486A"/>
    <w:rsid w:val="00994EFB"/>
    <w:rsid w:val="009954D8"/>
    <w:rsid w:val="00997239"/>
    <w:rsid w:val="009A0B33"/>
    <w:rsid w:val="009A0E26"/>
    <w:rsid w:val="009A16EC"/>
    <w:rsid w:val="009A22C2"/>
    <w:rsid w:val="009A743E"/>
    <w:rsid w:val="009A79B8"/>
    <w:rsid w:val="009A7CF6"/>
    <w:rsid w:val="009A7F82"/>
    <w:rsid w:val="009B10F6"/>
    <w:rsid w:val="009B11ED"/>
    <w:rsid w:val="009B1B55"/>
    <w:rsid w:val="009B29B7"/>
    <w:rsid w:val="009B2D03"/>
    <w:rsid w:val="009B3199"/>
    <w:rsid w:val="009B3B37"/>
    <w:rsid w:val="009B63F4"/>
    <w:rsid w:val="009B7D1F"/>
    <w:rsid w:val="009C088E"/>
    <w:rsid w:val="009C17DC"/>
    <w:rsid w:val="009C292D"/>
    <w:rsid w:val="009C37AB"/>
    <w:rsid w:val="009C4C7A"/>
    <w:rsid w:val="009C4D35"/>
    <w:rsid w:val="009C5E51"/>
    <w:rsid w:val="009C6158"/>
    <w:rsid w:val="009C75A2"/>
    <w:rsid w:val="009C7B68"/>
    <w:rsid w:val="009D1522"/>
    <w:rsid w:val="009D51F0"/>
    <w:rsid w:val="009D61DC"/>
    <w:rsid w:val="009D7252"/>
    <w:rsid w:val="009D7652"/>
    <w:rsid w:val="009E1FF6"/>
    <w:rsid w:val="009E3CAF"/>
    <w:rsid w:val="009E3E5E"/>
    <w:rsid w:val="009E3F48"/>
    <w:rsid w:val="009E53A5"/>
    <w:rsid w:val="009E5EB4"/>
    <w:rsid w:val="009E7B37"/>
    <w:rsid w:val="009E7BCC"/>
    <w:rsid w:val="009F4451"/>
    <w:rsid w:val="009F563C"/>
    <w:rsid w:val="009F610E"/>
    <w:rsid w:val="00A00DA9"/>
    <w:rsid w:val="00A00F7E"/>
    <w:rsid w:val="00A044D6"/>
    <w:rsid w:val="00A04ADB"/>
    <w:rsid w:val="00A04D8F"/>
    <w:rsid w:val="00A04F89"/>
    <w:rsid w:val="00A05F11"/>
    <w:rsid w:val="00A11E0F"/>
    <w:rsid w:val="00A12378"/>
    <w:rsid w:val="00A141E9"/>
    <w:rsid w:val="00A148CB"/>
    <w:rsid w:val="00A15B6B"/>
    <w:rsid w:val="00A15D78"/>
    <w:rsid w:val="00A15EBE"/>
    <w:rsid w:val="00A17F5B"/>
    <w:rsid w:val="00A216E5"/>
    <w:rsid w:val="00A24617"/>
    <w:rsid w:val="00A25165"/>
    <w:rsid w:val="00A25F5B"/>
    <w:rsid w:val="00A26744"/>
    <w:rsid w:val="00A26CB6"/>
    <w:rsid w:val="00A27073"/>
    <w:rsid w:val="00A2751B"/>
    <w:rsid w:val="00A30A00"/>
    <w:rsid w:val="00A316D9"/>
    <w:rsid w:val="00A32F82"/>
    <w:rsid w:val="00A32F8B"/>
    <w:rsid w:val="00A34F9F"/>
    <w:rsid w:val="00A36481"/>
    <w:rsid w:val="00A36675"/>
    <w:rsid w:val="00A3756F"/>
    <w:rsid w:val="00A37BF5"/>
    <w:rsid w:val="00A42D6F"/>
    <w:rsid w:val="00A43870"/>
    <w:rsid w:val="00A4474B"/>
    <w:rsid w:val="00A45A62"/>
    <w:rsid w:val="00A462DC"/>
    <w:rsid w:val="00A4657C"/>
    <w:rsid w:val="00A51DB8"/>
    <w:rsid w:val="00A52E0B"/>
    <w:rsid w:val="00A52FA1"/>
    <w:rsid w:val="00A540B0"/>
    <w:rsid w:val="00A54AC5"/>
    <w:rsid w:val="00A54C2A"/>
    <w:rsid w:val="00A54D12"/>
    <w:rsid w:val="00A55DC3"/>
    <w:rsid w:val="00A56D41"/>
    <w:rsid w:val="00A56DEC"/>
    <w:rsid w:val="00A60529"/>
    <w:rsid w:val="00A60899"/>
    <w:rsid w:val="00A608D3"/>
    <w:rsid w:val="00A60F91"/>
    <w:rsid w:val="00A61353"/>
    <w:rsid w:val="00A61481"/>
    <w:rsid w:val="00A616F1"/>
    <w:rsid w:val="00A61A48"/>
    <w:rsid w:val="00A629D6"/>
    <w:rsid w:val="00A63035"/>
    <w:rsid w:val="00A637C9"/>
    <w:rsid w:val="00A66DB1"/>
    <w:rsid w:val="00A67A92"/>
    <w:rsid w:val="00A70DC6"/>
    <w:rsid w:val="00A7315C"/>
    <w:rsid w:val="00A7420B"/>
    <w:rsid w:val="00A743B1"/>
    <w:rsid w:val="00A74FDC"/>
    <w:rsid w:val="00A77192"/>
    <w:rsid w:val="00A8089F"/>
    <w:rsid w:val="00A811D8"/>
    <w:rsid w:val="00A81C0A"/>
    <w:rsid w:val="00A820BE"/>
    <w:rsid w:val="00A842D5"/>
    <w:rsid w:val="00A87870"/>
    <w:rsid w:val="00A903F3"/>
    <w:rsid w:val="00A90F18"/>
    <w:rsid w:val="00A90FFB"/>
    <w:rsid w:val="00A9149D"/>
    <w:rsid w:val="00A91A70"/>
    <w:rsid w:val="00A92FCD"/>
    <w:rsid w:val="00A9302F"/>
    <w:rsid w:val="00A957F6"/>
    <w:rsid w:val="00A959CF"/>
    <w:rsid w:val="00A9635E"/>
    <w:rsid w:val="00A97316"/>
    <w:rsid w:val="00A97BD8"/>
    <w:rsid w:val="00AA010B"/>
    <w:rsid w:val="00AA0D54"/>
    <w:rsid w:val="00AA1B85"/>
    <w:rsid w:val="00AA3290"/>
    <w:rsid w:val="00AA46F0"/>
    <w:rsid w:val="00AA6481"/>
    <w:rsid w:val="00AA7270"/>
    <w:rsid w:val="00AB08B8"/>
    <w:rsid w:val="00AB0C08"/>
    <w:rsid w:val="00AB12AC"/>
    <w:rsid w:val="00AB1CB6"/>
    <w:rsid w:val="00AB1D9A"/>
    <w:rsid w:val="00AB4A1F"/>
    <w:rsid w:val="00AB5C61"/>
    <w:rsid w:val="00AB7EAC"/>
    <w:rsid w:val="00AC02F8"/>
    <w:rsid w:val="00AC22DB"/>
    <w:rsid w:val="00AC304D"/>
    <w:rsid w:val="00AC3204"/>
    <w:rsid w:val="00AC3540"/>
    <w:rsid w:val="00AC3D15"/>
    <w:rsid w:val="00AC5055"/>
    <w:rsid w:val="00AC5315"/>
    <w:rsid w:val="00AC7623"/>
    <w:rsid w:val="00AC7D60"/>
    <w:rsid w:val="00AD0A8D"/>
    <w:rsid w:val="00AD0C22"/>
    <w:rsid w:val="00AD1AD7"/>
    <w:rsid w:val="00AD1AE2"/>
    <w:rsid w:val="00AD3290"/>
    <w:rsid w:val="00AD442C"/>
    <w:rsid w:val="00AD44FE"/>
    <w:rsid w:val="00AD5A37"/>
    <w:rsid w:val="00AD6B50"/>
    <w:rsid w:val="00AE05A4"/>
    <w:rsid w:val="00AE177E"/>
    <w:rsid w:val="00AE25FC"/>
    <w:rsid w:val="00AE380A"/>
    <w:rsid w:val="00AE400C"/>
    <w:rsid w:val="00AE49F1"/>
    <w:rsid w:val="00AE4A1C"/>
    <w:rsid w:val="00AE4B7A"/>
    <w:rsid w:val="00AE5532"/>
    <w:rsid w:val="00AE58C4"/>
    <w:rsid w:val="00AE74D8"/>
    <w:rsid w:val="00AF0B6F"/>
    <w:rsid w:val="00AF0F75"/>
    <w:rsid w:val="00AF1D69"/>
    <w:rsid w:val="00AF23A8"/>
    <w:rsid w:val="00AF30D0"/>
    <w:rsid w:val="00AF41FA"/>
    <w:rsid w:val="00AF4720"/>
    <w:rsid w:val="00AF4796"/>
    <w:rsid w:val="00AF71EB"/>
    <w:rsid w:val="00AF73E4"/>
    <w:rsid w:val="00B00988"/>
    <w:rsid w:val="00B01405"/>
    <w:rsid w:val="00B027BA"/>
    <w:rsid w:val="00B052E8"/>
    <w:rsid w:val="00B05CCA"/>
    <w:rsid w:val="00B05ECC"/>
    <w:rsid w:val="00B06DC3"/>
    <w:rsid w:val="00B07F73"/>
    <w:rsid w:val="00B100C9"/>
    <w:rsid w:val="00B11099"/>
    <w:rsid w:val="00B1114C"/>
    <w:rsid w:val="00B116B7"/>
    <w:rsid w:val="00B14271"/>
    <w:rsid w:val="00B16270"/>
    <w:rsid w:val="00B20182"/>
    <w:rsid w:val="00B20E4B"/>
    <w:rsid w:val="00B22578"/>
    <w:rsid w:val="00B2292F"/>
    <w:rsid w:val="00B23C16"/>
    <w:rsid w:val="00B23C52"/>
    <w:rsid w:val="00B24E86"/>
    <w:rsid w:val="00B259E1"/>
    <w:rsid w:val="00B2685D"/>
    <w:rsid w:val="00B26D1E"/>
    <w:rsid w:val="00B26EE8"/>
    <w:rsid w:val="00B30351"/>
    <w:rsid w:val="00B312F1"/>
    <w:rsid w:val="00B33837"/>
    <w:rsid w:val="00B33C2A"/>
    <w:rsid w:val="00B349F7"/>
    <w:rsid w:val="00B34A14"/>
    <w:rsid w:val="00B35967"/>
    <w:rsid w:val="00B35CBA"/>
    <w:rsid w:val="00B363D9"/>
    <w:rsid w:val="00B416D1"/>
    <w:rsid w:val="00B422EC"/>
    <w:rsid w:val="00B44875"/>
    <w:rsid w:val="00B44C07"/>
    <w:rsid w:val="00B46320"/>
    <w:rsid w:val="00B4657A"/>
    <w:rsid w:val="00B47F0A"/>
    <w:rsid w:val="00B50B6B"/>
    <w:rsid w:val="00B51D75"/>
    <w:rsid w:val="00B54329"/>
    <w:rsid w:val="00B54885"/>
    <w:rsid w:val="00B54BFF"/>
    <w:rsid w:val="00B554C9"/>
    <w:rsid w:val="00B56AD9"/>
    <w:rsid w:val="00B5714F"/>
    <w:rsid w:val="00B57158"/>
    <w:rsid w:val="00B5778D"/>
    <w:rsid w:val="00B60827"/>
    <w:rsid w:val="00B61117"/>
    <w:rsid w:val="00B614C0"/>
    <w:rsid w:val="00B61EBB"/>
    <w:rsid w:val="00B634AB"/>
    <w:rsid w:val="00B63624"/>
    <w:rsid w:val="00B671E3"/>
    <w:rsid w:val="00B7037B"/>
    <w:rsid w:val="00B719F6"/>
    <w:rsid w:val="00B726D4"/>
    <w:rsid w:val="00B72969"/>
    <w:rsid w:val="00B73A2D"/>
    <w:rsid w:val="00B758FD"/>
    <w:rsid w:val="00B76807"/>
    <w:rsid w:val="00B769E6"/>
    <w:rsid w:val="00B77D24"/>
    <w:rsid w:val="00B8214F"/>
    <w:rsid w:val="00B82B43"/>
    <w:rsid w:val="00B82B48"/>
    <w:rsid w:val="00B84956"/>
    <w:rsid w:val="00B84F2C"/>
    <w:rsid w:val="00B85133"/>
    <w:rsid w:val="00B8643A"/>
    <w:rsid w:val="00B86A4F"/>
    <w:rsid w:val="00B873D9"/>
    <w:rsid w:val="00B91786"/>
    <w:rsid w:val="00B93035"/>
    <w:rsid w:val="00B93D17"/>
    <w:rsid w:val="00B940EB"/>
    <w:rsid w:val="00B9431C"/>
    <w:rsid w:val="00B95798"/>
    <w:rsid w:val="00B958E8"/>
    <w:rsid w:val="00B97E4A"/>
    <w:rsid w:val="00BA09B2"/>
    <w:rsid w:val="00BA0F35"/>
    <w:rsid w:val="00BA397D"/>
    <w:rsid w:val="00BA465D"/>
    <w:rsid w:val="00BA52C0"/>
    <w:rsid w:val="00BA5B46"/>
    <w:rsid w:val="00BA621C"/>
    <w:rsid w:val="00BA63D4"/>
    <w:rsid w:val="00BB2D73"/>
    <w:rsid w:val="00BB400D"/>
    <w:rsid w:val="00BB45BA"/>
    <w:rsid w:val="00BB48B2"/>
    <w:rsid w:val="00BB4A3A"/>
    <w:rsid w:val="00BB5D0B"/>
    <w:rsid w:val="00BB629C"/>
    <w:rsid w:val="00BC0995"/>
    <w:rsid w:val="00BC1761"/>
    <w:rsid w:val="00BC19ED"/>
    <w:rsid w:val="00BC25A8"/>
    <w:rsid w:val="00BC513A"/>
    <w:rsid w:val="00BC585F"/>
    <w:rsid w:val="00BC6C56"/>
    <w:rsid w:val="00BC6DE2"/>
    <w:rsid w:val="00BC6E62"/>
    <w:rsid w:val="00BC782A"/>
    <w:rsid w:val="00BD010D"/>
    <w:rsid w:val="00BD013A"/>
    <w:rsid w:val="00BD2510"/>
    <w:rsid w:val="00BD3A53"/>
    <w:rsid w:val="00BD4640"/>
    <w:rsid w:val="00BD4ECD"/>
    <w:rsid w:val="00BD5A19"/>
    <w:rsid w:val="00BD6539"/>
    <w:rsid w:val="00BD656A"/>
    <w:rsid w:val="00BD6D1B"/>
    <w:rsid w:val="00BE2403"/>
    <w:rsid w:val="00BE2D0A"/>
    <w:rsid w:val="00BE47D4"/>
    <w:rsid w:val="00BE536C"/>
    <w:rsid w:val="00BE66DB"/>
    <w:rsid w:val="00BE793A"/>
    <w:rsid w:val="00BE7A0B"/>
    <w:rsid w:val="00BF114D"/>
    <w:rsid w:val="00BF1B93"/>
    <w:rsid w:val="00BF2B82"/>
    <w:rsid w:val="00BF2CEB"/>
    <w:rsid w:val="00BF432A"/>
    <w:rsid w:val="00BF66DA"/>
    <w:rsid w:val="00BF6E82"/>
    <w:rsid w:val="00C016CC"/>
    <w:rsid w:val="00C0361D"/>
    <w:rsid w:val="00C041A4"/>
    <w:rsid w:val="00C060C7"/>
    <w:rsid w:val="00C06DCC"/>
    <w:rsid w:val="00C07F92"/>
    <w:rsid w:val="00C10EA4"/>
    <w:rsid w:val="00C111D8"/>
    <w:rsid w:val="00C11D25"/>
    <w:rsid w:val="00C13217"/>
    <w:rsid w:val="00C15BEC"/>
    <w:rsid w:val="00C15DB5"/>
    <w:rsid w:val="00C208E2"/>
    <w:rsid w:val="00C213CF"/>
    <w:rsid w:val="00C21874"/>
    <w:rsid w:val="00C21897"/>
    <w:rsid w:val="00C2288E"/>
    <w:rsid w:val="00C22B54"/>
    <w:rsid w:val="00C22CEA"/>
    <w:rsid w:val="00C22F1F"/>
    <w:rsid w:val="00C24279"/>
    <w:rsid w:val="00C249E3"/>
    <w:rsid w:val="00C24C17"/>
    <w:rsid w:val="00C27C4A"/>
    <w:rsid w:val="00C31595"/>
    <w:rsid w:val="00C31B25"/>
    <w:rsid w:val="00C3309D"/>
    <w:rsid w:val="00C3411D"/>
    <w:rsid w:val="00C34357"/>
    <w:rsid w:val="00C34829"/>
    <w:rsid w:val="00C363B8"/>
    <w:rsid w:val="00C3758F"/>
    <w:rsid w:val="00C40B88"/>
    <w:rsid w:val="00C43DDD"/>
    <w:rsid w:val="00C44489"/>
    <w:rsid w:val="00C44FC2"/>
    <w:rsid w:val="00C47D87"/>
    <w:rsid w:val="00C47FCD"/>
    <w:rsid w:val="00C50FA6"/>
    <w:rsid w:val="00C51DE1"/>
    <w:rsid w:val="00C53430"/>
    <w:rsid w:val="00C5376E"/>
    <w:rsid w:val="00C549AA"/>
    <w:rsid w:val="00C554C1"/>
    <w:rsid w:val="00C558F2"/>
    <w:rsid w:val="00C55AEE"/>
    <w:rsid w:val="00C5701B"/>
    <w:rsid w:val="00C6069A"/>
    <w:rsid w:val="00C61501"/>
    <w:rsid w:val="00C61BDC"/>
    <w:rsid w:val="00C64D40"/>
    <w:rsid w:val="00C65957"/>
    <w:rsid w:val="00C66065"/>
    <w:rsid w:val="00C66218"/>
    <w:rsid w:val="00C677C9"/>
    <w:rsid w:val="00C70B76"/>
    <w:rsid w:val="00C70DBC"/>
    <w:rsid w:val="00C70FB7"/>
    <w:rsid w:val="00C71E80"/>
    <w:rsid w:val="00C75DCE"/>
    <w:rsid w:val="00C76008"/>
    <w:rsid w:val="00C7750A"/>
    <w:rsid w:val="00C808A6"/>
    <w:rsid w:val="00C83BA4"/>
    <w:rsid w:val="00C84AC6"/>
    <w:rsid w:val="00C855DB"/>
    <w:rsid w:val="00C855F3"/>
    <w:rsid w:val="00C86270"/>
    <w:rsid w:val="00C87338"/>
    <w:rsid w:val="00C90C20"/>
    <w:rsid w:val="00C9109C"/>
    <w:rsid w:val="00C9362C"/>
    <w:rsid w:val="00C948CF"/>
    <w:rsid w:val="00C95798"/>
    <w:rsid w:val="00C95A74"/>
    <w:rsid w:val="00C962BE"/>
    <w:rsid w:val="00C96FD6"/>
    <w:rsid w:val="00C97091"/>
    <w:rsid w:val="00C97260"/>
    <w:rsid w:val="00C97391"/>
    <w:rsid w:val="00CA14A5"/>
    <w:rsid w:val="00CA14DA"/>
    <w:rsid w:val="00CA1AB8"/>
    <w:rsid w:val="00CA2001"/>
    <w:rsid w:val="00CA2B10"/>
    <w:rsid w:val="00CA3F11"/>
    <w:rsid w:val="00CA5256"/>
    <w:rsid w:val="00CA5564"/>
    <w:rsid w:val="00CB078E"/>
    <w:rsid w:val="00CB3782"/>
    <w:rsid w:val="00CB4D20"/>
    <w:rsid w:val="00CB5B6C"/>
    <w:rsid w:val="00CB60EF"/>
    <w:rsid w:val="00CB74E3"/>
    <w:rsid w:val="00CC052E"/>
    <w:rsid w:val="00CC06E5"/>
    <w:rsid w:val="00CC0B14"/>
    <w:rsid w:val="00CC5B9C"/>
    <w:rsid w:val="00CC7C09"/>
    <w:rsid w:val="00CD02DF"/>
    <w:rsid w:val="00CD10A5"/>
    <w:rsid w:val="00CD16BE"/>
    <w:rsid w:val="00CD179F"/>
    <w:rsid w:val="00CD1F32"/>
    <w:rsid w:val="00CD223C"/>
    <w:rsid w:val="00CD2268"/>
    <w:rsid w:val="00CD4616"/>
    <w:rsid w:val="00CD50DC"/>
    <w:rsid w:val="00CD56AF"/>
    <w:rsid w:val="00CD5FFA"/>
    <w:rsid w:val="00CD608B"/>
    <w:rsid w:val="00CD61BB"/>
    <w:rsid w:val="00CE32F0"/>
    <w:rsid w:val="00CE33D5"/>
    <w:rsid w:val="00CE4712"/>
    <w:rsid w:val="00CE6073"/>
    <w:rsid w:val="00CE761C"/>
    <w:rsid w:val="00CF2B65"/>
    <w:rsid w:val="00CF5D37"/>
    <w:rsid w:val="00CF6353"/>
    <w:rsid w:val="00CF6F33"/>
    <w:rsid w:val="00D02248"/>
    <w:rsid w:val="00D04429"/>
    <w:rsid w:val="00D04B47"/>
    <w:rsid w:val="00D04E37"/>
    <w:rsid w:val="00D063B8"/>
    <w:rsid w:val="00D06825"/>
    <w:rsid w:val="00D0702E"/>
    <w:rsid w:val="00D07467"/>
    <w:rsid w:val="00D076E6"/>
    <w:rsid w:val="00D1044F"/>
    <w:rsid w:val="00D106BD"/>
    <w:rsid w:val="00D14E64"/>
    <w:rsid w:val="00D17185"/>
    <w:rsid w:val="00D17852"/>
    <w:rsid w:val="00D17D02"/>
    <w:rsid w:val="00D17E3B"/>
    <w:rsid w:val="00D22A9A"/>
    <w:rsid w:val="00D2306F"/>
    <w:rsid w:val="00D23C09"/>
    <w:rsid w:val="00D23CED"/>
    <w:rsid w:val="00D241D1"/>
    <w:rsid w:val="00D24BD2"/>
    <w:rsid w:val="00D24F2C"/>
    <w:rsid w:val="00D254F7"/>
    <w:rsid w:val="00D2573D"/>
    <w:rsid w:val="00D260A2"/>
    <w:rsid w:val="00D27EC0"/>
    <w:rsid w:val="00D30CC6"/>
    <w:rsid w:val="00D30DA4"/>
    <w:rsid w:val="00D31722"/>
    <w:rsid w:val="00D3260C"/>
    <w:rsid w:val="00D3391A"/>
    <w:rsid w:val="00D33DB5"/>
    <w:rsid w:val="00D34995"/>
    <w:rsid w:val="00D35790"/>
    <w:rsid w:val="00D359FC"/>
    <w:rsid w:val="00D41276"/>
    <w:rsid w:val="00D41971"/>
    <w:rsid w:val="00D442D5"/>
    <w:rsid w:val="00D45043"/>
    <w:rsid w:val="00D46CCF"/>
    <w:rsid w:val="00D51576"/>
    <w:rsid w:val="00D519AF"/>
    <w:rsid w:val="00D532A9"/>
    <w:rsid w:val="00D5437A"/>
    <w:rsid w:val="00D5611E"/>
    <w:rsid w:val="00D5653B"/>
    <w:rsid w:val="00D56C30"/>
    <w:rsid w:val="00D5726D"/>
    <w:rsid w:val="00D572AC"/>
    <w:rsid w:val="00D6071F"/>
    <w:rsid w:val="00D6087E"/>
    <w:rsid w:val="00D61D6E"/>
    <w:rsid w:val="00D62580"/>
    <w:rsid w:val="00D62EF1"/>
    <w:rsid w:val="00D6309D"/>
    <w:rsid w:val="00D644CA"/>
    <w:rsid w:val="00D64961"/>
    <w:rsid w:val="00D64EA0"/>
    <w:rsid w:val="00D66FC2"/>
    <w:rsid w:val="00D7044E"/>
    <w:rsid w:val="00D704A8"/>
    <w:rsid w:val="00D76C7E"/>
    <w:rsid w:val="00D771DE"/>
    <w:rsid w:val="00D7776D"/>
    <w:rsid w:val="00D77ADC"/>
    <w:rsid w:val="00D81AEF"/>
    <w:rsid w:val="00D82A42"/>
    <w:rsid w:val="00D834F1"/>
    <w:rsid w:val="00D83609"/>
    <w:rsid w:val="00D83AA6"/>
    <w:rsid w:val="00D85C0D"/>
    <w:rsid w:val="00D866CB"/>
    <w:rsid w:val="00D86909"/>
    <w:rsid w:val="00D87A9A"/>
    <w:rsid w:val="00D87DA2"/>
    <w:rsid w:val="00D87E39"/>
    <w:rsid w:val="00D90625"/>
    <w:rsid w:val="00D909F8"/>
    <w:rsid w:val="00D9152C"/>
    <w:rsid w:val="00D92179"/>
    <w:rsid w:val="00D922C6"/>
    <w:rsid w:val="00D925FA"/>
    <w:rsid w:val="00D9293F"/>
    <w:rsid w:val="00D92C6A"/>
    <w:rsid w:val="00D92DE7"/>
    <w:rsid w:val="00D93598"/>
    <w:rsid w:val="00D93B82"/>
    <w:rsid w:val="00D93FDD"/>
    <w:rsid w:val="00D94253"/>
    <w:rsid w:val="00D942F8"/>
    <w:rsid w:val="00D96FA9"/>
    <w:rsid w:val="00D97A5B"/>
    <w:rsid w:val="00D97AF7"/>
    <w:rsid w:val="00D97D9B"/>
    <w:rsid w:val="00DA1E18"/>
    <w:rsid w:val="00DA2009"/>
    <w:rsid w:val="00DA3F5E"/>
    <w:rsid w:val="00DA585A"/>
    <w:rsid w:val="00DA6DF7"/>
    <w:rsid w:val="00DA7741"/>
    <w:rsid w:val="00DA7769"/>
    <w:rsid w:val="00DB01C3"/>
    <w:rsid w:val="00DB05B1"/>
    <w:rsid w:val="00DB2594"/>
    <w:rsid w:val="00DB2823"/>
    <w:rsid w:val="00DB2D74"/>
    <w:rsid w:val="00DB3786"/>
    <w:rsid w:val="00DB59E8"/>
    <w:rsid w:val="00DB5A79"/>
    <w:rsid w:val="00DB638B"/>
    <w:rsid w:val="00DC2465"/>
    <w:rsid w:val="00DC34C4"/>
    <w:rsid w:val="00DC4BCA"/>
    <w:rsid w:val="00DC5E2C"/>
    <w:rsid w:val="00DC615E"/>
    <w:rsid w:val="00DC7D48"/>
    <w:rsid w:val="00DD0253"/>
    <w:rsid w:val="00DD145A"/>
    <w:rsid w:val="00DD1D60"/>
    <w:rsid w:val="00DD512E"/>
    <w:rsid w:val="00DD5EC8"/>
    <w:rsid w:val="00DD5FF5"/>
    <w:rsid w:val="00DD61D4"/>
    <w:rsid w:val="00DD7BEC"/>
    <w:rsid w:val="00DE083E"/>
    <w:rsid w:val="00DE0C22"/>
    <w:rsid w:val="00DE1177"/>
    <w:rsid w:val="00DE2CEA"/>
    <w:rsid w:val="00DE3CFE"/>
    <w:rsid w:val="00DE4DB3"/>
    <w:rsid w:val="00DE4F86"/>
    <w:rsid w:val="00DE5576"/>
    <w:rsid w:val="00DE567C"/>
    <w:rsid w:val="00DE6154"/>
    <w:rsid w:val="00DE634D"/>
    <w:rsid w:val="00DE6A3C"/>
    <w:rsid w:val="00DE74F4"/>
    <w:rsid w:val="00DE7C8B"/>
    <w:rsid w:val="00DE7F97"/>
    <w:rsid w:val="00DF0AAF"/>
    <w:rsid w:val="00DF1010"/>
    <w:rsid w:val="00DF2244"/>
    <w:rsid w:val="00DF334D"/>
    <w:rsid w:val="00DF53D9"/>
    <w:rsid w:val="00DF5AEA"/>
    <w:rsid w:val="00DF5D49"/>
    <w:rsid w:val="00DF63F6"/>
    <w:rsid w:val="00DF7992"/>
    <w:rsid w:val="00DF7BD0"/>
    <w:rsid w:val="00E00C8E"/>
    <w:rsid w:val="00E0219D"/>
    <w:rsid w:val="00E0276A"/>
    <w:rsid w:val="00E0374B"/>
    <w:rsid w:val="00E0392F"/>
    <w:rsid w:val="00E0632F"/>
    <w:rsid w:val="00E06C36"/>
    <w:rsid w:val="00E071A9"/>
    <w:rsid w:val="00E07D26"/>
    <w:rsid w:val="00E10047"/>
    <w:rsid w:val="00E10B28"/>
    <w:rsid w:val="00E117FD"/>
    <w:rsid w:val="00E13747"/>
    <w:rsid w:val="00E14758"/>
    <w:rsid w:val="00E16BDE"/>
    <w:rsid w:val="00E21088"/>
    <w:rsid w:val="00E21F5D"/>
    <w:rsid w:val="00E22B1C"/>
    <w:rsid w:val="00E23C5E"/>
    <w:rsid w:val="00E23E29"/>
    <w:rsid w:val="00E24632"/>
    <w:rsid w:val="00E24A05"/>
    <w:rsid w:val="00E25155"/>
    <w:rsid w:val="00E25AEA"/>
    <w:rsid w:val="00E27C2C"/>
    <w:rsid w:val="00E30D26"/>
    <w:rsid w:val="00E30DEF"/>
    <w:rsid w:val="00E30ED2"/>
    <w:rsid w:val="00E31276"/>
    <w:rsid w:val="00E3155D"/>
    <w:rsid w:val="00E32102"/>
    <w:rsid w:val="00E34666"/>
    <w:rsid w:val="00E349A2"/>
    <w:rsid w:val="00E36A66"/>
    <w:rsid w:val="00E37F70"/>
    <w:rsid w:val="00E41377"/>
    <w:rsid w:val="00E41985"/>
    <w:rsid w:val="00E42B89"/>
    <w:rsid w:val="00E430B8"/>
    <w:rsid w:val="00E446C1"/>
    <w:rsid w:val="00E46BCD"/>
    <w:rsid w:val="00E51CCC"/>
    <w:rsid w:val="00E52079"/>
    <w:rsid w:val="00E52FC7"/>
    <w:rsid w:val="00E545D7"/>
    <w:rsid w:val="00E547FE"/>
    <w:rsid w:val="00E54960"/>
    <w:rsid w:val="00E55447"/>
    <w:rsid w:val="00E55927"/>
    <w:rsid w:val="00E5669C"/>
    <w:rsid w:val="00E570D4"/>
    <w:rsid w:val="00E57483"/>
    <w:rsid w:val="00E60ECA"/>
    <w:rsid w:val="00E613AB"/>
    <w:rsid w:val="00E637B6"/>
    <w:rsid w:val="00E6487C"/>
    <w:rsid w:val="00E654A9"/>
    <w:rsid w:val="00E658DC"/>
    <w:rsid w:val="00E663B6"/>
    <w:rsid w:val="00E66B13"/>
    <w:rsid w:val="00E66BBE"/>
    <w:rsid w:val="00E6780D"/>
    <w:rsid w:val="00E71DFE"/>
    <w:rsid w:val="00E728D3"/>
    <w:rsid w:val="00E72BDE"/>
    <w:rsid w:val="00E73083"/>
    <w:rsid w:val="00E758B9"/>
    <w:rsid w:val="00E76025"/>
    <w:rsid w:val="00E76B45"/>
    <w:rsid w:val="00E77C00"/>
    <w:rsid w:val="00E810D3"/>
    <w:rsid w:val="00E812A3"/>
    <w:rsid w:val="00E82FE5"/>
    <w:rsid w:val="00E83724"/>
    <w:rsid w:val="00E83A6D"/>
    <w:rsid w:val="00E84236"/>
    <w:rsid w:val="00E84C02"/>
    <w:rsid w:val="00E85569"/>
    <w:rsid w:val="00E856AF"/>
    <w:rsid w:val="00E859D9"/>
    <w:rsid w:val="00E8607C"/>
    <w:rsid w:val="00E86B83"/>
    <w:rsid w:val="00E86D6E"/>
    <w:rsid w:val="00E878FB"/>
    <w:rsid w:val="00E87976"/>
    <w:rsid w:val="00E87C64"/>
    <w:rsid w:val="00E912E1"/>
    <w:rsid w:val="00E919C3"/>
    <w:rsid w:val="00E92278"/>
    <w:rsid w:val="00E93A01"/>
    <w:rsid w:val="00E93F8E"/>
    <w:rsid w:val="00E93FF8"/>
    <w:rsid w:val="00E948D8"/>
    <w:rsid w:val="00E94EB6"/>
    <w:rsid w:val="00E94F16"/>
    <w:rsid w:val="00E950CA"/>
    <w:rsid w:val="00E95CA8"/>
    <w:rsid w:val="00E96643"/>
    <w:rsid w:val="00E96CE0"/>
    <w:rsid w:val="00E96EAF"/>
    <w:rsid w:val="00E97448"/>
    <w:rsid w:val="00E97502"/>
    <w:rsid w:val="00EA044C"/>
    <w:rsid w:val="00EA1752"/>
    <w:rsid w:val="00EA1911"/>
    <w:rsid w:val="00EA1D90"/>
    <w:rsid w:val="00EA371E"/>
    <w:rsid w:val="00EA539B"/>
    <w:rsid w:val="00EA5996"/>
    <w:rsid w:val="00EA5A89"/>
    <w:rsid w:val="00EA5BDB"/>
    <w:rsid w:val="00EA63FA"/>
    <w:rsid w:val="00EA7720"/>
    <w:rsid w:val="00EB0A73"/>
    <w:rsid w:val="00EB0B55"/>
    <w:rsid w:val="00EB254F"/>
    <w:rsid w:val="00EB3A98"/>
    <w:rsid w:val="00EB46D9"/>
    <w:rsid w:val="00EB6EF6"/>
    <w:rsid w:val="00EC0199"/>
    <w:rsid w:val="00EC0E64"/>
    <w:rsid w:val="00EC142D"/>
    <w:rsid w:val="00EC1E16"/>
    <w:rsid w:val="00EC2DD1"/>
    <w:rsid w:val="00EC4A19"/>
    <w:rsid w:val="00EC4BA5"/>
    <w:rsid w:val="00EC52DA"/>
    <w:rsid w:val="00EC6F28"/>
    <w:rsid w:val="00EC7220"/>
    <w:rsid w:val="00ED0024"/>
    <w:rsid w:val="00ED0EA0"/>
    <w:rsid w:val="00ED0F85"/>
    <w:rsid w:val="00ED1B01"/>
    <w:rsid w:val="00ED2B5C"/>
    <w:rsid w:val="00ED3269"/>
    <w:rsid w:val="00ED3A18"/>
    <w:rsid w:val="00ED3AB7"/>
    <w:rsid w:val="00ED3C57"/>
    <w:rsid w:val="00EE1A8C"/>
    <w:rsid w:val="00EE3FED"/>
    <w:rsid w:val="00EE4643"/>
    <w:rsid w:val="00EE529F"/>
    <w:rsid w:val="00EE65B6"/>
    <w:rsid w:val="00EE7C86"/>
    <w:rsid w:val="00EF1330"/>
    <w:rsid w:val="00EF15FF"/>
    <w:rsid w:val="00EF2D80"/>
    <w:rsid w:val="00EF31D8"/>
    <w:rsid w:val="00EF55E6"/>
    <w:rsid w:val="00EF5707"/>
    <w:rsid w:val="00EF588D"/>
    <w:rsid w:val="00EF66B1"/>
    <w:rsid w:val="00EF67D3"/>
    <w:rsid w:val="00EF6F1F"/>
    <w:rsid w:val="00EF70EC"/>
    <w:rsid w:val="00EF7111"/>
    <w:rsid w:val="00EF7833"/>
    <w:rsid w:val="00EF7D1A"/>
    <w:rsid w:val="00F02350"/>
    <w:rsid w:val="00F02759"/>
    <w:rsid w:val="00F03B49"/>
    <w:rsid w:val="00F0448F"/>
    <w:rsid w:val="00F0716C"/>
    <w:rsid w:val="00F105AE"/>
    <w:rsid w:val="00F108A8"/>
    <w:rsid w:val="00F131E4"/>
    <w:rsid w:val="00F13319"/>
    <w:rsid w:val="00F1372E"/>
    <w:rsid w:val="00F14353"/>
    <w:rsid w:val="00F1567C"/>
    <w:rsid w:val="00F1628B"/>
    <w:rsid w:val="00F16990"/>
    <w:rsid w:val="00F22E81"/>
    <w:rsid w:val="00F250ED"/>
    <w:rsid w:val="00F26F5F"/>
    <w:rsid w:val="00F270E9"/>
    <w:rsid w:val="00F27440"/>
    <w:rsid w:val="00F275C0"/>
    <w:rsid w:val="00F3011D"/>
    <w:rsid w:val="00F30443"/>
    <w:rsid w:val="00F3048B"/>
    <w:rsid w:val="00F317B5"/>
    <w:rsid w:val="00F33348"/>
    <w:rsid w:val="00F346B6"/>
    <w:rsid w:val="00F34AB1"/>
    <w:rsid w:val="00F36145"/>
    <w:rsid w:val="00F36227"/>
    <w:rsid w:val="00F37BDD"/>
    <w:rsid w:val="00F40716"/>
    <w:rsid w:val="00F41503"/>
    <w:rsid w:val="00F417D4"/>
    <w:rsid w:val="00F41D5C"/>
    <w:rsid w:val="00F432CF"/>
    <w:rsid w:val="00F437FD"/>
    <w:rsid w:val="00F43B69"/>
    <w:rsid w:val="00F4479A"/>
    <w:rsid w:val="00F44D82"/>
    <w:rsid w:val="00F45589"/>
    <w:rsid w:val="00F460F3"/>
    <w:rsid w:val="00F46207"/>
    <w:rsid w:val="00F466C8"/>
    <w:rsid w:val="00F46706"/>
    <w:rsid w:val="00F469A9"/>
    <w:rsid w:val="00F46B50"/>
    <w:rsid w:val="00F47C20"/>
    <w:rsid w:val="00F50B46"/>
    <w:rsid w:val="00F50D1F"/>
    <w:rsid w:val="00F51545"/>
    <w:rsid w:val="00F521DE"/>
    <w:rsid w:val="00F52654"/>
    <w:rsid w:val="00F541D4"/>
    <w:rsid w:val="00F553CE"/>
    <w:rsid w:val="00F56043"/>
    <w:rsid w:val="00F5664E"/>
    <w:rsid w:val="00F56BD8"/>
    <w:rsid w:val="00F56E86"/>
    <w:rsid w:val="00F56FA9"/>
    <w:rsid w:val="00F6171A"/>
    <w:rsid w:val="00F619BA"/>
    <w:rsid w:val="00F62306"/>
    <w:rsid w:val="00F6351F"/>
    <w:rsid w:val="00F635FC"/>
    <w:rsid w:val="00F63D03"/>
    <w:rsid w:val="00F64EFA"/>
    <w:rsid w:val="00F65E2F"/>
    <w:rsid w:val="00F67385"/>
    <w:rsid w:val="00F67DF1"/>
    <w:rsid w:val="00F7054E"/>
    <w:rsid w:val="00F70E9F"/>
    <w:rsid w:val="00F7137C"/>
    <w:rsid w:val="00F72A09"/>
    <w:rsid w:val="00F74E67"/>
    <w:rsid w:val="00F76734"/>
    <w:rsid w:val="00F76814"/>
    <w:rsid w:val="00F77A5F"/>
    <w:rsid w:val="00F8309B"/>
    <w:rsid w:val="00F833C9"/>
    <w:rsid w:val="00F836C8"/>
    <w:rsid w:val="00F85198"/>
    <w:rsid w:val="00F90064"/>
    <w:rsid w:val="00F90BF7"/>
    <w:rsid w:val="00F94217"/>
    <w:rsid w:val="00F9586C"/>
    <w:rsid w:val="00F96AFD"/>
    <w:rsid w:val="00F96F4C"/>
    <w:rsid w:val="00FA07F4"/>
    <w:rsid w:val="00FA1398"/>
    <w:rsid w:val="00FA1515"/>
    <w:rsid w:val="00FA2053"/>
    <w:rsid w:val="00FA2E19"/>
    <w:rsid w:val="00FA397B"/>
    <w:rsid w:val="00FA3BE7"/>
    <w:rsid w:val="00FA4373"/>
    <w:rsid w:val="00FA4BA0"/>
    <w:rsid w:val="00FA697F"/>
    <w:rsid w:val="00FA6F4C"/>
    <w:rsid w:val="00FA7354"/>
    <w:rsid w:val="00FB0147"/>
    <w:rsid w:val="00FB0C8D"/>
    <w:rsid w:val="00FB0F92"/>
    <w:rsid w:val="00FB2FB3"/>
    <w:rsid w:val="00FB3846"/>
    <w:rsid w:val="00FB398A"/>
    <w:rsid w:val="00FB4BF5"/>
    <w:rsid w:val="00FB5059"/>
    <w:rsid w:val="00FB5521"/>
    <w:rsid w:val="00FB610D"/>
    <w:rsid w:val="00FB626E"/>
    <w:rsid w:val="00FB6CA8"/>
    <w:rsid w:val="00FC1E4C"/>
    <w:rsid w:val="00FC4477"/>
    <w:rsid w:val="00FC46FB"/>
    <w:rsid w:val="00FC4DD1"/>
    <w:rsid w:val="00FC7B66"/>
    <w:rsid w:val="00FD0D94"/>
    <w:rsid w:val="00FD106C"/>
    <w:rsid w:val="00FD1E33"/>
    <w:rsid w:val="00FD2BD3"/>
    <w:rsid w:val="00FD2DE3"/>
    <w:rsid w:val="00FD3DEF"/>
    <w:rsid w:val="00FD4CCA"/>
    <w:rsid w:val="00FD58B1"/>
    <w:rsid w:val="00FE00EA"/>
    <w:rsid w:val="00FE04BA"/>
    <w:rsid w:val="00FE234B"/>
    <w:rsid w:val="00FE2A9E"/>
    <w:rsid w:val="00FE34B3"/>
    <w:rsid w:val="00FE46B7"/>
    <w:rsid w:val="00FE4CEC"/>
    <w:rsid w:val="00FE683A"/>
    <w:rsid w:val="00FF0420"/>
    <w:rsid w:val="00FF41B8"/>
    <w:rsid w:val="00FF47C1"/>
    <w:rsid w:val="00FF4F5A"/>
    <w:rsid w:val="00FF5237"/>
    <w:rsid w:val="00FF5629"/>
    <w:rsid w:val="00FF5B79"/>
    <w:rsid w:val="00FF689D"/>
    <w:rsid w:val="06763376"/>
    <w:rsid w:val="06D79157"/>
    <w:rsid w:val="0DD79F36"/>
    <w:rsid w:val="11E43BAB"/>
    <w:rsid w:val="121534C5"/>
    <w:rsid w:val="161E678D"/>
    <w:rsid w:val="19090967"/>
    <w:rsid w:val="1B3C24C5"/>
    <w:rsid w:val="210B7837"/>
    <w:rsid w:val="23B4E6BE"/>
    <w:rsid w:val="24F18C83"/>
    <w:rsid w:val="25653D02"/>
    <w:rsid w:val="27AA7305"/>
    <w:rsid w:val="3310C0BE"/>
    <w:rsid w:val="38EF0D05"/>
    <w:rsid w:val="39A07357"/>
    <w:rsid w:val="42088138"/>
    <w:rsid w:val="511D528A"/>
    <w:rsid w:val="588ADAF6"/>
    <w:rsid w:val="5CE173DD"/>
    <w:rsid w:val="66EB6E8A"/>
    <w:rsid w:val="69981A89"/>
    <w:rsid w:val="7629CDD5"/>
    <w:rsid w:val="772E53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B409AA"/>
  <w15:docId w15:val="{4A5165EB-31D4-4A75-B782-DB03850DE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imes New Roman" w:hAnsi="Segoe UI" w:cs="Times New Roman"/>
        <w:sz w:val="18"/>
        <w:szCs w:val="24"/>
        <w:lang w:val="uk-UA"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1"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2975"/>
    <w:pPr>
      <w:spacing w:line="276" w:lineRule="auto"/>
      <w:jc w:val="both"/>
    </w:pPr>
    <w:rPr>
      <w:sz w:val="22"/>
    </w:rPr>
  </w:style>
  <w:style w:type="paragraph" w:styleId="Heading1">
    <w:name w:val="heading 1"/>
    <w:basedOn w:val="Normal"/>
    <w:next w:val="Normal"/>
    <w:link w:val="Heading1Char"/>
    <w:uiPriority w:val="99"/>
    <w:qFormat/>
    <w:rsid w:val="00097261"/>
    <w:pPr>
      <w:keepNext/>
      <w:spacing w:line="420" w:lineRule="atLeast"/>
      <w:outlineLvl w:val="0"/>
    </w:pPr>
    <w:rPr>
      <w:rFonts w:cs="Arial"/>
      <w:b/>
      <w:bCs/>
      <w:kern w:val="32"/>
      <w:sz w:val="36"/>
      <w:szCs w:val="32"/>
    </w:rPr>
  </w:style>
  <w:style w:type="paragraph" w:styleId="Heading2">
    <w:name w:val="heading 2"/>
    <w:basedOn w:val="Normal"/>
    <w:next w:val="Normal"/>
    <w:qFormat/>
    <w:rsid w:val="003F46B0"/>
    <w:pPr>
      <w:keepNext/>
      <w:outlineLvl w:val="1"/>
    </w:pPr>
    <w:rPr>
      <w:rFonts w:cs="Arial"/>
      <w:bCs/>
      <w:iCs/>
      <w:color w:val="E1000F"/>
      <w:szCs w:val="28"/>
    </w:rPr>
  </w:style>
  <w:style w:type="paragraph" w:styleId="Heading3">
    <w:name w:val="heading 3"/>
    <w:basedOn w:val="Heading2"/>
    <w:next w:val="Normal"/>
    <w:qFormat/>
    <w:rsid w:val="006F1596"/>
    <w:pPr>
      <w:outlineLvl w:val="2"/>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3758F"/>
    <w:pPr>
      <w:tabs>
        <w:tab w:val="left" w:pos="2607"/>
        <w:tab w:val="center" w:pos="4320"/>
        <w:tab w:val="right" w:pos="9356"/>
      </w:tabs>
      <w:spacing w:before="1440" w:line="100" w:lineRule="atLeast"/>
      <w:jc w:val="right"/>
    </w:pPr>
    <w:rPr>
      <w:rFonts w:cs="Segoe UI"/>
      <w:b/>
      <w:bCs/>
      <w:color w:val="3E3C3C"/>
      <w:sz w:val="40"/>
      <w:szCs w:val="40"/>
    </w:rPr>
  </w:style>
  <w:style w:type="paragraph" w:styleId="Footer">
    <w:name w:val="footer"/>
    <w:basedOn w:val="Normal"/>
    <w:link w:val="FooterChar"/>
    <w:uiPriority w:val="99"/>
    <w:rsid w:val="00992A11"/>
    <w:pPr>
      <w:tabs>
        <w:tab w:val="right" w:pos="7083"/>
        <w:tab w:val="right" w:pos="8640"/>
      </w:tabs>
      <w:spacing w:line="180" w:lineRule="atLeast"/>
      <w:jc w:val="right"/>
    </w:pPr>
    <w:rPr>
      <w:bCs/>
      <w:noProof/>
      <w:sz w:val="12"/>
    </w:rPr>
  </w:style>
  <w:style w:type="paragraph" w:customStyle="1" w:styleId="Intro">
    <w:name w:val="Intro"/>
    <w:basedOn w:val="Normal"/>
    <w:rsid w:val="006F1596"/>
    <w:pPr>
      <w:spacing w:after="300"/>
    </w:pPr>
    <w:rPr>
      <w:color w:val="415055"/>
      <w:sz w:val="24"/>
    </w:rPr>
  </w:style>
  <w:style w:type="paragraph" w:customStyle="1" w:styleId="NumBullet">
    <w:name w:val="Num_Bullet"/>
    <w:basedOn w:val="Normal"/>
    <w:rsid w:val="00576BC8"/>
    <w:pPr>
      <w:numPr>
        <w:numId w:val="1"/>
      </w:numPr>
      <w:tabs>
        <w:tab w:val="clear" w:pos="567"/>
        <w:tab w:val="left" w:pos="357"/>
      </w:tabs>
      <w:ind w:left="357" w:hanging="357"/>
    </w:pPr>
  </w:style>
  <w:style w:type="paragraph" w:customStyle="1" w:styleId="Page1Name">
    <w:name w:val="Page1_Name"/>
    <w:basedOn w:val="Normal"/>
    <w:rsid w:val="004F237B"/>
    <w:pPr>
      <w:spacing w:after="420" w:line="360" w:lineRule="atLeast"/>
    </w:pPr>
    <w:rPr>
      <w:b/>
      <w:sz w:val="30"/>
    </w:rPr>
  </w:style>
  <w:style w:type="paragraph" w:customStyle="1" w:styleId="Page1Title">
    <w:name w:val="Page1_Title"/>
    <w:basedOn w:val="Normal"/>
    <w:rsid w:val="004F237B"/>
    <w:pPr>
      <w:spacing w:line="228" w:lineRule="auto"/>
    </w:pPr>
    <w:rPr>
      <w:color w:val="E1000F"/>
      <w:sz w:val="90"/>
    </w:rPr>
  </w:style>
  <w:style w:type="paragraph" w:customStyle="1" w:styleId="Page1Author">
    <w:name w:val="Page1_Author"/>
    <w:basedOn w:val="Page1Name"/>
    <w:rsid w:val="004F237B"/>
    <w:pPr>
      <w:spacing w:before="240" w:after="0"/>
    </w:pPr>
    <w:rPr>
      <w:b w:val="0"/>
      <w:bCs/>
    </w:rPr>
  </w:style>
  <w:style w:type="table" w:styleId="TableGrid">
    <w:name w:val="Table Grid"/>
    <w:basedOn w:val="TableNormal"/>
    <w:rsid w:val="004F237B"/>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link w:val="InfoZchn"/>
    <w:rsid w:val="00EE59A4"/>
    <w:pPr>
      <w:spacing w:line="240" w:lineRule="atLeast"/>
    </w:pPr>
    <w:rPr>
      <w:sz w:val="13"/>
    </w:rPr>
  </w:style>
  <w:style w:type="character" w:customStyle="1" w:styleId="InfoZchn">
    <w:name w:val="Info Zchn"/>
    <w:link w:val="Info"/>
    <w:rsid w:val="003F6218"/>
    <w:rPr>
      <w:rFonts w:ascii="Arial" w:hAnsi="Arial"/>
      <w:sz w:val="13"/>
      <w:szCs w:val="24"/>
      <w:lang w:val="uk-UA" w:eastAsia="en-US" w:bidi="ar-SA"/>
    </w:rPr>
  </w:style>
  <w:style w:type="paragraph" w:customStyle="1" w:styleId="Standard12pt">
    <w:name w:val="Standard_12pt"/>
    <w:basedOn w:val="Normal"/>
    <w:rsid w:val="0048435F"/>
    <w:pPr>
      <w:spacing w:line="300" w:lineRule="atLeast"/>
    </w:pPr>
    <w:rPr>
      <w:sz w:val="24"/>
    </w:rPr>
  </w:style>
  <w:style w:type="character" w:customStyle="1" w:styleId="Heading1Char">
    <w:name w:val="Heading 1 Char"/>
    <w:link w:val="Heading1"/>
    <w:uiPriority w:val="99"/>
    <w:locked/>
    <w:rsid w:val="00B422EC"/>
    <w:rPr>
      <w:rFonts w:ascii="Arial" w:hAnsi="Arial" w:cs="Arial"/>
      <w:b/>
      <w:bCs/>
      <w:kern w:val="32"/>
      <w:sz w:val="36"/>
      <w:szCs w:val="32"/>
      <w:lang w:val="uk-UA"/>
    </w:rPr>
  </w:style>
  <w:style w:type="character" w:styleId="Hyperlink">
    <w:name w:val="Hyperlink"/>
    <w:rsid w:val="00336854"/>
    <w:rPr>
      <w:rFonts w:ascii="Segoe UI" w:hAnsi="Segoe UI"/>
      <w:color w:val="0000FF"/>
      <w:sz w:val="18"/>
      <w:szCs w:val="18"/>
      <w:u w:val="single"/>
    </w:rPr>
  </w:style>
  <w:style w:type="paragraph" w:customStyle="1" w:styleId="MittleresRaster1-Akzent21">
    <w:name w:val="Mittleres Raster 1 - Akzent 21"/>
    <w:basedOn w:val="Normal"/>
    <w:uiPriority w:val="34"/>
    <w:qFormat/>
    <w:rsid w:val="00B422EC"/>
    <w:pPr>
      <w:ind w:left="720"/>
    </w:pPr>
  </w:style>
  <w:style w:type="paragraph" w:styleId="BalloonText">
    <w:name w:val="Balloon Text"/>
    <w:basedOn w:val="Normal"/>
    <w:link w:val="BalloonTextChar"/>
    <w:rsid w:val="00336854"/>
    <w:pPr>
      <w:spacing w:line="240" w:lineRule="auto"/>
    </w:pPr>
    <w:rPr>
      <w:sz w:val="18"/>
      <w:szCs w:val="18"/>
    </w:rPr>
  </w:style>
  <w:style w:type="character" w:customStyle="1" w:styleId="BalloonTextChar">
    <w:name w:val="Balloon Text Char"/>
    <w:link w:val="BalloonText"/>
    <w:rsid w:val="00336854"/>
    <w:rPr>
      <w:rFonts w:ascii="Segoe UI" w:hAnsi="Segoe UI"/>
      <w:sz w:val="18"/>
      <w:szCs w:val="18"/>
      <w:lang w:val="uk-UA"/>
    </w:rPr>
  </w:style>
  <w:style w:type="paragraph" w:customStyle="1" w:styleId="MittlereListe2-Akzent21">
    <w:name w:val="Mittlere Liste 2 - Akzent 21"/>
    <w:hidden/>
    <w:uiPriority w:val="99"/>
    <w:semiHidden/>
    <w:rsid w:val="002E0B17"/>
    <w:rPr>
      <w:rFonts w:ascii="Arial" w:hAnsi="Arial"/>
    </w:rPr>
  </w:style>
  <w:style w:type="character" w:customStyle="1" w:styleId="FooterChar">
    <w:name w:val="Footer Char"/>
    <w:link w:val="Footer"/>
    <w:uiPriority w:val="99"/>
    <w:rsid w:val="00992A11"/>
    <w:rPr>
      <w:rFonts w:ascii="Segoe UI" w:hAnsi="Segoe UI"/>
      <w:bCs/>
      <w:noProof/>
      <w:sz w:val="12"/>
      <w:szCs w:val="24"/>
      <w:lang w:val="uk-UA"/>
    </w:rPr>
  </w:style>
  <w:style w:type="character" w:customStyle="1" w:styleId="1">
    <w:name w:val="Незакрита згадка1"/>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Normal"/>
    <w:rsid w:val="00974F84"/>
    <w:rPr>
      <w:szCs w:val="20"/>
    </w:rPr>
  </w:style>
  <w:style w:type="paragraph" w:customStyle="1" w:styleId="Style12ptJustifiedLinespacing15lines1">
    <w:name w:val="Style 12 pt Justified Line spacing:  1.5 lines1"/>
    <w:basedOn w:val="Normal"/>
    <w:rsid w:val="00974F84"/>
    <w:pPr>
      <w:spacing w:before="120"/>
    </w:pPr>
    <w:rPr>
      <w:szCs w:val="20"/>
    </w:rPr>
  </w:style>
  <w:style w:type="character" w:customStyle="1" w:styleId="Headline">
    <w:name w:val="Headline"/>
    <w:basedOn w:val="DefaultParagraphFont"/>
    <w:rsid w:val="00A3756F"/>
    <w:rPr>
      <w:b/>
      <w:bCs/>
      <w:sz w:val="32"/>
    </w:rPr>
  </w:style>
  <w:style w:type="paragraph" w:customStyle="1" w:styleId="MonthDayYear">
    <w:name w:val="Month Day Year"/>
    <w:basedOn w:val="Normal"/>
    <w:rsid w:val="00643D8A"/>
    <w:pPr>
      <w:spacing w:before="120"/>
      <w:ind w:right="-1"/>
      <w:jc w:val="right"/>
    </w:pPr>
    <w:rPr>
      <w:szCs w:val="20"/>
    </w:rPr>
  </w:style>
  <w:style w:type="paragraph" w:customStyle="1" w:styleId="Topline">
    <w:name w:val="Topline"/>
    <w:basedOn w:val="Normal"/>
    <w:qFormat/>
    <w:rsid w:val="00472FEC"/>
    <w:pPr>
      <w:spacing w:before="560" w:after="560"/>
    </w:pPr>
    <w:rPr>
      <w:rFonts w:cs="Segoe UI"/>
      <w:szCs w:val="22"/>
    </w:rPr>
  </w:style>
  <w:style w:type="character" w:customStyle="1" w:styleId="AboutandContactBody">
    <w:name w:val="About and Contact Body"/>
    <w:basedOn w:val="DefaultParagraphFont"/>
    <w:rsid w:val="00336854"/>
    <w:rPr>
      <w:rFonts w:ascii="Segoe UI" w:hAnsi="Segoe UI"/>
      <w:sz w:val="18"/>
    </w:rPr>
  </w:style>
  <w:style w:type="character" w:customStyle="1" w:styleId="AboutandContactHeadline">
    <w:name w:val="About and Contact Headline"/>
    <w:basedOn w:val="DefaultParagraphFont"/>
    <w:rsid w:val="00336854"/>
    <w:rPr>
      <w:rFonts w:ascii="Segoe UI" w:hAnsi="Segoe UI"/>
      <w:b/>
      <w:bCs/>
      <w:sz w:val="18"/>
    </w:rPr>
  </w:style>
  <w:style w:type="paragraph" w:styleId="ListParagraph">
    <w:name w:val="List Paragraph"/>
    <w:basedOn w:val="Normal"/>
    <w:uiPriority w:val="1"/>
    <w:qFormat/>
    <w:rsid w:val="00635616"/>
    <w:pPr>
      <w:ind w:left="720"/>
      <w:contextualSpacing/>
    </w:pPr>
  </w:style>
  <w:style w:type="character" w:styleId="CommentReference">
    <w:name w:val="annotation reference"/>
    <w:rsid w:val="00846017"/>
    <w:rPr>
      <w:sz w:val="16"/>
      <w:szCs w:val="16"/>
    </w:rPr>
  </w:style>
  <w:style w:type="paragraph" w:styleId="CommentText">
    <w:name w:val="annotation text"/>
    <w:basedOn w:val="Normal"/>
    <w:link w:val="CommentTextChar"/>
    <w:rsid w:val="00846017"/>
    <w:pPr>
      <w:spacing w:line="260" w:lineRule="atLeast"/>
      <w:jc w:val="left"/>
    </w:pPr>
    <w:rPr>
      <w:rFonts w:ascii="Arial" w:hAnsi="Arial"/>
      <w:sz w:val="20"/>
      <w:szCs w:val="20"/>
    </w:rPr>
  </w:style>
  <w:style w:type="character" w:customStyle="1" w:styleId="CommentTextChar">
    <w:name w:val="Comment Text Char"/>
    <w:basedOn w:val="DefaultParagraphFont"/>
    <w:link w:val="CommentText"/>
    <w:rsid w:val="00846017"/>
    <w:rPr>
      <w:rFonts w:ascii="Arial" w:hAnsi="Arial"/>
      <w:sz w:val="20"/>
      <w:szCs w:val="20"/>
      <w:lang w:val="uk-UA"/>
    </w:rPr>
  </w:style>
  <w:style w:type="paragraph" w:styleId="CommentSubject">
    <w:name w:val="annotation subject"/>
    <w:basedOn w:val="CommentText"/>
    <w:next w:val="CommentText"/>
    <w:link w:val="CommentSubjectChar"/>
    <w:rsid w:val="0020528D"/>
    <w:pPr>
      <w:spacing w:line="240" w:lineRule="auto"/>
      <w:jc w:val="both"/>
    </w:pPr>
    <w:rPr>
      <w:rFonts w:ascii="Segoe UI" w:hAnsi="Segoe UI"/>
      <w:b/>
      <w:bCs/>
    </w:rPr>
  </w:style>
  <w:style w:type="character" w:customStyle="1" w:styleId="CommentSubjectChar">
    <w:name w:val="Comment Subject Char"/>
    <w:basedOn w:val="CommentTextChar"/>
    <w:link w:val="CommentSubject"/>
    <w:rsid w:val="0020528D"/>
    <w:rPr>
      <w:rFonts w:ascii="Arial" w:hAnsi="Arial"/>
      <w:b/>
      <w:bCs/>
      <w:sz w:val="20"/>
      <w:szCs w:val="20"/>
      <w:lang w:val="uk-UA"/>
    </w:rPr>
  </w:style>
  <w:style w:type="paragraph" w:styleId="Revision">
    <w:name w:val="Revision"/>
    <w:hidden/>
    <w:uiPriority w:val="62"/>
    <w:unhideWhenUsed/>
    <w:rsid w:val="006E2D24"/>
    <w:rPr>
      <w:sz w:val="22"/>
    </w:rPr>
  </w:style>
  <w:style w:type="paragraph" w:customStyle="1" w:styleId="He04Funote">
    <w:name w:val="_He_04_Fußnote"/>
    <w:next w:val="Normal"/>
    <w:qFormat/>
    <w:rsid w:val="00A90F18"/>
    <w:pPr>
      <w:tabs>
        <w:tab w:val="left" w:pos="85"/>
      </w:tabs>
      <w:spacing w:line="256" w:lineRule="auto"/>
      <w:ind w:left="85" w:hanging="85"/>
    </w:pPr>
    <w:rPr>
      <w:rFonts w:eastAsiaTheme="minorHAnsi" w:cstheme="minorBidi"/>
      <w:sz w:val="15"/>
      <w:szCs w:val="22"/>
      <w14:numForm w14:val="lining"/>
    </w:rPr>
  </w:style>
  <w:style w:type="character" w:styleId="FootnoteReference">
    <w:name w:val="footnote reference"/>
    <w:basedOn w:val="DefaultParagraphFont"/>
    <w:uiPriority w:val="99"/>
    <w:unhideWhenUsed/>
    <w:rsid w:val="00A90F18"/>
    <w:rPr>
      <w:vertAlign w:val="superscript"/>
    </w:rPr>
  </w:style>
  <w:style w:type="paragraph" w:customStyle="1" w:styleId="He05Fett">
    <w:name w:val="_He_05_Fett"/>
    <w:next w:val="Normal"/>
    <w:link w:val="He05FettZchn"/>
    <w:qFormat/>
    <w:rsid w:val="00A92FCD"/>
    <w:pPr>
      <w:spacing w:after="160" w:line="259" w:lineRule="auto"/>
    </w:pPr>
    <w:rPr>
      <w:rFonts w:eastAsiaTheme="minorHAnsi" w:cstheme="minorBidi"/>
      <w:b/>
      <w:szCs w:val="22"/>
    </w:rPr>
  </w:style>
  <w:style w:type="character" w:customStyle="1" w:styleId="He05FettZchn">
    <w:name w:val="_He_05_Fett Zchn"/>
    <w:basedOn w:val="DefaultParagraphFont"/>
    <w:link w:val="He05Fett"/>
    <w:rsid w:val="00A92FCD"/>
    <w:rPr>
      <w:rFonts w:eastAsiaTheme="minorHAnsi" w:cstheme="minorBidi"/>
      <w:b/>
      <w:szCs w:val="22"/>
      <w:lang w:val="uk-UA"/>
    </w:rPr>
  </w:style>
  <w:style w:type="paragraph" w:customStyle="1" w:styleId="He01Flietext">
    <w:name w:val="_He_01_Fließtext"/>
    <w:qFormat/>
    <w:rsid w:val="00FE683A"/>
    <w:pPr>
      <w:tabs>
        <w:tab w:val="left" w:pos="284"/>
      </w:tabs>
      <w:spacing w:after="160" w:line="259" w:lineRule="auto"/>
      <w:jc w:val="both"/>
    </w:pPr>
    <w:rPr>
      <w:rFonts w:eastAsiaTheme="minorHAnsi" w:cstheme="minorBidi"/>
      <w:szCs w:val="22"/>
    </w:rPr>
  </w:style>
  <w:style w:type="paragraph" w:styleId="NormalWeb">
    <w:name w:val="Normal (Web)"/>
    <w:basedOn w:val="Normal"/>
    <w:uiPriority w:val="99"/>
    <w:unhideWhenUsed/>
    <w:rsid w:val="002566B2"/>
    <w:pPr>
      <w:spacing w:before="100" w:beforeAutospacing="1" w:after="100" w:afterAutospacing="1" w:line="240" w:lineRule="auto"/>
      <w:jc w:val="left"/>
    </w:pPr>
    <w:rPr>
      <w:rFonts w:ascii="Times New Roman" w:hAnsi="Times New Roman"/>
      <w:sz w:val="24"/>
      <w:lang w:eastAsia="de-DE"/>
    </w:rPr>
  </w:style>
  <w:style w:type="paragraph" w:styleId="FootnoteText">
    <w:name w:val="footnote text"/>
    <w:basedOn w:val="Normal"/>
    <w:link w:val="FootnoteTextChar"/>
    <w:uiPriority w:val="99"/>
    <w:unhideWhenUsed/>
    <w:rsid w:val="00C76008"/>
    <w:pPr>
      <w:spacing w:line="240" w:lineRule="auto"/>
      <w:jc w:val="left"/>
    </w:pPr>
    <w:rPr>
      <w:rFonts w:eastAsiaTheme="minorHAnsi" w:cstheme="minorBidi"/>
      <w:szCs w:val="20"/>
    </w:rPr>
  </w:style>
  <w:style w:type="character" w:customStyle="1" w:styleId="FootnoteTextChar">
    <w:name w:val="Footnote Text Char"/>
    <w:basedOn w:val="DefaultParagraphFont"/>
    <w:link w:val="FootnoteText"/>
    <w:uiPriority w:val="99"/>
    <w:rsid w:val="00C76008"/>
    <w:rPr>
      <w:rFonts w:eastAsiaTheme="minorHAnsi" w:cstheme="minorBidi"/>
      <w:sz w:val="22"/>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68271">
      <w:bodyDiv w:val="1"/>
      <w:marLeft w:val="0"/>
      <w:marRight w:val="0"/>
      <w:marTop w:val="0"/>
      <w:marBottom w:val="0"/>
      <w:divBdr>
        <w:top w:val="none" w:sz="0" w:space="0" w:color="auto"/>
        <w:left w:val="none" w:sz="0" w:space="0" w:color="auto"/>
        <w:bottom w:val="none" w:sz="0" w:space="0" w:color="auto"/>
        <w:right w:val="none" w:sz="0" w:space="0" w:color="auto"/>
      </w:divBdr>
    </w:div>
    <w:div w:id="215901274">
      <w:bodyDiv w:val="1"/>
      <w:marLeft w:val="0"/>
      <w:marRight w:val="0"/>
      <w:marTop w:val="0"/>
      <w:marBottom w:val="0"/>
      <w:divBdr>
        <w:top w:val="none" w:sz="0" w:space="0" w:color="auto"/>
        <w:left w:val="none" w:sz="0" w:space="0" w:color="auto"/>
        <w:bottom w:val="none" w:sz="0" w:space="0" w:color="auto"/>
        <w:right w:val="none" w:sz="0" w:space="0" w:color="auto"/>
      </w:divBdr>
    </w:div>
    <w:div w:id="331758879">
      <w:bodyDiv w:val="1"/>
      <w:marLeft w:val="0"/>
      <w:marRight w:val="0"/>
      <w:marTop w:val="0"/>
      <w:marBottom w:val="0"/>
      <w:divBdr>
        <w:top w:val="none" w:sz="0" w:space="0" w:color="auto"/>
        <w:left w:val="none" w:sz="0" w:space="0" w:color="auto"/>
        <w:bottom w:val="none" w:sz="0" w:space="0" w:color="auto"/>
        <w:right w:val="none" w:sz="0" w:space="0" w:color="auto"/>
      </w:divBdr>
    </w:div>
    <w:div w:id="545877286">
      <w:bodyDiv w:val="1"/>
      <w:marLeft w:val="0"/>
      <w:marRight w:val="0"/>
      <w:marTop w:val="0"/>
      <w:marBottom w:val="0"/>
      <w:divBdr>
        <w:top w:val="none" w:sz="0" w:space="0" w:color="auto"/>
        <w:left w:val="none" w:sz="0" w:space="0" w:color="auto"/>
        <w:bottom w:val="none" w:sz="0" w:space="0" w:color="auto"/>
        <w:right w:val="none" w:sz="0" w:space="0" w:color="auto"/>
      </w:divBdr>
    </w:div>
    <w:div w:id="830367474">
      <w:bodyDiv w:val="1"/>
      <w:marLeft w:val="0"/>
      <w:marRight w:val="0"/>
      <w:marTop w:val="0"/>
      <w:marBottom w:val="0"/>
      <w:divBdr>
        <w:top w:val="none" w:sz="0" w:space="0" w:color="auto"/>
        <w:left w:val="none" w:sz="0" w:space="0" w:color="auto"/>
        <w:bottom w:val="none" w:sz="0" w:space="0" w:color="auto"/>
        <w:right w:val="none" w:sz="0" w:space="0" w:color="auto"/>
      </w:divBdr>
    </w:div>
    <w:div w:id="1303580746">
      <w:bodyDiv w:val="1"/>
      <w:marLeft w:val="0"/>
      <w:marRight w:val="0"/>
      <w:marTop w:val="0"/>
      <w:marBottom w:val="0"/>
      <w:divBdr>
        <w:top w:val="none" w:sz="0" w:space="0" w:color="auto"/>
        <w:left w:val="none" w:sz="0" w:space="0" w:color="auto"/>
        <w:bottom w:val="none" w:sz="0" w:space="0" w:color="auto"/>
        <w:right w:val="none" w:sz="0" w:space="0" w:color="auto"/>
      </w:divBdr>
    </w:div>
    <w:div w:id="1370689247">
      <w:bodyDiv w:val="1"/>
      <w:marLeft w:val="0"/>
      <w:marRight w:val="0"/>
      <w:marTop w:val="0"/>
      <w:marBottom w:val="0"/>
      <w:divBdr>
        <w:top w:val="none" w:sz="0" w:space="0" w:color="auto"/>
        <w:left w:val="none" w:sz="0" w:space="0" w:color="auto"/>
        <w:bottom w:val="none" w:sz="0" w:space="0" w:color="auto"/>
        <w:right w:val="none" w:sz="0" w:space="0" w:color="auto"/>
      </w:divBdr>
    </w:div>
    <w:div w:id="1374620896">
      <w:bodyDiv w:val="1"/>
      <w:marLeft w:val="0"/>
      <w:marRight w:val="0"/>
      <w:marTop w:val="0"/>
      <w:marBottom w:val="0"/>
      <w:divBdr>
        <w:top w:val="none" w:sz="0" w:space="0" w:color="auto"/>
        <w:left w:val="none" w:sz="0" w:space="0" w:color="auto"/>
        <w:bottom w:val="none" w:sz="0" w:space="0" w:color="auto"/>
        <w:right w:val="none" w:sz="0" w:space="0" w:color="auto"/>
      </w:divBdr>
    </w:div>
    <w:div w:id="1483084704">
      <w:bodyDiv w:val="1"/>
      <w:marLeft w:val="0"/>
      <w:marRight w:val="0"/>
      <w:marTop w:val="0"/>
      <w:marBottom w:val="0"/>
      <w:divBdr>
        <w:top w:val="none" w:sz="0" w:space="0" w:color="auto"/>
        <w:left w:val="none" w:sz="0" w:space="0" w:color="auto"/>
        <w:bottom w:val="none" w:sz="0" w:space="0" w:color="auto"/>
        <w:right w:val="none" w:sz="0" w:space="0" w:color="auto"/>
      </w:divBdr>
    </w:div>
    <w:div w:id="1546261199">
      <w:bodyDiv w:val="1"/>
      <w:marLeft w:val="0"/>
      <w:marRight w:val="0"/>
      <w:marTop w:val="0"/>
      <w:marBottom w:val="0"/>
      <w:divBdr>
        <w:top w:val="none" w:sz="0" w:space="0" w:color="auto"/>
        <w:left w:val="none" w:sz="0" w:space="0" w:color="auto"/>
        <w:bottom w:val="none" w:sz="0" w:space="0" w:color="auto"/>
        <w:right w:val="none" w:sz="0" w:space="0" w:color="auto"/>
      </w:divBdr>
    </w:div>
    <w:div w:id="1641376655">
      <w:bodyDiv w:val="1"/>
      <w:marLeft w:val="0"/>
      <w:marRight w:val="0"/>
      <w:marTop w:val="0"/>
      <w:marBottom w:val="0"/>
      <w:divBdr>
        <w:top w:val="none" w:sz="0" w:space="0" w:color="auto"/>
        <w:left w:val="none" w:sz="0" w:space="0" w:color="auto"/>
        <w:bottom w:val="none" w:sz="0" w:space="0" w:color="auto"/>
        <w:right w:val="none" w:sz="0" w:space="0" w:color="auto"/>
      </w:divBdr>
    </w:div>
    <w:div w:id="2013604992">
      <w:bodyDiv w:val="1"/>
      <w:marLeft w:val="0"/>
      <w:marRight w:val="0"/>
      <w:marTop w:val="0"/>
      <w:marBottom w:val="0"/>
      <w:divBdr>
        <w:top w:val="none" w:sz="0" w:space="0" w:color="auto"/>
        <w:left w:val="none" w:sz="0" w:space="0" w:color="auto"/>
        <w:bottom w:val="none" w:sz="0" w:space="0" w:color="auto"/>
        <w:right w:val="none" w:sz="0" w:space="0" w:color="auto"/>
      </w:divBdr>
      <w:divsChild>
        <w:div w:id="237326346">
          <w:marLeft w:val="0"/>
          <w:marRight w:val="0"/>
          <w:marTop w:val="0"/>
          <w:marBottom w:val="0"/>
          <w:divBdr>
            <w:top w:val="none" w:sz="0" w:space="0" w:color="auto"/>
            <w:left w:val="none" w:sz="0" w:space="0" w:color="auto"/>
            <w:bottom w:val="none" w:sz="0" w:space="0" w:color="auto"/>
            <w:right w:val="none" w:sz="0" w:space="0" w:color="auto"/>
          </w:divBdr>
        </w:div>
        <w:div w:id="331104911">
          <w:marLeft w:val="0"/>
          <w:marRight w:val="0"/>
          <w:marTop w:val="0"/>
          <w:marBottom w:val="0"/>
          <w:divBdr>
            <w:top w:val="none" w:sz="0" w:space="0" w:color="auto"/>
            <w:left w:val="none" w:sz="0" w:space="0" w:color="auto"/>
            <w:bottom w:val="none" w:sz="0" w:space="0" w:color="auto"/>
            <w:right w:val="none" w:sz="0" w:space="0" w:color="auto"/>
          </w:divBdr>
        </w:div>
        <w:div w:id="430466892">
          <w:marLeft w:val="0"/>
          <w:marRight w:val="0"/>
          <w:marTop w:val="0"/>
          <w:marBottom w:val="0"/>
          <w:divBdr>
            <w:top w:val="none" w:sz="0" w:space="0" w:color="auto"/>
            <w:left w:val="none" w:sz="0" w:space="0" w:color="auto"/>
            <w:bottom w:val="none" w:sz="0" w:space="0" w:color="auto"/>
            <w:right w:val="none" w:sz="0" w:space="0" w:color="auto"/>
          </w:divBdr>
        </w:div>
        <w:div w:id="881399477">
          <w:marLeft w:val="0"/>
          <w:marRight w:val="0"/>
          <w:marTop w:val="0"/>
          <w:marBottom w:val="0"/>
          <w:divBdr>
            <w:top w:val="none" w:sz="0" w:space="0" w:color="auto"/>
            <w:left w:val="none" w:sz="0" w:space="0" w:color="auto"/>
            <w:bottom w:val="none" w:sz="0" w:space="0" w:color="auto"/>
            <w:right w:val="none" w:sz="0" w:space="0" w:color="auto"/>
          </w:divBdr>
        </w:div>
        <w:div w:id="1927032988">
          <w:marLeft w:val="0"/>
          <w:marRight w:val="0"/>
          <w:marTop w:val="0"/>
          <w:marBottom w:val="0"/>
          <w:divBdr>
            <w:top w:val="none" w:sz="0" w:space="0" w:color="auto"/>
            <w:left w:val="none" w:sz="0" w:space="0" w:color="auto"/>
            <w:bottom w:val="none" w:sz="0" w:space="0" w:color="auto"/>
            <w:right w:val="none" w:sz="0" w:space="0" w:color="auto"/>
          </w:divBdr>
        </w:div>
        <w:div w:id="2009089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lena.androschuk@henkel.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henkel.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khmara@pr-service.com.ua"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ohng\AppData\Local\Temp\Temp1_Completed.zip\Completed\segoe-Henkel-press-release-template-2020-english.dotx" TargetMode="Externa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f406d6b-70e0-427c-b08d-4edfc77771aa" xsi:nil="true"/>
    <lcf76f155ced4ddcb4097134ff3c332f xmlns="487aa4a8-6e08-4624-a126-3644f60fbb35">
      <Terms xmlns="http://schemas.microsoft.com/office/infopath/2007/PartnerControls"/>
    </lcf76f155ced4ddcb4097134ff3c332f>
    <Datum xmlns="487aa4a8-6e08-4624-a126-3644f60fbb35" xsi:nil="true"/>
  </documentManagement>
</p:properties>
</file>

<file path=customXml/item3.xml><?xml version="1.0" encoding="utf-8"?>
<?mso-contentType ?>
<SharedContentType xmlns="Microsoft.SharePoint.Taxonomy.ContentTypeSync" SourceId="72f792e8-4dad-42c1-ad63-44982727bf4d" ContentTypeId="0x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4E3C925157EE074095811C87522C7BC7" ma:contentTypeVersion="22" ma:contentTypeDescription="Create a new document." ma:contentTypeScope="" ma:versionID="74ca59087a68a0460257cfd765d09988">
  <xsd:schema xmlns:xsd="http://www.w3.org/2001/XMLSchema" xmlns:xs="http://www.w3.org/2001/XMLSchema" xmlns:p="http://schemas.microsoft.com/office/2006/metadata/properties" xmlns:ns2="487aa4a8-6e08-4624-a126-3644f60fbb35" xmlns:ns3="cec4b484-d643-4c02-a873-288aa5369532" xmlns:ns4="ef406d6b-70e0-427c-b08d-4edfc77771aa" targetNamespace="http://schemas.microsoft.com/office/2006/metadata/properties" ma:root="true" ma:fieldsID="8033796c042ced27f4b2ab1bf1ebc10c" ns2:_="" ns3:_="" ns4:_="">
    <xsd:import namespace="487aa4a8-6e08-4624-a126-3644f60fbb35"/>
    <xsd:import namespace="cec4b484-d643-4c02-a873-288aa5369532"/>
    <xsd:import namespace="ef406d6b-70e0-427c-b08d-4edfc77771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Datum"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aa4a8-6e08-4624-a126-3644f60fb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20" nillable="true" ma:displayName="Datum" ma:format="DateOnly" ma:internalName="Datum">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2f792e8-4dad-42c1-ad63-44982727bf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4b484-d643-4c02-a873-288aa53695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406d6b-70e0-427c-b08d-4edfc77771a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099daea-b67b-4b58-9130-be82b407cc11}" ma:internalName="TaxCatchAll" ma:showField="CatchAllData" ma:web="cec4b484-d643-4c02-a873-288aa5369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DC19A2-CD66-430E-879A-F038FFBBB184}">
  <ds:schemaRefs>
    <ds:schemaRef ds:uri="http://schemas.openxmlformats.org/officeDocument/2006/bibliography"/>
  </ds:schemaRefs>
</ds:datastoreItem>
</file>

<file path=customXml/itemProps2.xml><?xml version="1.0" encoding="utf-8"?>
<ds:datastoreItem xmlns:ds="http://schemas.openxmlformats.org/officeDocument/2006/customXml" ds:itemID="{F3245D12-BDB4-413F-ABB3-2AF0CF323A38}">
  <ds:schemaRefs>
    <ds:schemaRef ds:uri="http://schemas.microsoft.com/office/2006/metadata/properties"/>
    <ds:schemaRef ds:uri="http://schemas.microsoft.com/office/infopath/2007/PartnerControls"/>
    <ds:schemaRef ds:uri="ef406d6b-70e0-427c-b08d-4edfc77771aa"/>
    <ds:schemaRef ds:uri="487aa4a8-6e08-4624-a126-3644f60fbb35"/>
  </ds:schemaRefs>
</ds:datastoreItem>
</file>

<file path=customXml/itemProps3.xml><?xml version="1.0" encoding="utf-8"?>
<ds:datastoreItem xmlns:ds="http://schemas.openxmlformats.org/officeDocument/2006/customXml" ds:itemID="{70E590B4-7A0D-4F62-ACD8-2A023F14A264}">
  <ds:schemaRefs>
    <ds:schemaRef ds:uri="Microsoft.SharePoint.Taxonomy.ContentTypeSync"/>
  </ds:schemaRefs>
</ds:datastoreItem>
</file>

<file path=customXml/itemProps4.xml><?xml version="1.0" encoding="utf-8"?>
<ds:datastoreItem xmlns:ds="http://schemas.openxmlformats.org/officeDocument/2006/customXml" ds:itemID="{13AA53AF-ABE2-4687-80CC-AE0B9CFC5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aa4a8-6e08-4624-a126-3644f60fbb35"/>
    <ds:schemaRef ds:uri="cec4b484-d643-4c02-a873-288aa5369532"/>
    <ds:schemaRef ds:uri="ef406d6b-70e0-427c-b08d-4edfc7777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C226D13-73FC-4A7A-93C2-AC11939BB4A9}">
  <ds:schemaRefs>
    <ds:schemaRef ds:uri="http://schemas.microsoft.com/sharepoint/v3/contenttype/forms"/>
  </ds:schemaRefs>
</ds:datastoreItem>
</file>

<file path=docMetadata/LabelInfo.xml><?xml version="1.0" encoding="utf-8"?>
<clbl:labelList xmlns:clbl="http://schemas.microsoft.com/office/2020/mipLabelMetadata">
  <clbl:label id="{e8701075-0d9e-4ea1-991d-5a0d110a5d29}" enabled="0" method="" siteId="{e8701075-0d9e-4ea1-991d-5a0d110a5d29}" removed="1"/>
</clbl:labelList>
</file>

<file path=docProps/app.xml><?xml version="1.0" encoding="utf-8"?>
<Properties xmlns="http://schemas.openxmlformats.org/officeDocument/2006/extended-properties" xmlns:vt="http://schemas.openxmlformats.org/officeDocument/2006/docPropsVTypes">
  <Template>segoe-Henkel-press-release-template-2020-english.dotx</Template>
  <TotalTime>0</TotalTime>
  <Pages>8</Pages>
  <Words>2537</Words>
  <Characters>15888</Characters>
  <Application>Microsoft Office Word</Application>
  <DocSecurity>0</DocSecurity>
  <Lines>294</Lines>
  <Paragraphs>71</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Pressemitteilung</vt:lpstr>
      <vt:lpstr>Pressemitteilung</vt:lpstr>
    </vt:vector>
  </TitlesOfParts>
  <Company>Henkel AG &amp; Co. KGaA</Company>
  <LinksUpToDate>false</LinksUpToDate>
  <CharactersWithSpaces>18354</CharactersWithSpaces>
  <SharedDoc>false</SharedDoc>
  <HLinks>
    <vt:vector size="66" baseType="variant">
      <vt:variant>
        <vt:i4>6946937</vt:i4>
      </vt:variant>
      <vt:variant>
        <vt:i4>30</vt:i4>
      </vt:variant>
      <vt:variant>
        <vt:i4>0</vt:i4>
      </vt:variant>
      <vt:variant>
        <vt:i4>5</vt:i4>
      </vt:variant>
      <vt:variant>
        <vt:lpwstr>http://www.henkel.de/ir</vt:lpwstr>
      </vt:variant>
      <vt:variant>
        <vt:lpwstr/>
      </vt:variant>
      <vt:variant>
        <vt:i4>6619256</vt:i4>
      </vt:variant>
      <vt:variant>
        <vt:i4>27</vt:i4>
      </vt:variant>
      <vt:variant>
        <vt:i4>0</vt:i4>
      </vt:variant>
      <vt:variant>
        <vt:i4>5</vt:i4>
      </vt:variant>
      <vt:variant>
        <vt:lpwstr>http://www.henkel.de/presse</vt:lpwstr>
      </vt:variant>
      <vt:variant>
        <vt:lpwstr/>
      </vt:variant>
      <vt:variant>
        <vt:i4>2228305</vt:i4>
      </vt:variant>
      <vt:variant>
        <vt:i4>24</vt:i4>
      </vt:variant>
      <vt:variant>
        <vt:i4>0</vt:i4>
      </vt:variant>
      <vt:variant>
        <vt:i4>5</vt:i4>
      </vt:variant>
      <vt:variant>
        <vt:lpwstr>mailto:linda.gehring@henkel.com</vt:lpwstr>
      </vt:variant>
      <vt:variant>
        <vt:lpwstr/>
      </vt:variant>
      <vt:variant>
        <vt:i4>7208970</vt:i4>
      </vt:variant>
      <vt:variant>
        <vt:i4>21</vt:i4>
      </vt:variant>
      <vt:variant>
        <vt:i4>0</vt:i4>
      </vt:variant>
      <vt:variant>
        <vt:i4>5</vt:i4>
      </vt:variant>
      <vt:variant>
        <vt:lpwstr>mailto:dennis.starke@henkel.com</vt:lpwstr>
      </vt:variant>
      <vt:variant>
        <vt:lpwstr/>
      </vt:variant>
      <vt:variant>
        <vt:i4>2687054</vt:i4>
      </vt:variant>
      <vt:variant>
        <vt:i4>18</vt:i4>
      </vt:variant>
      <vt:variant>
        <vt:i4>0</vt:i4>
      </vt:variant>
      <vt:variant>
        <vt:i4>5</vt:i4>
      </vt:variant>
      <vt:variant>
        <vt:lpwstr>mailto:hanna.philipps@henkel.com</vt:lpwstr>
      </vt:variant>
      <vt:variant>
        <vt:lpwstr/>
      </vt:variant>
      <vt:variant>
        <vt:i4>1835116</vt:i4>
      </vt:variant>
      <vt:variant>
        <vt:i4>15</vt:i4>
      </vt:variant>
      <vt:variant>
        <vt:i4>0</vt:i4>
      </vt:variant>
      <vt:variant>
        <vt:i4>5</vt:i4>
      </vt:variant>
      <vt:variant>
        <vt:lpwstr>mailto:jennifer.ott@henkel.com</vt:lpwstr>
      </vt:variant>
      <vt:variant>
        <vt:lpwstr/>
      </vt:variant>
      <vt:variant>
        <vt:i4>7667735</vt:i4>
      </vt:variant>
      <vt:variant>
        <vt:i4>12</vt:i4>
      </vt:variant>
      <vt:variant>
        <vt:i4>0</vt:i4>
      </vt:variant>
      <vt:variant>
        <vt:i4>5</vt:i4>
      </vt:variant>
      <vt:variant>
        <vt:lpwstr>mailto:wulf.klueppelholz@henkel.com</vt:lpwstr>
      </vt:variant>
      <vt:variant>
        <vt:lpwstr/>
      </vt:variant>
      <vt:variant>
        <vt:i4>7602201</vt:i4>
      </vt:variant>
      <vt:variant>
        <vt:i4>9</vt:i4>
      </vt:variant>
      <vt:variant>
        <vt:i4>0</vt:i4>
      </vt:variant>
      <vt:variant>
        <vt:i4>5</vt:i4>
      </vt:variant>
      <vt:variant>
        <vt:lpwstr>mailto:manuel.boesing@henkel.com</vt:lpwstr>
      </vt:variant>
      <vt:variant>
        <vt:lpwstr/>
      </vt:variant>
      <vt:variant>
        <vt:i4>119</vt:i4>
      </vt:variant>
      <vt:variant>
        <vt:i4>6</vt:i4>
      </vt:variant>
      <vt:variant>
        <vt:i4>0</vt:i4>
      </vt:variant>
      <vt:variant>
        <vt:i4>5</vt:i4>
      </vt:variant>
      <vt:variant>
        <vt:lpwstr>mailto:lars.witteck@henkel.com</vt:lpwstr>
      </vt:variant>
      <vt:variant>
        <vt:lpwstr/>
      </vt:variant>
      <vt:variant>
        <vt:i4>786533</vt:i4>
      </vt:variant>
      <vt:variant>
        <vt:i4>3</vt:i4>
      </vt:variant>
      <vt:variant>
        <vt:i4>0</vt:i4>
      </vt:variant>
      <vt:variant>
        <vt:i4>5</vt:i4>
      </vt:variant>
      <vt:variant>
        <vt:lpwstr>mailto:lars.korinth@henkel.com</vt:lpwstr>
      </vt:variant>
      <vt:variant>
        <vt:lpwstr/>
      </vt:variant>
      <vt:variant>
        <vt:i4>196694</vt:i4>
      </vt:variant>
      <vt:variant>
        <vt:i4>0</vt:i4>
      </vt:variant>
      <vt:variant>
        <vt:i4>0</vt:i4>
      </vt:variant>
      <vt:variant>
        <vt:i4>5</vt:i4>
      </vt:variant>
      <vt:variant>
        <vt:lpwstr>http://www.henkel.de/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creator>Henkel</dc:creator>
  <cp:lastModifiedBy>Elena Androschuk</cp:lastModifiedBy>
  <cp:revision>9</cp:revision>
  <cp:lastPrinted>2026-02-11T08:17:00Z</cp:lastPrinted>
  <dcterms:created xsi:type="dcterms:W3CDTF">2026-08-07T09:34:00Z</dcterms:created>
  <dcterms:modified xsi:type="dcterms:W3CDTF">2026-08-11T15:25:00Z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0x0101004E3C925157EE074095811C87522C7BC7</vt:lpwstr>
  </property>
  <property fmtid="{D5CDD505-2E9C-101B-9397-08002B2CF9AE}" pid="3" name="MediaServiceImageTags">
    <vt:lpwstr/>
  </property>
  <property fmtid="{D5CDD505-2E9C-101B-9397-08002B2CF9AE}" pid="4" name="GrammarlyDocumentId">
    <vt:lpwstr>dc173d9fa244ed25a9e19425babb6f6b2e7a9ef4e3e28c419c9617f09a0ec1a2</vt:lpwstr>
  </property>
</Properties>
</file>