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5E39A" w14:textId="48144D9D" w:rsidR="00B422EC" w:rsidRPr="00921C0C" w:rsidRDefault="00081692" w:rsidP="00A0756E">
      <w:pPr>
        <w:pStyle w:val="MonthDayYear"/>
        <w:tabs>
          <w:tab w:val="left" w:pos="7371"/>
        </w:tabs>
      </w:pPr>
      <w:r>
        <w:t xml:space="preserve">    6 Ağustos 2026</w:t>
      </w:r>
    </w:p>
    <w:p w14:paraId="166A9534" w14:textId="16E9BA89" w:rsidR="00497D5E" w:rsidRPr="009D61DC" w:rsidRDefault="007A2FB6" w:rsidP="00790993">
      <w:pPr>
        <w:pStyle w:val="Topline"/>
        <w:spacing w:after="240"/>
        <w:rPr>
          <w:rFonts w:asciiTheme="majorHAnsi" w:hAnsiTheme="majorHAnsi" w:cstheme="majorHAnsi"/>
        </w:rPr>
      </w:pPr>
      <w:bookmarkStart w:id="0" w:name="_Hlk190695874"/>
      <w:r>
        <w:rPr>
          <w:rFonts w:asciiTheme="majorHAnsi" w:hAnsiTheme="majorHAnsi"/>
        </w:rPr>
        <w:t xml:space="preserve">Henkel büyüme </w:t>
      </w:r>
      <w:r w:rsidR="00EA53D0">
        <w:rPr>
          <w:rFonts w:asciiTheme="majorHAnsi" w:hAnsiTheme="majorHAnsi"/>
        </w:rPr>
        <w:t>gündemi</w:t>
      </w:r>
      <w:r>
        <w:rPr>
          <w:rFonts w:asciiTheme="majorHAnsi" w:hAnsiTheme="majorHAnsi"/>
        </w:rPr>
        <w:t xml:space="preserve"> doğrultusunda ilerlemeye devam ediyor: </w:t>
      </w:r>
      <w:r w:rsidR="00EA53D0">
        <w:rPr>
          <w:rFonts w:asciiTheme="majorHAnsi" w:hAnsiTheme="majorHAnsi"/>
        </w:rPr>
        <w:t>M</w:t>
      </w:r>
      <w:r>
        <w:rPr>
          <w:rFonts w:asciiTheme="majorHAnsi" w:hAnsiTheme="majorHAnsi"/>
        </w:rPr>
        <w:t>arkalara, inovasyona ve birleşme ve satın almalara yatırım yapıyor</w:t>
      </w:r>
    </w:p>
    <w:bookmarkEnd w:id="0"/>
    <w:p w14:paraId="3FE075DA" w14:textId="56C6400E" w:rsidR="00633B49" w:rsidRPr="00A81C0A" w:rsidRDefault="0012714C" w:rsidP="00C208E2">
      <w:pPr>
        <w:jc w:val="left"/>
        <w:rPr>
          <w:rStyle w:val="Headline"/>
          <w:rFonts w:asciiTheme="majorHAnsi" w:hAnsiTheme="majorHAnsi" w:cstheme="majorHAnsi"/>
        </w:rPr>
      </w:pPr>
      <w:r>
        <w:rPr>
          <w:rStyle w:val="Headline"/>
          <w:rFonts w:asciiTheme="majorHAnsi" w:hAnsiTheme="majorHAnsi"/>
        </w:rPr>
        <w:t xml:space="preserve">Henkel, yılın ilk yarısında satış ve kârlılıkta güçlü performans sergileyerek 2026 </w:t>
      </w:r>
      <w:r w:rsidR="00EC5EEE">
        <w:rPr>
          <w:rStyle w:val="Headline"/>
          <w:rFonts w:asciiTheme="majorHAnsi" w:hAnsiTheme="majorHAnsi"/>
        </w:rPr>
        <w:t xml:space="preserve">için </w:t>
      </w:r>
      <w:r>
        <w:rPr>
          <w:rStyle w:val="Headline"/>
          <w:rFonts w:asciiTheme="majorHAnsi" w:hAnsiTheme="majorHAnsi"/>
        </w:rPr>
        <w:t xml:space="preserve">ciro </w:t>
      </w:r>
      <w:r w:rsidR="00EC5EEE">
        <w:rPr>
          <w:rStyle w:val="Headline"/>
          <w:rFonts w:asciiTheme="majorHAnsi" w:hAnsiTheme="majorHAnsi"/>
        </w:rPr>
        <w:t xml:space="preserve">hedeflerini </w:t>
      </w:r>
      <w:r>
        <w:rPr>
          <w:rStyle w:val="Headline"/>
          <w:rFonts w:asciiTheme="majorHAnsi" w:hAnsiTheme="majorHAnsi"/>
        </w:rPr>
        <w:t>yükseltti</w:t>
      </w:r>
    </w:p>
    <w:p w14:paraId="5E22EDC4" w14:textId="77777777" w:rsidR="00A54C2A" w:rsidRPr="00A81C0A" w:rsidRDefault="00A54C2A" w:rsidP="00C65957">
      <w:pPr>
        <w:spacing w:line="240" w:lineRule="auto"/>
        <w:jc w:val="left"/>
        <w:rPr>
          <w:sz w:val="16"/>
          <w:szCs w:val="16"/>
        </w:rPr>
      </w:pPr>
    </w:p>
    <w:p w14:paraId="55670377" w14:textId="6783937B" w:rsidR="00DC34C4" w:rsidRPr="00E812A3"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bookmarkStart w:id="1" w:name="_Hlk64363173"/>
      <w:bookmarkStart w:id="2" w:name="_Hlk43712519"/>
      <w:r>
        <w:rPr>
          <w:rFonts w:asciiTheme="majorHAnsi" w:hAnsiTheme="majorHAnsi"/>
          <w:b/>
        </w:rPr>
        <w:t xml:space="preserve">Yılın ilk yarısında </w:t>
      </w:r>
      <w:r w:rsidR="00074439">
        <w:rPr>
          <w:rFonts w:asciiTheme="majorHAnsi" w:hAnsiTheme="majorHAnsi"/>
          <w:b/>
        </w:rPr>
        <w:t>Grup genelinde</w:t>
      </w:r>
      <w:r>
        <w:rPr>
          <w:rFonts w:asciiTheme="majorHAnsi" w:hAnsiTheme="majorHAnsi"/>
          <w:b/>
        </w:rPr>
        <w:t xml:space="preserve"> satışlar yüzde 3,2’lik güçlü organik büyümeyle 10,3 milyar Euro'ya ulaştı</w:t>
      </w:r>
      <w:r w:rsidR="00074439">
        <w:rPr>
          <w:rFonts w:asciiTheme="majorHAnsi" w:hAnsiTheme="majorHAnsi"/>
          <w:b/>
        </w:rPr>
        <w:t>.</w:t>
      </w:r>
    </w:p>
    <w:p w14:paraId="1572B076" w14:textId="34EB3A6F" w:rsidR="007802ED" w:rsidRPr="007802ED" w:rsidRDefault="0087393A" w:rsidP="007802ED">
      <w:pPr>
        <w:pStyle w:val="ListParagraph"/>
        <w:numPr>
          <w:ilvl w:val="0"/>
          <w:numId w:val="7"/>
        </w:numPr>
        <w:spacing w:after="80"/>
        <w:ind w:left="284" w:right="-108" w:hanging="357"/>
        <w:rPr>
          <w:rFonts w:asciiTheme="majorHAnsi" w:hAnsiTheme="majorHAnsi"/>
          <w:b/>
        </w:rPr>
      </w:pPr>
      <w:r>
        <w:rPr>
          <w:rFonts w:asciiTheme="majorHAnsi" w:hAnsiTheme="majorHAnsi"/>
          <w:b/>
        </w:rPr>
        <w:t xml:space="preserve">İş birimleri genelinde olumlu fiyat ve </w:t>
      </w:r>
      <w:r w:rsidR="00074439">
        <w:rPr>
          <w:rFonts w:asciiTheme="majorHAnsi" w:hAnsiTheme="majorHAnsi"/>
          <w:b/>
        </w:rPr>
        <w:t>miktar</w:t>
      </w:r>
      <w:r>
        <w:rPr>
          <w:rFonts w:asciiTheme="majorHAnsi" w:hAnsiTheme="majorHAnsi"/>
          <w:b/>
        </w:rPr>
        <w:t xml:space="preserve"> dinamiklerinin desteklediği güçlü büyüme</w:t>
      </w:r>
      <w:r w:rsidR="00074439">
        <w:rPr>
          <w:rFonts w:asciiTheme="majorHAnsi" w:hAnsiTheme="majorHAnsi"/>
          <w:b/>
        </w:rPr>
        <w:t>.</w:t>
      </w:r>
      <w:r w:rsidR="007802ED">
        <w:rPr>
          <w:rFonts w:asciiTheme="majorHAnsi" w:hAnsiTheme="majorHAnsi"/>
          <w:b/>
        </w:rPr>
        <w:t xml:space="preserve"> </w:t>
      </w:r>
      <w:r w:rsidR="007802ED" w:rsidRPr="00582AC5">
        <w:rPr>
          <w:rFonts w:asciiTheme="majorHAnsi" w:hAnsiTheme="majorHAnsi"/>
          <w:b/>
        </w:rPr>
        <w:t>Güçlü büyüme, tüm iş birimlerinde olumlu fiyat ve miktar dinamikleriyle desteklendi.</w:t>
      </w:r>
    </w:p>
    <w:p w14:paraId="5A223F67" w14:textId="299F293E" w:rsidR="00DC34C4" w:rsidRPr="00E812A3" w:rsidRDefault="001801F6"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Pr>
          <w:rFonts w:asciiTheme="majorHAnsi" w:hAnsiTheme="majorHAnsi"/>
          <w:b/>
        </w:rPr>
        <w:t>F</w:t>
      </w:r>
      <w:r w:rsidR="00DC34C4">
        <w:rPr>
          <w:rFonts w:asciiTheme="majorHAnsi" w:hAnsiTheme="majorHAnsi"/>
          <w:b/>
        </w:rPr>
        <w:t>aaliyet kârı (VFÖK)* 1,620 milyar Euro'ya ulaştı (</w:t>
      </w:r>
      <w:r w:rsidR="0056743F">
        <w:rPr>
          <w:rFonts w:asciiTheme="majorHAnsi" w:hAnsiTheme="majorHAnsi"/>
          <w:b/>
        </w:rPr>
        <w:t>Y</w:t>
      </w:r>
      <w:r w:rsidR="00DC34C4">
        <w:rPr>
          <w:rFonts w:asciiTheme="majorHAnsi" w:hAnsiTheme="majorHAnsi"/>
          <w:b/>
        </w:rPr>
        <w:t>üzde +0,3)</w:t>
      </w:r>
      <w:r w:rsidR="00074439">
        <w:rPr>
          <w:rFonts w:asciiTheme="majorHAnsi" w:hAnsiTheme="majorHAnsi"/>
          <w:b/>
        </w:rPr>
        <w:t>.</w:t>
      </w:r>
    </w:p>
    <w:p w14:paraId="6EE72A28" w14:textId="0E20A98C" w:rsidR="00DC34C4" w:rsidRPr="00E812A3"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Pr>
          <w:rFonts w:asciiTheme="majorHAnsi" w:hAnsiTheme="majorHAnsi"/>
          <w:b/>
        </w:rPr>
        <w:t>Her iki iş biriminin desteğiyle yüzde 15,7 seviyesindeki (+10 baz puan</w:t>
      </w:r>
      <w:r w:rsidR="001801F6">
        <w:rPr>
          <w:rFonts w:asciiTheme="majorHAnsi" w:hAnsiTheme="majorHAnsi"/>
          <w:b/>
        </w:rPr>
        <w:t xml:space="preserve"> artış</w:t>
      </w:r>
      <w:r>
        <w:rPr>
          <w:rFonts w:asciiTheme="majorHAnsi" w:hAnsiTheme="majorHAnsi"/>
          <w:b/>
        </w:rPr>
        <w:t xml:space="preserve">) </w:t>
      </w:r>
      <w:r w:rsidR="00702D77">
        <w:rPr>
          <w:rFonts w:asciiTheme="majorHAnsi" w:hAnsiTheme="majorHAnsi"/>
          <w:b/>
        </w:rPr>
        <w:t xml:space="preserve">güçlü </w:t>
      </w:r>
      <w:r>
        <w:rPr>
          <w:rFonts w:asciiTheme="majorHAnsi" w:hAnsiTheme="majorHAnsi"/>
          <w:b/>
        </w:rPr>
        <w:t xml:space="preserve">VFÖK marjı* iş </w:t>
      </w:r>
      <w:r w:rsidR="00702D77">
        <w:rPr>
          <w:rFonts w:asciiTheme="majorHAnsi" w:hAnsiTheme="majorHAnsi"/>
          <w:b/>
        </w:rPr>
        <w:t xml:space="preserve">birimlerinin </w:t>
      </w:r>
      <w:r>
        <w:rPr>
          <w:rFonts w:asciiTheme="majorHAnsi" w:hAnsiTheme="majorHAnsi"/>
          <w:b/>
        </w:rPr>
        <w:t>gücünü ortaya koy</w:t>
      </w:r>
      <w:r w:rsidR="001801F6">
        <w:rPr>
          <w:rFonts w:asciiTheme="majorHAnsi" w:hAnsiTheme="majorHAnsi"/>
          <w:b/>
        </w:rPr>
        <w:t>du.</w:t>
      </w:r>
    </w:p>
    <w:p w14:paraId="35493545" w14:textId="16150A59" w:rsidR="00DC34C4" w:rsidRPr="00E812A3"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Pr>
          <w:rFonts w:asciiTheme="majorHAnsi" w:hAnsiTheme="majorHAnsi"/>
          <w:b/>
        </w:rPr>
        <w:t xml:space="preserve">İmtiyazlı hisse senedi başına kârlılık (EPS)* </w:t>
      </w:r>
      <w:r w:rsidR="009B5878">
        <w:rPr>
          <w:rFonts w:asciiTheme="majorHAnsi" w:hAnsiTheme="majorHAnsi"/>
          <w:b/>
        </w:rPr>
        <w:t xml:space="preserve">sabit kurla yüzde 7,1 artış ile </w:t>
      </w:r>
      <w:r>
        <w:rPr>
          <w:rFonts w:asciiTheme="majorHAnsi" w:hAnsiTheme="majorHAnsi"/>
          <w:b/>
        </w:rPr>
        <w:t>2,86 Euro seviyesine yükseldi</w:t>
      </w:r>
      <w:r w:rsidR="009B5878">
        <w:rPr>
          <w:rFonts w:asciiTheme="majorHAnsi" w:hAnsiTheme="majorHAnsi"/>
          <w:b/>
        </w:rPr>
        <w:t>.</w:t>
      </w:r>
    </w:p>
    <w:p w14:paraId="55DDFC3A" w14:textId="6D1360FC" w:rsidR="00DC34C4" w:rsidRPr="00E812A3"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Pr>
          <w:rFonts w:asciiTheme="majorHAnsi" w:hAnsiTheme="majorHAnsi"/>
          <w:b/>
        </w:rPr>
        <w:t>Yılın ilk yarısında başarıyla uygulanan birleşme ve satın alma odaklı büyüme stratejisiyle birlikte 2026’da satışlara ve kârlılığa ilk olumlu katkılar kaydedildi</w:t>
      </w:r>
      <w:r w:rsidR="00074439">
        <w:rPr>
          <w:rFonts w:asciiTheme="majorHAnsi" w:hAnsiTheme="majorHAnsi"/>
          <w:b/>
        </w:rPr>
        <w:t>.</w:t>
      </w:r>
    </w:p>
    <w:bookmarkEnd w:id="1"/>
    <w:bookmarkEnd w:id="2"/>
    <w:p w14:paraId="1D293644" w14:textId="1B7C8CD3" w:rsidR="00DC34C4" w:rsidRPr="00E812A3"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Pr>
          <w:rFonts w:asciiTheme="majorHAnsi" w:hAnsiTheme="majorHAnsi"/>
          <w:b/>
        </w:rPr>
        <w:t>2026 mali yılı için öngörü: Grup ve Yapıştırıcı Teknolojileri için ciro beklentileri yukarı yönlü revize edildi</w:t>
      </w:r>
      <w:r w:rsidR="00074439">
        <w:rPr>
          <w:rFonts w:asciiTheme="majorHAnsi" w:hAnsiTheme="majorHAnsi"/>
          <w:b/>
        </w:rPr>
        <w:t>.</w:t>
      </w:r>
    </w:p>
    <w:p w14:paraId="5113870C" w14:textId="2CABBDA1" w:rsidR="00DC34C4" w:rsidRPr="007A2FB6" w:rsidRDefault="00DC34C4" w:rsidP="00DC34C4">
      <w:pPr>
        <w:pStyle w:val="ListParagraph"/>
        <w:widowControl w:val="0"/>
        <w:numPr>
          <w:ilvl w:val="1"/>
          <w:numId w:val="7"/>
        </w:numPr>
        <w:tabs>
          <w:tab w:val="left" w:pos="702"/>
        </w:tabs>
        <w:autoSpaceDE w:val="0"/>
        <w:autoSpaceDN w:val="0"/>
        <w:spacing w:before="113" w:line="240" w:lineRule="auto"/>
        <w:ind w:left="702"/>
        <w:contextualSpacing w:val="0"/>
        <w:jc w:val="left"/>
      </w:pPr>
      <w:r>
        <w:t xml:space="preserve">Organik satış büyümesi: Yüzde 1,5 </w:t>
      </w:r>
      <w:r w:rsidR="009156FB">
        <w:t>ile</w:t>
      </w:r>
      <w:r>
        <w:t xml:space="preserve"> 3,5 aralığında (</w:t>
      </w:r>
      <w:r w:rsidR="0056743F">
        <w:t>Ö</w:t>
      </w:r>
      <w:r>
        <w:t xml:space="preserve">nceki öngörü: </w:t>
      </w:r>
      <w:r w:rsidR="0056743F">
        <w:t>Y</w:t>
      </w:r>
      <w:r>
        <w:t xml:space="preserve">üzde 1,0 </w:t>
      </w:r>
      <w:r w:rsidR="009156FB">
        <w:t>ile</w:t>
      </w:r>
      <w:r>
        <w:t xml:space="preserve"> 3,0 aralığında)</w:t>
      </w:r>
      <w:r w:rsidR="00074439">
        <w:t>.</w:t>
      </w:r>
    </w:p>
    <w:p w14:paraId="50AD0C78" w14:textId="77777777" w:rsidR="00C475FE" w:rsidRDefault="00DC34C4" w:rsidP="00C475FE">
      <w:pPr>
        <w:pStyle w:val="ListParagraph"/>
        <w:widowControl w:val="0"/>
        <w:numPr>
          <w:ilvl w:val="1"/>
          <w:numId w:val="7"/>
        </w:numPr>
        <w:tabs>
          <w:tab w:val="left" w:pos="702"/>
        </w:tabs>
        <w:autoSpaceDE w:val="0"/>
        <w:autoSpaceDN w:val="0"/>
        <w:spacing w:before="113" w:line="240" w:lineRule="auto"/>
        <w:ind w:left="702"/>
        <w:contextualSpacing w:val="0"/>
        <w:jc w:val="left"/>
      </w:pPr>
      <w:r>
        <w:t>Düzeltilmiş satış kazancı: Yüzde 14,5 ile 16,0 aralığında.</w:t>
      </w:r>
    </w:p>
    <w:p w14:paraId="738D13D3" w14:textId="58A86EBC" w:rsidR="00DC34C4" w:rsidRPr="00DC34C4" w:rsidRDefault="00DC34C4" w:rsidP="00C475FE">
      <w:pPr>
        <w:pStyle w:val="ListParagraph"/>
        <w:widowControl w:val="0"/>
        <w:numPr>
          <w:ilvl w:val="1"/>
          <w:numId w:val="7"/>
        </w:numPr>
        <w:tabs>
          <w:tab w:val="left" w:pos="702"/>
        </w:tabs>
        <w:autoSpaceDE w:val="0"/>
        <w:autoSpaceDN w:val="0"/>
        <w:spacing w:before="113" w:line="240" w:lineRule="auto"/>
        <w:ind w:left="702"/>
        <w:contextualSpacing w:val="0"/>
        <w:jc w:val="left"/>
      </w:pPr>
      <w:r>
        <w:t xml:space="preserve">İmtiyazlı hisse </w:t>
      </w:r>
      <w:r w:rsidR="004A31F6">
        <w:t xml:space="preserve">senedi </w:t>
      </w:r>
      <w:r>
        <w:t>başına k</w:t>
      </w:r>
      <w:r w:rsidR="00115393" w:rsidRPr="00115393">
        <w:t>â</w:t>
      </w:r>
      <w:r>
        <w:t>rlılık (EPS): Düşük ila yüksek tek haneli yüzde aralığında artış (sabit kur ile).</w:t>
      </w:r>
    </w:p>
    <w:p w14:paraId="0E973721" w14:textId="3F3EF3D0" w:rsidR="00D93B82" w:rsidRPr="00921C0C" w:rsidRDefault="00D93B82" w:rsidP="00037396">
      <w:pPr>
        <w:rPr>
          <w:rFonts w:cs="Segoe UI"/>
          <w:b/>
          <w:bCs/>
          <w:szCs w:val="22"/>
        </w:rPr>
      </w:pPr>
    </w:p>
    <w:p w14:paraId="1F0E6762" w14:textId="1E81C38D" w:rsidR="002566B2" w:rsidRPr="002566B2" w:rsidRDefault="00F26F5F" w:rsidP="002566B2">
      <w:pPr>
        <w:rPr>
          <w:rFonts w:cs="Segoe UI"/>
          <w:szCs w:val="22"/>
        </w:rPr>
      </w:pPr>
      <w:r>
        <w:rPr>
          <w:noProof/>
          <w:sz w:val="24"/>
          <w:lang w:eastAsia="tr-TR"/>
        </w:rPr>
        <mc:AlternateContent>
          <mc:Choice Requires="wps">
            <w:drawing>
              <wp:anchor distT="45720" distB="45720" distL="114300" distR="114300" simplePos="0" relativeHeight="251658240" behindDoc="0" locked="0" layoutInCell="1" allowOverlap="1" wp14:anchorId="3117CDF1" wp14:editId="6B5EC74D">
                <wp:simplePos x="0" y="0"/>
                <wp:positionH relativeFrom="margin">
                  <wp:posOffset>-91689</wp:posOffset>
                </wp:positionH>
                <wp:positionV relativeFrom="paragraph">
                  <wp:posOffset>2676276</wp:posOffset>
                </wp:positionV>
                <wp:extent cx="5413973" cy="232834"/>
                <wp:effectExtent l="0" t="0" r="0" b="0"/>
                <wp:wrapNone/>
                <wp:docPr id="214901967" name="Textfeld 214901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973" cy="2328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A01C7" w14:textId="77777777" w:rsidR="00F640D2" w:rsidRPr="00CF56F5" w:rsidRDefault="00F640D2" w:rsidP="00E810D3">
                            <w:pPr>
                              <w:pStyle w:val="He04Funote"/>
                              <w:rPr>
                                <w:sz w:val="12"/>
                                <w:szCs w:val="12"/>
                              </w:rPr>
                            </w:pPr>
                            <w:r>
                              <w:rPr>
                                <w:sz w:val="12"/>
                              </w:rPr>
                              <w:t>* Tek seferlik gider ve gelirler ile yeniden yapılandırma giderlerine göre düzeltilmiştir.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17CDF1" id="_x0000_t202" coordsize="21600,21600" o:spt="202" path="m,l,21600r21600,l21600,xe">
                <v:stroke joinstyle="miter"/>
                <v:path gradientshapeok="t" o:connecttype="rect"/>
              </v:shapetype>
              <v:shape id="Textfeld 214901967" o:spid="_x0000_s1026" type="#_x0000_t202" style="position:absolute;left:0;text-align:left;margin-left:-7.2pt;margin-top:210.75pt;width:426.3pt;height:18.3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" stroked="f">
                <v:textbox>
                  <w:txbxContent>
                    <w:p w14:paraId="1E3A01C7" w14:textId="77777777" w:rsidR="00F640D2" w:rsidRPr="00CF56F5" w:rsidRDefault="00F640D2" w:rsidP="00E810D3">
                      <w:pPr>
                        <w:pStyle w:val="He04Funote"/>
                        <w:rPr>
                          <w:sz w:val="12"/>
                          <w:szCs w:val="12"/>
                        </w:rPr>
                      </w:pPr>
                      <w:r>
                        <w:rPr>
                          <w:sz w:val="12"/>
                        </w:rPr>
                        <w:t>* Tek seferlik gider ve gelirler ile yeniden yapılandırma giderlerine göre düzeltilmiştir.</w:t>
                      </w:r>
                    </w:p>
                  </w:txbxContent>
                </v:textbox>
                <w10:wrap anchorx="margin"/>
              </v:shape>
            </w:pict>
          </mc:Fallback>
        </mc:AlternateContent>
      </w:r>
      <w:r>
        <w:t>Düsseldorf – Henkel, devam eden son derece zorlu ekonomik koşullara rağmen 2026’nın ilk yarısında güçlü organik satış büyümesi ve çok iyi bir kâr performansı kaydetti. Henkel CEO'su Carsten Knobel'e</w:t>
      </w:r>
      <w:r w:rsidR="004A31F6">
        <w:t xml:space="preserve"> konu hakkındaki görüşlerini, </w:t>
      </w:r>
      <w:r>
        <w:t>"</w:t>
      </w:r>
      <w:r w:rsidR="004A31F6">
        <w:t>H</w:t>
      </w:r>
      <w:r>
        <w:t xml:space="preserve">er iki iş biriminin de </w:t>
      </w:r>
      <w:r w:rsidR="00FD032C">
        <w:t xml:space="preserve">bir kez daha </w:t>
      </w:r>
      <w:r>
        <w:t xml:space="preserve">hem fiyat hem de miktar bakımından olumlu gelişme kaydetmesiyle organik satış büyümesi sağlandı. Yapıştırıcı Teknolojileri </w:t>
      </w:r>
      <w:r w:rsidR="00286545">
        <w:t>İ</w:t>
      </w:r>
      <w:r>
        <w:t xml:space="preserve">ş </w:t>
      </w:r>
      <w:r w:rsidR="00286545">
        <w:t>B</w:t>
      </w:r>
      <w:r>
        <w:t>irimi</w:t>
      </w:r>
      <w:r w:rsidR="00286545">
        <w:t>’</w:t>
      </w:r>
      <w:r>
        <w:t xml:space="preserve">nde satış ve kârlılıktaki gelişmeyi destekleyen bir diğer faktör </w:t>
      </w:r>
      <w:r>
        <w:lastRenderedPageBreak/>
        <w:t>de</w:t>
      </w:r>
      <w:r w:rsidR="00286545">
        <w:t>,</w:t>
      </w:r>
      <w:r>
        <w:t xml:space="preserve"> ham</w:t>
      </w:r>
      <w:r w:rsidR="00E6630B">
        <w:t xml:space="preserve"> </w:t>
      </w:r>
      <w:r>
        <w:t xml:space="preserve">madde fiyatlarındaki olumsuz gelişmeleri telafi etmeye yönelik fiyatlandırma </w:t>
      </w:r>
      <w:r w:rsidR="00286545">
        <w:t>hamlelerinin</w:t>
      </w:r>
      <w:r>
        <w:t xml:space="preserve"> tutarlı ve hızlı biçimde uygulanması oldu</w:t>
      </w:r>
      <w:r w:rsidR="004D254F">
        <w:t>.</w:t>
      </w:r>
      <w:r w:rsidR="00286545">
        <w:t xml:space="preserve"> </w:t>
      </w:r>
      <w:r>
        <w:t xml:space="preserve">Tüketici Markaları </w:t>
      </w:r>
      <w:r w:rsidR="00286545">
        <w:t>İ</w:t>
      </w:r>
      <w:r>
        <w:t xml:space="preserve">ş </w:t>
      </w:r>
      <w:r w:rsidR="00286545">
        <w:t>B</w:t>
      </w:r>
      <w:r>
        <w:t>irimi</w:t>
      </w:r>
      <w:r w:rsidR="00286545">
        <w:t>’</w:t>
      </w:r>
      <w:r>
        <w:t>nde Saç iş alanı çok güçlü büyüme ivmesini sürdürürken, Çamaşır Bakım iş kolu yeniden pozitif büyümeye geçti."</w:t>
      </w:r>
      <w:r w:rsidR="00286545">
        <w:t xml:space="preserve"> şeklinde ifade etti.</w:t>
      </w:r>
    </w:p>
    <w:p w14:paraId="341CB32D" w14:textId="06A0E23D" w:rsidR="002566B2" w:rsidRPr="002566B2" w:rsidRDefault="002566B2" w:rsidP="002566B2">
      <w:pPr>
        <w:rPr>
          <w:rFonts w:cs="Segoe UI"/>
          <w:szCs w:val="22"/>
        </w:rPr>
      </w:pPr>
    </w:p>
    <w:p w14:paraId="4C128449" w14:textId="09BA403E" w:rsidR="002566B2" w:rsidRPr="002566B2" w:rsidRDefault="006A08A3" w:rsidP="008530DF">
      <w:pPr>
        <w:rPr>
          <w:rFonts w:cs="Segoe UI"/>
          <w:szCs w:val="22"/>
        </w:rPr>
      </w:pPr>
      <w:r>
        <w:t xml:space="preserve">Carsten Knobel sözlerine </w:t>
      </w:r>
      <w:r w:rsidR="002566B2">
        <w:t>“Amaca yönelik büyümeye odaklanarak stratejimizi istikrarlı biçimde uyguluyoruz. Elde ettiğimiz sonuçlar da bu yaklaşımın başarısını gösteriyor. Yılın ilk yarısında, markalarımız, teknolojilerimiz ve inovasyonlarımız da dâhil olmak üzere geleceğimize önemli yatırımlar yapmayı sürdürürken</w:t>
      </w:r>
      <w:r>
        <w:t>,</w:t>
      </w:r>
      <w:r w:rsidR="002566B2">
        <w:t xml:space="preserve"> genel olarak çok güçlü bir </w:t>
      </w:r>
      <w:r w:rsidR="00CF3C26">
        <w:t xml:space="preserve">iş </w:t>
      </w:r>
      <w:r w:rsidR="002566B2">
        <w:t>performans</w:t>
      </w:r>
      <w:r w:rsidR="00CF3C26">
        <w:t>ı</w:t>
      </w:r>
      <w:r w:rsidR="002566B2">
        <w:t xml:space="preserve"> sergiledik. Ayrıca, birleşme ve satın alma faaliyetlerimize önemli ölçüde hız verdik. İki iş birimimizi önemli ölçüde güçlendirecek, toplam değeri yaklaşık 5 milyar Euro olan beş satın alma üzerinde anlaşmaya vardık. Bu satın almaların dördü bugün itibarıyla tamamlanmış bulunuyor. Önümüzdeki yıllarda satın alı</w:t>
      </w:r>
      <w:r w:rsidR="00DE0ACF">
        <w:t>mlarla</w:t>
      </w:r>
      <w:r w:rsidR="002566B2">
        <w:t>, ortalamanın üzerinde, orta ila yüksek tek haneli yüzdelerde büyüme göstermesi ve yıllık satışlara yaklaşık 2 milyar Euro katkı sağlaması bekleniyor. Bu, büyüme gündemi</w:t>
      </w:r>
      <w:r w:rsidR="00CF3C26">
        <w:t>mizi</w:t>
      </w:r>
      <w:r w:rsidR="002566B2">
        <w:t xml:space="preserve"> </w:t>
      </w:r>
      <w:r w:rsidR="00CF3C26">
        <w:t xml:space="preserve">sürdürülebilir bir şekilde </w:t>
      </w:r>
      <w:r w:rsidR="002566B2">
        <w:t>ilerle</w:t>
      </w:r>
      <w:r w:rsidR="00CF3C26">
        <w:t>t</w:t>
      </w:r>
      <w:r w:rsidR="002566B2">
        <w:t>me kapsamında attığımız bir diğer önemli adım</w:t>
      </w:r>
      <w:r w:rsidR="00CF3C26">
        <w:t>.</w:t>
      </w:r>
      <w:r w:rsidR="002566B2">
        <w:t xml:space="preserve">” </w:t>
      </w:r>
      <w:r>
        <w:t xml:space="preserve">şeklinde devam etti. </w:t>
      </w:r>
    </w:p>
    <w:p w14:paraId="68E01B8E" w14:textId="77777777" w:rsidR="002566B2" w:rsidRPr="002566B2" w:rsidRDefault="002566B2" w:rsidP="002566B2">
      <w:pPr>
        <w:rPr>
          <w:rFonts w:cs="Segoe UI"/>
          <w:szCs w:val="22"/>
        </w:rPr>
      </w:pPr>
    </w:p>
    <w:p w14:paraId="33735EE5" w14:textId="5DF3DAA8" w:rsidR="002566B2" w:rsidRPr="002566B2" w:rsidRDefault="00780068" w:rsidP="002566B2">
      <w:pPr>
        <w:rPr>
          <w:rFonts w:cs="Segoe UI"/>
          <w:szCs w:val="22"/>
        </w:rPr>
      </w:pPr>
      <w:r>
        <w:t xml:space="preserve">Carsten Knobel görüşlerini </w:t>
      </w:r>
      <w:r w:rsidR="002566B2">
        <w:t xml:space="preserve">“Yılın ilk yarısındaki güçlü performansımıza dayanarak, hem Grup hem de Yapıştırıcı Teknolojileri </w:t>
      </w:r>
      <w:r>
        <w:t>İ</w:t>
      </w:r>
      <w:r w:rsidR="002566B2">
        <w:t xml:space="preserve">ş </w:t>
      </w:r>
      <w:r>
        <w:t>B</w:t>
      </w:r>
      <w:r w:rsidR="002566B2">
        <w:t xml:space="preserve">irimi için ciro beklentilerimizi </w:t>
      </w:r>
      <w:r w:rsidR="00835F4A">
        <w:t>yükselttik</w:t>
      </w:r>
      <w:r w:rsidR="002566B2">
        <w:t xml:space="preserve">. Grup düzeyinde, önceki </w:t>
      </w:r>
      <w:r>
        <w:t>hedefimiz</w:t>
      </w:r>
      <w:r w:rsidR="002566B2">
        <w:t xml:space="preserve"> olan yüzde 1 il</w:t>
      </w:r>
      <w:r>
        <w:t>e</w:t>
      </w:r>
      <w:r w:rsidR="002566B2">
        <w:t xml:space="preserve"> 3 </w:t>
      </w:r>
      <w:r>
        <w:t>aralığına</w:t>
      </w:r>
      <w:r w:rsidR="002566B2">
        <w:t xml:space="preserve"> kıyasla</w:t>
      </w:r>
      <w:r>
        <w:t>,</w:t>
      </w:r>
      <w:r w:rsidR="002566B2">
        <w:t xml:space="preserve"> bugün yüzde 1,5 ile 3,5 </w:t>
      </w:r>
      <w:r>
        <w:t xml:space="preserve">oranları </w:t>
      </w:r>
      <w:r w:rsidR="002566B2">
        <w:t xml:space="preserve">arasında organik satış büyümesi bekliyoruz. Yapıştırıcı Teknolojileri için organik satış büyümesine ilişkin beklentimizi </w:t>
      </w:r>
      <w:r w:rsidR="00622051">
        <w:t xml:space="preserve">ise </w:t>
      </w:r>
      <w:r w:rsidR="002566B2">
        <w:t>yüzde 1 il</w:t>
      </w:r>
      <w:r>
        <w:t>e</w:t>
      </w:r>
      <w:r w:rsidR="002566B2">
        <w:t xml:space="preserve"> 3</w:t>
      </w:r>
      <w:r>
        <w:t xml:space="preserve"> aralığından</w:t>
      </w:r>
      <w:r w:rsidR="002566B2">
        <w:t xml:space="preserve"> yüzde 2 il</w:t>
      </w:r>
      <w:r>
        <w:t>e</w:t>
      </w:r>
      <w:r w:rsidR="002566B2">
        <w:t xml:space="preserve"> 4</w:t>
      </w:r>
      <w:r>
        <w:t xml:space="preserve"> aralığına</w:t>
      </w:r>
      <w:r w:rsidR="002566B2">
        <w:t xml:space="preserve"> yükselttik. Bu çerçevede, Henkel’in sürdürülebilir ve kârlı büyüme hedefi doğrultusunda ilerlediğini görüyoruz.”</w:t>
      </w:r>
      <w:r>
        <w:t xml:space="preserve"> sözleriyle sürdürdü.</w:t>
      </w:r>
    </w:p>
    <w:p w14:paraId="59F5F4F0" w14:textId="77777777" w:rsidR="006D4D0C" w:rsidRPr="005F750F" w:rsidRDefault="006D4D0C" w:rsidP="001274FA">
      <w:pPr>
        <w:spacing w:after="120"/>
        <w:rPr>
          <w:rFonts w:cs="Segoe UI"/>
          <w:b/>
          <w:bCs/>
          <w:szCs w:val="22"/>
          <w:lang w:eastAsia="de-DE"/>
        </w:rPr>
      </w:pPr>
    </w:p>
    <w:p w14:paraId="2706BE4B" w14:textId="528171A3" w:rsidR="000C47D1" w:rsidRPr="000311F4" w:rsidRDefault="006D4D0C" w:rsidP="001274FA">
      <w:pPr>
        <w:spacing w:after="120"/>
        <w:rPr>
          <w:rFonts w:cs="Segoe UI"/>
          <w:b/>
          <w:bCs/>
          <w:szCs w:val="22"/>
        </w:rPr>
      </w:pPr>
      <w:r>
        <w:rPr>
          <w:b/>
        </w:rPr>
        <w:t>2026’n</w:t>
      </w:r>
      <w:r w:rsidR="00D74BF0">
        <w:rPr>
          <w:b/>
        </w:rPr>
        <w:t>ı</w:t>
      </w:r>
      <w:r>
        <w:rPr>
          <w:b/>
        </w:rPr>
        <w:t xml:space="preserve">n İlk Yarısında Grup </w:t>
      </w:r>
      <w:r w:rsidR="004C1BFB">
        <w:rPr>
          <w:b/>
        </w:rPr>
        <w:t xml:space="preserve">Genelinde </w:t>
      </w:r>
      <w:r>
        <w:rPr>
          <w:b/>
        </w:rPr>
        <w:t>Satış ve Kâr Performansı</w:t>
      </w:r>
    </w:p>
    <w:p w14:paraId="0C3735E3" w14:textId="6B8DEBF2" w:rsidR="00E812A3" w:rsidRPr="000311F4" w:rsidRDefault="00E812A3" w:rsidP="00E812A3">
      <w:pPr>
        <w:rPr>
          <w:rFonts w:cs="Segoe UI"/>
          <w:szCs w:val="22"/>
        </w:rPr>
      </w:pPr>
      <w:r>
        <w:t xml:space="preserve">Henkel'in </w:t>
      </w:r>
      <w:r>
        <w:rPr>
          <w:b/>
          <w:bCs/>
        </w:rPr>
        <w:t>Grup satışları</w:t>
      </w:r>
      <w:r>
        <w:t xml:space="preserve"> 2026</w:t>
      </w:r>
      <w:r w:rsidR="00055A01">
        <w:t>’nın</w:t>
      </w:r>
      <w:r>
        <w:t xml:space="preserve"> ilk yarısında yüzde -0,5'lik nominal değişimle 10,348 milyar Euro olarak gerçekleşti (2. </w:t>
      </w:r>
      <w:r w:rsidR="00A6039E">
        <w:t>Ç</w:t>
      </w:r>
      <w:r>
        <w:t xml:space="preserve">eyrek: 5,396 milyar Euro, yüzde +4,6). Kur etkileri, satışları yüzde </w:t>
      </w:r>
      <w:r w:rsidR="004202C9">
        <w:t xml:space="preserve">     </w:t>
      </w:r>
      <w:r>
        <w:t xml:space="preserve">-3,9 oranında azalttı (2. </w:t>
      </w:r>
      <w:r w:rsidR="00A6039E">
        <w:t>Ç</w:t>
      </w:r>
      <w:r>
        <w:t xml:space="preserve">eyrek: </w:t>
      </w:r>
      <w:r w:rsidR="00A6039E">
        <w:t>Y</w:t>
      </w:r>
      <w:r>
        <w:t>üzde -2</w:t>
      </w:r>
      <w:r w:rsidR="00A6039E">
        <w:t>,</w:t>
      </w:r>
      <w:r>
        <w:t xml:space="preserve">6). Satın almalar ve elden çıkarmaların </w:t>
      </w:r>
      <w:r w:rsidR="00A6039E">
        <w:t xml:space="preserve">ise </w:t>
      </w:r>
      <w:r>
        <w:t>satışlar üzerinde yüzde 0,2</w:t>
      </w:r>
      <w:r w:rsidR="00A6039E">
        <w:t xml:space="preserve"> oranında</w:t>
      </w:r>
      <w:r>
        <w:t xml:space="preserve"> hafif pozitif bir etkisi görüldü (2. </w:t>
      </w:r>
      <w:r w:rsidR="00A6039E">
        <w:t>Ç</w:t>
      </w:r>
      <w:r>
        <w:t xml:space="preserve">eyrek: </w:t>
      </w:r>
      <w:r w:rsidR="00A6039E">
        <w:t>Y</w:t>
      </w:r>
      <w:r>
        <w:t>üzde +2,5). Nisan 2025’te Kuzey Amerika’daki perakende markaları iş</w:t>
      </w:r>
      <w:r w:rsidR="00056E44">
        <w:t xml:space="preserve"> kolunun elden</w:t>
      </w:r>
      <w:r>
        <w:t xml:space="preserve"> çık</w:t>
      </w:r>
      <w:r w:rsidR="00056E44">
        <w:t>ar</w:t>
      </w:r>
      <w:r>
        <w:t>ılması negatif bir etki yaratmış olsa da</w:t>
      </w:r>
      <w:r w:rsidR="00056E44">
        <w:t>,</w:t>
      </w:r>
      <w:r>
        <w:t xml:space="preserve"> 2026’nın ilk yarısında her iki iş biriminde tamamlanan satın almalar, özellikle de Not Your Mother’s ve ATP Adhesive Systems'in satın alınması olumlu bir katkı sağlamıştır. Organik</w:t>
      </w:r>
      <w:r w:rsidR="00056E44">
        <w:t xml:space="preserve"> olarak</w:t>
      </w:r>
      <w:r>
        <w:t xml:space="preserve">, yani </w:t>
      </w:r>
      <w:r w:rsidR="00673852" w:rsidRPr="00673852">
        <w:t>döviz kurları ve satın alma / el</w:t>
      </w:r>
      <w:r w:rsidR="00673852">
        <w:t xml:space="preserve">den çıkarmalara göre </w:t>
      </w:r>
      <w:r>
        <w:t>düzeltilmiş satış</w:t>
      </w:r>
      <w:r w:rsidR="00673852">
        <w:t>larda</w:t>
      </w:r>
      <w:r>
        <w:t xml:space="preserve"> yüzde 3,2</w:t>
      </w:r>
      <w:r w:rsidR="00673852">
        <w:t xml:space="preserve"> oranında</w:t>
      </w:r>
      <w:r>
        <w:t xml:space="preserve"> (2. </w:t>
      </w:r>
      <w:r w:rsidR="00673852">
        <w:t>Ç</w:t>
      </w:r>
      <w:r>
        <w:t xml:space="preserve">eyrek: </w:t>
      </w:r>
      <w:r w:rsidR="00673852">
        <w:t>Y</w:t>
      </w:r>
      <w:r>
        <w:t>üzde +4,7) güçlü bir büyüme kaydedilmiştir.</w:t>
      </w:r>
    </w:p>
    <w:p w14:paraId="5125CC31" w14:textId="77777777" w:rsidR="00E812A3" w:rsidRPr="000311F4" w:rsidRDefault="00E812A3" w:rsidP="00E812A3">
      <w:pPr>
        <w:rPr>
          <w:rFonts w:cs="Segoe UI"/>
          <w:szCs w:val="22"/>
        </w:rPr>
      </w:pPr>
    </w:p>
    <w:p w14:paraId="4EB6CF32" w14:textId="7D82E97F" w:rsidR="00E812A3" w:rsidRDefault="00E812A3" w:rsidP="00E812A3">
      <w:r>
        <w:rPr>
          <w:b/>
          <w:bCs/>
        </w:rPr>
        <w:t>Yapıştırıcı Teknolojileri</w:t>
      </w:r>
      <w:r>
        <w:t xml:space="preserve"> </w:t>
      </w:r>
      <w:r w:rsidR="00055A01">
        <w:t>İ</w:t>
      </w:r>
      <w:r>
        <w:t xml:space="preserve">ş </w:t>
      </w:r>
      <w:r w:rsidR="00055A01">
        <w:t>B</w:t>
      </w:r>
      <w:r>
        <w:t>irimi, 2026</w:t>
      </w:r>
      <w:r w:rsidR="00055A01">
        <w:t>’nın</w:t>
      </w:r>
      <w:r>
        <w:t xml:space="preserve"> ilk yarısında </w:t>
      </w:r>
      <w:r w:rsidR="00736DEC">
        <w:t xml:space="preserve">büyük ölçekte </w:t>
      </w:r>
      <w:r>
        <w:t xml:space="preserve">Mobilite ve Elektronik iş alanının etkisiyle yüzde 4,5 (2. </w:t>
      </w:r>
      <w:r w:rsidR="00736DEC">
        <w:t>Ç</w:t>
      </w:r>
      <w:r>
        <w:t xml:space="preserve">eyrek: </w:t>
      </w:r>
      <w:r w:rsidR="00736DEC">
        <w:t>Y</w:t>
      </w:r>
      <w:r>
        <w:t xml:space="preserve">üzde +7,4) oranında çok güçlü bir organik satış </w:t>
      </w:r>
      <w:r>
        <w:lastRenderedPageBreak/>
        <w:t xml:space="preserve">büyümesi sağlamıştır. </w:t>
      </w:r>
      <w:r>
        <w:rPr>
          <w:b/>
        </w:rPr>
        <w:t>Tüketici Markaları</w:t>
      </w:r>
      <w:r>
        <w:t xml:space="preserve"> </w:t>
      </w:r>
      <w:r w:rsidR="00736DEC">
        <w:t>İ</w:t>
      </w:r>
      <w:r>
        <w:t xml:space="preserve">ş </w:t>
      </w:r>
      <w:r w:rsidR="00736DEC">
        <w:t>B</w:t>
      </w:r>
      <w:r>
        <w:t xml:space="preserve">irimi de özellikle Saç iş alanındaki çok güçlü artışın etkisiyle organik satışlarda yüzde 1,7 oranında (2. </w:t>
      </w:r>
      <w:r w:rsidR="00736DEC">
        <w:t>Ç</w:t>
      </w:r>
      <w:r>
        <w:t xml:space="preserve">eyrek: </w:t>
      </w:r>
      <w:r w:rsidR="00736DEC">
        <w:t>Y</w:t>
      </w:r>
      <w:r>
        <w:t xml:space="preserve">üzde </w:t>
      </w:r>
      <w:r w:rsidR="00736DEC">
        <w:t>+</w:t>
      </w:r>
      <w:r>
        <w:t>1,6) iyi bir büyümeyle olumlu seyir izlemiştir.</w:t>
      </w:r>
    </w:p>
    <w:p w14:paraId="414650DA" w14:textId="77777777" w:rsidR="00FB516E" w:rsidRPr="000311F4" w:rsidRDefault="00FB516E" w:rsidP="00E812A3">
      <w:pPr>
        <w:rPr>
          <w:rFonts w:cs="Segoe UI"/>
          <w:szCs w:val="22"/>
        </w:rPr>
      </w:pPr>
    </w:p>
    <w:p w14:paraId="25B9A9F2" w14:textId="2555E091" w:rsidR="00211BA0" w:rsidRPr="00211BA0" w:rsidRDefault="00211BA0" w:rsidP="00211BA0">
      <w:pPr>
        <w:rPr>
          <w:rFonts w:cs="Segoe UI"/>
          <w:szCs w:val="22"/>
        </w:rPr>
      </w:pPr>
      <w:r>
        <w:rPr>
          <w:b/>
        </w:rPr>
        <w:t>Avrupa</w:t>
      </w:r>
      <w:r>
        <w:t xml:space="preserve"> bölgesi yüzde -1,5 oranında (2. </w:t>
      </w:r>
      <w:r w:rsidR="00736DEC">
        <w:t>Ç</w:t>
      </w:r>
      <w:r>
        <w:t xml:space="preserve">eyrek: </w:t>
      </w:r>
      <w:r w:rsidR="00736DEC">
        <w:t>Y</w:t>
      </w:r>
      <w:r>
        <w:t xml:space="preserve">üzde +0,4) negatif bir organik satış değişimi kaydetmiştir. Buna kıyasla, </w:t>
      </w:r>
      <w:r>
        <w:rPr>
          <w:b/>
          <w:bCs/>
        </w:rPr>
        <w:t>Kuzey Amerika</w:t>
      </w:r>
      <w:r>
        <w:t xml:space="preserve"> bölgesi yüzde 2,4 oranında (2. </w:t>
      </w:r>
      <w:r w:rsidR="00736DEC">
        <w:t>Ç</w:t>
      </w:r>
      <w:r>
        <w:t xml:space="preserve">eyrek: </w:t>
      </w:r>
      <w:r w:rsidR="00736DEC">
        <w:t>Y</w:t>
      </w:r>
      <w:r>
        <w:t xml:space="preserve">üzde +3,9) güçlü </w:t>
      </w:r>
      <w:r w:rsidR="00736DEC">
        <w:t xml:space="preserve">bir </w:t>
      </w:r>
      <w:r>
        <w:t xml:space="preserve">organik büyüme sergilemiştir. </w:t>
      </w:r>
      <w:r>
        <w:rPr>
          <w:b/>
          <w:bCs/>
        </w:rPr>
        <w:t>IMEA</w:t>
      </w:r>
      <w:r>
        <w:t xml:space="preserve"> ve </w:t>
      </w:r>
      <w:r>
        <w:rPr>
          <w:b/>
          <w:bCs/>
        </w:rPr>
        <w:t>Asya-Pasifik</w:t>
      </w:r>
      <w:r>
        <w:t xml:space="preserve"> bölgelerinde Henkel, sırasıyla yüzde 14,9 (2. </w:t>
      </w:r>
      <w:r w:rsidR="00736DEC">
        <w:t>Ç</w:t>
      </w:r>
      <w:r>
        <w:t xml:space="preserve">eyrek: </w:t>
      </w:r>
      <w:r w:rsidR="00736DEC">
        <w:t>Y</w:t>
      </w:r>
      <w:r>
        <w:t xml:space="preserve">üzde </w:t>
      </w:r>
      <w:r w:rsidR="00736DEC">
        <w:t>+</w:t>
      </w:r>
      <w:r>
        <w:t xml:space="preserve">17,4) ve yüzde 10,3 (2. </w:t>
      </w:r>
      <w:r w:rsidR="00A9165E">
        <w:t>Ç</w:t>
      </w:r>
      <w:r>
        <w:t xml:space="preserve">eyrek: </w:t>
      </w:r>
      <w:r w:rsidR="00A9165E">
        <w:t>Y</w:t>
      </w:r>
      <w:r>
        <w:t xml:space="preserve">üzde </w:t>
      </w:r>
      <w:r w:rsidR="00A9165E">
        <w:t>+</w:t>
      </w:r>
      <w:r>
        <w:t>10,3) oran</w:t>
      </w:r>
      <w:r w:rsidR="00A9165E">
        <w:t>lar</w:t>
      </w:r>
      <w:r>
        <w:t xml:space="preserve">ında çift haneli organik satış büyümesi sağlamıştır. Öte yandan </w:t>
      </w:r>
      <w:r>
        <w:rPr>
          <w:b/>
          <w:bCs/>
        </w:rPr>
        <w:t>Latin Amerika</w:t>
      </w:r>
      <w:r>
        <w:t xml:space="preserve"> bölgesi yüzde -1,3 oranında (2. </w:t>
      </w:r>
      <w:r w:rsidR="00A9165E">
        <w:t>Ç</w:t>
      </w:r>
      <w:r>
        <w:t xml:space="preserve">eyrek: </w:t>
      </w:r>
      <w:r w:rsidR="00A9165E">
        <w:t>Y</w:t>
      </w:r>
      <w:r>
        <w:t>üzde +0,5) hafif negatif bir organik satış değişimi kaydetmiştir.</w:t>
      </w:r>
    </w:p>
    <w:p w14:paraId="0C44AA06" w14:textId="77777777" w:rsidR="00211BA0" w:rsidRPr="008530DF" w:rsidRDefault="00211BA0" w:rsidP="00211BA0">
      <w:pPr>
        <w:rPr>
          <w:rFonts w:cs="Segoe UI"/>
          <w:szCs w:val="22"/>
        </w:rPr>
      </w:pPr>
    </w:p>
    <w:p w14:paraId="722810C9" w14:textId="5EB97830" w:rsidR="000311F4" w:rsidRDefault="003663FD" w:rsidP="00211BA0">
      <w:pPr>
        <w:rPr>
          <w:rFonts w:cs="Segoe UI"/>
          <w:szCs w:val="22"/>
        </w:rPr>
      </w:pPr>
      <w:r>
        <w:rPr>
          <w:b/>
          <w:bCs/>
        </w:rPr>
        <w:t>Düzeltilmiş faaliyet kârı (düzeltilmiş VFÖK)</w:t>
      </w:r>
      <w:r>
        <w:t xml:space="preserve"> bir önceki yıldaki 1,614 milyar Euro düzeyinden hafif bir artışla 1,620 milyar Euro'ya yükselmiştir. </w:t>
      </w:r>
    </w:p>
    <w:p w14:paraId="02E68EC1" w14:textId="77777777" w:rsidR="000311F4" w:rsidRDefault="000311F4" w:rsidP="000311F4">
      <w:pPr>
        <w:rPr>
          <w:rFonts w:cs="Segoe UI"/>
          <w:szCs w:val="22"/>
        </w:rPr>
      </w:pPr>
    </w:p>
    <w:p w14:paraId="7D455914" w14:textId="5105BD19" w:rsidR="000311F4" w:rsidRDefault="000311F4" w:rsidP="000311F4">
      <w:pPr>
        <w:rPr>
          <w:rFonts w:cs="Segoe UI"/>
          <w:szCs w:val="22"/>
        </w:rPr>
      </w:pPr>
      <w:r>
        <w:t xml:space="preserve">Henkel Grubu'nun </w:t>
      </w:r>
      <w:r>
        <w:rPr>
          <w:b/>
          <w:bCs/>
        </w:rPr>
        <w:t>düzeltilmiş satış kazancı (düzeltilmiş VFÖK marjı)</w:t>
      </w:r>
      <w:r>
        <w:t xml:space="preserve"> da yüzde 15,7 seviyesine çıkmıştır (</w:t>
      </w:r>
      <w:r w:rsidR="007B5472">
        <w:t>Ö</w:t>
      </w:r>
      <w:r>
        <w:t xml:space="preserve">nceki yıl: </w:t>
      </w:r>
      <w:r w:rsidR="007B5472">
        <w:t>Y</w:t>
      </w:r>
      <w:r>
        <w:t>üzde 15,5).</w:t>
      </w:r>
    </w:p>
    <w:p w14:paraId="4415DB2B" w14:textId="77777777" w:rsidR="000311F4" w:rsidRDefault="000311F4" w:rsidP="000311F4">
      <w:pPr>
        <w:rPr>
          <w:rFonts w:cs="Segoe UI"/>
          <w:szCs w:val="22"/>
        </w:rPr>
      </w:pPr>
    </w:p>
    <w:p w14:paraId="4F5EEB63" w14:textId="64345A59" w:rsidR="000311F4" w:rsidRDefault="003663FD" w:rsidP="000311F4">
      <w:pPr>
        <w:rPr>
          <w:rFonts w:cs="Segoe UI"/>
          <w:szCs w:val="22"/>
        </w:rPr>
      </w:pPr>
      <w:bookmarkStart w:id="3" w:name="_Hlk190081485"/>
      <w:r>
        <w:rPr>
          <w:b/>
        </w:rPr>
        <w:t>İmtiyazlı hisse senedi başına kârlılık</w:t>
      </w:r>
      <w:r>
        <w:t xml:space="preserve"> yüzde 1,8 oranında artarak 2,86 Euro olarak gerçekleşmiştir (</w:t>
      </w:r>
      <w:r w:rsidR="007B5472">
        <w:t>Ö</w:t>
      </w:r>
      <w:r>
        <w:t>nceki yıl: 2,81 Euro). Sabit kur ile imtiyazlı hisse senedi başına kârlılık yüzde 7,1 oranında artış göstermiştir.</w:t>
      </w:r>
    </w:p>
    <w:p w14:paraId="4A7BE388" w14:textId="77777777" w:rsidR="000311F4" w:rsidRDefault="000311F4" w:rsidP="000311F4">
      <w:pPr>
        <w:rPr>
          <w:rFonts w:cs="Segoe UI"/>
          <w:szCs w:val="22"/>
        </w:rPr>
      </w:pPr>
    </w:p>
    <w:bookmarkEnd w:id="3"/>
    <w:p w14:paraId="2D4BE88B" w14:textId="39D656AA" w:rsidR="000311F4" w:rsidRPr="000311F4" w:rsidRDefault="007B5472" w:rsidP="000311F4">
      <w:pPr>
        <w:rPr>
          <w:rFonts w:cs="Segoe UI"/>
          <w:szCs w:val="22"/>
        </w:rPr>
      </w:pPr>
      <w:r w:rsidRPr="00E01A8A">
        <w:rPr>
          <w:bCs/>
        </w:rPr>
        <w:t>İkinci çeyrek satışları yüzdesi olarak</w:t>
      </w:r>
      <w:r>
        <w:rPr>
          <w:b/>
          <w:bCs/>
        </w:rPr>
        <w:t xml:space="preserve"> n</w:t>
      </w:r>
      <w:r w:rsidR="003663FD">
        <w:rPr>
          <w:b/>
          <w:bCs/>
        </w:rPr>
        <w:t>et işletme sermayesini</w:t>
      </w:r>
      <w:r>
        <w:t>,</w:t>
      </w:r>
      <w:r w:rsidR="003663FD">
        <w:t xml:space="preserve"> satın almaların da etkisiyle, geçen yılın aynı dönemindeki yüzde 6,0 </w:t>
      </w:r>
      <w:r>
        <w:t>düzeyinden</w:t>
      </w:r>
      <w:r w:rsidR="003663FD">
        <w:t xml:space="preserve"> yüzde 7,0 seviyesine yükselmiştir.</w:t>
      </w:r>
    </w:p>
    <w:p w14:paraId="5424E5ED" w14:textId="77777777" w:rsidR="000311F4" w:rsidRPr="000311F4" w:rsidRDefault="000311F4" w:rsidP="000311F4">
      <w:pPr>
        <w:rPr>
          <w:rFonts w:cs="Segoe UI"/>
          <w:szCs w:val="22"/>
        </w:rPr>
      </w:pPr>
    </w:p>
    <w:p w14:paraId="52A4DE57" w14:textId="6EC77FFC" w:rsidR="000311F4" w:rsidRDefault="005D4737" w:rsidP="005D4737">
      <w:pPr>
        <w:rPr>
          <w:rFonts w:cs="Segoe UI"/>
          <w:szCs w:val="22"/>
        </w:rPr>
      </w:pPr>
      <w:r>
        <w:rPr>
          <w:b/>
          <w:bCs/>
        </w:rPr>
        <w:t>Serbest nakit akışı</w:t>
      </w:r>
      <w:r>
        <w:t xml:space="preserve">, </w:t>
      </w:r>
      <w:r w:rsidR="003A7021">
        <w:t xml:space="preserve">büyük oranda </w:t>
      </w:r>
      <w:r>
        <w:t>işletme faaliyetlerinden sağlanan nakit akışındaki artış sayesinde 612 milyon Euro'ya çıkmıştır (2025’in ilk yarısı: 485 milyon Euro).</w:t>
      </w:r>
    </w:p>
    <w:p w14:paraId="2DA96DA1" w14:textId="77777777" w:rsidR="005D4737" w:rsidRPr="005D4737" w:rsidRDefault="005D4737" w:rsidP="005D4737">
      <w:pPr>
        <w:rPr>
          <w:rFonts w:cs="Segoe UI"/>
          <w:szCs w:val="22"/>
        </w:rPr>
      </w:pPr>
    </w:p>
    <w:p w14:paraId="64A8E4B0" w14:textId="4F254C8A" w:rsidR="000311F4" w:rsidRDefault="000311F4" w:rsidP="000311F4">
      <w:pPr>
        <w:rPr>
          <w:rFonts w:cs="Segoe UI"/>
          <w:szCs w:val="22"/>
        </w:rPr>
      </w:pPr>
      <w:r>
        <w:t xml:space="preserve">30 Haziran 2026 itibarıyla </w:t>
      </w:r>
      <w:r>
        <w:rPr>
          <w:b/>
          <w:bCs/>
        </w:rPr>
        <w:t>net mali durum</w:t>
      </w:r>
      <w:r w:rsidR="003D161C">
        <w:rPr>
          <w:b/>
          <w:bCs/>
        </w:rPr>
        <w:t>,</w:t>
      </w:r>
      <w:r>
        <w:t xml:space="preserve"> esas olarak kısa süre önce tamamlanan satın almalar ve </w:t>
      </w:r>
      <w:r w:rsidR="003D161C">
        <w:t>hisse</w:t>
      </w:r>
      <w:r>
        <w:t xml:space="preserve"> geri alım programıyla bağlantılı nakit çıkışlarının etkisiyle</w:t>
      </w:r>
      <w:r w:rsidR="003D161C">
        <w:t>,</w:t>
      </w:r>
      <w:r w:rsidR="00D74BF0">
        <w:t>-</w:t>
      </w:r>
      <w:r>
        <w:t>1,855 milyar Euro olarak gerçekleşmiştir (31 Aralık 2025: 109 milyon Euro).</w:t>
      </w:r>
    </w:p>
    <w:p w14:paraId="247B272B" w14:textId="77777777" w:rsidR="000311F4" w:rsidRDefault="000311F4" w:rsidP="000311F4">
      <w:pPr>
        <w:rPr>
          <w:rFonts w:cs="Segoe UI"/>
          <w:szCs w:val="22"/>
        </w:rPr>
      </w:pPr>
    </w:p>
    <w:p w14:paraId="4649C4D4" w14:textId="42D9D5A2" w:rsidR="00846017" w:rsidRPr="005D4737" w:rsidRDefault="00DE4DB3" w:rsidP="00CD1F32">
      <w:pPr>
        <w:spacing w:after="120"/>
        <w:rPr>
          <w:rFonts w:cs="Segoe UI"/>
          <w:b/>
          <w:bCs/>
          <w:szCs w:val="22"/>
        </w:rPr>
      </w:pPr>
      <w:r>
        <w:rPr>
          <w:b/>
        </w:rPr>
        <w:t>2026 Mali Yılının İlk Yarısında İş Birimi Performansı</w:t>
      </w:r>
    </w:p>
    <w:p w14:paraId="6A3D995D" w14:textId="5A2C9250" w:rsidR="005D4737" w:rsidRDefault="00B312F1" w:rsidP="00B312F1">
      <w:pPr>
        <w:rPr>
          <w:rFonts w:cs="Segoe UI"/>
          <w:szCs w:val="22"/>
        </w:rPr>
      </w:pPr>
      <w:r>
        <w:rPr>
          <w:b/>
          <w:bCs/>
        </w:rPr>
        <w:t>Yapıştırıcı Teknolojileri</w:t>
      </w:r>
      <w:r>
        <w:t xml:space="preserve"> </w:t>
      </w:r>
      <w:r w:rsidR="00D74BF0">
        <w:t>İ</w:t>
      </w:r>
      <w:r>
        <w:t xml:space="preserve">ş </w:t>
      </w:r>
      <w:r w:rsidR="00D74BF0">
        <w:t>B</w:t>
      </w:r>
      <w:r>
        <w:t>irimi</w:t>
      </w:r>
      <w:r w:rsidR="00D74BF0">
        <w:t>’</w:t>
      </w:r>
      <w:r>
        <w:t xml:space="preserve">ndeki </w:t>
      </w:r>
      <w:r>
        <w:rPr>
          <w:b/>
          <w:bCs/>
        </w:rPr>
        <w:t>satışlar</w:t>
      </w:r>
      <w:r>
        <w:t xml:space="preserve"> 2026'in ilk yarısında yüzde 2,2 nominal artışla 5,534 milyar Euro seviyesine ulaşmıştır (2. </w:t>
      </w:r>
      <w:r w:rsidR="00D74BF0">
        <w:t>Ç</w:t>
      </w:r>
      <w:r>
        <w:t xml:space="preserve">eyrek: 2,908 milyar Euro, yüzde +7,6). Yapıştırıcı Teknolojileri </w:t>
      </w:r>
      <w:r w:rsidR="00D74BF0">
        <w:t>İ</w:t>
      </w:r>
      <w:r>
        <w:t xml:space="preserve">ş </w:t>
      </w:r>
      <w:r w:rsidR="00D74BF0">
        <w:t>B</w:t>
      </w:r>
      <w:r>
        <w:t xml:space="preserve">irimi yüzde 4,5 oranında çok güçlü </w:t>
      </w:r>
      <w:r>
        <w:rPr>
          <w:b/>
          <w:bCs/>
        </w:rPr>
        <w:t>organik</w:t>
      </w:r>
      <w:r>
        <w:t xml:space="preserve"> satış büyümesi sağlamıştır (2. </w:t>
      </w:r>
      <w:r w:rsidR="00D74BF0">
        <w:t>Ç</w:t>
      </w:r>
      <w:r>
        <w:t>eyrek: yüzde +7,4). Bu büyümeyi getiren</w:t>
      </w:r>
      <w:r w:rsidR="00D74BF0">
        <w:t xml:space="preserve"> ise,</w:t>
      </w:r>
      <w:r>
        <w:t xml:space="preserve"> hem fiyat</w:t>
      </w:r>
      <w:r w:rsidR="00D74BF0">
        <w:t>landırma</w:t>
      </w:r>
      <w:r>
        <w:t xml:space="preserve"> hem de miktardaki pozitif gelişme olmuştur.</w:t>
      </w:r>
    </w:p>
    <w:p w14:paraId="7DCABAF6" w14:textId="77777777" w:rsidR="005D4737" w:rsidRDefault="005D4737" w:rsidP="00B312F1">
      <w:pPr>
        <w:rPr>
          <w:rFonts w:cs="Segoe UI"/>
          <w:szCs w:val="22"/>
        </w:rPr>
      </w:pPr>
    </w:p>
    <w:p w14:paraId="17A3AF2D" w14:textId="6E424A32" w:rsidR="005D4737" w:rsidRPr="00797EB3" w:rsidRDefault="005D4737" w:rsidP="005D4737">
      <w:r>
        <w:lastRenderedPageBreak/>
        <w:t xml:space="preserve">İş alanları genelinde, Yapıştırıcı Teknolojileri </w:t>
      </w:r>
      <w:r w:rsidR="00D74BF0">
        <w:t>İ</w:t>
      </w:r>
      <w:r>
        <w:t xml:space="preserve">ş </w:t>
      </w:r>
      <w:r w:rsidR="00D74BF0">
        <w:t>B</w:t>
      </w:r>
      <w:r>
        <w:t>irimi</w:t>
      </w:r>
      <w:r w:rsidR="00D74BF0">
        <w:t>’</w:t>
      </w:r>
      <w:r>
        <w:t xml:space="preserve">nin yılın ilk yarısındaki organik satış büyümesini özellikle </w:t>
      </w:r>
      <w:r>
        <w:rPr>
          <w:b/>
          <w:bCs/>
        </w:rPr>
        <w:t>Mobilite ve Elektronik</w:t>
      </w:r>
      <w:r>
        <w:t xml:space="preserve"> iş alanındaki yüzde 7,8’lik kayda değer organik satış artışı desteklemiştir (2. </w:t>
      </w:r>
      <w:r w:rsidR="00D74BF0">
        <w:t>Ç</w:t>
      </w:r>
      <w:r>
        <w:t xml:space="preserve">eyrek: </w:t>
      </w:r>
      <w:r w:rsidR="00D74BF0">
        <w:t>Y</w:t>
      </w:r>
      <w:r>
        <w:t xml:space="preserve">üzde +8,8). Bu artışta Elektronik iş kolundaki çift haneli organik satış büyümesi ve Endüstriyel iş kolundaki kayda değer organik satış büyümesi etkili olmuştur. Buna karşılık, Otomotiv iş kolu yılın ilk yarısında genel olarak gerileme yaşamış, ancak ikinci çeyrekte satışlardaki güçlü organik artışla birlikte iyileşme göstermiştir. </w:t>
      </w:r>
      <w:r>
        <w:rPr>
          <w:b/>
          <w:bCs/>
        </w:rPr>
        <w:t>Ambalajlama ve Tüketici Ürünleri</w:t>
      </w:r>
      <w:r>
        <w:t xml:space="preserve"> iş alanı, Ambalaj iş</w:t>
      </w:r>
      <w:r w:rsidR="00BE776E">
        <w:t xml:space="preserve"> kolundaki</w:t>
      </w:r>
      <w:r>
        <w:t xml:space="preserve"> güçlü büyümenin ve Tüketici Ürünleri</w:t>
      </w:r>
      <w:r w:rsidR="00BE776E">
        <w:t xml:space="preserve"> iş kolundaki</w:t>
      </w:r>
      <w:r>
        <w:t xml:space="preserve"> çok güçlü organik satış artışının (2. </w:t>
      </w:r>
      <w:r w:rsidR="00BE776E">
        <w:t>Ç</w:t>
      </w:r>
      <w:r>
        <w:t xml:space="preserve">eyrek: </w:t>
      </w:r>
      <w:r w:rsidR="00930D52">
        <w:t>Y</w:t>
      </w:r>
      <w:r w:rsidR="00BE776E">
        <w:t>üzde +</w:t>
      </w:r>
      <w:r>
        <w:t xml:space="preserve">9,1) etkisiyle </w:t>
      </w:r>
      <w:r w:rsidR="00BE776E">
        <w:t xml:space="preserve">yüzde </w:t>
      </w:r>
      <w:r>
        <w:t xml:space="preserve">4,7 oranında çok güçlü bir organik satış büyümesi yakalamıştır. </w:t>
      </w:r>
      <w:r w:rsidR="00797EB3" w:rsidRPr="00797EB3">
        <w:t>Bu gelişim, jeopolitik belirsizliklere karşı önlem almak amacıyla müşterilerin gerçekleştirdiği öne çekilmiş alımlar (forward-buying) sayesinde de desteklendi.</w:t>
      </w:r>
      <w:r w:rsidR="00797EB3">
        <w:t xml:space="preserve"> </w:t>
      </w:r>
      <w:r>
        <w:rPr>
          <w:b/>
          <w:bCs/>
        </w:rPr>
        <w:t>Nalburiye, İnşaat ve Profesyonel</w:t>
      </w:r>
      <w:r>
        <w:t xml:space="preserve"> iş alanı yüzde 1,0 (2. </w:t>
      </w:r>
      <w:r w:rsidR="00073D10">
        <w:t>Ç</w:t>
      </w:r>
      <w:r>
        <w:t xml:space="preserve">eyrek: </w:t>
      </w:r>
      <w:r w:rsidR="00073D10">
        <w:t>Y</w:t>
      </w:r>
      <w:r>
        <w:t xml:space="preserve">üzde +4,4) </w:t>
      </w:r>
      <w:r w:rsidR="00073D10">
        <w:t>oranında</w:t>
      </w:r>
      <w:r>
        <w:t xml:space="preserve"> organik satış büyümesi kaydetmiştir. Bu büyümeyi özellikle Genel İmalat ve Bakım iş kolundaki güçlü organik satış artışı desteklerken, Tüketici ve İnşaat iş kolunda organik satışlarda hafif bir gerileme görülmüştür.</w:t>
      </w:r>
    </w:p>
    <w:p w14:paraId="27A9A0CF" w14:textId="77777777" w:rsidR="005D4737" w:rsidRDefault="005D4737" w:rsidP="00B312F1">
      <w:pPr>
        <w:rPr>
          <w:rFonts w:cs="Segoe UI"/>
          <w:szCs w:val="22"/>
          <w:highlight w:val="yellow"/>
        </w:rPr>
      </w:pPr>
      <w:bookmarkStart w:id="4" w:name="_Hlk190097207"/>
    </w:p>
    <w:p w14:paraId="70926E97" w14:textId="24131590" w:rsidR="005D4737" w:rsidRPr="005D4737" w:rsidRDefault="005D4737" w:rsidP="005D4737">
      <w:pPr>
        <w:rPr>
          <w:rFonts w:cs="Segoe UI"/>
          <w:szCs w:val="22"/>
        </w:rPr>
      </w:pPr>
      <w:r>
        <w:rPr>
          <w:b/>
          <w:bCs/>
        </w:rPr>
        <w:t>Düzeltilmiş faaliyet kârı</w:t>
      </w:r>
      <w:r>
        <w:t>, olumsuz kur etkilerine rağmen 982 milyon Euro'ya ulaşarak önceki yılın üzerinde gerçekleşmiştir.</w:t>
      </w:r>
      <w:r>
        <w:rPr>
          <w:b/>
        </w:rPr>
        <w:t xml:space="preserve"> </w:t>
      </w:r>
      <w:r>
        <w:rPr>
          <w:b/>
          <w:bCs/>
        </w:rPr>
        <w:t xml:space="preserve">Düzeltilmiş satış </w:t>
      </w:r>
      <w:r w:rsidR="008F4D47">
        <w:rPr>
          <w:b/>
          <w:bCs/>
        </w:rPr>
        <w:t>kazancı</w:t>
      </w:r>
      <w:r>
        <w:t xml:space="preserve"> bir önceki yılın aynı dönemindeki yüzde 17,2 </w:t>
      </w:r>
      <w:r w:rsidR="00FE394A">
        <w:t>seviyesine</w:t>
      </w:r>
      <w:r>
        <w:t xml:space="preserve"> kıyasla yüzde 17,7'ye yükselmiştir. Burada, miktar artışından kaynaklanan ölçek ekonomilerinin </w:t>
      </w:r>
      <w:r w:rsidR="00FE394A">
        <w:t xml:space="preserve">ve farklı iş bileşimlerinin </w:t>
      </w:r>
      <w:r>
        <w:t xml:space="preserve">olumlu etkisi </w:t>
      </w:r>
      <w:r w:rsidR="00FE394A">
        <w:t>gerçekleşmiştir.</w:t>
      </w:r>
    </w:p>
    <w:p w14:paraId="4FF29955" w14:textId="77777777" w:rsidR="005D4737" w:rsidRPr="005D4737" w:rsidRDefault="005D4737" w:rsidP="005D4737">
      <w:pPr>
        <w:rPr>
          <w:rFonts w:cs="Segoe UI"/>
          <w:szCs w:val="22"/>
        </w:rPr>
      </w:pPr>
    </w:p>
    <w:bookmarkEnd w:id="4"/>
    <w:p w14:paraId="23ADC4EC" w14:textId="447BDD9A" w:rsidR="00A27073" w:rsidRPr="00A27073" w:rsidRDefault="00A27073" w:rsidP="00A27073">
      <w:pPr>
        <w:rPr>
          <w:rFonts w:cs="Segoe UI"/>
          <w:szCs w:val="22"/>
        </w:rPr>
      </w:pPr>
      <w:r>
        <w:t xml:space="preserve">2026'in ilk yarısında, </w:t>
      </w:r>
      <w:r>
        <w:rPr>
          <w:b/>
          <w:bCs/>
        </w:rPr>
        <w:t>Tüketici Markaları</w:t>
      </w:r>
      <w:r>
        <w:t xml:space="preserve"> İş Birimi’nde </w:t>
      </w:r>
      <w:r>
        <w:rPr>
          <w:b/>
          <w:bCs/>
        </w:rPr>
        <w:t>satışlar</w:t>
      </w:r>
      <w:r>
        <w:t xml:space="preserve">, bir önceki yılın aynı dönemine kıyasla yüzde -3,5 nominal değişimle 4,733 milyar Euro olarak gerçekleşmiştir (2. </w:t>
      </w:r>
      <w:r w:rsidR="00E040B3">
        <w:t>Ç</w:t>
      </w:r>
      <w:r>
        <w:t xml:space="preserve">eyrek: 2,448 milyar Euro, yüzde +1,1). </w:t>
      </w:r>
      <w:r>
        <w:rPr>
          <w:b/>
          <w:bCs/>
        </w:rPr>
        <w:t xml:space="preserve">Organik </w:t>
      </w:r>
      <w:r w:rsidR="00E040B3" w:rsidRPr="000C0BD6">
        <w:rPr>
          <w:bCs/>
        </w:rPr>
        <w:t>olarak</w:t>
      </w:r>
      <w:r>
        <w:t xml:space="preserve"> satışlar yüzde 1,7 artarken (2. </w:t>
      </w:r>
      <w:r w:rsidR="00E040B3">
        <w:t>Ç</w:t>
      </w:r>
      <w:r>
        <w:t xml:space="preserve">eyrek: </w:t>
      </w:r>
      <w:r w:rsidR="00E040B3">
        <w:t>Y</w:t>
      </w:r>
      <w:r>
        <w:t>üzde +1,6), iş birimi</w:t>
      </w:r>
      <w:r w:rsidR="00E040B3">
        <w:t>nin</w:t>
      </w:r>
      <w:r>
        <w:t xml:space="preserve"> 2025’in ilk yarısına kıyasla hem fiyat hem de miktar </w:t>
      </w:r>
      <w:r w:rsidR="00E040B3">
        <w:t>açısından</w:t>
      </w:r>
      <w:r>
        <w:t xml:space="preserve"> olumlu gelişmeler kaydetm</w:t>
      </w:r>
      <w:r w:rsidR="00E040B3">
        <w:t xml:space="preserve">esi bunda etkili olmuştur. </w:t>
      </w:r>
    </w:p>
    <w:p w14:paraId="5EF78331" w14:textId="77777777" w:rsidR="00A27073" w:rsidRPr="00A27073" w:rsidRDefault="00A27073" w:rsidP="00521B13">
      <w:pPr>
        <w:rPr>
          <w:rFonts w:cs="Segoe UI"/>
          <w:szCs w:val="22"/>
          <w:highlight w:val="yellow"/>
        </w:rPr>
      </w:pPr>
    </w:p>
    <w:p w14:paraId="3BF6D58D" w14:textId="10D9301C" w:rsidR="00A27073" w:rsidRPr="00A27073" w:rsidRDefault="00A27073" w:rsidP="00A27073">
      <w:pPr>
        <w:rPr>
          <w:rFonts w:cs="Segoe UI"/>
          <w:szCs w:val="22"/>
          <w:highlight w:val="yellow"/>
        </w:rPr>
      </w:pPr>
      <w:r>
        <w:t xml:space="preserve">Yılın ilk yarısında </w:t>
      </w:r>
      <w:r>
        <w:rPr>
          <w:b/>
          <w:bCs/>
        </w:rPr>
        <w:t>Çamaşır ve Ev Bakım</w:t>
      </w:r>
      <w:r>
        <w:t xml:space="preserve"> iş alanının organik satış</w:t>
      </w:r>
      <w:r w:rsidR="00F76D17">
        <w:t>larında</w:t>
      </w:r>
      <w:r>
        <w:t xml:space="preserve"> yüzde 0,7</w:t>
      </w:r>
      <w:r w:rsidR="00443719">
        <w:t xml:space="preserve"> oranında</w:t>
      </w:r>
      <w:r>
        <w:t xml:space="preserve"> (2. </w:t>
      </w:r>
      <w:r w:rsidR="00F76D17">
        <w:t>Ç</w:t>
      </w:r>
      <w:r>
        <w:t xml:space="preserve">eyrek: </w:t>
      </w:r>
      <w:r w:rsidR="00F76D17">
        <w:t>Y</w:t>
      </w:r>
      <w:r>
        <w:t xml:space="preserve">üzde +1,3) bir gelişme kaydedilmiştir. Çamaşır Bakım iş kolu, </w:t>
      </w:r>
      <w:r w:rsidR="00F76D17">
        <w:t xml:space="preserve">Kumaş </w:t>
      </w:r>
      <w:r>
        <w:t xml:space="preserve">Bakım kategorisindeki kayda değer satış artışının ve </w:t>
      </w:r>
      <w:r w:rsidR="00443719">
        <w:t xml:space="preserve">Kumaş </w:t>
      </w:r>
      <w:r>
        <w:t xml:space="preserve">Yumuşatıcı kategorisindeki pozitif gelişimin etkisiyle organik satış büyümesi elde etmiştir. Buna karşılık, Kumaş Temizleme </w:t>
      </w:r>
      <w:r w:rsidR="00F0611F">
        <w:t>kategorisinde</w:t>
      </w:r>
      <w:r>
        <w:t xml:space="preserve"> hafif bir düşüş kaydedilmiştir. Ev Bakım iş kolu, özellikle Elde Bulaşık kategorisindeki çift haneli büyümenin etkisiyle güçlü organik satış artışı sağlamıştır. </w:t>
      </w:r>
      <w:r>
        <w:rPr>
          <w:b/>
          <w:bCs/>
        </w:rPr>
        <w:t>Saç</w:t>
      </w:r>
      <w:r>
        <w:t xml:space="preserve"> iş alanı, yüzde 4,2 oranında (2. </w:t>
      </w:r>
      <w:r w:rsidR="00F0611F">
        <w:t>Ç</w:t>
      </w:r>
      <w:r>
        <w:t xml:space="preserve">eyrek: </w:t>
      </w:r>
      <w:r w:rsidR="00F0611F">
        <w:t>Y</w:t>
      </w:r>
      <w:r>
        <w:t xml:space="preserve">üzde +3,3) oldukça güçlü bir organik satış büyümesi kaydetmiş ve Tüketici Markaları </w:t>
      </w:r>
      <w:r w:rsidR="00F0611F">
        <w:t>İ</w:t>
      </w:r>
      <w:r>
        <w:t xml:space="preserve">ş </w:t>
      </w:r>
      <w:r w:rsidR="00F0611F">
        <w:t>B</w:t>
      </w:r>
      <w:r>
        <w:t xml:space="preserve">irimindeki büyümenin başlıca itici gücü olmuştur. Bu olumlu performansı getiren hem Tüketici </w:t>
      </w:r>
      <w:r w:rsidR="00F0611F">
        <w:t xml:space="preserve">Ürünleri </w:t>
      </w:r>
      <w:r>
        <w:t>iş kolundaki güçlü organik satış artışı, hem de Profesyonel iş kolundaki çok güçlü büyüme olmuştur. Tüketici</w:t>
      </w:r>
      <w:r w:rsidR="00F0611F">
        <w:t xml:space="preserve"> Ürünleri</w:t>
      </w:r>
      <w:r>
        <w:t xml:space="preserve"> iş kolunda tüm kategoriler büyümeye katkıda bulunurken, en büyük katkıyı Saç Boyaları ve Saç Şekillendirme kategorileri yapmıştır. Buna karşılık, </w:t>
      </w:r>
      <w:r>
        <w:rPr>
          <w:b/>
          <w:bCs/>
        </w:rPr>
        <w:t>Diğer Tüketici Ürünleri</w:t>
      </w:r>
      <w:r>
        <w:t xml:space="preserve"> iş alanında yılın ilk yarısında </w:t>
      </w:r>
      <w:r>
        <w:lastRenderedPageBreak/>
        <w:t xml:space="preserve">satışlarda yüzde -2,1 oranında </w:t>
      </w:r>
      <w:r w:rsidR="00AA5540">
        <w:t xml:space="preserve">negatif </w:t>
      </w:r>
      <w:r>
        <w:t xml:space="preserve">bir organik değişim görülmüştür (2. </w:t>
      </w:r>
      <w:r w:rsidR="00AA5540">
        <w:t>Ç</w:t>
      </w:r>
      <w:r>
        <w:t xml:space="preserve">eyrek: </w:t>
      </w:r>
      <w:r w:rsidR="00AA5540">
        <w:t>Y</w:t>
      </w:r>
      <w:r>
        <w:t xml:space="preserve">üzde -4,6). Bu gerilemenin başlıca nedeni, Avrupa bölgesindeki Vücut Bakımı iş kolundaki gelişmeler olmuştur. Öte yandan, Kuzey Amerika bölgesinde satışlarda iyi bir </w:t>
      </w:r>
      <w:r w:rsidR="00AA5540">
        <w:t xml:space="preserve">organik </w:t>
      </w:r>
      <w:r>
        <w:t>büyüme yakalanmıştır.</w:t>
      </w:r>
    </w:p>
    <w:p w14:paraId="0101AD53" w14:textId="77777777" w:rsidR="00A27073" w:rsidRPr="00A27073" w:rsidRDefault="00A27073" w:rsidP="00521B13">
      <w:pPr>
        <w:rPr>
          <w:rFonts w:cs="Segoe UI"/>
          <w:szCs w:val="22"/>
        </w:rPr>
      </w:pPr>
      <w:bookmarkStart w:id="5" w:name="_Hlk190100714"/>
    </w:p>
    <w:p w14:paraId="2669D3B3" w14:textId="4D6CD50B" w:rsidR="005F2643" w:rsidRPr="00A27073" w:rsidRDefault="00A27073" w:rsidP="00A27073">
      <w:pPr>
        <w:rPr>
          <w:rFonts w:cs="Segoe UI"/>
          <w:szCs w:val="22"/>
        </w:rPr>
      </w:pPr>
      <w:r>
        <w:rPr>
          <w:b/>
          <w:bCs/>
        </w:rPr>
        <w:t>Düzeltilmiş faaliyet kârı</w:t>
      </w:r>
      <w:r>
        <w:t xml:space="preserve"> 724 milyon Euro olarak gerçekleşirken, büyük ölçüde Nisan 2025’te Kuzey Amerika’daki perakende markaları iş </w:t>
      </w:r>
      <w:r w:rsidR="00CA7C3B">
        <w:t xml:space="preserve">kolunun elden </w:t>
      </w:r>
      <w:r>
        <w:t>çık</w:t>
      </w:r>
      <w:r w:rsidR="00CA7C3B">
        <w:t>ar</w:t>
      </w:r>
      <w:r>
        <w:t xml:space="preserve">ılması ve </w:t>
      </w:r>
      <w:r w:rsidR="00CA7C3B">
        <w:t>negatif</w:t>
      </w:r>
      <w:r>
        <w:t xml:space="preserve"> kur etkileri nedeniyle önceki yıl</w:t>
      </w:r>
      <w:r w:rsidR="00CA7C3B">
        <w:t>ın</w:t>
      </w:r>
      <w:r>
        <w:t xml:space="preserve"> seviye</w:t>
      </w:r>
      <w:r w:rsidR="00CA7C3B">
        <w:t>si</w:t>
      </w:r>
      <w:r>
        <w:t xml:space="preserve">nin biraz altında </w:t>
      </w:r>
      <w:r w:rsidR="00CA7C3B">
        <w:t>kaydedilmiştir.</w:t>
      </w:r>
      <w:r>
        <w:t xml:space="preserve"> Buna karşılık, </w:t>
      </w:r>
      <w:r>
        <w:rPr>
          <w:b/>
          <w:bCs/>
        </w:rPr>
        <w:t>düzeltilmiş satış kazancı</w:t>
      </w:r>
      <w:r>
        <w:t xml:space="preserve"> bir önceki yılın aynı dönemine kıyasla değişmeyerek yüzde 15,3 seviyesinde kalmıştır. </w:t>
      </w:r>
      <w:bookmarkEnd w:id="5"/>
    </w:p>
    <w:p w14:paraId="45F7F611" w14:textId="6AC974FB" w:rsidR="00B05ECC" w:rsidRPr="005F750F" w:rsidRDefault="00B05ECC" w:rsidP="00B05ECC">
      <w:pPr>
        <w:rPr>
          <w:rFonts w:cs="Segoe UI"/>
          <w:szCs w:val="22"/>
        </w:rPr>
      </w:pPr>
    </w:p>
    <w:p w14:paraId="2024FF95" w14:textId="54F8724A" w:rsidR="00E21F5D" w:rsidRPr="00E21F5D" w:rsidRDefault="00A811D8" w:rsidP="00E21F5D">
      <w:pPr>
        <w:spacing w:after="120"/>
        <w:rPr>
          <w:rFonts w:cs="Segoe UI"/>
          <w:b/>
          <w:bCs/>
          <w:szCs w:val="22"/>
        </w:rPr>
      </w:pPr>
      <w:r>
        <w:rPr>
          <w:b/>
        </w:rPr>
        <w:t xml:space="preserve">Yılın </w:t>
      </w:r>
      <w:r w:rsidR="007C19FF">
        <w:rPr>
          <w:b/>
        </w:rPr>
        <w:t>İ</w:t>
      </w:r>
      <w:r>
        <w:rPr>
          <w:b/>
        </w:rPr>
        <w:t xml:space="preserve">lk </w:t>
      </w:r>
      <w:r w:rsidR="007C19FF">
        <w:rPr>
          <w:b/>
        </w:rPr>
        <w:t>Y</w:t>
      </w:r>
      <w:r>
        <w:rPr>
          <w:b/>
        </w:rPr>
        <w:t xml:space="preserve">arısında </w:t>
      </w:r>
      <w:r w:rsidR="007C19FF">
        <w:rPr>
          <w:b/>
        </w:rPr>
        <w:t>B</w:t>
      </w:r>
      <w:r>
        <w:rPr>
          <w:b/>
        </w:rPr>
        <w:t xml:space="preserve">aşarıyla </w:t>
      </w:r>
      <w:r w:rsidR="007C19FF">
        <w:rPr>
          <w:b/>
        </w:rPr>
        <w:t>H</w:t>
      </w:r>
      <w:r>
        <w:rPr>
          <w:b/>
        </w:rPr>
        <w:t xml:space="preserve">ayata </w:t>
      </w:r>
      <w:r w:rsidR="007C19FF">
        <w:rPr>
          <w:b/>
        </w:rPr>
        <w:t>G</w:t>
      </w:r>
      <w:r>
        <w:rPr>
          <w:b/>
        </w:rPr>
        <w:t>eçirilen Birleşme ve Satın Almalarla Büyüme Stratejisi</w:t>
      </w:r>
    </w:p>
    <w:p w14:paraId="02BF1EFC" w14:textId="00D93012" w:rsidR="005110D3" w:rsidRPr="00E21F5D" w:rsidRDefault="00A811D8" w:rsidP="00A811D8">
      <w:pPr>
        <w:autoSpaceDE w:val="0"/>
        <w:autoSpaceDN w:val="0"/>
        <w:adjustRightInd w:val="0"/>
        <w:rPr>
          <w:rFonts w:cs="Segoe UI"/>
          <w:bCs/>
          <w:szCs w:val="22"/>
        </w:rPr>
      </w:pPr>
      <w:r>
        <w:t xml:space="preserve">2026’nın ilk yarısında Henkel, şirketin genel </w:t>
      </w:r>
      <w:r>
        <w:rPr>
          <w:b/>
          <w:bCs/>
        </w:rPr>
        <w:t>büyüme stratejisinin</w:t>
      </w:r>
      <w:r>
        <w:t xml:space="preserve"> ayrılmaz bir parçası olan birleşme ve satın almalara dayalı büyüme stratejisini her iki iş biriminde de uygulama konusunda önemli ilerleme kaydetmiştir. </w:t>
      </w:r>
      <w:r w:rsidR="00F640D2">
        <w:t>Henkel, k</w:t>
      </w:r>
      <w:r>
        <w:t>ısa süre önce duyurduğu satın almalarla</w:t>
      </w:r>
      <w:r w:rsidR="00F640D2">
        <w:t xml:space="preserve"> birlikte</w:t>
      </w:r>
      <w:r>
        <w:t xml:space="preserve"> toplam 5 milyar Euro yatırım yap</w:t>
      </w:r>
      <w:r w:rsidR="00F640D2">
        <w:t>ıyor</w:t>
      </w:r>
      <w:r>
        <w:t xml:space="preserve"> </w:t>
      </w:r>
      <w:r w:rsidR="00F640D2">
        <w:t xml:space="preserve">ve </w:t>
      </w:r>
      <w:r w:rsidR="00F640D2" w:rsidRPr="00F640D2">
        <w:t xml:space="preserve">yaklaşık 1,6 milyar Euro </w:t>
      </w:r>
      <w:r w:rsidR="00F640D2">
        <w:t xml:space="preserve">değerindeki </w:t>
      </w:r>
      <w:r>
        <w:t>yıllık toplam satışla</w:t>
      </w:r>
      <w:r w:rsidR="00F640D2">
        <w:t xml:space="preserve"> </w:t>
      </w:r>
      <w:r>
        <w:t xml:space="preserve">iş hacmini büyütüyor. Bugüne kadar Henkel, beş satın alma sürecinin dördünü başarıyla tamamlamış bulunuyor: Yapıştırıcı Teknolojileri </w:t>
      </w:r>
      <w:r w:rsidR="00CD41F9">
        <w:t>İ</w:t>
      </w:r>
      <w:r>
        <w:t xml:space="preserve">ş </w:t>
      </w:r>
      <w:r w:rsidR="00CD41F9">
        <w:t>B</w:t>
      </w:r>
      <w:r>
        <w:t>irimi</w:t>
      </w:r>
      <w:r w:rsidR="00CD41F9">
        <w:t>’</w:t>
      </w:r>
      <w:r>
        <w:t xml:space="preserve">nde Wetherby Laroc ve ATP Adhesive Systems, Tüketici Markaları </w:t>
      </w:r>
      <w:r w:rsidR="00CD41F9">
        <w:t>İ</w:t>
      </w:r>
      <w:r>
        <w:t xml:space="preserve">ş </w:t>
      </w:r>
      <w:r w:rsidR="00CD41F9">
        <w:t>B</w:t>
      </w:r>
      <w:r>
        <w:t>irimi</w:t>
      </w:r>
      <w:r w:rsidR="00CD41F9">
        <w:t>’</w:t>
      </w:r>
      <w:r>
        <w:t xml:space="preserve">nde ise Not Your Mother’s ve </w:t>
      </w:r>
      <w:r w:rsidR="00CD41F9">
        <w:t>en yeni</w:t>
      </w:r>
      <w:r>
        <w:t xml:space="preserve"> olarak OLAPLEX</w:t>
      </w:r>
      <w:r w:rsidR="00CD41F9">
        <w:t>.</w:t>
      </w:r>
      <w:r w:rsidR="003F0554">
        <w:t xml:space="preserve"> </w:t>
      </w:r>
      <w:r>
        <w:t xml:space="preserve">Yapıştırıcı </w:t>
      </w:r>
      <w:r w:rsidR="0019207C">
        <w:t>İ</w:t>
      </w:r>
      <w:r>
        <w:t xml:space="preserve">ş </w:t>
      </w:r>
      <w:r w:rsidR="0019207C">
        <w:t>Birimi’nde</w:t>
      </w:r>
      <w:r>
        <w:t xml:space="preserve"> Stahl Group'un satın alınmasının ise 2026 mali yılının ikinci yarısında tamamlanması bekleniyor.</w:t>
      </w:r>
    </w:p>
    <w:p w14:paraId="0F99C05C" w14:textId="77777777" w:rsidR="00E21F5D" w:rsidRPr="0006442E" w:rsidRDefault="00E21F5D" w:rsidP="008762E7">
      <w:pPr>
        <w:autoSpaceDE w:val="0"/>
        <w:autoSpaceDN w:val="0"/>
        <w:adjustRightInd w:val="0"/>
        <w:rPr>
          <w:rFonts w:cs="Segoe UI"/>
          <w:bCs/>
          <w:szCs w:val="22"/>
        </w:rPr>
      </w:pPr>
    </w:p>
    <w:p w14:paraId="77AA3405" w14:textId="5FD2687F" w:rsidR="00C76008" w:rsidRDefault="00C76008" w:rsidP="00C76008">
      <w:pPr>
        <w:autoSpaceDE w:val="0"/>
        <w:autoSpaceDN w:val="0"/>
        <w:adjustRightInd w:val="0"/>
        <w:rPr>
          <w:rFonts w:cs="Segoe UI"/>
          <w:bCs/>
          <w:szCs w:val="22"/>
        </w:rPr>
      </w:pPr>
      <w:r>
        <w:t xml:space="preserve">Yıllık satış rakamlarına yaklaşık 370 milyon Euro katkıda bulunan premium saç bakım markası </w:t>
      </w:r>
      <w:r>
        <w:rPr>
          <w:b/>
          <w:bCs/>
        </w:rPr>
        <w:t>OLAPLEX</w:t>
      </w:r>
      <w:r>
        <w:t>’in satın alınmasıyla Henkel, premium saç bakım</w:t>
      </w:r>
      <w:r w:rsidR="0019207C">
        <w:t xml:space="preserve"> </w:t>
      </w:r>
      <w:r>
        <w:t xml:space="preserve">segmentindeki </w:t>
      </w:r>
      <w:r w:rsidR="0019207C">
        <w:t>global</w:t>
      </w:r>
      <w:r>
        <w:t xml:space="preserve"> varlığını daha da güçlendirmiş ve profesyonel saç bakım alanında dünyanın ikinci büyük şirketi konumuna gelmiştir. Oldukça cazip olan premium saç bakım </w:t>
      </w:r>
      <w:r w:rsidR="0019207C">
        <w:t>pazarında,</w:t>
      </w:r>
      <w:r>
        <w:t xml:space="preserve"> önümüzdeki yıllarda yaklaşık yüzde 5 </w:t>
      </w:r>
      <w:r w:rsidR="0019207C">
        <w:t xml:space="preserve">oranında </w:t>
      </w:r>
      <w:r>
        <w:t>yıllık bileşik büyüme kaydedilmesi beklenmektedir. OLAPLEX, bilimsel temellere dayanan</w:t>
      </w:r>
      <w:r w:rsidR="00206FE2">
        <w:t xml:space="preserve"> ve</w:t>
      </w:r>
      <w:r>
        <w:t xml:space="preserve"> yüksek performanslı ürünlerden oluşan portföyüyle kendini kanıtlamış bir premium saç bakım markasıdır. Bu </w:t>
      </w:r>
      <w:r w:rsidR="00206FE2">
        <w:t>satın alma ile</w:t>
      </w:r>
      <w:r>
        <w:t xml:space="preserve"> Henkel, Tüketici Markaları </w:t>
      </w:r>
      <w:r w:rsidR="00206FE2">
        <w:t>İ</w:t>
      </w:r>
      <w:r>
        <w:t xml:space="preserve">ş </w:t>
      </w:r>
      <w:r w:rsidR="00206FE2">
        <w:t>Birimi’nin</w:t>
      </w:r>
      <w:r>
        <w:t xml:space="preserve"> temel kategorilerinden biri olan Saç Bakım alanındaki </w:t>
      </w:r>
      <w:r w:rsidR="00206FE2">
        <w:t xml:space="preserve">global </w:t>
      </w:r>
      <w:r>
        <w:t xml:space="preserve">varlığını daha da pekiştirmektedir. </w:t>
      </w:r>
      <w:r w:rsidR="00F02695" w:rsidRPr="00F02695">
        <w:t xml:space="preserve">Henkel, </w:t>
      </w:r>
      <w:r w:rsidR="00F02695" w:rsidRPr="00162B5F">
        <w:t>çapraz satış</w:t>
      </w:r>
      <w:r w:rsidR="00F02695" w:rsidRPr="00F02695">
        <w:t xml:space="preserve"> fırsatlarından yararlanarak ve hem uzmanlaşmış perakende kanallarını</w:t>
      </w:r>
      <w:r w:rsidR="00F02695">
        <w:t>,</w:t>
      </w:r>
      <w:r w:rsidR="00F02695" w:rsidRPr="00F02695">
        <w:t xml:space="preserve"> hem de kuaför salonlarını dağıtım kanalları olarak güçlendirerek </w:t>
      </w:r>
      <w:r w:rsidR="00F02695">
        <w:t xml:space="preserve">bu alandaki </w:t>
      </w:r>
      <w:r w:rsidR="00F02695" w:rsidRPr="00F02695">
        <w:t>iş</w:t>
      </w:r>
      <w:r w:rsidR="00F02695">
        <w:t xml:space="preserve">ini </w:t>
      </w:r>
      <w:r w:rsidR="00F02695" w:rsidRPr="00F02695">
        <w:t xml:space="preserve">önemli ölçüde büyütebileceğine güveniyor. </w:t>
      </w:r>
      <w:r>
        <w:t xml:space="preserve">Ayrıca, satın alma işlemi </w:t>
      </w:r>
      <w:r w:rsidR="00F02695">
        <w:t xml:space="preserve">inovasyon </w:t>
      </w:r>
      <w:r>
        <w:t>ve teknoloji alanlarında cazip fırsatlar da sunuyor.</w:t>
      </w:r>
    </w:p>
    <w:p w14:paraId="62E961AE" w14:textId="77777777" w:rsidR="00C76008" w:rsidRDefault="00C76008" w:rsidP="00C76008">
      <w:pPr>
        <w:autoSpaceDE w:val="0"/>
        <w:autoSpaceDN w:val="0"/>
        <w:adjustRightInd w:val="0"/>
        <w:rPr>
          <w:rFonts w:cs="Segoe UI"/>
          <w:bCs/>
          <w:szCs w:val="22"/>
        </w:rPr>
      </w:pPr>
    </w:p>
    <w:p w14:paraId="7B2072E3" w14:textId="2C1E3DEC" w:rsidR="00C76008" w:rsidRPr="00C76008" w:rsidRDefault="00C76008" w:rsidP="00C76008">
      <w:pPr>
        <w:autoSpaceDE w:val="0"/>
        <w:autoSpaceDN w:val="0"/>
        <w:adjustRightInd w:val="0"/>
        <w:rPr>
          <w:rFonts w:cs="Segoe UI"/>
          <w:bCs/>
          <w:szCs w:val="22"/>
        </w:rPr>
      </w:pPr>
      <w:r>
        <w:t xml:space="preserve">Yıllık yaklaşık 270 milyon Euro </w:t>
      </w:r>
      <w:r w:rsidR="007C14E2">
        <w:t xml:space="preserve">değerinde </w:t>
      </w:r>
      <w:r>
        <w:t>satış</w:t>
      </w:r>
      <w:r w:rsidR="007C14E2">
        <w:t>a</w:t>
      </w:r>
      <w:r>
        <w:t xml:space="preserve"> </w:t>
      </w:r>
      <w:r w:rsidR="006342D2">
        <w:t>sahip olan</w:t>
      </w:r>
      <w:r>
        <w:t xml:space="preserve"> </w:t>
      </w:r>
      <w:r>
        <w:rPr>
          <w:b/>
          <w:bCs/>
        </w:rPr>
        <w:t>ATP Adhesive Systems</w:t>
      </w:r>
      <w:r>
        <w:t xml:space="preserve">’in satın alınmasıyla Henkel, portföyünü sıvı teknolojilerin ötesine </w:t>
      </w:r>
      <w:r w:rsidR="006342D2">
        <w:t xml:space="preserve">doğru </w:t>
      </w:r>
      <w:r>
        <w:t>genişletiyor ve yüksek performanslı</w:t>
      </w:r>
      <w:r w:rsidR="006342D2">
        <w:t>,</w:t>
      </w:r>
      <w:r>
        <w:t xml:space="preserve"> su bazlı</w:t>
      </w:r>
      <w:r w:rsidR="006342D2">
        <w:t xml:space="preserve"> ve</w:t>
      </w:r>
      <w:r>
        <w:t xml:space="preserve"> özel amaçlı bantlar için yeni bir büyüme platformu oluşturuyor. Bu, </w:t>
      </w:r>
      <w:r>
        <w:lastRenderedPageBreak/>
        <w:t xml:space="preserve">yıllık yaklaşık yüzde 7 oranında büyümesi beklenen son derece cazip bir </w:t>
      </w:r>
      <w:r w:rsidR="006342D2">
        <w:t>p</w:t>
      </w:r>
      <w:r>
        <w:t>azar</w:t>
      </w:r>
      <w:r w:rsidR="006342D2">
        <w:t xml:space="preserve"> anlamına geliyor</w:t>
      </w:r>
      <w:r>
        <w:t>. Su bazlı</w:t>
      </w:r>
      <w:r w:rsidR="006342D2">
        <w:t xml:space="preserve"> ve</w:t>
      </w:r>
      <w:r>
        <w:t xml:space="preserve"> özel amaçlı bantların, solvent bazlı çözümlere kıyasla daha sürdürülebilir bir alternatif olarak</w:t>
      </w:r>
      <w:r w:rsidR="006342D2">
        <w:t>,</w:t>
      </w:r>
      <w:r>
        <w:t xml:space="preserve"> pazar paylarını artırdığı görülüyor.</w:t>
      </w:r>
      <w:r w:rsidR="00940656">
        <w:t xml:space="preserve"> Bu bantlar,</w:t>
      </w:r>
      <w:r>
        <w:t xml:space="preserve"> </w:t>
      </w:r>
      <w:r w:rsidR="00940656">
        <w:t>u</w:t>
      </w:r>
      <w:r>
        <w:t xml:space="preserve">çucu organik bileşik (VOC) emisyonlarını yüzde 90 </w:t>
      </w:r>
      <w:r w:rsidR="00DF3AB5">
        <w:t xml:space="preserve">oranında </w:t>
      </w:r>
      <w:r>
        <w:t>azaltmaya ve karbon ayak izini yüzde 60’a varan oranlarda düşürmeye yardımcı olabilirler. ATP’nin özel amaçlı bantları, örneğin otomotiv sektöründe gelişmiş sürü</w:t>
      </w:r>
      <w:r w:rsidR="00DF3AB5">
        <w:t>cü</w:t>
      </w:r>
      <w:r>
        <w:t xml:space="preserve"> destek sistemlerinde kullanılmaktadır. Bu satın alma, Henkel’in inovasyon kapasitesini de güçlendirmekte, cazip çapraz satış fırsatları yaratmakta ve Gru</w:t>
      </w:r>
      <w:r w:rsidR="00DF3AB5">
        <w:t>p</w:t>
      </w:r>
      <w:r w:rsidR="00031647">
        <w:t>’</w:t>
      </w:r>
      <w:r>
        <w:t>un sürdürülebilir yapıştırıcı çözümleri pazarındaki konumunu daha da sağlamlaştırmaktadır.</w:t>
      </w:r>
    </w:p>
    <w:p w14:paraId="37C82585" w14:textId="77777777" w:rsidR="00754FF6" w:rsidRDefault="00754FF6" w:rsidP="00CD223C">
      <w:pPr>
        <w:rPr>
          <w:rFonts w:cs="Segoe UI"/>
          <w:bCs/>
          <w:szCs w:val="22"/>
        </w:rPr>
      </w:pPr>
    </w:p>
    <w:p w14:paraId="5FE9F64E" w14:textId="45D739AE" w:rsidR="00CD223C" w:rsidRPr="00293E0F" w:rsidRDefault="00C76008" w:rsidP="00CD223C">
      <w:pPr>
        <w:rPr>
          <w:rFonts w:cs="Segoe UI"/>
          <w:bCs/>
          <w:szCs w:val="22"/>
        </w:rPr>
      </w:pPr>
      <w:r>
        <w:t xml:space="preserve">Henkel, yakın zamanda gerçekleştirilen satın almaların içinde bulunulan mali yılda satışlara ve kârlılığa ilk olumlu katkılarını yapmasını bekliyor. 2026'da, </w:t>
      </w:r>
      <w:r w:rsidR="00B324B0">
        <w:t>satın alımların</w:t>
      </w:r>
      <w:r w:rsidR="008A6664">
        <w:t>,</w:t>
      </w:r>
      <w:r>
        <w:t xml:space="preserve"> satışlara yaklaşık 700 milyon Euro katkıda bulunması bekleniyor.</w:t>
      </w:r>
      <w:r w:rsidRPr="00211BA0">
        <w:rPr>
          <w:rStyle w:val="FootnoteReference"/>
          <w:rFonts w:cs="Segoe UI"/>
          <w:lang w:val="de-DE" w:eastAsia="de-DE"/>
        </w:rPr>
        <w:footnoteReference w:id="2"/>
      </w:r>
      <w:r>
        <w:t xml:space="preserve"> Geleceğe dönük olarak</w:t>
      </w:r>
      <w:r w:rsidR="008D318C">
        <w:t xml:space="preserve"> ise</w:t>
      </w:r>
      <w:r>
        <w:t xml:space="preserve">, </w:t>
      </w:r>
      <w:r w:rsidR="008D318C">
        <w:t xml:space="preserve">bu </w:t>
      </w:r>
      <w:r>
        <w:t>beş satın almanın orta ila yüksek tek haneli yüzdeler</w:t>
      </w:r>
      <w:r w:rsidR="008D318C">
        <w:t xml:space="preserve"> ile</w:t>
      </w:r>
      <w:r w:rsidR="00721D00">
        <w:t>,</w:t>
      </w:r>
      <w:r>
        <w:t xml:space="preserve"> </w:t>
      </w:r>
      <w:r w:rsidR="008D318C">
        <w:t xml:space="preserve">ortalamanın üzerinde bir büyümeye </w:t>
      </w:r>
      <w:r>
        <w:t>katkı sağlaması ve toplam satış</w:t>
      </w:r>
      <w:r w:rsidR="008D318C">
        <w:t xml:space="preserve"> değerlerinin</w:t>
      </w:r>
      <w:r>
        <w:t xml:space="preserve"> 2030 yılına kadar yaklaşık 2 milyar Euro'ya ulaşması bekleniyor. Kârlılık açısından Henkel, bu satın almaların 2030 yılına kadar imtiyazlı hisse senedi başına kâr</w:t>
      </w:r>
      <w:r w:rsidR="00721D00">
        <w:t>lılığ</w:t>
      </w:r>
      <w:r>
        <w:t>a en az yüzde 10 oranında katkı sağlamasını bekliyor.</w:t>
      </w:r>
    </w:p>
    <w:p w14:paraId="4DFD3C6C" w14:textId="77777777" w:rsidR="00211BA0" w:rsidRPr="009C6158" w:rsidRDefault="00211BA0" w:rsidP="00C76008">
      <w:pPr>
        <w:rPr>
          <w:rFonts w:cs="Segoe UI"/>
          <w:bCs/>
          <w:szCs w:val="22"/>
        </w:rPr>
      </w:pPr>
    </w:p>
    <w:p w14:paraId="2F2FD7C3" w14:textId="3659E8BE" w:rsidR="00E83A6D" w:rsidRPr="00DC34C4" w:rsidRDefault="00E83A6D" w:rsidP="00E83A6D">
      <w:pPr>
        <w:spacing w:after="80"/>
        <w:ind w:right="-108"/>
        <w:jc w:val="left"/>
        <w:rPr>
          <w:rFonts w:asciiTheme="majorHAnsi" w:hAnsiTheme="majorHAnsi" w:cstheme="majorHAnsi"/>
          <w:b/>
          <w:szCs w:val="22"/>
        </w:rPr>
      </w:pPr>
      <w:bookmarkStart w:id="6" w:name="_Hlk190182989"/>
      <w:r>
        <w:rPr>
          <w:rFonts w:asciiTheme="majorHAnsi" w:hAnsiTheme="majorHAnsi"/>
          <w:b/>
        </w:rPr>
        <w:t xml:space="preserve">2026 </w:t>
      </w:r>
      <w:r w:rsidR="008E30DD">
        <w:rPr>
          <w:rFonts w:asciiTheme="majorHAnsi" w:hAnsiTheme="majorHAnsi"/>
          <w:b/>
        </w:rPr>
        <w:t>M</w:t>
      </w:r>
      <w:r>
        <w:rPr>
          <w:rFonts w:asciiTheme="majorHAnsi" w:hAnsiTheme="majorHAnsi"/>
          <w:b/>
        </w:rPr>
        <w:t xml:space="preserve">ali </w:t>
      </w:r>
      <w:r w:rsidR="008E30DD">
        <w:rPr>
          <w:rFonts w:asciiTheme="majorHAnsi" w:hAnsiTheme="majorHAnsi"/>
          <w:b/>
        </w:rPr>
        <w:t>Y</w:t>
      </w:r>
      <w:r>
        <w:rPr>
          <w:rFonts w:asciiTheme="majorHAnsi" w:hAnsiTheme="majorHAnsi"/>
          <w:b/>
        </w:rPr>
        <w:t xml:space="preserve">ılı </w:t>
      </w:r>
      <w:r w:rsidR="008E30DD">
        <w:rPr>
          <w:rFonts w:asciiTheme="majorHAnsi" w:hAnsiTheme="majorHAnsi"/>
          <w:b/>
        </w:rPr>
        <w:t>İ</w:t>
      </w:r>
      <w:r>
        <w:rPr>
          <w:rFonts w:asciiTheme="majorHAnsi" w:hAnsiTheme="majorHAnsi"/>
          <w:b/>
        </w:rPr>
        <w:t xml:space="preserve">çin </w:t>
      </w:r>
      <w:r w:rsidR="008E30DD">
        <w:rPr>
          <w:rFonts w:asciiTheme="majorHAnsi" w:hAnsiTheme="majorHAnsi"/>
          <w:b/>
        </w:rPr>
        <w:t>Ö</w:t>
      </w:r>
      <w:r>
        <w:rPr>
          <w:rFonts w:asciiTheme="majorHAnsi" w:hAnsiTheme="majorHAnsi"/>
          <w:b/>
        </w:rPr>
        <w:t xml:space="preserve">ngörü: Grup ve Yapıştırıcı Teknolojileri </w:t>
      </w:r>
      <w:r w:rsidR="008E30DD">
        <w:rPr>
          <w:rFonts w:asciiTheme="majorHAnsi" w:hAnsiTheme="majorHAnsi"/>
          <w:b/>
        </w:rPr>
        <w:t>İ</w:t>
      </w:r>
      <w:r>
        <w:rPr>
          <w:rFonts w:asciiTheme="majorHAnsi" w:hAnsiTheme="majorHAnsi"/>
          <w:b/>
        </w:rPr>
        <w:t xml:space="preserve">çin </w:t>
      </w:r>
      <w:r w:rsidR="008E30DD">
        <w:rPr>
          <w:rFonts w:asciiTheme="majorHAnsi" w:hAnsiTheme="majorHAnsi"/>
          <w:b/>
        </w:rPr>
        <w:t>C</w:t>
      </w:r>
      <w:r>
        <w:rPr>
          <w:rFonts w:asciiTheme="majorHAnsi" w:hAnsiTheme="majorHAnsi"/>
          <w:b/>
        </w:rPr>
        <w:t xml:space="preserve">iro </w:t>
      </w:r>
      <w:r w:rsidR="008E30DD">
        <w:rPr>
          <w:rFonts w:asciiTheme="majorHAnsi" w:hAnsiTheme="majorHAnsi"/>
          <w:b/>
        </w:rPr>
        <w:t>B</w:t>
      </w:r>
      <w:r>
        <w:rPr>
          <w:rFonts w:asciiTheme="majorHAnsi" w:hAnsiTheme="majorHAnsi"/>
          <w:b/>
        </w:rPr>
        <w:t xml:space="preserve">eklentileri </w:t>
      </w:r>
      <w:r w:rsidR="00835F4A">
        <w:rPr>
          <w:rFonts w:asciiTheme="majorHAnsi" w:hAnsiTheme="majorHAnsi"/>
          <w:b/>
        </w:rPr>
        <w:t xml:space="preserve">Yükseltildi </w:t>
      </w:r>
    </w:p>
    <w:p w14:paraId="3AFD25E5" w14:textId="7E005EA0" w:rsidR="0061561D" w:rsidRDefault="008B00CA" w:rsidP="00E83A6D">
      <w:pPr>
        <w:rPr>
          <w:rFonts w:cs="Segoe UI"/>
          <w:szCs w:val="22"/>
        </w:rPr>
      </w:pPr>
      <w:r>
        <w:t xml:space="preserve">Yılın ilk yarısındaki güçlü performansa dayanarak Henkel, hem Grup hem de Yapıştırıcı Teknolojileri </w:t>
      </w:r>
      <w:r w:rsidR="008E30DD">
        <w:t>İ</w:t>
      </w:r>
      <w:r>
        <w:t xml:space="preserve">ş </w:t>
      </w:r>
      <w:r w:rsidR="008E30DD">
        <w:t>B</w:t>
      </w:r>
      <w:r>
        <w:t xml:space="preserve">irimi için </w:t>
      </w:r>
      <w:r w:rsidR="008E30DD">
        <w:t>ciro</w:t>
      </w:r>
      <w:r>
        <w:t xml:space="preserve"> beklentilerini </w:t>
      </w:r>
      <w:r w:rsidR="00F34F9B">
        <w:t>yükseltmiş</w:t>
      </w:r>
      <w:r w:rsidR="008E30DD">
        <w:t>,</w:t>
      </w:r>
      <w:r>
        <w:t xml:space="preserve"> buna karşılık sabit kur</w:t>
      </w:r>
      <w:r w:rsidR="008E30DD">
        <w:t xml:space="preserve"> ile</w:t>
      </w:r>
      <w:r>
        <w:t xml:space="preserve"> düzeltilmiş VFÖK marjı ve düzeltilmiş EPS</w:t>
      </w:r>
      <w:r w:rsidR="008E30DD">
        <w:t xml:space="preserve"> (imtiyazlı hisse senedi başına</w:t>
      </w:r>
      <w:r>
        <w:t xml:space="preserve"> </w:t>
      </w:r>
      <w:r w:rsidR="00390532" w:rsidRPr="00390532">
        <w:t>kâr</w:t>
      </w:r>
      <w:r w:rsidR="00390532">
        <w:t xml:space="preserve">lılık) </w:t>
      </w:r>
      <w:r>
        <w:t>artışına ilişkin beklentilerini değiştirmemiştir.</w:t>
      </w:r>
    </w:p>
    <w:p w14:paraId="4CF8E151" w14:textId="77777777" w:rsidR="0061561D" w:rsidRDefault="0061561D" w:rsidP="00E83A6D">
      <w:pPr>
        <w:rPr>
          <w:rFonts w:cs="Segoe UI"/>
          <w:szCs w:val="22"/>
        </w:rPr>
      </w:pPr>
    </w:p>
    <w:p w14:paraId="13C33C91" w14:textId="4018BFD3" w:rsidR="00E83A6D" w:rsidRPr="00E83A6D" w:rsidRDefault="00E83A6D" w:rsidP="00E83A6D">
      <w:pPr>
        <w:rPr>
          <w:rFonts w:cs="Segoe UI"/>
          <w:szCs w:val="22"/>
        </w:rPr>
      </w:pPr>
      <w:r>
        <w:t xml:space="preserve">Henkel, bu yıl için </w:t>
      </w:r>
      <w:r>
        <w:rPr>
          <w:b/>
          <w:bCs/>
        </w:rPr>
        <w:t>organik satış büyümesinin</w:t>
      </w:r>
      <w:r>
        <w:t xml:space="preserve"> yüzde 1,5 ile 3,5 aralığında olmasını beklemektedir (</w:t>
      </w:r>
      <w:r w:rsidR="00390532">
        <w:t>Ö</w:t>
      </w:r>
      <w:r>
        <w:t xml:space="preserve">nceki öngörü: </w:t>
      </w:r>
      <w:r w:rsidR="00390532">
        <w:t>Y</w:t>
      </w:r>
      <w:r>
        <w:t xml:space="preserve">üzde 1,0 ile 3,0 aralığında). Yapıştırıcı Teknolojileri </w:t>
      </w:r>
      <w:r w:rsidR="00390532">
        <w:t>İ</w:t>
      </w:r>
      <w:r>
        <w:t xml:space="preserve">ş </w:t>
      </w:r>
      <w:r w:rsidR="00390532">
        <w:t>B</w:t>
      </w:r>
      <w:r>
        <w:t>irimi için organik satış büyümesinin yüzde 2,0 ile 4,0 ara</w:t>
      </w:r>
      <w:r w:rsidR="00390532">
        <w:t>lığında</w:t>
      </w:r>
      <w:r>
        <w:t xml:space="preserve"> gerçekleşmesi öngörülüyor (</w:t>
      </w:r>
      <w:r w:rsidR="00390532">
        <w:t>Ö</w:t>
      </w:r>
      <w:r>
        <w:t xml:space="preserve">nceki öngörü: </w:t>
      </w:r>
      <w:r w:rsidR="00390532">
        <w:t>Y</w:t>
      </w:r>
      <w:r>
        <w:t xml:space="preserve">üzde 1,0 ile 3,0 aralığında). </w:t>
      </w:r>
      <w:r w:rsidR="00390532">
        <w:t xml:space="preserve">Henkel, </w:t>
      </w:r>
      <w:r>
        <w:t xml:space="preserve">Tüketici Markaları için yüzde 0,5 </w:t>
      </w:r>
      <w:r w:rsidR="00390532">
        <w:t>ile</w:t>
      </w:r>
      <w:r>
        <w:t xml:space="preserve"> 2,5 aralığında organik satış artışı öngörüsünü sürdürüyor. </w:t>
      </w:r>
    </w:p>
    <w:p w14:paraId="100C5C2D" w14:textId="77777777" w:rsidR="00E83A6D" w:rsidRDefault="00E83A6D" w:rsidP="00E83A6D">
      <w:pPr>
        <w:rPr>
          <w:rFonts w:cs="Segoe UI"/>
          <w:szCs w:val="22"/>
        </w:rPr>
      </w:pPr>
    </w:p>
    <w:p w14:paraId="43F73761" w14:textId="1083CCCF" w:rsidR="00E83A6D" w:rsidRDefault="00E83A6D" w:rsidP="00E83A6D">
      <w:pPr>
        <w:rPr>
          <w:rFonts w:cs="Segoe UI"/>
          <w:szCs w:val="22"/>
        </w:rPr>
      </w:pPr>
      <w:r>
        <w:rPr>
          <w:b/>
          <w:bCs/>
        </w:rPr>
        <w:t>Düzeltilmiş satış kazancının</w:t>
      </w:r>
      <w:r>
        <w:t xml:space="preserve"> (düzeltilmiş VFÖK marjı) yüzde 14,5 </w:t>
      </w:r>
      <w:r w:rsidR="00390532">
        <w:t>ile</w:t>
      </w:r>
      <w:r>
        <w:t xml:space="preserve"> 16,0 aralığında gerçekleşmesi bekleniyor. Düzeltilmiş satış kazancının Yapıştırıcı Teknolojileri</w:t>
      </w:r>
      <w:r w:rsidR="00390532">
        <w:t>’</w:t>
      </w:r>
      <w:r>
        <w:t>nde yüzde 16,5 ile 18,0 aralığında, Tüketici Markaları</w:t>
      </w:r>
      <w:r w:rsidR="00390532">
        <w:t>’</w:t>
      </w:r>
      <w:r>
        <w:t xml:space="preserve">nda ise yüzde 14,0 ile 15,5 aralığında gerçekleşmesi bekleniyor. </w:t>
      </w:r>
    </w:p>
    <w:p w14:paraId="312FBE80" w14:textId="77777777" w:rsidR="00E83A6D" w:rsidRPr="00E83A6D" w:rsidRDefault="00E83A6D" w:rsidP="00E83A6D">
      <w:pPr>
        <w:rPr>
          <w:rFonts w:cs="Segoe UI"/>
          <w:szCs w:val="22"/>
        </w:rPr>
      </w:pPr>
    </w:p>
    <w:p w14:paraId="5292E09C" w14:textId="76A78D51" w:rsidR="00E83A6D" w:rsidRPr="0056743F" w:rsidRDefault="00E83A6D" w:rsidP="00E83A6D">
      <w:pPr>
        <w:rPr>
          <w:rFonts w:cs="Segoe UI"/>
          <w:szCs w:val="22"/>
        </w:rPr>
      </w:pPr>
      <w:r w:rsidRPr="0056743F">
        <w:rPr>
          <w:szCs w:val="22"/>
        </w:rPr>
        <w:lastRenderedPageBreak/>
        <w:t>Sabit kur</w:t>
      </w:r>
      <w:r w:rsidR="0056743F" w:rsidRPr="0056743F">
        <w:rPr>
          <w:szCs w:val="22"/>
        </w:rPr>
        <w:t xml:space="preserve"> ile</w:t>
      </w:r>
      <w:r w:rsidRPr="0056743F">
        <w:rPr>
          <w:szCs w:val="22"/>
        </w:rPr>
        <w:t xml:space="preserve"> </w:t>
      </w:r>
      <w:r w:rsidRPr="0056743F">
        <w:rPr>
          <w:b/>
          <w:bCs/>
          <w:szCs w:val="22"/>
        </w:rPr>
        <w:t>imtiyazlı hisse senedi başına k</w:t>
      </w:r>
      <w:r w:rsidR="00115393" w:rsidRPr="00115393">
        <w:rPr>
          <w:b/>
          <w:bCs/>
          <w:szCs w:val="22"/>
        </w:rPr>
        <w:t>â</w:t>
      </w:r>
      <w:r w:rsidRPr="0056743F">
        <w:rPr>
          <w:b/>
          <w:bCs/>
          <w:szCs w:val="22"/>
        </w:rPr>
        <w:t>rlılığın (EPS)</w:t>
      </w:r>
      <w:r w:rsidRPr="0056743F">
        <w:rPr>
          <w:szCs w:val="22"/>
        </w:rPr>
        <w:t xml:space="preserve"> düşük ila yüksek tek haneli yüzdelerde artması beklen</w:t>
      </w:r>
      <w:r w:rsidR="0056743F" w:rsidRPr="00D523BD">
        <w:rPr>
          <w:szCs w:val="22"/>
        </w:rPr>
        <w:t>mektedir.</w:t>
      </w:r>
    </w:p>
    <w:p w14:paraId="3E57D116" w14:textId="77777777" w:rsidR="00E83A6D" w:rsidRPr="0056743F" w:rsidRDefault="00E83A6D" w:rsidP="00E83A6D">
      <w:pPr>
        <w:rPr>
          <w:rFonts w:cs="Segoe UI"/>
          <w:szCs w:val="22"/>
        </w:rPr>
      </w:pPr>
    </w:p>
    <w:p w14:paraId="108B3DB6" w14:textId="3F149B76" w:rsidR="00E83A6D" w:rsidRPr="00C053B6" w:rsidRDefault="0056743F" w:rsidP="00E83A6D">
      <w:pPr>
        <w:rPr>
          <w:szCs w:val="22"/>
        </w:rPr>
      </w:pPr>
      <w:r w:rsidRPr="00C053B6">
        <w:rPr>
          <w:szCs w:val="22"/>
        </w:rPr>
        <w:t xml:space="preserve">Carsten Knobel sözlerini </w:t>
      </w:r>
      <w:r w:rsidR="00E83A6D" w:rsidRPr="00C053B6">
        <w:rPr>
          <w:szCs w:val="22"/>
        </w:rPr>
        <w:t xml:space="preserve">"2026’nın ilk yarısındaki çok güçlü </w:t>
      </w:r>
      <w:r w:rsidRPr="00C053B6">
        <w:rPr>
          <w:szCs w:val="22"/>
        </w:rPr>
        <w:t xml:space="preserve">iş </w:t>
      </w:r>
      <w:r w:rsidR="00E83A6D" w:rsidRPr="00C053B6">
        <w:rPr>
          <w:szCs w:val="22"/>
        </w:rPr>
        <w:t>performans</w:t>
      </w:r>
      <w:r w:rsidRPr="00C053B6">
        <w:rPr>
          <w:szCs w:val="22"/>
        </w:rPr>
        <w:t>ı</w:t>
      </w:r>
      <w:r w:rsidR="00E83A6D" w:rsidRPr="00C053B6">
        <w:rPr>
          <w:szCs w:val="22"/>
        </w:rPr>
        <w:t>; güçlü organik satış büyümesinin yanı</w:t>
      </w:r>
      <w:r>
        <w:rPr>
          <w:szCs w:val="22"/>
        </w:rPr>
        <w:t xml:space="preserve"> sıra</w:t>
      </w:r>
      <w:r w:rsidR="00E83A6D" w:rsidRPr="00C053B6">
        <w:rPr>
          <w:szCs w:val="22"/>
        </w:rPr>
        <w:t xml:space="preserve"> marj ve kârlılıktaki </w:t>
      </w:r>
      <w:r>
        <w:rPr>
          <w:szCs w:val="22"/>
        </w:rPr>
        <w:t xml:space="preserve">daha fazla </w:t>
      </w:r>
      <w:r w:rsidR="00E83A6D" w:rsidRPr="00C053B6">
        <w:rPr>
          <w:szCs w:val="22"/>
        </w:rPr>
        <w:t xml:space="preserve">iyileşme ile de kendini göstermiş ve Henkel’in dönüşümünün </w:t>
      </w:r>
      <w:r>
        <w:rPr>
          <w:szCs w:val="22"/>
        </w:rPr>
        <w:t>sonuç</w:t>
      </w:r>
      <w:r w:rsidR="00E83A6D" w:rsidRPr="00C053B6">
        <w:rPr>
          <w:szCs w:val="22"/>
        </w:rPr>
        <w:t xml:space="preserve"> verdiğini ortaya koymuştur. Uzun vadeli rekabet gücümüzü daha da pekiştirmek ve gelecekteki başarı</w:t>
      </w:r>
      <w:r>
        <w:rPr>
          <w:szCs w:val="22"/>
        </w:rPr>
        <w:t>lar için şirketi konumlandırmak</w:t>
      </w:r>
      <w:r w:rsidR="00E83A6D" w:rsidRPr="00C053B6">
        <w:rPr>
          <w:szCs w:val="22"/>
        </w:rPr>
        <w:t xml:space="preserve"> </w:t>
      </w:r>
      <w:r>
        <w:rPr>
          <w:szCs w:val="22"/>
        </w:rPr>
        <w:t xml:space="preserve">amacıyla </w:t>
      </w:r>
      <w:r w:rsidR="00E83A6D" w:rsidRPr="00C053B6">
        <w:rPr>
          <w:szCs w:val="22"/>
        </w:rPr>
        <w:t xml:space="preserve">bu dönüşümü sürdüreceğiz. </w:t>
      </w:r>
      <w:r w:rsidR="00EF74EC">
        <w:rPr>
          <w:szCs w:val="22"/>
        </w:rPr>
        <w:t xml:space="preserve">Henkel’i başarılı bir gelecek için dönüştürüyoruz </w:t>
      </w:r>
      <w:r w:rsidR="00E83A6D" w:rsidRPr="00C053B6">
        <w:rPr>
          <w:szCs w:val="22"/>
        </w:rPr>
        <w:t>ve net bir stratejiyle daha da kârlı büyüme için doğru yoldayız</w:t>
      </w:r>
      <w:r w:rsidR="00EF74EC">
        <w:rPr>
          <w:szCs w:val="22"/>
        </w:rPr>
        <w:t>.</w:t>
      </w:r>
      <w:r w:rsidR="00E83A6D" w:rsidRPr="00C053B6">
        <w:rPr>
          <w:szCs w:val="22"/>
        </w:rPr>
        <w:t xml:space="preserve">" </w:t>
      </w:r>
      <w:r w:rsidRPr="00C053B6">
        <w:rPr>
          <w:szCs w:val="22"/>
        </w:rPr>
        <w:t>şeklinde sonlandırdı.</w:t>
      </w:r>
    </w:p>
    <w:p w14:paraId="343679C4" w14:textId="77777777" w:rsidR="0056743F" w:rsidRPr="00A0756E" w:rsidRDefault="0056743F" w:rsidP="00E83A6D">
      <w:pPr>
        <w:rPr>
          <w:rFonts w:cs="Segoe UI"/>
          <w:sz w:val="20"/>
          <w:szCs w:val="20"/>
        </w:rPr>
      </w:pPr>
    </w:p>
    <w:bookmarkEnd w:id="6"/>
    <w:p w14:paraId="1DFB84A0" w14:textId="77777777" w:rsidR="00A0756E" w:rsidRDefault="00A0756E" w:rsidP="00A0756E">
      <w:pPr>
        <w:rPr>
          <w:rFonts w:cs="Segoe UI"/>
          <w:b/>
          <w:bCs/>
        </w:rPr>
      </w:pPr>
      <w:r>
        <w:rPr>
          <w:rFonts w:cs="Segoe UI"/>
          <w:b/>
          <w:bCs/>
        </w:rPr>
        <w:t xml:space="preserve">Henkel Hakkında </w:t>
      </w:r>
    </w:p>
    <w:p w14:paraId="551BBB4D" w14:textId="72CF08F8" w:rsidR="00A0756E" w:rsidRPr="0013641F" w:rsidRDefault="00A0756E" w:rsidP="00A0756E">
      <w:pPr>
        <w:rPr>
          <w:rFonts w:cs="Segoe UI"/>
          <w:szCs w:val="22"/>
        </w:rPr>
      </w:pPr>
      <w:r>
        <w:rPr>
          <w:rFonts w:cs="Segoe UI"/>
        </w:rPr>
        <w:t>Markaları, inovasyonları ve teknolojileri ile Henkel, endüstriyel ve tüketici iş birimlerinde, dünya genelindeki pazarlarda lider konumlara sahiptir. Henkel’in Yapıştırıcı Teknolojileri İş Birimi; yapıştırıcılar, yalıtım malzemeleri ve kaplamalar pazarlarında global bir liderdir. Tüketici Markaları İş Birimi, özellikle Çamaşır ve Ev Bakım ile Saç iş alanları olmak üzere, dünya genelinde pek çok pazar ve kategoride lider konumlarda bulunmaktadır. Henkel’in en büyük üç markası Loctite, Persil ve Schwarzkopf markalarıdır. 2025 mali yılında Henkel, yaklaşık 20,5 milyar Euro satış ve yaklaşık 3,0 milyar Euro düzeltilmiş faaliyet k</w:t>
      </w:r>
      <w:r w:rsidR="00115393" w:rsidRPr="00115393">
        <w:rPr>
          <w:rFonts w:cs="Segoe UI"/>
        </w:rPr>
        <w:t>â</w:t>
      </w:r>
      <w:r>
        <w:rPr>
          <w:rFonts w:cs="Segoe UI"/>
        </w:rPr>
        <w:t xml:space="preserve">rı bildirmiştir. Henkel’in imtiyazlı hisse senetleri, Almanya DAX borsa endeksine kayıtlıdır. Sürdürülebilirlik, Henkel’in köklü geleneğinin önemli bir bileşenidir ve şirket somut hedefler doğrultusunda hayata geçirdiği net bir sürdürülebilirlik stratejisine sahiptir. 1876’da kurulmuş olan Henkel, bugün dünyanın dört bir yanında güçlü bir şirket kültürü ile bir araya gelen, ortak değerlerde birleşen ve “Pioneers at heart for the good of generations” (Gelecek Nesiller İçin İyiliğe Öncülük Ediyoruz) amacında buluşan yaklaşık 50.000 kişiyi istihdam etmektedir. </w:t>
      </w:r>
      <w:r w:rsidR="003261B6" w:rsidRPr="00D523BD">
        <w:rPr>
          <w:rFonts w:cs="Segoe UI"/>
          <w:szCs w:val="22"/>
        </w:rPr>
        <w:t>Daha fazla</w:t>
      </w:r>
      <w:r w:rsidRPr="0013641F">
        <w:rPr>
          <w:rFonts w:cs="Segoe UI"/>
          <w:szCs w:val="22"/>
        </w:rPr>
        <w:t xml:space="preserve"> bilgi için </w:t>
      </w:r>
      <w:hyperlink r:id="rId12" w:history="1">
        <w:r w:rsidRPr="009E57C6">
          <w:rPr>
            <w:rStyle w:val="Hyperlink"/>
            <w:sz w:val="22"/>
            <w:szCs w:val="22"/>
            <w:lang w:val="de-DE"/>
          </w:rPr>
          <w:t>www.henkel.com</w:t>
        </w:r>
      </w:hyperlink>
      <w:r w:rsidRPr="00D523BD">
        <w:rPr>
          <w:rFonts w:cs="Segoe UI"/>
          <w:szCs w:val="22"/>
          <w:lang w:val="de-DE"/>
        </w:rPr>
        <w:t xml:space="preserve"> </w:t>
      </w:r>
      <w:r w:rsidRPr="0013641F">
        <w:rPr>
          <w:rFonts w:cs="Segoe UI"/>
          <w:szCs w:val="22"/>
        </w:rPr>
        <w:t>adresini ziyaret edebilirsiniz.</w:t>
      </w:r>
    </w:p>
    <w:p w14:paraId="33E22388" w14:textId="77777777" w:rsidR="00B312F1" w:rsidRDefault="00B312F1">
      <w:pPr>
        <w:spacing w:line="240" w:lineRule="auto"/>
        <w:jc w:val="left"/>
        <w:rPr>
          <w:rFonts w:eastAsia="PMingLiU"/>
          <w:b/>
          <w:bCs/>
          <w:sz w:val="18"/>
        </w:rPr>
      </w:pPr>
    </w:p>
    <w:p w14:paraId="25DBBED5" w14:textId="77777777" w:rsidR="00292C23" w:rsidRPr="00292C23" w:rsidRDefault="00292C23" w:rsidP="00292C23">
      <w:pPr>
        <w:rPr>
          <w:sz w:val="14"/>
          <w:szCs w:val="14"/>
        </w:rPr>
      </w:pPr>
    </w:p>
    <w:sectPr w:rsidR="00292C23" w:rsidRPr="00292C23" w:rsidSect="00C65957">
      <w:headerReference w:type="even" r:id="rId13"/>
      <w:footerReference w:type="default" r:id="rId14"/>
      <w:headerReference w:type="first" r:id="rId15"/>
      <w:footerReference w:type="first" r:id="rId16"/>
      <w:pgSz w:w="11907" w:h="16840" w:code="9"/>
      <w:pgMar w:top="1944" w:right="1411" w:bottom="1843"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C11E3" w14:textId="77777777" w:rsidR="00BB1F54" w:rsidRDefault="00BB1F54">
      <w:r>
        <w:separator/>
      </w:r>
    </w:p>
  </w:endnote>
  <w:endnote w:type="continuationSeparator" w:id="0">
    <w:p w14:paraId="0DBB3C9D" w14:textId="77777777" w:rsidR="00BB1F54" w:rsidRDefault="00BB1F54">
      <w:r>
        <w:continuationSeparator/>
      </w:r>
    </w:p>
  </w:endnote>
  <w:endnote w:type="continuationNotice" w:id="1">
    <w:p w14:paraId="21220B05" w14:textId="77777777" w:rsidR="00BB1F54" w:rsidRDefault="00BB1F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10C9" w14:textId="1F8D353A" w:rsidR="00F640D2" w:rsidRPr="00112A28" w:rsidRDefault="00F640D2" w:rsidP="00112A28">
    <w:pPr>
      <w:pStyle w:val="Footer"/>
      <w:tabs>
        <w:tab w:val="clear" w:pos="7083"/>
        <w:tab w:val="clear" w:pos="8640"/>
        <w:tab w:val="right" w:pos="9071"/>
      </w:tabs>
      <w:jc w:val="both"/>
    </w:pPr>
    <w:r>
      <w:tab/>
    </w:r>
    <w:r>
      <w:t xml:space="preserve">Sayfa </w:t>
    </w:r>
    <w:r w:rsidRPr="00BF6E82">
      <w:fldChar w:fldCharType="begin"/>
    </w:r>
    <w:r w:rsidRPr="00BF6E82">
      <w:instrText xml:space="preserve"> PAGE  \* Arabic  \* MERGEFORMAT </w:instrText>
    </w:r>
    <w:r w:rsidRPr="00BF6E82">
      <w:fldChar w:fldCharType="separate"/>
    </w:r>
    <w:r w:rsidR="00D523BD">
      <w:t>8</w:t>
    </w:r>
    <w:r w:rsidRPr="00BF6E82">
      <w:fldChar w:fldCharType="end"/>
    </w:r>
    <w:r>
      <w:t>/</w:t>
    </w:r>
    <w:fldSimple w:instr="NUMPAGES  \* Arabic  \* MERGEFORMAT">
      <w:r w:rsidR="00D523BD">
        <w:t>8</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A058E" w14:textId="4A77F117" w:rsidR="00F640D2" w:rsidRPr="00992A11" w:rsidRDefault="00F640D2" w:rsidP="00992A11">
    <w:pPr>
      <w:pStyle w:val="Footer"/>
    </w:pPr>
    <w:r>
      <w:rPr>
        <w:b/>
        <w:sz w:val="24"/>
        <w:lang w:eastAsia="tr-TR"/>
      </w:rPr>
      <mc:AlternateContent>
        <mc:Choice Requires="wps">
          <w:drawing>
            <wp:anchor distT="45720" distB="45720" distL="114300" distR="114300" simplePos="0" relativeHeight="251660290" behindDoc="0" locked="0" layoutInCell="1" allowOverlap="1" wp14:anchorId="7668DE83" wp14:editId="302D3BA8">
              <wp:simplePos x="0" y="0"/>
              <wp:positionH relativeFrom="margin">
                <wp:posOffset>0</wp:posOffset>
              </wp:positionH>
              <wp:positionV relativeFrom="paragraph">
                <wp:posOffset>45085</wp:posOffset>
              </wp:positionV>
              <wp:extent cx="5413973" cy="232834"/>
              <wp:effectExtent l="0" t="0" r="0" b="0"/>
              <wp:wrapNone/>
              <wp:docPr id="35485232" name="Textfeld 35485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973" cy="2328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15F460" w14:textId="77777777" w:rsidR="00F640D2" w:rsidRPr="00CF56F5" w:rsidRDefault="00F640D2" w:rsidP="00C016CC">
                          <w:pPr>
                            <w:pStyle w:val="He04Funote"/>
                            <w:rPr>
                              <w:sz w:val="12"/>
                              <w:szCs w:val="12"/>
                            </w:rPr>
                          </w:pPr>
                          <w:r>
                            <w:rPr>
                              <w:sz w:val="12"/>
                            </w:rPr>
                            <w:t>* Tek seferlik gider ve gelirler ile yeniden yapılandırma giderlerine göre düzeltilmiştir.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68DE83" id="_x0000_t202" coordsize="21600,21600" o:spt="202" path="m,l,21600r21600,l21600,xe">
              <v:stroke joinstyle="miter"/>
              <v:path gradientshapeok="t" o:connecttype="rect"/>
            </v:shapetype>
            <v:shape id="Textfeld 35485232" o:spid="_x0000_s1027" type="#_x0000_t202" style="position:absolute;left:0;text-align:left;margin-left:0;margin-top:3.55pt;width:426.3pt;height:18.35pt;z-index:2516602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" stroked="f">
              <v:textbox>
                <w:txbxContent>
                  <w:p w14:paraId="3815F460" w14:textId="77777777" w:rsidR="00F640D2" w:rsidRPr="00CF56F5" w:rsidRDefault="00F640D2" w:rsidP="00C016CC">
                    <w:pPr>
                      <w:pStyle w:val="He04Funote"/>
                      <w:rPr>
                        <w:sz w:val="12"/>
                        <w:szCs w:val="12"/>
                      </w:rPr>
                    </w:pPr>
                    <w:r>
                      <w:rPr>
                        <w:sz w:val="12"/>
                      </w:rPr>
                      <w:t>* Tek seferlik gider ve gelirler ile yeniden yapılandırma giderlerine göre düzeltilmiştir.</w:t>
                    </w:r>
                  </w:p>
                </w:txbxContent>
              </v:textbox>
              <w10:wrap anchorx="margin"/>
            </v:shape>
          </w:pict>
        </mc:Fallback>
      </mc:AlternateContent>
    </w:r>
    <w:r>
      <w:rPr>
        <w:lang w:eastAsia="tr-TR"/>
      </w:rPr>
      <w:drawing>
        <wp:anchor distT="0" distB="0" distL="114300" distR="114300" simplePos="0" relativeHeight="251658242" behindDoc="0" locked="0" layoutInCell="1" allowOverlap="1" wp14:anchorId="134B6F6F" wp14:editId="687DE7DE">
          <wp:simplePos x="0" y="0"/>
          <wp:positionH relativeFrom="column">
            <wp:posOffset>0</wp:posOffset>
          </wp:positionH>
          <wp:positionV relativeFrom="paragraph">
            <wp:posOffset>-365833</wp:posOffset>
          </wp:positionV>
          <wp:extent cx="4967544" cy="407963"/>
          <wp:effectExtent l="0" t="0" r="5080" b="0"/>
          <wp:wrapNone/>
          <wp:docPr id="7340495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49568" name=""/>
                  <pic:cNvPicPr/>
                </pic:nvPicPr>
                <pic:blipFill>
                  <a:blip r:embed="rId1">
                    <a:extLst>
                      <a:ext uri="{28A0092B-C50C-407E-A947-70E740481C1C}">
                        <a14:useLocalDpi xmlns:a14="http://schemas.microsoft.com/office/drawing/2010/main" val="0"/>
                      </a:ext>
                    </a:extLst>
                  </a:blip>
                  <a:stretch>
                    <a:fillRect/>
                  </a:stretch>
                </pic:blipFill>
                <pic:spPr>
                  <a:xfrm>
                    <a:off x="0" y="0"/>
                    <a:ext cx="4967544" cy="407963"/>
                  </a:xfrm>
                  <a:prstGeom prst="rect">
                    <a:avLst/>
                  </a:prstGeom>
                </pic:spPr>
              </pic:pic>
            </a:graphicData>
          </a:graphic>
          <wp14:sizeRelH relativeFrom="page">
            <wp14:pctWidth>0</wp14:pctWidth>
          </wp14:sizeRelH>
          <wp14:sizeRelV relativeFrom="page">
            <wp14:pctHeight>0</wp14:pctHeight>
          </wp14:sizeRelV>
        </wp:anchor>
      </w:drawing>
    </w:r>
    <w:r>
      <w:t xml:space="preserve">Sayfa </w:t>
    </w:r>
    <w:r w:rsidRPr="00992A11">
      <w:fldChar w:fldCharType="begin"/>
    </w:r>
    <w:r w:rsidRPr="00992A11">
      <w:instrText xml:space="preserve"> PAGE  \* Arabic  \* MERGEFORMAT </w:instrText>
    </w:r>
    <w:r w:rsidRPr="00992A11">
      <w:fldChar w:fldCharType="separate"/>
    </w:r>
    <w:r w:rsidR="00D523BD">
      <w:t>1</w:t>
    </w:r>
    <w:r w:rsidRPr="00992A11">
      <w:fldChar w:fldCharType="end"/>
    </w:r>
    <w:r>
      <w:t>/</w:t>
    </w:r>
    <w:fldSimple w:instr=" NUMPAGES  \* Arabic  \* MERGEFORMAT ">
      <w:r w:rsidR="00D523BD">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9B778" w14:textId="77777777" w:rsidR="00BB1F54" w:rsidRDefault="00BB1F54">
      <w:r>
        <w:separator/>
      </w:r>
    </w:p>
  </w:footnote>
  <w:footnote w:type="continuationSeparator" w:id="0">
    <w:p w14:paraId="6D1FF904" w14:textId="77777777" w:rsidR="00BB1F54" w:rsidRDefault="00BB1F54">
      <w:r>
        <w:continuationSeparator/>
      </w:r>
    </w:p>
  </w:footnote>
  <w:footnote w:type="continuationNotice" w:id="1">
    <w:p w14:paraId="03EA12B6" w14:textId="77777777" w:rsidR="00BB1F54" w:rsidRDefault="00BB1F54">
      <w:pPr>
        <w:spacing w:line="240" w:lineRule="auto"/>
      </w:pPr>
    </w:p>
  </w:footnote>
  <w:footnote w:id="2">
    <w:p w14:paraId="798A1A37" w14:textId="79A404DD" w:rsidR="00F640D2" w:rsidRPr="00C76008" w:rsidRDefault="00F640D2" w:rsidP="00C76008">
      <w:pPr>
        <w:pStyle w:val="FootnoteText"/>
        <w:rPr>
          <w:sz w:val="18"/>
          <w:szCs w:val="16"/>
        </w:rPr>
      </w:pPr>
      <w:r>
        <w:rPr>
          <w:rStyle w:val="FootnoteReference"/>
          <w:sz w:val="18"/>
          <w:szCs w:val="16"/>
        </w:rPr>
        <w:footnoteRef/>
      </w:r>
      <w:r>
        <w:rPr>
          <w:sz w:val="18"/>
        </w:rPr>
        <w:t xml:space="preserve"> </w:t>
      </w:r>
      <w:r w:rsidRPr="00C053B6">
        <w:rPr>
          <w:sz w:val="12"/>
          <w:szCs w:val="12"/>
        </w:rPr>
        <w:t>Henüz tamamlanmamış olan Stahl Group’un satın alınması da dâhil.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CE39" w14:textId="77777777" w:rsidR="00F640D2" w:rsidRDefault="00F640D2" w:rsidP="00112A28">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6010" w14:textId="05DAD93D" w:rsidR="00F640D2" w:rsidRPr="00EB46D9" w:rsidRDefault="00F640D2" w:rsidP="00EB46D9">
    <w:pPr>
      <w:pStyle w:val="Header"/>
    </w:pPr>
    <w:r>
      <w:rPr>
        <w:noProof/>
        <w:lang w:eastAsia="tr-TR"/>
      </w:rPr>
      <w:drawing>
        <wp:anchor distT="0" distB="0" distL="114300" distR="114300" simplePos="0" relativeHeight="251658241" behindDoc="0" locked="1" layoutInCell="1" allowOverlap="1" wp14:anchorId="5559ED3E" wp14:editId="20ECCE45">
          <wp:simplePos x="0" y="0"/>
          <wp:positionH relativeFrom="margin">
            <wp:posOffset>5036820</wp:posOffset>
          </wp:positionH>
          <wp:positionV relativeFrom="margin">
            <wp:posOffset>-1478915</wp:posOffset>
          </wp:positionV>
          <wp:extent cx="1051560" cy="603250"/>
          <wp:effectExtent l="0" t="0" r="0" b="6350"/>
          <wp:wrapNone/>
          <wp:docPr id="1653066876" name="Grafik 1653066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l="4736" t="10539" r="5063" b="12550"/>
                  <a:stretch>
                    <a:fillRect/>
                  </a:stretch>
                </pic:blipFill>
                <pic:spPr bwMode="auto">
                  <a:xfrm>
                    <a:off x="0" y="0"/>
                    <a:ext cx="1051560" cy="6032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mc:AlternateContent>
        <mc:Choice Requires="wpg">
          <w:drawing>
            <wp:anchor distT="0" distB="0" distL="114300" distR="114300" simplePos="0" relativeHeight="251658240" behindDoc="0" locked="0" layoutInCell="1" allowOverlap="1" wp14:anchorId="76D561A9" wp14:editId="7310849B">
              <wp:simplePos x="0" y="0"/>
              <wp:positionH relativeFrom="page">
                <wp:posOffset>180340</wp:posOffset>
              </wp:positionH>
              <wp:positionV relativeFrom="page">
                <wp:posOffset>3780790</wp:posOffset>
              </wp:positionV>
              <wp:extent cx="179705" cy="3780155"/>
              <wp:effectExtent l="0" t="0" r="1905" b="1143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3" name="Line 17"/>
                      <wps:cNvCnPr>
                        <a:cxnSpLocks noChangeShapeType="1"/>
                      </wps:cNvCnPr>
                      <wps:spPr bwMode="auto">
                        <a:xfrm>
                          <a:off x="0" y="5954"/>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4" name="Line 18"/>
                      <wps:cNvCnPr>
                        <a:cxnSpLocks noChangeShapeType="1"/>
                      </wps:cNvCnPr>
                      <wps:spPr bwMode="auto">
                        <a:xfrm>
                          <a:off x="0" y="8420"/>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5" name="Line 19"/>
                      <wps:cNvCnPr>
                        <a:cxnSpLocks noChangeShapeType="1"/>
                      </wps:cNvCnPr>
                      <wps:spPr bwMode="auto">
                        <a:xfrm>
                          <a:off x="0" y="11907"/>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w14:anchorId="5C8350C8" id="Group 16" o:spid="_x0000_s1026" style="position:absolute;margin-left:14.2pt;margin-top:297.7pt;width:14.15pt;height:297.65pt;z-index:251658240;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">
              <v:line id="Line 17"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" stroked="f" strokecolor="#e1000f" strokeweight=".5pt"/>
              <v:line id="Line 18"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" stroked="f" strokecolor="#e1000f" strokeweight=".5pt"/>
              <v:line id="Line 19"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" stroked="f" strokecolor="#e1000f" strokeweight=".5pt"/>
              <w10:wrap anchorx="page" anchory="page"/>
            </v:group>
          </w:pict>
        </mc:Fallback>
      </mc:AlternateContent>
    </w:r>
    <w:r>
      <w:t>Basın Bülteni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65"/>
    <w:multiLevelType w:val="hybridMultilevel"/>
    <w:tmpl w:val="4A06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0B585C"/>
    <w:multiLevelType w:val="hybridMultilevel"/>
    <w:tmpl w:val="70D4F3A4"/>
    <w:lvl w:ilvl="0" w:tplc="68061C8C">
      <w:start w:val="1"/>
      <w:numFmt w:val="bullet"/>
      <w:lvlText w:val=""/>
      <w:lvlJc w:val="left"/>
      <w:pPr>
        <w:ind w:left="1004" w:hanging="360"/>
      </w:pPr>
      <w:rPr>
        <w:rFonts w:ascii="Wingdings" w:hAnsi="Wingdings"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3F4B6752"/>
    <w:multiLevelType w:val="hybridMultilevel"/>
    <w:tmpl w:val="1DAEF754"/>
    <w:lvl w:ilvl="0" w:tplc="36002C28">
      <w:start w:val="1"/>
      <w:numFmt w:val="bullet"/>
      <w:lvlText w:val=""/>
      <w:lvlJc w:val="left"/>
      <w:pPr>
        <w:ind w:left="360" w:hanging="360"/>
      </w:pPr>
      <w:rPr>
        <w:rFonts w:ascii="Wingdings" w:hAnsi="Wingdings" w:hint="default"/>
        <w:color w:val="E1000F"/>
        <w:sz w:val="24"/>
        <w:szCs w:val="24"/>
      </w:rPr>
    </w:lvl>
    <w:lvl w:ilvl="1" w:tplc="645A6B9C">
      <w:numFmt w:val="bullet"/>
      <w:lvlText w:val="-"/>
      <w:lvlJc w:val="left"/>
      <w:pPr>
        <w:ind w:left="1080" w:hanging="360"/>
      </w:pPr>
      <w:rPr>
        <w:rFonts w:ascii="Arial" w:hAnsi="Arial" w:hint="default"/>
        <w:color w:val="FF0000"/>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40C5131F"/>
    <w:multiLevelType w:val="hybridMultilevel"/>
    <w:tmpl w:val="8F8421B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549B0C97"/>
    <w:multiLevelType w:val="hybridMultilevel"/>
    <w:tmpl w:val="DCD2F366"/>
    <w:lvl w:ilvl="0" w:tplc="53A085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BB6FB3"/>
    <w:multiLevelType w:val="hybridMultilevel"/>
    <w:tmpl w:val="FD7E88F4"/>
    <w:lvl w:ilvl="0" w:tplc="A86EF76C">
      <w:start w:val="1"/>
      <w:numFmt w:val="bullet"/>
      <w:lvlText w:val=""/>
      <w:lvlJc w:val="left"/>
      <w:pPr>
        <w:ind w:left="720" w:hanging="360"/>
      </w:pPr>
      <w:rPr>
        <w:rFonts w:ascii="Wingdings" w:hAnsi="Wingdings" w:hint="default"/>
        <w:color w:val="E1000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A89532E"/>
    <w:multiLevelType w:val="hybridMultilevel"/>
    <w:tmpl w:val="357663A0"/>
    <w:lvl w:ilvl="0" w:tplc="5FB28F00">
      <w:start w:val="1"/>
      <w:numFmt w:val="bullet"/>
      <w:lvlText w:val=""/>
      <w:lvlJc w:val="left"/>
      <w:pPr>
        <w:ind w:left="786" w:hanging="360"/>
      </w:pPr>
      <w:rPr>
        <w:rFonts w:ascii="Wingdings" w:hAnsi="Wingdings" w:hint="default"/>
        <w:sz w:val="24"/>
        <w:szCs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93710734">
    <w:abstractNumId w:val="1"/>
  </w:num>
  <w:num w:numId="2" w16cid:durableId="1094935337">
    <w:abstractNumId w:val="0"/>
  </w:num>
  <w:num w:numId="3" w16cid:durableId="210701880">
    <w:abstractNumId w:val="7"/>
  </w:num>
  <w:num w:numId="4" w16cid:durableId="2009282857">
    <w:abstractNumId w:val="4"/>
  </w:num>
  <w:num w:numId="5" w16cid:durableId="623467628">
    <w:abstractNumId w:val="2"/>
  </w:num>
  <w:num w:numId="6" w16cid:durableId="956258138">
    <w:abstractNumId w:val="5"/>
  </w:num>
  <w:num w:numId="7" w16cid:durableId="422652113">
    <w:abstractNumId w:val="3"/>
  </w:num>
  <w:num w:numId="8" w16cid:durableId="12753322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33451C"/>
    <w:rsid w:val="00000839"/>
    <w:rsid w:val="00002AA4"/>
    <w:rsid w:val="00005267"/>
    <w:rsid w:val="00005415"/>
    <w:rsid w:val="00006346"/>
    <w:rsid w:val="000069EB"/>
    <w:rsid w:val="00006A45"/>
    <w:rsid w:val="00007410"/>
    <w:rsid w:val="00011DDB"/>
    <w:rsid w:val="00013644"/>
    <w:rsid w:val="00014FC1"/>
    <w:rsid w:val="00016137"/>
    <w:rsid w:val="00017389"/>
    <w:rsid w:val="00020DC3"/>
    <w:rsid w:val="00021C67"/>
    <w:rsid w:val="00024147"/>
    <w:rsid w:val="00024483"/>
    <w:rsid w:val="000256A9"/>
    <w:rsid w:val="00026EEE"/>
    <w:rsid w:val="000301F0"/>
    <w:rsid w:val="00030557"/>
    <w:rsid w:val="00030701"/>
    <w:rsid w:val="00030F51"/>
    <w:rsid w:val="000311F4"/>
    <w:rsid w:val="00031647"/>
    <w:rsid w:val="000343EB"/>
    <w:rsid w:val="00035A84"/>
    <w:rsid w:val="0003650E"/>
    <w:rsid w:val="00037396"/>
    <w:rsid w:val="000378F9"/>
    <w:rsid w:val="00037D04"/>
    <w:rsid w:val="00040816"/>
    <w:rsid w:val="00040CC9"/>
    <w:rsid w:val="00041F81"/>
    <w:rsid w:val="000425ED"/>
    <w:rsid w:val="00045A1D"/>
    <w:rsid w:val="00045CCB"/>
    <w:rsid w:val="000471D0"/>
    <w:rsid w:val="000510FC"/>
    <w:rsid w:val="00051555"/>
    <w:rsid w:val="000517E2"/>
    <w:rsid w:val="00051E86"/>
    <w:rsid w:val="00054AFE"/>
    <w:rsid w:val="0005544E"/>
    <w:rsid w:val="00055A01"/>
    <w:rsid w:val="00055CE4"/>
    <w:rsid w:val="00056E44"/>
    <w:rsid w:val="000575F9"/>
    <w:rsid w:val="000618FC"/>
    <w:rsid w:val="00062741"/>
    <w:rsid w:val="0006442E"/>
    <w:rsid w:val="00065466"/>
    <w:rsid w:val="000665F3"/>
    <w:rsid w:val="00066A9C"/>
    <w:rsid w:val="00067071"/>
    <w:rsid w:val="00067F67"/>
    <w:rsid w:val="00070652"/>
    <w:rsid w:val="00070757"/>
    <w:rsid w:val="00071284"/>
    <w:rsid w:val="0007275A"/>
    <w:rsid w:val="00073AED"/>
    <w:rsid w:val="00073D10"/>
    <w:rsid w:val="00074439"/>
    <w:rsid w:val="000751A7"/>
    <w:rsid w:val="000759DC"/>
    <w:rsid w:val="000768FE"/>
    <w:rsid w:val="0007746E"/>
    <w:rsid w:val="00077AF9"/>
    <w:rsid w:val="00080D10"/>
    <w:rsid w:val="00081241"/>
    <w:rsid w:val="00081692"/>
    <w:rsid w:val="000818B6"/>
    <w:rsid w:val="00081EF8"/>
    <w:rsid w:val="00082417"/>
    <w:rsid w:val="0008357F"/>
    <w:rsid w:val="00083A35"/>
    <w:rsid w:val="00083A61"/>
    <w:rsid w:val="00083DAB"/>
    <w:rsid w:val="0008406B"/>
    <w:rsid w:val="00084918"/>
    <w:rsid w:val="00085A1A"/>
    <w:rsid w:val="00090DB6"/>
    <w:rsid w:val="00090E73"/>
    <w:rsid w:val="00091F11"/>
    <w:rsid w:val="00092511"/>
    <w:rsid w:val="00093255"/>
    <w:rsid w:val="00094235"/>
    <w:rsid w:val="00096AD4"/>
    <w:rsid w:val="000979FE"/>
    <w:rsid w:val="000A0598"/>
    <w:rsid w:val="000A05E0"/>
    <w:rsid w:val="000A06FB"/>
    <w:rsid w:val="000A31D3"/>
    <w:rsid w:val="000A50CF"/>
    <w:rsid w:val="000A511E"/>
    <w:rsid w:val="000A64B3"/>
    <w:rsid w:val="000A6C25"/>
    <w:rsid w:val="000B005C"/>
    <w:rsid w:val="000B10DE"/>
    <w:rsid w:val="000B2E86"/>
    <w:rsid w:val="000B576C"/>
    <w:rsid w:val="000B5D2F"/>
    <w:rsid w:val="000B5E32"/>
    <w:rsid w:val="000B6244"/>
    <w:rsid w:val="000B695A"/>
    <w:rsid w:val="000B6EF1"/>
    <w:rsid w:val="000B72A8"/>
    <w:rsid w:val="000C0715"/>
    <w:rsid w:val="000C0BD6"/>
    <w:rsid w:val="000C1254"/>
    <w:rsid w:val="000C210A"/>
    <w:rsid w:val="000C27E5"/>
    <w:rsid w:val="000C30D6"/>
    <w:rsid w:val="000C47D1"/>
    <w:rsid w:val="000C50A1"/>
    <w:rsid w:val="000C56DD"/>
    <w:rsid w:val="000C63F4"/>
    <w:rsid w:val="000C7B98"/>
    <w:rsid w:val="000D11CB"/>
    <w:rsid w:val="000D14C4"/>
    <w:rsid w:val="000D1672"/>
    <w:rsid w:val="000D178A"/>
    <w:rsid w:val="000D18CE"/>
    <w:rsid w:val="000D40C6"/>
    <w:rsid w:val="000D6C67"/>
    <w:rsid w:val="000E0CAB"/>
    <w:rsid w:val="000E1B84"/>
    <w:rsid w:val="000E21E4"/>
    <w:rsid w:val="000E2F62"/>
    <w:rsid w:val="000E38ED"/>
    <w:rsid w:val="000E45C7"/>
    <w:rsid w:val="000E67D5"/>
    <w:rsid w:val="000E755E"/>
    <w:rsid w:val="000E7F24"/>
    <w:rsid w:val="000F03BE"/>
    <w:rsid w:val="000F10AC"/>
    <w:rsid w:val="000F1757"/>
    <w:rsid w:val="000F225B"/>
    <w:rsid w:val="000F333E"/>
    <w:rsid w:val="000F3949"/>
    <w:rsid w:val="000F41BC"/>
    <w:rsid w:val="000F48E9"/>
    <w:rsid w:val="000F4DAE"/>
    <w:rsid w:val="000F7ADB"/>
    <w:rsid w:val="000F7B0C"/>
    <w:rsid w:val="000F7D43"/>
    <w:rsid w:val="000F7FAF"/>
    <w:rsid w:val="00100D8B"/>
    <w:rsid w:val="00102045"/>
    <w:rsid w:val="00102264"/>
    <w:rsid w:val="00103537"/>
    <w:rsid w:val="0010421C"/>
    <w:rsid w:val="0010465B"/>
    <w:rsid w:val="001050A1"/>
    <w:rsid w:val="001050D7"/>
    <w:rsid w:val="0010570F"/>
    <w:rsid w:val="00105975"/>
    <w:rsid w:val="00110090"/>
    <w:rsid w:val="00110407"/>
    <w:rsid w:val="0011116D"/>
    <w:rsid w:val="00111386"/>
    <w:rsid w:val="001118DF"/>
    <w:rsid w:val="00111F4D"/>
    <w:rsid w:val="001125B2"/>
    <w:rsid w:val="00112A28"/>
    <w:rsid w:val="00113571"/>
    <w:rsid w:val="00114DDF"/>
    <w:rsid w:val="00114FAA"/>
    <w:rsid w:val="00115230"/>
    <w:rsid w:val="00115393"/>
    <w:rsid w:val="00115AE1"/>
    <w:rsid w:val="00115B5F"/>
    <w:rsid w:val="001162B4"/>
    <w:rsid w:val="00116DF3"/>
    <w:rsid w:val="00122B90"/>
    <w:rsid w:val="00122CBC"/>
    <w:rsid w:val="0012414B"/>
    <w:rsid w:val="001244F8"/>
    <w:rsid w:val="001246AB"/>
    <w:rsid w:val="00124FA3"/>
    <w:rsid w:val="001255F8"/>
    <w:rsid w:val="00126AF1"/>
    <w:rsid w:val="00126C65"/>
    <w:rsid w:val="00126D4A"/>
    <w:rsid w:val="0012714C"/>
    <w:rsid w:val="001274FA"/>
    <w:rsid w:val="00131762"/>
    <w:rsid w:val="001318EB"/>
    <w:rsid w:val="00132DA9"/>
    <w:rsid w:val="0013305B"/>
    <w:rsid w:val="00133B99"/>
    <w:rsid w:val="0013569C"/>
    <w:rsid w:val="00135939"/>
    <w:rsid w:val="0013641F"/>
    <w:rsid w:val="001369E3"/>
    <w:rsid w:val="001375DD"/>
    <w:rsid w:val="00142EFB"/>
    <w:rsid w:val="001438BF"/>
    <w:rsid w:val="001443BD"/>
    <w:rsid w:val="00144A87"/>
    <w:rsid w:val="00145B62"/>
    <w:rsid w:val="00146193"/>
    <w:rsid w:val="00147E09"/>
    <w:rsid w:val="001519D2"/>
    <w:rsid w:val="00152022"/>
    <w:rsid w:val="00152026"/>
    <w:rsid w:val="00152392"/>
    <w:rsid w:val="00152A41"/>
    <w:rsid w:val="001544C3"/>
    <w:rsid w:val="00154D75"/>
    <w:rsid w:val="00156ED6"/>
    <w:rsid w:val="001577E9"/>
    <w:rsid w:val="00157A59"/>
    <w:rsid w:val="00157F37"/>
    <w:rsid w:val="0016138C"/>
    <w:rsid w:val="00162B5F"/>
    <w:rsid w:val="00162D60"/>
    <w:rsid w:val="001640D5"/>
    <w:rsid w:val="00164499"/>
    <w:rsid w:val="001653D7"/>
    <w:rsid w:val="001659FB"/>
    <w:rsid w:val="00171763"/>
    <w:rsid w:val="00171D3F"/>
    <w:rsid w:val="00172151"/>
    <w:rsid w:val="00172C99"/>
    <w:rsid w:val="001731CE"/>
    <w:rsid w:val="00173E0D"/>
    <w:rsid w:val="001742EE"/>
    <w:rsid w:val="00175C72"/>
    <w:rsid w:val="00177D1E"/>
    <w:rsid w:val="001801F6"/>
    <w:rsid w:val="00180F93"/>
    <w:rsid w:val="00181B06"/>
    <w:rsid w:val="0018672E"/>
    <w:rsid w:val="0019207C"/>
    <w:rsid w:val="001928FC"/>
    <w:rsid w:val="00193BD5"/>
    <w:rsid w:val="00194571"/>
    <w:rsid w:val="00196308"/>
    <w:rsid w:val="0019782F"/>
    <w:rsid w:val="00197E9B"/>
    <w:rsid w:val="001A1185"/>
    <w:rsid w:val="001A3D77"/>
    <w:rsid w:val="001A4A02"/>
    <w:rsid w:val="001B30F7"/>
    <w:rsid w:val="001B31F0"/>
    <w:rsid w:val="001B4862"/>
    <w:rsid w:val="001B5147"/>
    <w:rsid w:val="001B65FF"/>
    <w:rsid w:val="001B710A"/>
    <w:rsid w:val="001B771D"/>
    <w:rsid w:val="001B7C20"/>
    <w:rsid w:val="001C0890"/>
    <w:rsid w:val="001C0B32"/>
    <w:rsid w:val="001C2D66"/>
    <w:rsid w:val="001C36F7"/>
    <w:rsid w:val="001C43A5"/>
    <w:rsid w:val="001C4BE1"/>
    <w:rsid w:val="001C5338"/>
    <w:rsid w:val="001C5847"/>
    <w:rsid w:val="001C7F21"/>
    <w:rsid w:val="001D1497"/>
    <w:rsid w:val="001D5534"/>
    <w:rsid w:val="001D63D9"/>
    <w:rsid w:val="001D6B32"/>
    <w:rsid w:val="001D6F0E"/>
    <w:rsid w:val="001D7ADF"/>
    <w:rsid w:val="001E0F71"/>
    <w:rsid w:val="001E1575"/>
    <w:rsid w:val="001E160D"/>
    <w:rsid w:val="001E17FB"/>
    <w:rsid w:val="001E255E"/>
    <w:rsid w:val="001E2B9B"/>
    <w:rsid w:val="001E2C06"/>
    <w:rsid w:val="001E35BA"/>
    <w:rsid w:val="001E3A31"/>
    <w:rsid w:val="001E4393"/>
    <w:rsid w:val="001E4690"/>
    <w:rsid w:val="001E49D3"/>
    <w:rsid w:val="001E4CCB"/>
    <w:rsid w:val="001E51A6"/>
    <w:rsid w:val="001E6D05"/>
    <w:rsid w:val="001E73E8"/>
    <w:rsid w:val="001E7C28"/>
    <w:rsid w:val="001F0C14"/>
    <w:rsid w:val="001F0F3B"/>
    <w:rsid w:val="001F11A1"/>
    <w:rsid w:val="001F1AB5"/>
    <w:rsid w:val="001F1BDF"/>
    <w:rsid w:val="001F1D6D"/>
    <w:rsid w:val="001F20A0"/>
    <w:rsid w:val="001F35F8"/>
    <w:rsid w:val="001F39FC"/>
    <w:rsid w:val="001F3E04"/>
    <w:rsid w:val="001F4AC3"/>
    <w:rsid w:val="001F4CAC"/>
    <w:rsid w:val="001F52E0"/>
    <w:rsid w:val="001F590C"/>
    <w:rsid w:val="001F7110"/>
    <w:rsid w:val="001F7185"/>
    <w:rsid w:val="001F773D"/>
    <w:rsid w:val="001F7E96"/>
    <w:rsid w:val="002005F5"/>
    <w:rsid w:val="0020202E"/>
    <w:rsid w:val="00202284"/>
    <w:rsid w:val="0020528D"/>
    <w:rsid w:val="0020543B"/>
    <w:rsid w:val="00205A66"/>
    <w:rsid w:val="002063CF"/>
    <w:rsid w:val="00206613"/>
    <w:rsid w:val="00206FE2"/>
    <w:rsid w:val="0020756B"/>
    <w:rsid w:val="00207E75"/>
    <w:rsid w:val="00210A50"/>
    <w:rsid w:val="00210D86"/>
    <w:rsid w:val="0021158F"/>
    <w:rsid w:val="00211BA0"/>
    <w:rsid w:val="00212488"/>
    <w:rsid w:val="002129A6"/>
    <w:rsid w:val="002151DB"/>
    <w:rsid w:val="00220628"/>
    <w:rsid w:val="00221A45"/>
    <w:rsid w:val="00221BA0"/>
    <w:rsid w:val="00224CB4"/>
    <w:rsid w:val="002260C7"/>
    <w:rsid w:val="002304D2"/>
    <w:rsid w:val="002310E3"/>
    <w:rsid w:val="00232594"/>
    <w:rsid w:val="002338C1"/>
    <w:rsid w:val="00233D04"/>
    <w:rsid w:val="00234ABD"/>
    <w:rsid w:val="00236491"/>
    <w:rsid w:val="00236C3B"/>
    <w:rsid w:val="00236E2A"/>
    <w:rsid w:val="00237F62"/>
    <w:rsid w:val="00240D96"/>
    <w:rsid w:val="00241E10"/>
    <w:rsid w:val="00242C71"/>
    <w:rsid w:val="0024586A"/>
    <w:rsid w:val="0024601F"/>
    <w:rsid w:val="002464E3"/>
    <w:rsid w:val="0024732C"/>
    <w:rsid w:val="002502E1"/>
    <w:rsid w:val="00250C98"/>
    <w:rsid w:val="00250F80"/>
    <w:rsid w:val="0025124F"/>
    <w:rsid w:val="002518A2"/>
    <w:rsid w:val="002528B3"/>
    <w:rsid w:val="00253854"/>
    <w:rsid w:val="0025551F"/>
    <w:rsid w:val="00255F8C"/>
    <w:rsid w:val="00256174"/>
    <w:rsid w:val="002566B2"/>
    <w:rsid w:val="002569B9"/>
    <w:rsid w:val="00256F0C"/>
    <w:rsid w:val="00257231"/>
    <w:rsid w:val="00260318"/>
    <w:rsid w:val="00261C23"/>
    <w:rsid w:val="00262C05"/>
    <w:rsid w:val="002715AF"/>
    <w:rsid w:val="002717F0"/>
    <w:rsid w:val="0027214F"/>
    <w:rsid w:val="00272A38"/>
    <w:rsid w:val="0027301C"/>
    <w:rsid w:val="00273099"/>
    <w:rsid w:val="00273F11"/>
    <w:rsid w:val="00281D14"/>
    <w:rsid w:val="00282C13"/>
    <w:rsid w:val="002833D8"/>
    <w:rsid w:val="002836D7"/>
    <w:rsid w:val="00284538"/>
    <w:rsid w:val="00285669"/>
    <w:rsid w:val="002858F6"/>
    <w:rsid w:val="00286545"/>
    <w:rsid w:val="00286BF6"/>
    <w:rsid w:val="00286D3E"/>
    <w:rsid w:val="002903B7"/>
    <w:rsid w:val="002919AD"/>
    <w:rsid w:val="00292C23"/>
    <w:rsid w:val="00293E0F"/>
    <w:rsid w:val="00295E54"/>
    <w:rsid w:val="002962D7"/>
    <w:rsid w:val="00296C33"/>
    <w:rsid w:val="002A0D7B"/>
    <w:rsid w:val="002A0DF7"/>
    <w:rsid w:val="002A268C"/>
    <w:rsid w:val="002A2975"/>
    <w:rsid w:val="002A460D"/>
    <w:rsid w:val="002A505B"/>
    <w:rsid w:val="002A5EE9"/>
    <w:rsid w:val="002A60E0"/>
    <w:rsid w:val="002A69D0"/>
    <w:rsid w:val="002A72F8"/>
    <w:rsid w:val="002B1AA8"/>
    <w:rsid w:val="002B1E87"/>
    <w:rsid w:val="002B4583"/>
    <w:rsid w:val="002B687A"/>
    <w:rsid w:val="002C1344"/>
    <w:rsid w:val="002C252E"/>
    <w:rsid w:val="002C3A2A"/>
    <w:rsid w:val="002C458A"/>
    <w:rsid w:val="002C6093"/>
    <w:rsid w:val="002C6552"/>
    <w:rsid w:val="002C672A"/>
    <w:rsid w:val="002C6773"/>
    <w:rsid w:val="002C6F51"/>
    <w:rsid w:val="002C73EC"/>
    <w:rsid w:val="002D0FE0"/>
    <w:rsid w:val="002D1E4A"/>
    <w:rsid w:val="002D269A"/>
    <w:rsid w:val="002D2A3D"/>
    <w:rsid w:val="002D3E72"/>
    <w:rsid w:val="002D3EAC"/>
    <w:rsid w:val="002D46A9"/>
    <w:rsid w:val="002D5D1D"/>
    <w:rsid w:val="002D6EFD"/>
    <w:rsid w:val="002D74CF"/>
    <w:rsid w:val="002D7B8C"/>
    <w:rsid w:val="002E0A45"/>
    <w:rsid w:val="002E0B17"/>
    <w:rsid w:val="002E26B4"/>
    <w:rsid w:val="002E31C0"/>
    <w:rsid w:val="002E3A73"/>
    <w:rsid w:val="002E4FFB"/>
    <w:rsid w:val="002E63A7"/>
    <w:rsid w:val="002E650E"/>
    <w:rsid w:val="002E6E2F"/>
    <w:rsid w:val="002E7DED"/>
    <w:rsid w:val="002F0334"/>
    <w:rsid w:val="002F2A7B"/>
    <w:rsid w:val="002F4AB2"/>
    <w:rsid w:val="002F4F67"/>
    <w:rsid w:val="002F5944"/>
    <w:rsid w:val="002F7BC2"/>
    <w:rsid w:val="002F7E11"/>
    <w:rsid w:val="003002BA"/>
    <w:rsid w:val="0030037C"/>
    <w:rsid w:val="003008B9"/>
    <w:rsid w:val="00302BC5"/>
    <w:rsid w:val="00304087"/>
    <w:rsid w:val="003053DC"/>
    <w:rsid w:val="003054B0"/>
    <w:rsid w:val="003057B1"/>
    <w:rsid w:val="003062AD"/>
    <w:rsid w:val="00310ACD"/>
    <w:rsid w:val="00312C23"/>
    <w:rsid w:val="0031379F"/>
    <w:rsid w:val="00313A9C"/>
    <w:rsid w:val="0031621E"/>
    <w:rsid w:val="00316A16"/>
    <w:rsid w:val="00316B30"/>
    <w:rsid w:val="00320228"/>
    <w:rsid w:val="00320372"/>
    <w:rsid w:val="00320A26"/>
    <w:rsid w:val="003212F3"/>
    <w:rsid w:val="00321344"/>
    <w:rsid w:val="00321622"/>
    <w:rsid w:val="00321788"/>
    <w:rsid w:val="003221D5"/>
    <w:rsid w:val="00323D57"/>
    <w:rsid w:val="00323FA3"/>
    <w:rsid w:val="00325064"/>
    <w:rsid w:val="00325EC9"/>
    <w:rsid w:val="003261B6"/>
    <w:rsid w:val="00326735"/>
    <w:rsid w:val="003279C6"/>
    <w:rsid w:val="0032B295"/>
    <w:rsid w:val="00331A3E"/>
    <w:rsid w:val="0033451C"/>
    <w:rsid w:val="00334724"/>
    <w:rsid w:val="00335660"/>
    <w:rsid w:val="00335FBD"/>
    <w:rsid w:val="0033649A"/>
    <w:rsid w:val="00336854"/>
    <w:rsid w:val="0033769B"/>
    <w:rsid w:val="00337A89"/>
    <w:rsid w:val="0034015C"/>
    <w:rsid w:val="00341409"/>
    <w:rsid w:val="00341CAE"/>
    <w:rsid w:val="003442F4"/>
    <w:rsid w:val="00344546"/>
    <w:rsid w:val="003455CF"/>
    <w:rsid w:val="0034716E"/>
    <w:rsid w:val="00350CB4"/>
    <w:rsid w:val="00352D11"/>
    <w:rsid w:val="00353705"/>
    <w:rsid w:val="00355536"/>
    <w:rsid w:val="003562E8"/>
    <w:rsid w:val="00357F94"/>
    <w:rsid w:val="003614D7"/>
    <w:rsid w:val="0036357D"/>
    <w:rsid w:val="00363637"/>
    <w:rsid w:val="003649BC"/>
    <w:rsid w:val="00364F7E"/>
    <w:rsid w:val="00365BE1"/>
    <w:rsid w:val="00365E44"/>
    <w:rsid w:val="003662B1"/>
    <w:rsid w:val="003663FD"/>
    <w:rsid w:val="003667AD"/>
    <w:rsid w:val="00367AA1"/>
    <w:rsid w:val="00370A5B"/>
    <w:rsid w:val="00372497"/>
    <w:rsid w:val="00372E36"/>
    <w:rsid w:val="00373C15"/>
    <w:rsid w:val="00373D53"/>
    <w:rsid w:val="00375653"/>
    <w:rsid w:val="00375DFA"/>
    <w:rsid w:val="00375F7D"/>
    <w:rsid w:val="003767D3"/>
    <w:rsid w:val="00376EE9"/>
    <w:rsid w:val="00376FFC"/>
    <w:rsid w:val="00377CBB"/>
    <w:rsid w:val="00382CCB"/>
    <w:rsid w:val="00382DA3"/>
    <w:rsid w:val="00384F62"/>
    <w:rsid w:val="00385438"/>
    <w:rsid w:val="003858E5"/>
    <w:rsid w:val="003877B6"/>
    <w:rsid w:val="00390532"/>
    <w:rsid w:val="00391539"/>
    <w:rsid w:val="003921B7"/>
    <w:rsid w:val="00392D73"/>
    <w:rsid w:val="00393887"/>
    <w:rsid w:val="00393F1B"/>
    <w:rsid w:val="00394C6B"/>
    <w:rsid w:val="0039610B"/>
    <w:rsid w:val="00396442"/>
    <w:rsid w:val="003967E1"/>
    <w:rsid w:val="00397C2B"/>
    <w:rsid w:val="003A11DF"/>
    <w:rsid w:val="003A290F"/>
    <w:rsid w:val="003A4AAA"/>
    <w:rsid w:val="003A4B10"/>
    <w:rsid w:val="003A4E2E"/>
    <w:rsid w:val="003A4E62"/>
    <w:rsid w:val="003A5A6A"/>
    <w:rsid w:val="003A7021"/>
    <w:rsid w:val="003A775E"/>
    <w:rsid w:val="003B02F2"/>
    <w:rsid w:val="003B0BD0"/>
    <w:rsid w:val="003B0CDD"/>
    <w:rsid w:val="003B1069"/>
    <w:rsid w:val="003B1F2E"/>
    <w:rsid w:val="003B38CC"/>
    <w:rsid w:val="003B390A"/>
    <w:rsid w:val="003B3D53"/>
    <w:rsid w:val="003B4E3A"/>
    <w:rsid w:val="003B60C3"/>
    <w:rsid w:val="003B6373"/>
    <w:rsid w:val="003B79E1"/>
    <w:rsid w:val="003C0E8C"/>
    <w:rsid w:val="003C15DE"/>
    <w:rsid w:val="003C2096"/>
    <w:rsid w:val="003C2889"/>
    <w:rsid w:val="003C2AB0"/>
    <w:rsid w:val="003C34C9"/>
    <w:rsid w:val="003C4EB2"/>
    <w:rsid w:val="003C5801"/>
    <w:rsid w:val="003C5E05"/>
    <w:rsid w:val="003C63D0"/>
    <w:rsid w:val="003C7959"/>
    <w:rsid w:val="003D0055"/>
    <w:rsid w:val="003D161C"/>
    <w:rsid w:val="003D3968"/>
    <w:rsid w:val="003D42AF"/>
    <w:rsid w:val="003D4899"/>
    <w:rsid w:val="003D4AD2"/>
    <w:rsid w:val="003D5E11"/>
    <w:rsid w:val="003D73C0"/>
    <w:rsid w:val="003E031D"/>
    <w:rsid w:val="003E0583"/>
    <w:rsid w:val="003E1833"/>
    <w:rsid w:val="003E4062"/>
    <w:rsid w:val="003E6DA3"/>
    <w:rsid w:val="003E7305"/>
    <w:rsid w:val="003F0554"/>
    <w:rsid w:val="003F0C1C"/>
    <w:rsid w:val="003F1AF3"/>
    <w:rsid w:val="003F25E4"/>
    <w:rsid w:val="003F4804"/>
    <w:rsid w:val="003F4AAA"/>
    <w:rsid w:val="003F4D8D"/>
    <w:rsid w:val="003F4E93"/>
    <w:rsid w:val="003F5708"/>
    <w:rsid w:val="003F66A4"/>
    <w:rsid w:val="00401508"/>
    <w:rsid w:val="00401688"/>
    <w:rsid w:val="004024D9"/>
    <w:rsid w:val="0040257E"/>
    <w:rsid w:val="0040386D"/>
    <w:rsid w:val="00404188"/>
    <w:rsid w:val="00406435"/>
    <w:rsid w:val="004066F9"/>
    <w:rsid w:val="00406CBE"/>
    <w:rsid w:val="004073DC"/>
    <w:rsid w:val="00412FAE"/>
    <w:rsid w:val="004137C0"/>
    <w:rsid w:val="004138F3"/>
    <w:rsid w:val="004202C9"/>
    <w:rsid w:val="00420F5B"/>
    <w:rsid w:val="00421F20"/>
    <w:rsid w:val="0042238F"/>
    <w:rsid w:val="00423B63"/>
    <w:rsid w:val="00427BEA"/>
    <w:rsid w:val="00430120"/>
    <w:rsid w:val="004313E7"/>
    <w:rsid w:val="00432542"/>
    <w:rsid w:val="004339B2"/>
    <w:rsid w:val="00437F32"/>
    <w:rsid w:val="00440E7A"/>
    <w:rsid w:val="004433D5"/>
    <w:rsid w:val="0044344E"/>
    <w:rsid w:val="00443719"/>
    <w:rsid w:val="00444A70"/>
    <w:rsid w:val="0044763B"/>
    <w:rsid w:val="00452696"/>
    <w:rsid w:val="00452726"/>
    <w:rsid w:val="00453F32"/>
    <w:rsid w:val="00454DAA"/>
    <w:rsid w:val="0045535C"/>
    <w:rsid w:val="00456765"/>
    <w:rsid w:val="00456A53"/>
    <w:rsid w:val="00456F1E"/>
    <w:rsid w:val="00457BA4"/>
    <w:rsid w:val="0046213C"/>
    <w:rsid w:val="00462518"/>
    <w:rsid w:val="0046266D"/>
    <w:rsid w:val="004629B3"/>
    <w:rsid w:val="0046376E"/>
    <w:rsid w:val="00463B50"/>
    <w:rsid w:val="00464251"/>
    <w:rsid w:val="00464860"/>
    <w:rsid w:val="0046587C"/>
    <w:rsid w:val="0046690F"/>
    <w:rsid w:val="004677F8"/>
    <w:rsid w:val="00467CC0"/>
    <w:rsid w:val="00471116"/>
    <w:rsid w:val="00472FEC"/>
    <w:rsid w:val="00473A2A"/>
    <w:rsid w:val="00473B89"/>
    <w:rsid w:val="004747D0"/>
    <w:rsid w:val="00476830"/>
    <w:rsid w:val="004770F6"/>
    <w:rsid w:val="004812D2"/>
    <w:rsid w:val="00483B28"/>
    <w:rsid w:val="00484218"/>
    <w:rsid w:val="004858E1"/>
    <w:rsid w:val="00485EF2"/>
    <w:rsid w:val="004864A1"/>
    <w:rsid w:val="0048769E"/>
    <w:rsid w:val="00487A1F"/>
    <w:rsid w:val="00490A03"/>
    <w:rsid w:val="00490B0D"/>
    <w:rsid w:val="00490E5D"/>
    <w:rsid w:val="00492B0A"/>
    <w:rsid w:val="00492D88"/>
    <w:rsid w:val="00493327"/>
    <w:rsid w:val="0049382E"/>
    <w:rsid w:val="0049391A"/>
    <w:rsid w:val="004948BA"/>
    <w:rsid w:val="00494DBE"/>
    <w:rsid w:val="00495CE6"/>
    <w:rsid w:val="00497D5E"/>
    <w:rsid w:val="00497EB9"/>
    <w:rsid w:val="004A144D"/>
    <w:rsid w:val="004A1D27"/>
    <w:rsid w:val="004A2176"/>
    <w:rsid w:val="004A2703"/>
    <w:rsid w:val="004A31F6"/>
    <w:rsid w:val="004A323C"/>
    <w:rsid w:val="004A4CF5"/>
    <w:rsid w:val="004A4D16"/>
    <w:rsid w:val="004A5C9D"/>
    <w:rsid w:val="004B0801"/>
    <w:rsid w:val="004B1117"/>
    <w:rsid w:val="004B1A6B"/>
    <w:rsid w:val="004B1FC8"/>
    <w:rsid w:val="004B339A"/>
    <w:rsid w:val="004B39DA"/>
    <w:rsid w:val="004B54E8"/>
    <w:rsid w:val="004B7595"/>
    <w:rsid w:val="004B773C"/>
    <w:rsid w:val="004C0138"/>
    <w:rsid w:val="004C0686"/>
    <w:rsid w:val="004C12E8"/>
    <w:rsid w:val="004C130C"/>
    <w:rsid w:val="004C1389"/>
    <w:rsid w:val="004C1578"/>
    <w:rsid w:val="004C174B"/>
    <w:rsid w:val="004C1BFB"/>
    <w:rsid w:val="004C33BA"/>
    <w:rsid w:val="004C47EA"/>
    <w:rsid w:val="004C4FEB"/>
    <w:rsid w:val="004C6570"/>
    <w:rsid w:val="004C678C"/>
    <w:rsid w:val="004C6B79"/>
    <w:rsid w:val="004C7345"/>
    <w:rsid w:val="004D059B"/>
    <w:rsid w:val="004D09F9"/>
    <w:rsid w:val="004D0E64"/>
    <w:rsid w:val="004D144F"/>
    <w:rsid w:val="004D1DBD"/>
    <w:rsid w:val="004D254F"/>
    <w:rsid w:val="004D304E"/>
    <w:rsid w:val="004D4543"/>
    <w:rsid w:val="004D48A8"/>
    <w:rsid w:val="004D4CB6"/>
    <w:rsid w:val="004D4DCB"/>
    <w:rsid w:val="004E0907"/>
    <w:rsid w:val="004E20CF"/>
    <w:rsid w:val="004E2324"/>
    <w:rsid w:val="004E28C9"/>
    <w:rsid w:val="004E3341"/>
    <w:rsid w:val="004E3406"/>
    <w:rsid w:val="004E5124"/>
    <w:rsid w:val="004E7BE2"/>
    <w:rsid w:val="004E7E3A"/>
    <w:rsid w:val="004F10C1"/>
    <w:rsid w:val="004F1A34"/>
    <w:rsid w:val="004F1C5E"/>
    <w:rsid w:val="004F3032"/>
    <w:rsid w:val="004F31D2"/>
    <w:rsid w:val="004F3E47"/>
    <w:rsid w:val="004F4CC8"/>
    <w:rsid w:val="004F4F5A"/>
    <w:rsid w:val="004F51FF"/>
    <w:rsid w:val="004F585F"/>
    <w:rsid w:val="004F5AD9"/>
    <w:rsid w:val="0050159C"/>
    <w:rsid w:val="005022B7"/>
    <w:rsid w:val="00502E62"/>
    <w:rsid w:val="005044C2"/>
    <w:rsid w:val="00506B8A"/>
    <w:rsid w:val="005110D3"/>
    <w:rsid w:val="00511161"/>
    <w:rsid w:val="00512222"/>
    <w:rsid w:val="0051413C"/>
    <w:rsid w:val="0051466B"/>
    <w:rsid w:val="00515F4A"/>
    <w:rsid w:val="0051693C"/>
    <w:rsid w:val="00520A65"/>
    <w:rsid w:val="005218B8"/>
    <w:rsid w:val="00521B13"/>
    <w:rsid w:val="0052212B"/>
    <w:rsid w:val="005221A8"/>
    <w:rsid w:val="005230C7"/>
    <w:rsid w:val="0052474F"/>
    <w:rsid w:val="0052625A"/>
    <w:rsid w:val="005266EA"/>
    <w:rsid w:val="00527072"/>
    <w:rsid w:val="005272FE"/>
    <w:rsid w:val="0053001D"/>
    <w:rsid w:val="00530E38"/>
    <w:rsid w:val="00533B0D"/>
    <w:rsid w:val="00534B46"/>
    <w:rsid w:val="00535018"/>
    <w:rsid w:val="005355DB"/>
    <w:rsid w:val="00535866"/>
    <w:rsid w:val="00536CBD"/>
    <w:rsid w:val="00540358"/>
    <w:rsid w:val="00540A05"/>
    <w:rsid w:val="00540D47"/>
    <w:rsid w:val="00540E25"/>
    <w:rsid w:val="005428D7"/>
    <w:rsid w:val="00542D43"/>
    <w:rsid w:val="00545516"/>
    <w:rsid w:val="005463C3"/>
    <w:rsid w:val="005465A3"/>
    <w:rsid w:val="00546888"/>
    <w:rsid w:val="00547C7C"/>
    <w:rsid w:val="005506D5"/>
    <w:rsid w:val="00550864"/>
    <w:rsid w:val="00551BE6"/>
    <w:rsid w:val="00551D6C"/>
    <w:rsid w:val="00553580"/>
    <w:rsid w:val="005550A8"/>
    <w:rsid w:val="0055571E"/>
    <w:rsid w:val="005565E8"/>
    <w:rsid w:val="00556F67"/>
    <w:rsid w:val="00557849"/>
    <w:rsid w:val="00563009"/>
    <w:rsid w:val="005635B7"/>
    <w:rsid w:val="005652E8"/>
    <w:rsid w:val="0056743F"/>
    <w:rsid w:val="0056772E"/>
    <w:rsid w:val="00567A17"/>
    <w:rsid w:val="005735E2"/>
    <w:rsid w:val="0057384B"/>
    <w:rsid w:val="0057392C"/>
    <w:rsid w:val="0057446D"/>
    <w:rsid w:val="0057667C"/>
    <w:rsid w:val="00576BDA"/>
    <w:rsid w:val="00577DB4"/>
    <w:rsid w:val="005826DA"/>
    <w:rsid w:val="00582943"/>
    <w:rsid w:val="00582AC5"/>
    <w:rsid w:val="00582D0E"/>
    <w:rsid w:val="00582E09"/>
    <w:rsid w:val="005833F0"/>
    <w:rsid w:val="005835F4"/>
    <w:rsid w:val="00585A6D"/>
    <w:rsid w:val="00586280"/>
    <w:rsid w:val="00586584"/>
    <w:rsid w:val="005865FC"/>
    <w:rsid w:val="00586913"/>
    <w:rsid w:val="005869CE"/>
    <w:rsid w:val="00586CAF"/>
    <w:rsid w:val="005873E9"/>
    <w:rsid w:val="00587A90"/>
    <w:rsid w:val="00591180"/>
    <w:rsid w:val="00592E9F"/>
    <w:rsid w:val="00595286"/>
    <w:rsid w:val="0059722C"/>
    <w:rsid w:val="005977A6"/>
    <w:rsid w:val="00597D07"/>
    <w:rsid w:val="00597DD6"/>
    <w:rsid w:val="005A16E6"/>
    <w:rsid w:val="005A1746"/>
    <w:rsid w:val="005A30D7"/>
    <w:rsid w:val="005A3846"/>
    <w:rsid w:val="005A678F"/>
    <w:rsid w:val="005A7DE8"/>
    <w:rsid w:val="005A7E97"/>
    <w:rsid w:val="005B2CD2"/>
    <w:rsid w:val="005B632A"/>
    <w:rsid w:val="005B6788"/>
    <w:rsid w:val="005B6A58"/>
    <w:rsid w:val="005C043A"/>
    <w:rsid w:val="005C2F95"/>
    <w:rsid w:val="005C4C2F"/>
    <w:rsid w:val="005C5A83"/>
    <w:rsid w:val="005C7112"/>
    <w:rsid w:val="005D0155"/>
    <w:rsid w:val="005D0561"/>
    <w:rsid w:val="005D0AD9"/>
    <w:rsid w:val="005D1A67"/>
    <w:rsid w:val="005D1F10"/>
    <w:rsid w:val="005D22F6"/>
    <w:rsid w:val="005D4647"/>
    <w:rsid w:val="005D4737"/>
    <w:rsid w:val="005D5EDE"/>
    <w:rsid w:val="005D6774"/>
    <w:rsid w:val="005D68AA"/>
    <w:rsid w:val="005D6BD1"/>
    <w:rsid w:val="005E060E"/>
    <w:rsid w:val="005E0C30"/>
    <w:rsid w:val="005E1DCB"/>
    <w:rsid w:val="005E2A31"/>
    <w:rsid w:val="005E33E0"/>
    <w:rsid w:val="005E3FBB"/>
    <w:rsid w:val="005E51FC"/>
    <w:rsid w:val="005E66B4"/>
    <w:rsid w:val="005E69D9"/>
    <w:rsid w:val="005E6CB1"/>
    <w:rsid w:val="005E7116"/>
    <w:rsid w:val="005E7971"/>
    <w:rsid w:val="005F17D1"/>
    <w:rsid w:val="005F23BC"/>
    <w:rsid w:val="005F2643"/>
    <w:rsid w:val="005F27F4"/>
    <w:rsid w:val="005F297C"/>
    <w:rsid w:val="005F3239"/>
    <w:rsid w:val="005F39BF"/>
    <w:rsid w:val="005F566C"/>
    <w:rsid w:val="005F5D54"/>
    <w:rsid w:val="005F5F4D"/>
    <w:rsid w:val="005F6567"/>
    <w:rsid w:val="005F676D"/>
    <w:rsid w:val="005F6A21"/>
    <w:rsid w:val="005F6D24"/>
    <w:rsid w:val="005F750F"/>
    <w:rsid w:val="005F7A8A"/>
    <w:rsid w:val="00600998"/>
    <w:rsid w:val="00600ACF"/>
    <w:rsid w:val="006019EB"/>
    <w:rsid w:val="00601CC1"/>
    <w:rsid w:val="006022D0"/>
    <w:rsid w:val="00605DFE"/>
    <w:rsid w:val="00607094"/>
    <w:rsid w:val="00607256"/>
    <w:rsid w:val="00607621"/>
    <w:rsid w:val="0060790C"/>
    <w:rsid w:val="0060791E"/>
    <w:rsid w:val="00611B7B"/>
    <w:rsid w:val="00611F08"/>
    <w:rsid w:val="00611FB2"/>
    <w:rsid w:val="00613BF1"/>
    <w:rsid w:val="006144B1"/>
    <w:rsid w:val="0061561D"/>
    <w:rsid w:val="00615A5C"/>
    <w:rsid w:val="00616C7F"/>
    <w:rsid w:val="006177FF"/>
    <w:rsid w:val="0062077F"/>
    <w:rsid w:val="00621BC7"/>
    <w:rsid w:val="00622033"/>
    <w:rsid w:val="00622051"/>
    <w:rsid w:val="0062460B"/>
    <w:rsid w:val="00630644"/>
    <w:rsid w:val="006335F1"/>
    <w:rsid w:val="006336FD"/>
    <w:rsid w:val="00633B49"/>
    <w:rsid w:val="006342D2"/>
    <w:rsid w:val="006345B6"/>
    <w:rsid w:val="006345CD"/>
    <w:rsid w:val="00635616"/>
    <w:rsid w:val="00635712"/>
    <w:rsid w:val="00635984"/>
    <w:rsid w:val="00635F41"/>
    <w:rsid w:val="006368FF"/>
    <w:rsid w:val="00636D95"/>
    <w:rsid w:val="006377D4"/>
    <w:rsid w:val="00640135"/>
    <w:rsid w:val="006402FF"/>
    <w:rsid w:val="0064107F"/>
    <w:rsid w:val="00643372"/>
    <w:rsid w:val="00643D8A"/>
    <w:rsid w:val="00645A5C"/>
    <w:rsid w:val="006460E5"/>
    <w:rsid w:val="00647A78"/>
    <w:rsid w:val="00647AB9"/>
    <w:rsid w:val="00647C4B"/>
    <w:rsid w:val="006504AF"/>
    <w:rsid w:val="00650894"/>
    <w:rsid w:val="0065112B"/>
    <w:rsid w:val="00652091"/>
    <w:rsid w:val="00652229"/>
    <w:rsid w:val="00652793"/>
    <w:rsid w:val="006528DE"/>
    <w:rsid w:val="006541A1"/>
    <w:rsid w:val="00657789"/>
    <w:rsid w:val="00660320"/>
    <w:rsid w:val="0066187E"/>
    <w:rsid w:val="00662375"/>
    <w:rsid w:val="006626CA"/>
    <w:rsid w:val="00663487"/>
    <w:rsid w:val="006701CD"/>
    <w:rsid w:val="00672382"/>
    <w:rsid w:val="006733BB"/>
    <w:rsid w:val="00673852"/>
    <w:rsid w:val="0067607A"/>
    <w:rsid w:val="006763B5"/>
    <w:rsid w:val="00676E80"/>
    <w:rsid w:val="006775C2"/>
    <w:rsid w:val="00681257"/>
    <w:rsid w:val="00681C3E"/>
    <w:rsid w:val="00681D37"/>
    <w:rsid w:val="00682191"/>
    <w:rsid w:val="006822E9"/>
    <w:rsid w:val="00682643"/>
    <w:rsid w:val="00682EB9"/>
    <w:rsid w:val="00682F1E"/>
    <w:rsid w:val="0068378C"/>
    <w:rsid w:val="006839D3"/>
    <w:rsid w:val="0068441A"/>
    <w:rsid w:val="0068699A"/>
    <w:rsid w:val="00690B19"/>
    <w:rsid w:val="00691675"/>
    <w:rsid w:val="006938EE"/>
    <w:rsid w:val="00694195"/>
    <w:rsid w:val="0069650C"/>
    <w:rsid w:val="006A08A3"/>
    <w:rsid w:val="006A0A3C"/>
    <w:rsid w:val="006A1ED8"/>
    <w:rsid w:val="006A3D5B"/>
    <w:rsid w:val="006A442A"/>
    <w:rsid w:val="006A59E9"/>
    <w:rsid w:val="006A5AB1"/>
    <w:rsid w:val="006A6F2B"/>
    <w:rsid w:val="006A75B8"/>
    <w:rsid w:val="006A79F0"/>
    <w:rsid w:val="006B048F"/>
    <w:rsid w:val="006B359D"/>
    <w:rsid w:val="006B47EE"/>
    <w:rsid w:val="006B499F"/>
    <w:rsid w:val="006B54C6"/>
    <w:rsid w:val="006B617F"/>
    <w:rsid w:val="006B78E0"/>
    <w:rsid w:val="006C080C"/>
    <w:rsid w:val="006C187E"/>
    <w:rsid w:val="006C1FB8"/>
    <w:rsid w:val="006C2BB0"/>
    <w:rsid w:val="006C33BE"/>
    <w:rsid w:val="006C4B3D"/>
    <w:rsid w:val="006C53D0"/>
    <w:rsid w:val="006C5B53"/>
    <w:rsid w:val="006C7E78"/>
    <w:rsid w:val="006D006A"/>
    <w:rsid w:val="006D064D"/>
    <w:rsid w:val="006D098F"/>
    <w:rsid w:val="006D127F"/>
    <w:rsid w:val="006D1F66"/>
    <w:rsid w:val="006D20E3"/>
    <w:rsid w:val="006D2218"/>
    <w:rsid w:val="006D33E1"/>
    <w:rsid w:val="006D4996"/>
    <w:rsid w:val="006D4D0C"/>
    <w:rsid w:val="006D510B"/>
    <w:rsid w:val="006D535B"/>
    <w:rsid w:val="006D54AB"/>
    <w:rsid w:val="006D58E5"/>
    <w:rsid w:val="006E1084"/>
    <w:rsid w:val="006E1097"/>
    <w:rsid w:val="006E10B2"/>
    <w:rsid w:val="006E1A70"/>
    <w:rsid w:val="006E1FA9"/>
    <w:rsid w:val="006E2D24"/>
    <w:rsid w:val="006E3006"/>
    <w:rsid w:val="006E3AFC"/>
    <w:rsid w:val="006E4458"/>
    <w:rsid w:val="006E4F02"/>
    <w:rsid w:val="006E5032"/>
    <w:rsid w:val="006E5BDA"/>
    <w:rsid w:val="006E7AC9"/>
    <w:rsid w:val="006F0FC7"/>
    <w:rsid w:val="006F39A9"/>
    <w:rsid w:val="006F3D9D"/>
    <w:rsid w:val="006F524E"/>
    <w:rsid w:val="006F5D57"/>
    <w:rsid w:val="006F643F"/>
    <w:rsid w:val="006F670F"/>
    <w:rsid w:val="006F77F3"/>
    <w:rsid w:val="0070063C"/>
    <w:rsid w:val="00700D69"/>
    <w:rsid w:val="0070243F"/>
    <w:rsid w:val="00702921"/>
    <w:rsid w:val="00702D77"/>
    <w:rsid w:val="00703272"/>
    <w:rsid w:val="0070362C"/>
    <w:rsid w:val="00703652"/>
    <w:rsid w:val="00704020"/>
    <w:rsid w:val="00704044"/>
    <w:rsid w:val="00705B35"/>
    <w:rsid w:val="00705BBE"/>
    <w:rsid w:val="00706C6E"/>
    <w:rsid w:val="0070733C"/>
    <w:rsid w:val="007102D5"/>
    <w:rsid w:val="00710C5D"/>
    <w:rsid w:val="00712C06"/>
    <w:rsid w:val="0071348C"/>
    <w:rsid w:val="00717273"/>
    <w:rsid w:val="00720F94"/>
    <w:rsid w:val="00720FD4"/>
    <w:rsid w:val="00721D00"/>
    <w:rsid w:val="00721DFD"/>
    <w:rsid w:val="00721EEF"/>
    <w:rsid w:val="00722A02"/>
    <w:rsid w:val="00723A21"/>
    <w:rsid w:val="00723B91"/>
    <w:rsid w:val="00723C6D"/>
    <w:rsid w:val="00724550"/>
    <w:rsid w:val="00724AF2"/>
    <w:rsid w:val="00724E51"/>
    <w:rsid w:val="0072502E"/>
    <w:rsid w:val="00730624"/>
    <w:rsid w:val="0073096C"/>
    <w:rsid w:val="0073100D"/>
    <w:rsid w:val="00731368"/>
    <w:rsid w:val="00733429"/>
    <w:rsid w:val="00733A46"/>
    <w:rsid w:val="00733BB0"/>
    <w:rsid w:val="00735E2D"/>
    <w:rsid w:val="00736DEC"/>
    <w:rsid w:val="00736F2C"/>
    <w:rsid w:val="007371B2"/>
    <w:rsid w:val="00740F23"/>
    <w:rsid w:val="007419C8"/>
    <w:rsid w:val="00742398"/>
    <w:rsid w:val="007432A9"/>
    <w:rsid w:val="00745C0B"/>
    <w:rsid w:val="00746050"/>
    <w:rsid w:val="00746118"/>
    <w:rsid w:val="00746C7F"/>
    <w:rsid w:val="007507B5"/>
    <w:rsid w:val="0075091D"/>
    <w:rsid w:val="00750EC4"/>
    <w:rsid w:val="00751831"/>
    <w:rsid w:val="0075201B"/>
    <w:rsid w:val="00753A24"/>
    <w:rsid w:val="00754294"/>
    <w:rsid w:val="0075430D"/>
    <w:rsid w:val="00754FF6"/>
    <w:rsid w:val="0075779F"/>
    <w:rsid w:val="00757FC5"/>
    <w:rsid w:val="0076106F"/>
    <w:rsid w:val="00761D97"/>
    <w:rsid w:val="0076354B"/>
    <w:rsid w:val="00764668"/>
    <w:rsid w:val="007658F3"/>
    <w:rsid w:val="00765D0E"/>
    <w:rsid w:val="00765E3B"/>
    <w:rsid w:val="00766EA2"/>
    <w:rsid w:val="00767034"/>
    <w:rsid w:val="00772188"/>
    <w:rsid w:val="0077222A"/>
    <w:rsid w:val="00773909"/>
    <w:rsid w:val="0077433B"/>
    <w:rsid w:val="00774E1E"/>
    <w:rsid w:val="0077544E"/>
    <w:rsid w:val="00776743"/>
    <w:rsid w:val="00776D7F"/>
    <w:rsid w:val="00777F5C"/>
    <w:rsid w:val="00780068"/>
    <w:rsid w:val="007802ED"/>
    <w:rsid w:val="007813D0"/>
    <w:rsid w:val="007845AC"/>
    <w:rsid w:val="00785993"/>
    <w:rsid w:val="00785A0D"/>
    <w:rsid w:val="007863BF"/>
    <w:rsid w:val="007866E2"/>
    <w:rsid w:val="00786BA3"/>
    <w:rsid w:val="00790993"/>
    <w:rsid w:val="0079202F"/>
    <w:rsid w:val="0079203E"/>
    <w:rsid w:val="007934C3"/>
    <w:rsid w:val="00793FDA"/>
    <w:rsid w:val="00794903"/>
    <w:rsid w:val="00795486"/>
    <w:rsid w:val="00795AF2"/>
    <w:rsid w:val="00795E4F"/>
    <w:rsid w:val="00797EB3"/>
    <w:rsid w:val="007A0287"/>
    <w:rsid w:val="007A09FC"/>
    <w:rsid w:val="007A2AAD"/>
    <w:rsid w:val="007A2FB6"/>
    <w:rsid w:val="007A3017"/>
    <w:rsid w:val="007A4432"/>
    <w:rsid w:val="007A59E9"/>
    <w:rsid w:val="007A784E"/>
    <w:rsid w:val="007A7E31"/>
    <w:rsid w:val="007B02A0"/>
    <w:rsid w:val="007B278C"/>
    <w:rsid w:val="007B2C2C"/>
    <w:rsid w:val="007B2DAD"/>
    <w:rsid w:val="007B3774"/>
    <w:rsid w:val="007B4939"/>
    <w:rsid w:val="007B499C"/>
    <w:rsid w:val="007B4D4B"/>
    <w:rsid w:val="007B5472"/>
    <w:rsid w:val="007B58C6"/>
    <w:rsid w:val="007B76D8"/>
    <w:rsid w:val="007C0646"/>
    <w:rsid w:val="007C0ED6"/>
    <w:rsid w:val="007C14E2"/>
    <w:rsid w:val="007C19FF"/>
    <w:rsid w:val="007C1ACD"/>
    <w:rsid w:val="007C1E5E"/>
    <w:rsid w:val="007C1E9D"/>
    <w:rsid w:val="007C3AE3"/>
    <w:rsid w:val="007C6C51"/>
    <w:rsid w:val="007D0000"/>
    <w:rsid w:val="007D2A02"/>
    <w:rsid w:val="007D3940"/>
    <w:rsid w:val="007D39AD"/>
    <w:rsid w:val="007D5EA2"/>
    <w:rsid w:val="007D6144"/>
    <w:rsid w:val="007D617A"/>
    <w:rsid w:val="007D62A4"/>
    <w:rsid w:val="007D6CE5"/>
    <w:rsid w:val="007E0917"/>
    <w:rsid w:val="007E136B"/>
    <w:rsid w:val="007E1736"/>
    <w:rsid w:val="007E25DD"/>
    <w:rsid w:val="007E2887"/>
    <w:rsid w:val="007E3318"/>
    <w:rsid w:val="007E6EA1"/>
    <w:rsid w:val="007F0F16"/>
    <w:rsid w:val="007F0F63"/>
    <w:rsid w:val="007F2B1E"/>
    <w:rsid w:val="007F4590"/>
    <w:rsid w:val="007F62B4"/>
    <w:rsid w:val="007F7C05"/>
    <w:rsid w:val="007F7DF9"/>
    <w:rsid w:val="00800FD6"/>
    <w:rsid w:val="00801517"/>
    <w:rsid w:val="008019C0"/>
    <w:rsid w:val="008028AF"/>
    <w:rsid w:val="008028DE"/>
    <w:rsid w:val="00803323"/>
    <w:rsid w:val="00804966"/>
    <w:rsid w:val="0080510A"/>
    <w:rsid w:val="0080596A"/>
    <w:rsid w:val="00805CBF"/>
    <w:rsid w:val="00807195"/>
    <w:rsid w:val="00810AC4"/>
    <w:rsid w:val="00811113"/>
    <w:rsid w:val="0081218E"/>
    <w:rsid w:val="0081228B"/>
    <w:rsid w:val="00813492"/>
    <w:rsid w:val="00814DE2"/>
    <w:rsid w:val="00815599"/>
    <w:rsid w:val="00815D34"/>
    <w:rsid w:val="008177EE"/>
    <w:rsid w:val="00817895"/>
    <w:rsid w:val="00817AE8"/>
    <w:rsid w:val="00817DE8"/>
    <w:rsid w:val="008229F5"/>
    <w:rsid w:val="00824293"/>
    <w:rsid w:val="008259DE"/>
    <w:rsid w:val="0082699A"/>
    <w:rsid w:val="00827F2A"/>
    <w:rsid w:val="00832633"/>
    <w:rsid w:val="0083342C"/>
    <w:rsid w:val="00833869"/>
    <w:rsid w:val="00833CEB"/>
    <w:rsid w:val="00835F4A"/>
    <w:rsid w:val="0083662B"/>
    <w:rsid w:val="008372D2"/>
    <w:rsid w:val="008377BC"/>
    <w:rsid w:val="00841179"/>
    <w:rsid w:val="00841353"/>
    <w:rsid w:val="00844C17"/>
    <w:rsid w:val="008450BB"/>
    <w:rsid w:val="00846017"/>
    <w:rsid w:val="008464F2"/>
    <w:rsid w:val="00847726"/>
    <w:rsid w:val="00851033"/>
    <w:rsid w:val="00851A55"/>
    <w:rsid w:val="00851CB1"/>
    <w:rsid w:val="00852511"/>
    <w:rsid w:val="0085252F"/>
    <w:rsid w:val="008530DF"/>
    <w:rsid w:val="00853FD6"/>
    <w:rsid w:val="00855F22"/>
    <w:rsid w:val="00855FD0"/>
    <w:rsid w:val="008564C4"/>
    <w:rsid w:val="0085658E"/>
    <w:rsid w:val="008568E6"/>
    <w:rsid w:val="00857408"/>
    <w:rsid w:val="008578A9"/>
    <w:rsid w:val="00860338"/>
    <w:rsid w:val="0086072A"/>
    <w:rsid w:val="0086088F"/>
    <w:rsid w:val="008614F1"/>
    <w:rsid w:val="008639B3"/>
    <w:rsid w:val="00863C1A"/>
    <w:rsid w:val="00863F9D"/>
    <w:rsid w:val="0086470F"/>
    <w:rsid w:val="00865882"/>
    <w:rsid w:val="00866CDD"/>
    <w:rsid w:val="00866FA2"/>
    <w:rsid w:val="0087082E"/>
    <w:rsid w:val="008712FE"/>
    <w:rsid w:val="0087142D"/>
    <w:rsid w:val="00872928"/>
    <w:rsid w:val="00872DA6"/>
    <w:rsid w:val="00873416"/>
    <w:rsid w:val="0087393A"/>
    <w:rsid w:val="00873956"/>
    <w:rsid w:val="0087538C"/>
    <w:rsid w:val="00875495"/>
    <w:rsid w:val="00875A71"/>
    <w:rsid w:val="00875CB0"/>
    <w:rsid w:val="008762E7"/>
    <w:rsid w:val="008770CC"/>
    <w:rsid w:val="00877800"/>
    <w:rsid w:val="00877C32"/>
    <w:rsid w:val="00880580"/>
    <w:rsid w:val="0088094B"/>
    <w:rsid w:val="00880E72"/>
    <w:rsid w:val="0088176E"/>
    <w:rsid w:val="008825EE"/>
    <w:rsid w:val="00882DE4"/>
    <w:rsid w:val="0088313E"/>
    <w:rsid w:val="008849B2"/>
    <w:rsid w:val="0088596E"/>
    <w:rsid w:val="00885D26"/>
    <w:rsid w:val="00886C54"/>
    <w:rsid w:val="008870ED"/>
    <w:rsid w:val="008877FC"/>
    <w:rsid w:val="00892132"/>
    <w:rsid w:val="008947FF"/>
    <w:rsid w:val="0089796A"/>
    <w:rsid w:val="0089799B"/>
    <w:rsid w:val="008979FA"/>
    <w:rsid w:val="008A0D95"/>
    <w:rsid w:val="008A2375"/>
    <w:rsid w:val="008A54B6"/>
    <w:rsid w:val="008A6664"/>
    <w:rsid w:val="008A7DEB"/>
    <w:rsid w:val="008B00CA"/>
    <w:rsid w:val="008B1ADB"/>
    <w:rsid w:val="008B1B65"/>
    <w:rsid w:val="008B2185"/>
    <w:rsid w:val="008B3182"/>
    <w:rsid w:val="008B3557"/>
    <w:rsid w:val="008B39E0"/>
    <w:rsid w:val="008B4302"/>
    <w:rsid w:val="008B605A"/>
    <w:rsid w:val="008B6086"/>
    <w:rsid w:val="008B760D"/>
    <w:rsid w:val="008C093B"/>
    <w:rsid w:val="008C0E76"/>
    <w:rsid w:val="008C2665"/>
    <w:rsid w:val="008C287D"/>
    <w:rsid w:val="008C6041"/>
    <w:rsid w:val="008C74E3"/>
    <w:rsid w:val="008D0936"/>
    <w:rsid w:val="008D318C"/>
    <w:rsid w:val="008D403B"/>
    <w:rsid w:val="008D4707"/>
    <w:rsid w:val="008D6DD7"/>
    <w:rsid w:val="008D764F"/>
    <w:rsid w:val="008D76C5"/>
    <w:rsid w:val="008E0A04"/>
    <w:rsid w:val="008E0AFA"/>
    <w:rsid w:val="008E28BD"/>
    <w:rsid w:val="008E2C6D"/>
    <w:rsid w:val="008E30DD"/>
    <w:rsid w:val="008E4F56"/>
    <w:rsid w:val="008E6661"/>
    <w:rsid w:val="008E75D3"/>
    <w:rsid w:val="008F02E9"/>
    <w:rsid w:val="008F076A"/>
    <w:rsid w:val="008F0CE4"/>
    <w:rsid w:val="008F125E"/>
    <w:rsid w:val="008F1CC5"/>
    <w:rsid w:val="008F2444"/>
    <w:rsid w:val="008F2B54"/>
    <w:rsid w:val="008F2CC5"/>
    <w:rsid w:val="008F4C1E"/>
    <w:rsid w:val="008F4D2F"/>
    <w:rsid w:val="008F4D47"/>
    <w:rsid w:val="008F510A"/>
    <w:rsid w:val="008F55A2"/>
    <w:rsid w:val="00900235"/>
    <w:rsid w:val="00900D3C"/>
    <w:rsid w:val="00904FAA"/>
    <w:rsid w:val="00906292"/>
    <w:rsid w:val="0091352F"/>
    <w:rsid w:val="00914B5B"/>
    <w:rsid w:val="009152B8"/>
    <w:rsid w:val="009156FB"/>
    <w:rsid w:val="00917162"/>
    <w:rsid w:val="009172B9"/>
    <w:rsid w:val="009178AA"/>
    <w:rsid w:val="00920430"/>
    <w:rsid w:val="00920544"/>
    <w:rsid w:val="00921C0C"/>
    <w:rsid w:val="00923001"/>
    <w:rsid w:val="0092358D"/>
    <w:rsid w:val="009238BF"/>
    <w:rsid w:val="009251CC"/>
    <w:rsid w:val="0092680D"/>
    <w:rsid w:val="0092714E"/>
    <w:rsid w:val="00927661"/>
    <w:rsid w:val="00930D52"/>
    <w:rsid w:val="00931E24"/>
    <w:rsid w:val="009324F0"/>
    <w:rsid w:val="00933130"/>
    <w:rsid w:val="0093478F"/>
    <w:rsid w:val="00936826"/>
    <w:rsid w:val="00940656"/>
    <w:rsid w:val="00940B3D"/>
    <w:rsid w:val="00942002"/>
    <w:rsid w:val="00942359"/>
    <w:rsid w:val="0094623A"/>
    <w:rsid w:val="00946FC5"/>
    <w:rsid w:val="00947885"/>
    <w:rsid w:val="009504AB"/>
    <w:rsid w:val="00951212"/>
    <w:rsid w:val="00951818"/>
    <w:rsid w:val="00952168"/>
    <w:rsid w:val="009527FE"/>
    <w:rsid w:val="009529B2"/>
    <w:rsid w:val="009535A6"/>
    <w:rsid w:val="009538D0"/>
    <w:rsid w:val="0095421F"/>
    <w:rsid w:val="009555CA"/>
    <w:rsid w:val="00955D69"/>
    <w:rsid w:val="00957D2C"/>
    <w:rsid w:val="00960319"/>
    <w:rsid w:val="00960539"/>
    <w:rsid w:val="009605B1"/>
    <w:rsid w:val="00960CBC"/>
    <w:rsid w:val="00962591"/>
    <w:rsid w:val="00962AD4"/>
    <w:rsid w:val="00963A06"/>
    <w:rsid w:val="00965192"/>
    <w:rsid w:val="00967DD4"/>
    <w:rsid w:val="009700B1"/>
    <w:rsid w:val="00970ECF"/>
    <w:rsid w:val="00971261"/>
    <w:rsid w:val="00971FD4"/>
    <w:rsid w:val="009722CB"/>
    <w:rsid w:val="00973429"/>
    <w:rsid w:val="009739A0"/>
    <w:rsid w:val="00974EE4"/>
    <w:rsid w:val="00974F84"/>
    <w:rsid w:val="00975D5B"/>
    <w:rsid w:val="00976216"/>
    <w:rsid w:val="009767C7"/>
    <w:rsid w:val="00977D30"/>
    <w:rsid w:val="00980E69"/>
    <w:rsid w:val="0098334C"/>
    <w:rsid w:val="00984643"/>
    <w:rsid w:val="0098576C"/>
    <w:rsid w:val="0098579A"/>
    <w:rsid w:val="00991475"/>
    <w:rsid w:val="009918DD"/>
    <w:rsid w:val="0099195A"/>
    <w:rsid w:val="00991BD2"/>
    <w:rsid w:val="00992407"/>
    <w:rsid w:val="00992A11"/>
    <w:rsid w:val="00994681"/>
    <w:rsid w:val="0099486A"/>
    <w:rsid w:val="00994EFB"/>
    <w:rsid w:val="009954D8"/>
    <w:rsid w:val="0099594A"/>
    <w:rsid w:val="00997239"/>
    <w:rsid w:val="009A0B33"/>
    <w:rsid w:val="009A0E26"/>
    <w:rsid w:val="009A16EC"/>
    <w:rsid w:val="009A22C2"/>
    <w:rsid w:val="009A5A99"/>
    <w:rsid w:val="009A743E"/>
    <w:rsid w:val="009A79B8"/>
    <w:rsid w:val="009A7CF6"/>
    <w:rsid w:val="009A7F82"/>
    <w:rsid w:val="009B10F6"/>
    <w:rsid w:val="009B11ED"/>
    <w:rsid w:val="009B1B55"/>
    <w:rsid w:val="009B29B7"/>
    <w:rsid w:val="009B2D03"/>
    <w:rsid w:val="009B3199"/>
    <w:rsid w:val="009B3B37"/>
    <w:rsid w:val="009B5878"/>
    <w:rsid w:val="009B63F4"/>
    <w:rsid w:val="009B7D1F"/>
    <w:rsid w:val="009C088E"/>
    <w:rsid w:val="009C17DC"/>
    <w:rsid w:val="009C292D"/>
    <w:rsid w:val="009C37AB"/>
    <w:rsid w:val="009C4C7A"/>
    <w:rsid w:val="009C4D35"/>
    <w:rsid w:val="009C5E51"/>
    <w:rsid w:val="009C6158"/>
    <w:rsid w:val="009C75A2"/>
    <w:rsid w:val="009C7B68"/>
    <w:rsid w:val="009D1522"/>
    <w:rsid w:val="009D51F0"/>
    <w:rsid w:val="009D61DC"/>
    <w:rsid w:val="009D7252"/>
    <w:rsid w:val="009D7652"/>
    <w:rsid w:val="009E1FF6"/>
    <w:rsid w:val="009E3CAF"/>
    <w:rsid w:val="009E3E5E"/>
    <w:rsid w:val="009E3F48"/>
    <w:rsid w:val="009E53A5"/>
    <w:rsid w:val="009E57C6"/>
    <w:rsid w:val="009E5EB4"/>
    <w:rsid w:val="009E7B37"/>
    <w:rsid w:val="009E7BCC"/>
    <w:rsid w:val="009F4451"/>
    <w:rsid w:val="009F563C"/>
    <w:rsid w:val="009F610E"/>
    <w:rsid w:val="00A00DA9"/>
    <w:rsid w:val="00A00F7E"/>
    <w:rsid w:val="00A044D6"/>
    <w:rsid w:val="00A04ADB"/>
    <w:rsid w:val="00A04D8F"/>
    <w:rsid w:val="00A04F89"/>
    <w:rsid w:val="00A05F11"/>
    <w:rsid w:val="00A0756E"/>
    <w:rsid w:val="00A11E0F"/>
    <w:rsid w:val="00A12378"/>
    <w:rsid w:val="00A141E9"/>
    <w:rsid w:val="00A148CB"/>
    <w:rsid w:val="00A15B6B"/>
    <w:rsid w:val="00A15D78"/>
    <w:rsid w:val="00A15EBE"/>
    <w:rsid w:val="00A17F5B"/>
    <w:rsid w:val="00A216E5"/>
    <w:rsid w:val="00A21F92"/>
    <w:rsid w:val="00A24617"/>
    <w:rsid w:val="00A25165"/>
    <w:rsid w:val="00A25F5B"/>
    <w:rsid w:val="00A26744"/>
    <w:rsid w:val="00A26CB6"/>
    <w:rsid w:val="00A27073"/>
    <w:rsid w:val="00A2751B"/>
    <w:rsid w:val="00A30A00"/>
    <w:rsid w:val="00A316D9"/>
    <w:rsid w:val="00A32F82"/>
    <w:rsid w:val="00A32F8B"/>
    <w:rsid w:val="00A34F9F"/>
    <w:rsid w:val="00A36481"/>
    <w:rsid w:val="00A36675"/>
    <w:rsid w:val="00A3756F"/>
    <w:rsid w:val="00A37BF5"/>
    <w:rsid w:val="00A42D6F"/>
    <w:rsid w:val="00A43870"/>
    <w:rsid w:val="00A4474B"/>
    <w:rsid w:val="00A45A62"/>
    <w:rsid w:val="00A462DC"/>
    <w:rsid w:val="00A4657C"/>
    <w:rsid w:val="00A51DB8"/>
    <w:rsid w:val="00A52E0B"/>
    <w:rsid w:val="00A52FA1"/>
    <w:rsid w:val="00A540B0"/>
    <w:rsid w:val="00A54AC5"/>
    <w:rsid w:val="00A54C2A"/>
    <w:rsid w:val="00A54D12"/>
    <w:rsid w:val="00A55DC3"/>
    <w:rsid w:val="00A56D41"/>
    <w:rsid w:val="00A56DEC"/>
    <w:rsid w:val="00A6039E"/>
    <w:rsid w:val="00A60529"/>
    <w:rsid w:val="00A60899"/>
    <w:rsid w:val="00A608D3"/>
    <w:rsid w:val="00A60F91"/>
    <w:rsid w:val="00A61353"/>
    <w:rsid w:val="00A61481"/>
    <w:rsid w:val="00A616F1"/>
    <w:rsid w:val="00A61A48"/>
    <w:rsid w:val="00A629D6"/>
    <w:rsid w:val="00A63035"/>
    <w:rsid w:val="00A637C9"/>
    <w:rsid w:val="00A66DB1"/>
    <w:rsid w:val="00A67A92"/>
    <w:rsid w:val="00A70DC6"/>
    <w:rsid w:val="00A7315C"/>
    <w:rsid w:val="00A7420B"/>
    <w:rsid w:val="00A743B1"/>
    <w:rsid w:val="00A74FDC"/>
    <w:rsid w:val="00A76997"/>
    <w:rsid w:val="00A77192"/>
    <w:rsid w:val="00A8089F"/>
    <w:rsid w:val="00A811D8"/>
    <w:rsid w:val="00A81C0A"/>
    <w:rsid w:val="00A820BE"/>
    <w:rsid w:val="00A842D5"/>
    <w:rsid w:val="00A87870"/>
    <w:rsid w:val="00A903F3"/>
    <w:rsid w:val="00A90F18"/>
    <w:rsid w:val="00A90FFB"/>
    <w:rsid w:val="00A9149D"/>
    <w:rsid w:val="00A9165E"/>
    <w:rsid w:val="00A91A70"/>
    <w:rsid w:val="00A92FCD"/>
    <w:rsid w:val="00A9302F"/>
    <w:rsid w:val="00A957F6"/>
    <w:rsid w:val="00A959CF"/>
    <w:rsid w:val="00A9635E"/>
    <w:rsid w:val="00A97316"/>
    <w:rsid w:val="00A97BD8"/>
    <w:rsid w:val="00AA010B"/>
    <w:rsid w:val="00AA0D54"/>
    <w:rsid w:val="00AA1B85"/>
    <w:rsid w:val="00AA3290"/>
    <w:rsid w:val="00AA46F0"/>
    <w:rsid w:val="00AA5540"/>
    <w:rsid w:val="00AA6481"/>
    <w:rsid w:val="00AA7270"/>
    <w:rsid w:val="00AB08B8"/>
    <w:rsid w:val="00AB0C08"/>
    <w:rsid w:val="00AB12AC"/>
    <w:rsid w:val="00AB1CB6"/>
    <w:rsid w:val="00AB1D9A"/>
    <w:rsid w:val="00AB4A1F"/>
    <w:rsid w:val="00AB5C61"/>
    <w:rsid w:val="00AB7EAC"/>
    <w:rsid w:val="00AC02F8"/>
    <w:rsid w:val="00AC22DB"/>
    <w:rsid w:val="00AC304D"/>
    <w:rsid w:val="00AC3204"/>
    <w:rsid w:val="00AC3540"/>
    <w:rsid w:val="00AC3D15"/>
    <w:rsid w:val="00AC5055"/>
    <w:rsid w:val="00AC5315"/>
    <w:rsid w:val="00AC6E6F"/>
    <w:rsid w:val="00AC7623"/>
    <w:rsid w:val="00AC7D60"/>
    <w:rsid w:val="00AD0A8D"/>
    <w:rsid w:val="00AD0C22"/>
    <w:rsid w:val="00AD1AD7"/>
    <w:rsid w:val="00AD1AE2"/>
    <w:rsid w:val="00AD3290"/>
    <w:rsid w:val="00AD442C"/>
    <w:rsid w:val="00AD44FE"/>
    <w:rsid w:val="00AD5A37"/>
    <w:rsid w:val="00AD6B50"/>
    <w:rsid w:val="00AE05A4"/>
    <w:rsid w:val="00AE1442"/>
    <w:rsid w:val="00AE177E"/>
    <w:rsid w:val="00AE25FC"/>
    <w:rsid w:val="00AE380A"/>
    <w:rsid w:val="00AE400C"/>
    <w:rsid w:val="00AE49F1"/>
    <w:rsid w:val="00AE4A1C"/>
    <w:rsid w:val="00AE4B7A"/>
    <w:rsid w:val="00AE5532"/>
    <w:rsid w:val="00AE58C4"/>
    <w:rsid w:val="00AE74D8"/>
    <w:rsid w:val="00AF0B6F"/>
    <w:rsid w:val="00AF0F75"/>
    <w:rsid w:val="00AF1D69"/>
    <w:rsid w:val="00AF23A8"/>
    <w:rsid w:val="00AF30D0"/>
    <w:rsid w:val="00AF3920"/>
    <w:rsid w:val="00AF41FA"/>
    <w:rsid w:val="00AF4720"/>
    <w:rsid w:val="00AF4796"/>
    <w:rsid w:val="00AF71EB"/>
    <w:rsid w:val="00AF73E4"/>
    <w:rsid w:val="00B00988"/>
    <w:rsid w:val="00B01405"/>
    <w:rsid w:val="00B027BA"/>
    <w:rsid w:val="00B052E8"/>
    <w:rsid w:val="00B05CCA"/>
    <w:rsid w:val="00B05ECC"/>
    <w:rsid w:val="00B06DC3"/>
    <w:rsid w:val="00B07F73"/>
    <w:rsid w:val="00B100C9"/>
    <w:rsid w:val="00B11099"/>
    <w:rsid w:val="00B1114C"/>
    <w:rsid w:val="00B116B7"/>
    <w:rsid w:val="00B14271"/>
    <w:rsid w:val="00B16270"/>
    <w:rsid w:val="00B20182"/>
    <w:rsid w:val="00B20E4B"/>
    <w:rsid w:val="00B22578"/>
    <w:rsid w:val="00B2292F"/>
    <w:rsid w:val="00B23C16"/>
    <w:rsid w:val="00B23C52"/>
    <w:rsid w:val="00B24E86"/>
    <w:rsid w:val="00B259E1"/>
    <w:rsid w:val="00B2685D"/>
    <w:rsid w:val="00B26D1E"/>
    <w:rsid w:val="00B26EE8"/>
    <w:rsid w:val="00B30351"/>
    <w:rsid w:val="00B312F1"/>
    <w:rsid w:val="00B324B0"/>
    <w:rsid w:val="00B33837"/>
    <w:rsid w:val="00B33C2A"/>
    <w:rsid w:val="00B349F7"/>
    <w:rsid w:val="00B34A14"/>
    <w:rsid w:val="00B35967"/>
    <w:rsid w:val="00B35CBA"/>
    <w:rsid w:val="00B363D9"/>
    <w:rsid w:val="00B416D1"/>
    <w:rsid w:val="00B422EC"/>
    <w:rsid w:val="00B44875"/>
    <w:rsid w:val="00B44C07"/>
    <w:rsid w:val="00B46320"/>
    <w:rsid w:val="00B4657A"/>
    <w:rsid w:val="00B47F0A"/>
    <w:rsid w:val="00B50B6B"/>
    <w:rsid w:val="00B51D75"/>
    <w:rsid w:val="00B54329"/>
    <w:rsid w:val="00B54885"/>
    <w:rsid w:val="00B54BFF"/>
    <w:rsid w:val="00B554C9"/>
    <w:rsid w:val="00B56AD9"/>
    <w:rsid w:val="00B5714F"/>
    <w:rsid w:val="00B57158"/>
    <w:rsid w:val="00B5778D"/>
    <w:rsid w:val="00B60827"/>
    <w:rsid w:val="00B61117"/>
    <w:rsid w:val="00B614C0"/>
    <w:rsid w:val="00B61EBB"/>
    <w:rsid w:val="00B634AB"/>
    <w:rsid w:val="00B63624"/>
    <w:rsid w:val="00B671E3"/>
    <w:rsid w:val="00B7037B"/>
    <w:rsid w:val="00B719F6"/>
    <w:rsid w:val="00B726D4"/>
    <w:rsid w:val="00B72969"/>
    <w:rsid w:val="00B73A2D"/>
    <w:rsid w:val="00B758FD"/>
    <w:rsid w:val="00B76807"/>
    <w:rsid w:val="00B769E6"/>
    <w:rsid w:val="00B77D24"/>
    <w:rsid w:val="00B8214F"/>
    <w:rsid w:val="00B82B43"/>
    <w:rsid w:val="00B82B48"/>
    <w:rsid w:val="00B83FD5"/>
    <w:rsid w:val="00B84956"/>
    <w:rsid w:val="00B84F2C"/>
    <w:rsid w:val="00B85133"/>
    <w:rsid w:val="00B8643A"/>
    <w:rsid w:val="00B86A4F"/>
    <w:rsid w:val="00B873D9"/>
    <w:rsid w:val="00B91786"/>
    <w:rsid w:val="00B92B97"/>
    <w:rsid w:val="00B93035"/>
    <w:rsid w:val="00B93D17"/>
    <w:rsid w:val="00B940EB"/>
    <w:rsid w:val="00B9431C"/>
    <w:rsid w:val="00B95714"/>
    <w:rsid w:val="00B95798"/>
    <w:rsid w:val="00B958E8"/>
    <w:rsid w:val="00B97E4A"/>
    <w:rsid w:val="00BA09B2"/>
    <w:rsid w:val="00BA0F35"/>
    <w:rsid w:val="00BA397D"/>
    <w:rsid w:val="00BA465D"/>
    <w:rsid w:val="00BA52C0"/>
    <w:rsid w:val="00BA5B46"/>
    <w:rsid w:val="00BA621C"/>
    <w:rsid w:val="00BA63D4"/>
    <w:rsid w:val="00BB1F54"/>
    <w:rsid w:val="00BB2D73"/>
    <w:rsid w:val="00BB400D"/>
    <w:rsid w:val="00BB45BA"/>
    <w:rsid w:val="00BB48B2"/>
    <w:rsid w:val="00BB4A3A"/>
    <w:rsid w:val="00BB5D0B"/>
    <w:rsid w:val="00BB629C"/>
    <w:rsid w:val="00BC0995"/>
    <w:rsid w:val="00BC1761"/>
    <w:rsid w:val="00BC19ED"/>
    <w:rsid w:val="00BC25A8"/>
    <w:rsid w:val="00BC513A"/>
    <w:rsid w:val="00BC585F"/>
    <w:rsid w:val="00BC6C56"/>
    <w:rsid w:val="00BC6DE2"/>
    <w:rsid w:val="00BC6E62"/>
    <w:rsid w:val="00BC782A"/>
    <w:rsid w:val="00BD010D"/>
    <w:rsid w:val="00BD013A"/>
    <w:rsid w:val="00BD2510"/>
    <w:rsid w:val="00BD3A53"/>
    <w:rsid w:val="00BD4640"/>
    <w:rsid w:val="00BD4A0E"/>
    <w:rsid w:val="00BD4ECD"/>
    <w:rsid w:val="00BD5A19"/>
    <w:rsid w:val="00BD6539"/>
    <w:rsid w:val="00BD656A"/>
    <w:rsid w:val="00BD6D1B"/>
    <w:rsid w:val="00BE2403"/>
    <w:rsid w:val="00BE2D0A"/>
    <w:rsid w:val="00BE47D4"/>
    <w:rsid w:val="00BE536C"/>
    <w:rsid w:val="00BE66DB"/>
    <w:rsid w:val="00BE776E"/>
    <w:rsid w:val="00BE793A"/>
    <w:rsid w:val="00BE7A0B"/>
    <w:rsid w:val="00BF01A8"/>
    <w:rsid w:val="00BF114D"/>
    <w:rsid w:val="00BF1B93"/>
    <w:rsid w:val="00BF2B82"/>
    <w:rsid w:val="00BF2CEB"/>
    <w:rsid w:val="00BF432A"/>
    <w:rsid w:val="00BF66DA"/>
    <w:rsid w:val="00BF6E82"/>
    <w:rsid w:val="00C016CC"/>
    <w:rsid w:val="00C0361D"/>
    <w:rsid w:val="00C041A4"/>
    <w:rsid w:val="00C053B6"/>
    <w:rsid w:val="00C060C7"/>
    <w:rsid w:val="00C06DCC"/>
    <w:rsid w:val="00C07F92"/>
    <w:rsid w:val="00C10EA4"/>
    <w:rsid w:val="00C111D8"/>
    <w:rsid w:val="00C11D25"/>
    <w:rsid w:val="00C13217"/>
    <w:rsid w:val="00C15BEC"/>
    <w:rsid w:val="00C15DB5"/>
    <w:rsid w:val="00C208E2"/>
    <w:rsid w:val="00C213CF"/>
    <w:rsid w:val="00C21874"/>
    <w:rsid w:val="00C21897"/>
    <w:rsid w:val="00C2288E"/>
    <w:rsid w:val="00C22B54"/>
    <w:rsid w:val="00C22CEA"/>
    <w:rsid w:val="00C22F1F"/>
    <w:rsid w:val="00C24279"/>
    <w:rsid w:val="00C249E3"/>
    <w:rsid w:val="00C24C17"/>
    <w:rsid w:val="00C27C4A"/>
    <w:rsid w:val="00C31595"/>
    <w:rsid w:val="00C31B25"/>
    <w:rsid w:val="00C3309D"/>
    <w:rsid w:val="00C3411D"/>
    <w:rsid w:val="00C34357"/>
    <w:rsid w:val="00C34829"/>
    <w:rsid w:val="00C363B8"/>
    <w:rsid w:val="00C3758F"/>
    <w:rsid w:val="00C40B88"/>
    <w:rsid w:val="00C43DDD"/>
    <w:rsid w:val="00C44489"/>
    <w:rsid w:val="00C44FC2"/>
    <w:rsid w:val="00C475FE"/>
    <w:rsid w:val="00C47D87"/>
    <w:rsid w:val="00C47FCD"/>
    <w:rsid w:val="00C50FA6"/>
    <w:rsid w:val="00C51DE1"/>
    <w:rsid w:val="00C53430"/>
    <w:rsid w:val="00C5376E"/>
    <w:rsid w:val="00C549AA"/>
    <w:rsid w:val="00C554C1"/>
    <w:rsid w:val="00C558F2"/>
    <w:rsid w:val="00C55AEE"/>
    <w:rsid w:val="00C5701B"/>
    <w:rsid w:val="00C6069A"/>
    <w:rsid w:val="00C61501"/>
    <w:rsid w:val="00C61BDC"/>
    <w:rsid w:val="00C64D40"/>
    <w:rsid w:val="00C65957"/>
    <w:rsid w:val="00C66065"/>
    <w:rsid w:val="00C66218"/>
    <w:rsid w:val="00C677C9"/>
    <w:rsid w:val="00C70B76"/>
    <w:rsid w:val="00C70DBC"/>
    <w:rsid w:val="00C70FB7"/>
    <w:rsid w:val="00C71E80"/>
    <w:rsid w:val="00C75DCE"/>
    <w:rsid w:val="00C76008"/>
    <w:rsid w:val="00C7750A"/>
    <w:rsid w:val="00C808A6"/>
    <w:rsid w:val="00C83BA4"/>
    <w:rsid w:val="00C84AC6"/>
    <w:rsid w:val="00C855DB"/>
    <w:rsid w:val="00C855F3"/>
    <w:rsid w:val="00C86270"/>
    <w:rsid w:val="00C87338"/>
    <w:rsid w:val="00C90C20"/>
    <w:rsid w:val="00C9109C"/>
    <w:rsid w:val="00C9362C"/>
    <w:rsid w:val="00C948CF"/>
    <w:rsid w:val="00C95798"/>
    <w:rsid w:val="00C95A74"/>
    <w:rsid w:val="00C962BE"/>
    <w:rsid w:val="00C96FD6"/>
    <w:rsid w:val="00C97091"/>
    <w:rsid w:val="00C97260"/>
    <w:rsid w:val="00C97391"/>
    <w:rsid w:val="00CA14A5"/>
    <w:rsid w:val="00CA14DA"/>
    <w:rsid w:val="00CA1AB8"/>
    <w:rsid w:val="00CA2001"/>
    <w:rsid w:val="00CA2B10"/>
    <w:rsid w:val="00CA3F11"/>
    <w:rsid w:val="00CA5256"/>
    <w:rsid w:val="00CA5564"/>
    <w:rsid w:val="00CA7C3B"/>
    <w:rsid w:val="00CB078E"/>
    <w:rsid w:val="00CB3782"/>
    <w:rsid w:val="00CB4D20"/>
    <w:rsid w:val="00CB5B6C"/>
    <w:rsid w:val="00CB60EF"/>
    <w:rsid w:val="00CB74E3"/>
    <w:rsid w:val="00CC052E"/>
    <w:rsid w:val="00CC06E5"/>
    <w:rsid w:val="00CC0B14"/>
    <w:rsid w:val="00CC5B9C"/>
    <w:rsid w:val="00CC7C09"/>
    <w:rsid w:val="00CD02DF"/>
    <w:rsid w:val="00CD10A5"/>
    <w:rsid w:val="00CD16BE"/>
    <w:rsid w:val="00CD179F"/>
    <w:rsid w:val="00CD1F32"/>
    <w:rsid w:val="00CD223C"/>
    <w:rsid w:val="00CD2268"/>
    <w:rsid w:val="00CD41F9"/>
    <w:rsid w:val="00CD4616"/>
    <w:rsid w:val="00CD50DC"/>
    <w:rsid w:val="00CD56AF"/>
    <w:rsid w:val="00CD5FFA"/>
    <w:rsid w:val="00CD608B"/>
    <w:rsid w:val="00CD61BB"/>
    <w:rsid w:val="00CE32F0"/>
    <w:rsid w:val="00CE33D5"/>
    <w:rsid w:val="00CE4712"/>
    <w:rsid w:val="00CE6073"/>
    <w:rsid w:val="00CE761C"/>
    <w:rsid w:val="00CF2B65"/>
    <w:rsid w:val="00CF3756"/>
    <w:rsid w:val="00CF3C26"/>
    <w:rsid w:val="00CF5D37"/>
    <w:rsid w:val="00CF6353"/>
    <w:rsid w:val="00CF6F33"/>
    <w:rsid w:val="00D02248"/>
    <w:rsid w:val="00D04429"/>
    <w:rsid w:val="00D04B47"/>
    <w:rsid w:val="00D04E37"/>
    <w:rsid w:val="00D063B8"/>
    <w:rsid w:val="00D06825"/>
    <w:rsid w:val="00D0702E"/>
    <w:rsid w:val="00D07467"/>
    <w:rsid w:val="00D076E6"/>
    <w:rsid w:val="00D1044F"/>
    <w:rsid w:val="00D106BD"/>
    <w:rsid w:val="00D14E64"/>
    <w:rsid w:val="00D17185"/>
    <w:rsid w:val="00D17852"/>
    <w:rsid w:val="00D17D02"/>
    <w:rsid w:val="00D17E3B"/>
    <w:rsid w:val="00D22A9A"/>
    <w:rsid w:val="00D2306F"/>
    <w:rsid w:val="00D23C09"/>
    <w:rsid w:val="00D23CED"/>
    <w:rsid w:val="00D241D1"/>
    <w:rsid w:val="00D24BD2"/>
    <w:rsid w:val="00D24F2C"/>
    <w:rsid w:val="00D254F7"/>
    <w:rsid w:val="00D2573D"/>
    <w:rsid w:val="00D260A2"/>
    <w:rsid w:val="00D27EC0"/>
    <w:rsid w:val="00D30CC6"/>
    <w:rsid w:val="00D30DA4"/>
    <w:rsid w:val="00D31722"/>
    <w:rsid w:val="00D3260C"/>
    <w:rsid w:val="00D3391A"/>
    <w:rsid w:val="00D33DB5"/>
    <w:rsid w:val="00D34995"/>
    <w:rsid w:val="00D35790"/>
    <w:rsid w:val="00D359FC"/>
    <w:rsid w:val="00D35A2E"/>
    <w:rsid w:val="00D40E57"/>
    <w:rsid w:val="00D41276"/>
    <w:rsid w:val="00D41971"/>
    <w:rsid w:val="00D442D5"/>
    <w:rsid w:val="00D45043"/>
    <w:rsid w:val="00D46CCF"/>
    <w:rsid w:val="00D51576"/>
    <w:rsid w:val="00D519AF"/>
    <w:rsid w:val="00D523BD"/>
    <w:rsid w:val="00D532A9"/>
    <w:rsid w:val="00D5437A"/>
    <w:rsid w:val="00D5611E"/>
    <w:rsid w:val="00D5653B"/>
    <w:rsid w:val="00D56C30"/>
    <w:rsid w:val="00D5726D"/>
    <w:rsid w:val="00D572AC"/>
    <w:rsid w:val="00D5776E"/>
    <w:rsid w:val="00D6071F"/>
    <w:rsid w:val="00D6087E"/>
    <w:rsid w:val="00D61D6E"/>
    <w:rsid w:val="00D62580"/>
    <w:rsid w:val="00D62EF1"/>
    <w:rsid w:val="00D6309D"/>
    <w:rsid w:val="00D644CA"/>
    <w:rsid w:val="00D64961"/>
    <w:rsid w:val="00D64EA0"/>
    <w:rsid w:val="00D66FC2"/>
    <w:rsid w:val="00D7044E"/>
    <w:rsid w:val="00D704A8"/>
    <w:rsid w:val="00D74BF0"/>
    <w:rsid w:val="00D75C28"/>
    <w:rsid w:val="00D76C7E"/>
    <w:rsid w:val="00D771DE"/>
    <w:rsid w:val="00D7776D"/>
    <w:rsid w:val="00D77ADC"/>
    <w:rsid w:val="00D81AEF"/>
    <w:rsid w:val="00D82A42"/>
    <w:rsid w:val="00D834F1"/>
    <w:rsid w:val="00D83609"/>
    <w:rsid w:val="00D83AA6"/>
    <w:rsid w:val="00D85C0D"/>
    <w:rsid w:val="00D866CB"/>
    <w:rsid w:val="00D86909"/>
    <w:rsid w:val="00D87A9A"/>
    <w:rsid w:val="00D87E39"/>
    <w:rsid w:val="00D90625"/>
    <w:rsid w:val="00D909F8"/>
    <w:rsid w:val="00D9152C"/>
    <w:rsid w:val="00D92179"/>
    <w:rsid w:val="00D922C6"/>
    <w:rsid w:val="00D9293F"/>
    <w:rsid w:val="00D92C6A"/>
    <w:rsid w:val="00D92DE7"/>
    <w:rsid w:val="00D93598"/>
    <w:rsid w:val="00D93B82"/>
    <w:rsid w:val="00D93FDD"/>
    <w:rsid w:val="00D94253"/>
    <w:rsid w:val="00D942F8"/>
    <w:rsid w:val="00D96FA9"/>
    <w:rsid w:val="00D97A5B"/>
    <w:rsid w:val="00D97AF7"/>
    <w:rsid w:val="00D97D9B"/>
    <w:rsid w:val="00DA1E18"/>
    <w:rsid w:val="00DA2009"/>
    <w:rsid w:val="00DA3F5E"/>
    <w:rsid w:val="00DA585A"/>
    <w:rsid w:val="00DA6DF7"/>
    <w:rsid w:val="00DA7741"/>
    <w:rsid w:val="00DA7769"/>
    <w:rsid w:val="00DB01C3"/>
    <w:rsid w:val="00DB05B1"/>
    <w:rsid w:val="00DB2594"/>
    <w:rsid w:val="00DB2823"/>
    <w:rsid w:val="00DB2D74"/>
    <w:rsid w:val="00DB3786"/>
    <w:rsid w:val="00DB4E60"/>
    <w:rsid w:val="00DB59E8"/>
    <w:rsid w:val="00DB5A79"/>
    <w:rsid w:val="00DB638B"/>
    <w:rsid w:val="00DC2465"/>
    <w:rsid w:val="00DC34C4"/>
    <w:rsid w:val="00DC4BCA"/>
    <w:rsid w:val="00DC5E2C"/>
    <w:rsid w:val="00DC7D48"/>
    <w:rsid w:val="00DD0253"/>
    <w:rsid w:val="00DD145A"/>
    <w:rsid w:val="00DD512E"/>
    <w:rsid w:val="00DD5EC8"/>
    <w:rsid w:val="00DD5FF5"/>
    <w:rsid w:val="00DD61D4"/>
    <w:rsid w:val="00DD7BEC"/>
    <w:rsid w:val="00DE083E"/>
    <w:rsid w:val="00DE0ACF"/>
    <w:rsid w:val="00DE0C22"/>
    <w:rsid w:val="00DE1177"/>
    <w:rsid w:val="00DE2CEA"/>
    <w:rsid w:val="00DE3CFE"/>
    <w:rsid w:val="00DE4DB3"/>
    <w:rsid w:val="00DE4F86"/>
    <w:rsid w:val="00DE5576"/>
    <w:rsid w:val="00DE567C"/>
    <w:rsid w:val="00DE6154"/>
    <w:rsid w:val="00DE634D"/>
    <w:rsid w:val="00DE6A3C"/>
    <w:rsid w:val="00DE74F4"/>
    <w:rsid w:val="00DE7C8B"/>
    <w:rsid w:val="00DE7F97"/>
    <w:rsid w:val="00DF0AAF"/>
    <w:rsid w:val="00DF1010"/>
    <w:rsid w:val="00DF2244"/>
    <w:rsid w:val="00DF334D"/>
    <w:rsid w:val="00DF3AB5"/>
    <w:rsid w:val="00DF4E1D"/>
    <w:rsid w:val="00DF53D9"/>
    <w:rsid w:val="00DF5AEA"/>
    <w:rsid w:val="00DF5D49"/>
    <w:rsid w:val="00DF63F6"/>
    <w:rsid w:val="00DF7992"/>
    <w:rsid w:val="00DF7BD0"/>
    <w:rsid w:val="00E00C8E"/>
    <w:rsid w:val="00E01A8A"/>
    <w:rsid w:val="00E0219D"/>
    <w:rsid w:val="00E0276A"/>
    <w:rsid w:val="00E0374B"/>
    <w:rsid w:val="00E0392F"/>
    <w:rsid w:val="00E040B3"/>
    <w:rsid w:val="00E0632F"/>
    <w:rsid w:val="00E06C36"/>
    <w:rsid w:val="00E071A9"/>
    <w:rsid w:val="00E07D26"/>
    <w:rsid w:val="00E10047"/>
    <w:rsid w:val="00E10B28"/>
    <w:rsid w:val="00E117FD"/>
    <w:rsid w:val="00E13747"/>
    <w:rsid w:val="00E14758"/>
    <w:rsid w:val="00E16BDE"/>
    <w:rsid w:val="00E21088"/>
    <w:rsid w:val="00E21F5D"/>
    <w:rsid w:val="00E22B1C"/>
    <w:rsid w:val="00E23C5E"/>
    <w:rsid w:val="00E23E29"/>
    <w:rsid w:val="00E24632"/>
    <w:rsid w:val="00E24A05"/>
    <w:rsid w:val="00E25155"/>
    <w:rsid w:val="00E25AEA"/>
    <w:rsid w:val="00E27C2C"/>
    <w:rsid w:val="00E30D26"/>
    <w:rsid w:val="00E30DEF"/>
    <w:rsid w:val="00E30ED2"/>
    <w:rsid w:val="00E31276"/>
    <w:rsid w:val="00E3155D"/>
    <w:rsid w:val="00E32102"/>
    <w:rsid w:val="00E34666"/>
    <w:rsid w:val="00E349A2"/>
    <w:rsid w:val="00E36A66"/>
    <w:rsid w:val="00E37F70"/>
    <w:rsid w:val="00E41377"/>
    <w:rsid w:val="00E41985"/>
    <w:rsid w:val="00E42B89"/>
    <w:rsid w:val="00E430B8"/>
    <w:rsid w:val="00E446C1"/>
    <w:rsid w:val="00E46BCD"/>
    <w:rsid w:val="00E51CCC"/>
    <w:rsid w:val="00E52079"/>
    <w:rsid w:val="00E52FC7"/>
    <w:rsid w:val="00E545D7"/>
    <w:rsid w:val="00E547FE"/>
    <w:rsid w:val="00E54960"/>
    <w:rsid w:val="00E55447"/>
    <w:rsid w:val="00E55927"/>
    <w:rsid w:val="00E5669C"/>
    <w:rsid w:val="00E570D4"/>
    <w:rsid w:val="00E57483"/>
    <w:rsid w:val="00E60ECA"/>
    <w:rsid w:val="00E613AB"/>
    <w:rsid w:val="00E637B6"/>
    <w:rsid w:val="00E6487C"/>
    <w:rsid w:val="00E64A0D"/>
    <w:rsid w:val="00E654A9"/>
    <w:rsid w:val="00E658DC"/>
    <w:rsid w:val="00E6630B"/>
    <w:rsid w:val="00E663B6"/>
    <w:rsid w:val="00E66B13"/>
    <w:rsid w:val="00E66BBE"/>
    <w:rsid w:val="00E6780D"/>
    <w:rsid w:val="00E71DFE"/>
    <w:rsid w:val="00E728D3"/>
    <w:rsid w:val="00E72BDE"/>
    <w:rsid w:val="00E73083"/>
    <w:rsid w:val="00E758B9"/>
    <w:rsid w:val="00E76025"/>
    <w:rsid w:val="00E769B9"/>
    <w:rsid w:val="00E76B45"/>
    <w:rsid w:val="00E77C00"/>
    <w:rsid w:val="00E810D3"/>
    <w:rsid w:val="00E812A3"/>
    <w:rsid w:val="00E82FE5"/>
    <w:rsid w:val="00E83724"/>
    <w:rsid w:val="00E83A6D"/>
    <w:rsid w:val="00E84236"/>
    <w:rsid w:val="00E84C02"/>
    <w:rsid w:val="00E85569"/>
    <w:rsid w:val="00E856AF"/>
    <w:rsid w:val="00E859D9"/>
    <w:rsid w:val="00E8607C"/>
    <w:rsid w:val="00E86B83"/>
    <w:rsid w:val="00E86D6E"/>
    <w:rsid w:val="00E878FB"/>
    <w:rsid w:val="00E87976"/>
    <w:rsid w:val="00E87C64"/>
    <w:rsid w:val="00E912E1"/>
    <w:rsid w:val="00E919C3"/>
    <w:rsid w:val="00E92278"/>
    <w:rsid w:val="00E93A01"/>
    <w:rsid w:val="00E93F8E"/>
    <w:rsid w:val="00E93FF8"/>
    <w:rsid w:val="00E948D8"/>
    <w:rsid w:val="00E94EB6"/>
    <w:rsid w:val="00E94F16"/>
    <w:rsid w:val="00E950CA"/>
    <w:rsid w:val="00E95CA8"/>
    <w:rsid w:val="00E96643"/>
    <w:rsid w:val="00E96CE0"/>
    <w:rsid w:val="00E96EAF"/>
    <w:rsid w:val="00E97448"/>
    <w:rsid w:val="00EA044C"/>
    <w:rsid w:val="00EA1752"/>
    <w:rsid w:val="00EA1911"/>
    <w:rsid w:val="00EA1D90"/>
    <w:rsid w:val="00EA371E"/>
    <w:rsid w:val="00EA539B"/>
    <w:rsid w:val="00EA53D0"/>
    <w:rsid w:val="00EA5996"/>
    <w:rsid w:val="00EA5A89"/>
    <w:rsid w:val="00EA5BDB"/>
    <w:rsid w:val="00EA63FA"/>
    <w:rsid w:val="00EA7454"/>
    <w:rsid w:val="00EA7720"/>
    <w:rsid w:val="00EB0A73"/>
    <w:rsid w:val="00EB0B55"/>
    <w:rsid w:val="00EB254F"/>
    <w:rsid w:val="00EB3A98"/>
    <w:rsid w:val="00EB46D9"/>
    <w:rsid w:val="00EB6EF6"/>
    <w:rsid w:val="00EC0199"/>
    <w:rsid w:val="00EC0E64"/>
    <w:rsid w:val="00EC142D"/>
    <w:rsid w:val="00EC1E16"/>
    <w:rsid w:val="00EC2DD1"/>
    <w:rsid w:val="00EC4A19"/>
    <w:rsid w:val="00EC4BA5"/>
    <w:rsid w:val="00EC52DA"/>
    <w:rsid w:val="00EC5EEE"/>
    <w:rsid w:val="00EC6F28"/>
    <w:rsid w:val="00EC7220"/>
    <w:rsid w:val="00ED0024"/>
    <w:rsid w:val="00ED0EA0"/>
    <w:rsid w:val="00ED0F85"/>
    <w:rsid w:val="00ED1B01"/>
    <w:rsid w:val="00ED2B5C"/>
    <w:rsid w:val="00ED3269"/>
    <w:rsid w:val="00ED3A18"/>
    <w:rsid w:val="00ED3AB7"/>
    <w:rsid w:val="00ED3C57"/>
    <w:rsid w:val="00EE1A8C"/>
    <w:rsid w:val="00EE3FED"/>
    <w:rsid w:val="00EE4643"/>
    <w:rsid w:val="00EE529F"/>
    <w:rsid w:val="00EE6571"/>
    <w:rsid w:val="00EE65B6"/>
    <w:rsid w:val="00EE7C86"/>
    <w:rsid w:val="00EF1330"/>
    <w:rsid w:val="00EF15FF"/>
    <w:rsid w:val="00EF2D80"/>
    <w:rsid w:val="00EF31D8"/>
    <w:rsid w:val="00EF55E6"/>
    <w:rsid w:val="00EF5707"/>
    <w:rsid w:val="00EF588D"/>
    <w:rsid w:val="00EF66B1"/>
    <w:rsid w:val="00EF67D3"/>
    <w:rsid w:val="00EF6F1F"/>
    <w:rsid w:val="00EF70EC"/>
    <w:rsid w:val="00EF7111"/>
    <w:rsid w:val="00EF74EC"/>
    <w:rsid w:val="00EF7833"/>
    <w:rsid w:val="00EF7D1A"/>
    <w:rsid w:val="00F02350"/>
    <w:rsid w:val="00F02695"/>
    <w:rsid w:val="00F02759"/>
    <w:rsid w:val="00F03B49"/>
    <w:rsid w:val="00F0448F"/>
    <w:rsid w:val="00F0611F"/>
    <w:rsid w:val="00F0716C"/>
    <w:rsid w:val="00F105AE"/>
    <w:rsid w:val="00F108A8"/>
    <w:rsid w:val="00F131E4"/>
    <w:rsid w:val="00F13319"/>
    <w:rsid w:val="00F14353"/>
    <w:rsid w:val="00F1567C"/>
    <w:rsid w:val="00F1628B"/>
    <w:rsid w:val="00F16990"/>
    <w:rsid w:val="00F22E81"/>
    <w:rsid w:val="00F250ED"/>
    <w:rsid w:val="00F26F5F"/>
    <w:rsid w:val="00F270E9"/>
    <w:rsid w:val="00F27440"/>
    <w:rsid w:val="00F275C0"/>
    <w:rsid w:val="00F3011D"/>
    <w:rsid w:val="00F30443"/>
    <w:rsid w:val="00F3048B"/>
    <w:rsid w:val="00F317B5"/>
    <w:rsid w:val="00F33348"/>
    <w:rsid w:val="00F346B6"/>
    <w:rsid w:val="00F34AB1"/>
    <w:rsid w:val="00F34F9B"/>
    <w:rsid w:val="00F36145"/>
    <w:rsid w:val="00F36227"/>
    <w:rsid w:val="00F37BDD"/>
    <w:rsid w:val="00F40716"/>
    <w:rsid w:val="00F41503"/>
    <w:rsid w:val="00F417D4"/>
    <w:rsid w:val="00F41D5C"/>
    <w:rsid w:val="00F432CF"/>
    <w:rsid w:val="00F437FD"/>
    <w:rsid w:val="00F43B69"/>
    <w:rsid w:val="00F43E3A"/>
    <w:rsid w:val="00F4479A"/>
    <w:rsid w:val="00F44D82"/>
    <w:rsid w:val="00F45589"/>
    <w:rsid w:val="00F460F3"/>
    <w:rsid w:val="00F46207"/>
    <w:rsid w:val="00F466C8"/>
    <w:rsid w:val="00F46706"/>
    <w:rsid w:val="00F469A9"/>
    <w:rsid w:val="00F46B50"/>
    <w:rsid w:val="00F47C20"/>
    <w:rsid w:val="00F50B46"/>
    <w:rsid w:val="00F50D1F"/>
    <w:rsid w:val="00F51545"/>
    <w:rsid w:val="00F521DE"/>
    <w:rsid w:val="00F52654"/>
    <w:rsid w:val="00F541D4"/>
    <w:rsid w:val="00F553CE"/>
    <w:rsid w:val="00F56043"/>
    <w:rsid w:val="00F5664E"/>
    <w:rsid w:val="00F56BD8"/>
    <w:rsid w:val="00F56E86"/>
    <w:rsid w:val="00F56FA9"/>
    <w:rsid w:val="00F6171A"/>
    <w:rsid w:val="00F619BA"/>
    <w:rsid w:val="00F62306"/>
    <w:rsid w:val="00F6351F"/>
    <w:rsid w:val="00F635FC"/>
    <w:rsid w:val="00F63D03"/>
    <w:rsid w:val="00F640D2"/>
    <w:rsid w:val="00F64EFA"/>
    <w:rsid w:val="00F65E2F"/>
    <w:rsid w:val="00F67385"/>
    <w:rsid w:val="00F67DF1"/>
    <w:rsid w:val="00F7054E"/>
    <w:rsid w:val="00F70E9F"/>
    <w:rsid w:val="00F7137C"/>
    <w:rsid w:val="00F72A09"/>
    <w:rsid w:val="00F74E67"/>
    <w:rsid w:val="00F76734"/>
    <w:rsid w:val="00F76814"/>
    <w:rsid w:val="00F76D17"/>
    <w:rsid w:val="00F77A5F"/>
    <w:rsid w:val="00F8309B"/>
    <w:rsid w:val="00F833C9"/>
    <w:rsid w:val="00F836C8"/>
    <w:rsid w:val="00F85198"/>
    <w:rsid w:val="00F90064"/>
    <w:rsid w:val="00F90BF7"/>
    <w:rsid w:val="00F94217"/>
    <w:rsid w:val="00F9586C"/>
    <w:rsid w:val="00F96AFD"/>
    <w:rsid w:val="00F96F4C"/>
    <w:rsid w:val="00FA07F4"/>
    <w:rsid w:val="00FA1398"/>
    <w:rsid w:val="00FA1515"/>
    <w:rsid w:val="00FA2053"/>
    <w:rsid w:val="00FA2E19"/>
    <w:rsid w:val="00FA397B"/>
    <w:rsid w:val="00FA3BE7"/>
    <w:rsid w:val="00FA4373"/>
    <w:rsid w:val="00FA4BA0"/>
    <w:rsid w:val="00FA697F"/>
    <w:rsid w:val="00FA6F4C"/>
    <w:rsid w:val="00FA7354"/>
    <w:rsid w:val="00FB0147"/>
    <w:rsid w:val="00FB0C8D"/>
    <w:rsid w:val="00FB0F92"/>
    <w:rsid w:val="00FB2FB3"/>
    <w:rsid w:val="00FB3846"/>
    <w:rsid w:val="00FB398A"/>
    <w:rsid w:val="00FB4BF5"/>
    <w:rsid w:val="00FB5059"/>
    <w:rsid w:val="00FB516E"/>
    <w:rsid w:val="00FB5521"/>
    <w:rsid w:val="00FB610D"/>
    <w:rsid w:val="00FB626E"/>
    <w:rsid w:val="00FB6CA8"/>
    <w:rsid w:val="00FB76F3"/>
    <w:rsid w:val="00FC1E4C"/>
    <w:rsid w:val="00FC4477"/>
    <w:rsid w:val="00FC46FB"/>
    <w:rsid w:val="00FC4DD1"/>
    <w:rsid w:val="00FC6FF7"/>
    <w:rsid w:val="00FC7B66"/>
    <w:rsid w:val="00FD032C"/>
    <w:rsid w:val="00FD0D94"/>
    <w:rsid w:val="00FD106C"/>
    <w:rsid w:val="00FD1E33"/>
    <w:rsid w:val="00FD2BD3"/>
    <w:rsid w:val="00FD2DE3"/>
    <w:rsid w:val="00FD3DEF"/>
    <w:rsid w:val="00FD4CCA"/>
    <w:rsid w:val="00FD58B1"/>
    <w:rsid w:val="00FE00EA"/>
    <w:rsid w:val="00FE04BA"/>
    <w:rsid w:val="00FE234B"/>
    <w:rsid w:val="00FE2A9E"/>
    <w:rsid w:val="00FE34B3"/>
    <w:rsid w:val="00FE394A"/>
    <w:rsid w:val="00FE46B7"/>
    <w:rsid w:val="00FE4CEC"/>
    <w:rsid w:val="00FE683A"/>
    <w:rsid w:val="00FF0420"/>
    <w:rsid w:val="00FF41B8"/>
    <w:rsid w:val="00FF47C1"/>
    <w:rsid w:val="00FF4F5A"/>
    <w:rsid w:val="00FF5237"/>
    <w:rsid w:val="00FF5629"/>
    <w:rsid w:val="00FF5B79"/>
    <w:rsid w:val="00FF689D"/>
    <w:rsid w:val="06763376"/>
    <w:rsid w:val="06D79157"/>
    <w:rsid w:val="0DD79F36"/>
    <w:rsid w:val="11E43BAB"/>
    <w:rsid w:val="121534C5"/>
    <w:rsid w:val="161E678D"/>
    <w:rsid w:val="19090967"/>
    <w:rsid w:val="1B3C24C5"/>
    <w:rsid w:val="210B7837"/>
    <w:rsid w:val="23B4E6BE"/>
    <w:rsid w:val="24F18C83"/>
    <w:rsid w:val="25653D02"/>
    <w:rsid w:val="27AA7305"/>
    <w:rsid w:val="3310C0BE"/>
    <w:rsid w:val="38EF0D05"/>
    <w:rsid w:val="39A07357"/>
    <w:rsid w:val="42088138"/>
    <w:rsid w:val="511D528A"/>
    <w:rsid w:val="588ADAF6"/>
    <w:rsid w:val="5CE173DD"/>
    <w:rsid w:val="66EB6E8A"/>
    <w:rsid w:val="69981A89"/>
    <w:rsid w:val="7629CDD5"/>
    <w:rsid w:val="772E53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409AA"/>
  <w15:chartTrackingRefBased/>
  <w15:docId w15:val="{D8A9B98D-733D-4FF4-9BF4-D50BB21B0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imes New Roman" w:hAnsi="Segoe UI" w:cs="Times New Roman"/>
        <w:sz w:val="18"/>
        <w:szCs w:val="24"/>
        <w:lang w:val="tr-TR"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1"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2975"/>
    <w:pPr>
      <w:spacing w:line="276" w:lineRule="auto"/>
      <w:jc w:val="both"/>
    </w:pPr>
    <w:rPr>
      <w:sz w:val="22"/>
    </w:rPr>
  </w:style>
  <w:style w:type="paragraph" w:styleId="Heading1">
    <w:name w:val="heading 1"/>
    <w:basedOn w:val="Normal"/>
    <w:next w:val="Normal"/>
    <w:link w:val="Heading1Char"/>
    <w:uiPriority w:val="99"/>
    <w:qFormat/>
    <w:rsid w:val="00097261"/>
    <w:pPr>
      <w:keepNext/>
      <w:spacing w:line="420" w:lineRule="atLeast"/>
      <w:outlineLvl w:val="0"/>
    </w:pPr>
    <w:rPr>
      <w:rFonts w:cs="Arial"/>
      <w:b/>
      <w:bCs/>
      <w:kern w:val="32"/>
      <w:sz w:val="36"/>
      <w:szCs w:val="32"/>
    </w:rPr>
  </w:style>
  <w:style w:type="paragraph" w:styleId="Heading2">
    <w:name w:val="heading 2"/>
    <w:basedOn w:val="Normal"/>
    <w:next w:val="Normal"/>
    <w:qFormat/>
    <w:rsid w:val="003F46B0"/>
    <w:pPr>
      <w:keepNext/>
      <w:outlineLvl w:val="1"/>
    </w:pPr>
    <w:rPr>
      <w:rFonts w:cs="Arial"/>
      <w:bCs/>
      <w:iCs/>
      <w:color w:val="E1000F"/>
      <w:szCs w:val="28"/>
    </w:rPr>
  </w:style>
  <w:style w:type="paragraph" w:styleId="Heading3">
    <w:name w:val="heading 3"/>
    <w:basedOn w:val="Heading2"/>
    <w:next w:val="Normal"/>
    <w:qFormat/>
    <w:rsid w:val="006F1596"/>
    <w:pPr>
      <w:outlineLvl w:val="2"/>
    </w:pPr>
    <w:rPr>
      <w:color w:val="aut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3758F"/>
    <w:pPr>
      <w:tabs>
        <w:tab w:val="left" w:pos="2607"/>
        <w:tab w:val="center" w:pos="4320"/>
        <w:tab w:val="right" w:pos="9356"/>
      </w:tabs>
      <w:spacing w:before="1440" w:line="100" w:lineRule="atLeast"/>
      <w:jc w:val="right"/>
    </w:pPr>
    <w:rPr>
      <w:rFonts w:cs="Segoe UI"/>
      <w:b/>
      <w:bCs/>
      <w:color w:val="3E3C3C"/>
      <w:sz w:val="40"/>
      <w:szCs w:val="40"/>
    </w:rPr>
  </w:style>
  <w:style w:type="paragraph" w:styleId="Footer">
    <w:name w:val="footer"/>
    <w:basedOn w:val="Normal"/>
    <w:link w:val="FooterChar"/>
    <w:uiPriority w:val="99"/>
    <w:rsid w:val="00992A11"/>
    <w:pPr>
      <w:tabs>
        <w:tab w:val="right" w:pos="7083"/>
        <w:tab w:val="right" w:pos="8640"/>
      </w:tabs>
      <w:spacing w:line="180" w:lineRule="atLeast"/>
      <w:jc w:val="right"/>
    </w:pPr>
    <w:rPr>
      <w:bCs/>
      <w:noProof/>
      <w:sz w:val="12"/>
    </w:rPr>
  </w:style>
  <w:style w:type="paragraph" w:customStyle="1" w:styleId="Intro">
    <w:name w:val="Intro"/>
    <w:basedOn w:val="Normal"/>
    <w:rsid w:val="006F1596"/>
    <w:pPr>
      <w:spacing w:after="300"/>
    </w:pPr>
    <w:rPr>
      <w:color w:val="415055"/>
      <w:sz w:val="24"/>
    </w:rPr>
  </w:style>
  <w:style w:type="paragraph" w:customStyle="1" w:styleId="NumBullet">
    <w:name w:val="Num_Bullet"/>
    <w:basedOn w:val="Normal"/>
    <w:rsid w:val="00576BC8"/>
    <w:pPr>
      <w:numPr>
        <w:numId w:val="1"/>
      </w:numPr>
      <w:tabs>
        <w:tab w:val="clear" w:pos="567"/>
        <w:tab w:val="left" w:pos="357"/>
      </w:tabs>
      <w:ind w:left="357" w:hanging="357"/>
    </w:pPr>
  </w:style>
  <w:style w:type="paragraph" w:customStyle="1" w:styleId="Page1Name">
    <w:name w:val="Page1_Name"/>
    <w:basedOn w:val="Normal"/>
    <w:rsid w:val="004F237B"/>
    <w:pPr>
      <w:spacing w:after="420" w:line="360" w:lineRule="atLeast"/>
    </w:pPr>
    <w:rPr>
      <w:b/>
      <w:sz w:val="30"/>
    </w:rPr>
  </w:style>
  <w:style w:type="paragraph" w:customStyle="1" w:styleId="Page1Title">
    <w:name w:val="Page1_Title"/>
    <w:basedOn w:val="Normal"/>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TableGrid">
    <w:name w:val="Table Grid"/>
    <w:basedOn w:val="TableNormal"/>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tr-TR" w:eastAsia="en-US" w:bidi="ar-SA"/>
    </w:rPr>
  </w:style>
  <w:style w:type="paragraph" w:customStyle="1" w:styleId="Standard12pt">
    <w:name w:val="Standard_12pt"/>
    <w:basedOn w:val="Normal"/>
    <w:rsid w:val="0048435F"/>
    <w:pPr>
      <w:spacing w:line="300" w:lineRule="atLeast"/>
    </w:pPr>
    <w:rPr>
      <w:sz w:val="24"/>
    </w:rPr>
  </w:style>
  <w:style w:type="character" w:customStyle="1" w:styleId="Heading1Char">
    <w:name w:val="Heading 1 Char"/>
    <w:link w:val="Heading1"/>
    <w:uiPriority w:val="99"/>
    <w:locked/>
    <w:rsid w:val="00B422EC"/>
    <w:rPr>
      <w:rFonts w:ascii="Arial" w:hAnsi="Arial" w:cs="Arial"/>
      <w:b/>
      <w:bCs/>
      <w:kern w:val="32"/>
      <w:sz w:val="36"/>
      <w:szCs w:val="32"/>
      <w:lang w:val="tr-TR"/>
    </w:rPr>
  </w:style>
  <w:style w:type="character" w:styleId="Hyperlink">
    <w:name w:val="Hyperlink"/>
    <w:rsid w:val="00336854"/>
    <w:rPr>
      <w:rFonts w:ascii="Segoe UI" w:hAnsi="Segoe UI"/>
      <w:color w:val="0000FF"/>
      <w:sz w:val="18"/>
      <w:szCs w:val="18"/>
      <w:u w:val="single"/>
    </w:rPr>
  </w:style>
  <w:style w:type="paragraph" w:customStyle="1" w:styleId="MittleresRaster1-Akzent21">
    <w:name w:val="Mittleres Raster 1 - Akzent 21"/>
    <w:basedOn w:val="Normal"/>
    <w:uiPriority w:val="34"/>
    <w:qFormat/>
    <w:rsid w:val="00B422EC"/>
    <w:pPr>
      <w:ind w:left="720"/>
    </w:pPr>
  </w:style>
  <w:style w:type="paragraph" w:styleId="BalloonText">
    <w:name w:val="Balloon Text"/>
    <w:basedOn w:val="Normal"/>
    <w:link w:val="BalloonTextChar"/>
    <w:rsid w:val="00336854"/>
    <w:pPr>
      <w:spacing w:line="240" w:lineRule="auto"/>
    </w:pPr>
    <w:rPr>
      <w:sz w:val="18"/>
      <w:szCs w:val="18"/>
    </w:rPr>
  </w:style>
  <w:style w:type="character" w:customStyle="1" w:styleId="BalloonTextChar">
    <w:name w:val="Balloon Text Char"/>
    <w:link w:val="BalloonText"/>
    <w:rsid w:val="00336854"/>
    <w:rPr>
      <w:rFonts w:ascii="Segoe UI" w:hAnsi="Segoe UI"/>
      <w:sz w:val="18"/>
      <w:szCs w:val="18"/>
      <w:lang w:val="tr-TR"/>
    </w:rPr>
  </w:style>
  <w:style w:type="paragraph" w:customStyle="1" w:styleId="MittlereListe2-Akzent21">
    <w:name w:val="Mittlere Liste 2 - Akzent 21"/>
    <w:hidden/>
    <w:uiPriority w:val="99"/>
    <w:semiHidden/>
    <w:rsid w:val="002E0B17"/>
    <w:rPr>
      <w:rFonts w:ascii="Arial" w:hAnsi="Arial"/>
    </w:rPr>
  </w:style>
  <w:style w:type="character" w:customStyle="1" w:styleId="FooterChar">
    <w:name w:val="Footer Char"/>
    <w:link w:val="Footer"/>
    <w:uiPriority w:val="99"/>
    <w:rsid w:val="00992A11"/>
    <w:rPr>
      <w:rFonts w:ascii="Segoe UI" w:hAnsi="Segoe UI"/>
      <w:bCs/>
      <w:noProof/>
      <w:sz w:val="12"/>
      <w:szCs w:val="24"/>
      <w:lang w:val="tr-TR"/>
    </w:rPr>
  </w:style>
  <w:style w:type="character" w:customStyle="1" w:styleId="UnresolvedMention1">
    <w:name w:val="Unresolved Mention1"/>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Normal"/>
    <w:rsid w:val="00974F84"/>
    <w:rPr>
      <w:szCs w:val="20"/>
    </w:rPr>
  </w:style>
  <w:style w:type="paragraph" w:customStyle="1" w:styleId="Style12ptJustifiedLinespacing15lines1">
    <w:name w:val="Style 12 pt Justified Line spacing:  1.5 lines1"/>
    <w:basedOn w:val="Normal"/>
    <w:rsid w:val="00974F84"/>
    <w:pPr>
      <w:spacing w:before="120"/>
    </w:pPr>
    <w:rPr>
      <w:szCs w:val="20"/>
    </w:rPr>
  </w:style>
  <w:style w:type="character" w:customStyle="1" w:styleId="Headline">
    <w:name w:val="Headline"/>
    <w:basedOn w:val="DefaultParagraphFont"/>
    <w:rsid w:val="00A3756F"/>
    <w:rPr>
      <w:b/>
      <w:bCs/>
      <w:sz w:val="32"/>
    </w:rPr>
  </w:style>
  <w:style w:type="paragraph" w:customStyle="1" w:styleId="MonthDayYear">
    <w:name w:val="Month Day Year"/>
    <w:basedOn w:val="Normal"/>
    <w:rsid w:val="00643D8A"/>
    <w:pPr>
      <w:spacing w:before="120"/>
      <w:ind w:right="-1"/>
      <w:jc w:val="right"/>
    </w:pPr>
    <w:rPr>
      <w:szCs w:val="20"/>
    </w:rPr>
  </w:style>
  <w:style w:type="paragraph" w:customStyle="1" w:styleId="Topline">
    <w:name w:val="Topline"/>
    <w:basedOn w:val="Normal"/>
    <w:qFormat/>
    <w:rsid w:val="00472FEC"/>
    <w:pPr>
      <w:spacing w:before="560" w:after="560"/>
    </w:pPr>
    <w:rPr>
      <w:rFonts w:cs="Segoe UI"/>
      <w:szCs w:val="22"/>
    </w:rPr>
  </w:style>
  <w:style w:type="character" w:customStyle="1" w:styleId="AboutandContactBody">
    <w:name w:val="About and Contact Body"/>
    <w:basedOn w:val="DefaultParagraphFont"/>
    <w:rsid w:val="00336854"/>
    <w:rPr>
      <w:rFonts w:ascii="Segoe UI" w:hAnsi="Segoe UI"/>
      <w:sz w:val="18"/>
    </w:rPr>
  </w:style>
  <w:style w:type="character" w:customStyle="1" w:styleId="AboutandContactHeadline">
    <w:name w:val="About and Contact Headline"/>
    <w:basedOn w:val="DefaultParagraphFont"/>
    <w:rsid w:val="00336854"/>
    <w:rPr>
      <w:rFonts w:ascii="Segoe UI" w:hAnsi="Segoe UI"/>
      <w:b/>
      <w:bCs/>
      <w:sz w:val="18"/>
    </w:rPr>
  </w:style>
  <w:style w:type="paragraph" w:styleId="ListParagraph">
    <w:name w:val="List Paragraph"/>
    <w:basedOn w:val="Normal"/>
    <w:uiPriority w:val="1"/>
    <w:qFormat/>
    <w:rsid w:val="00635616"/>
    <w:pPr>
      <w:ind w:left="720"/>
      <w:contextualSpacing/>
    </w:pPr>
  </w:style>
  <w:style w:type="character" w:styleId="CommentReference">
    <w:name w:val="annotation reference"/>
    <w:rsid w:val="00846017"/>
    <w:rPr>
      <w:sz w:val="16"/>
      <w:szCs w:val="16"/>
    </w:rPr>
  </w:style>
  <w:style w:type="paragraph" w:styleId="CommentText">
    <w:name w:val="annotation text"/>
    <w:basedOn w:val="Normal"/>
    <w:link w:val="CommentTextChar"/>
    <w:rsid w:val="00846017"/>
    <w:pPr>
      <w:spacing w:line="260" w:lineRule="atLeast"/>
      <w:jc w:val="left"/>
    </w:pPr>
    <w:rPr>
      <w:rFonts w:ascii="Arial" w:hAnsi="Arial"/>
      <w:sz w:val="20"/>
      <w:szCs w:val="20"/>
    </w:rPr>
  </w:style>
  <w:style w:type="character" w:customStyle="1" w:styleId="CommentTextChar">
    <w:name w:val="Comment Text Char"/>
    <w:basedOn w:val="DefaultParagraphFont"/>
    <w:link w:val="CommentText"/>
    <w:rsid w:val="00846017"/>
    <w:rPr>
      <w:rFonts w:ascii="Arial" w:hAnsi="Arial"/>
      <w:sz w:val="20"/>
      <w:szCs w:val="20"/>
      <w:lang w:val="tr-TR"/>
    </w:rPr>
  </w:style>
  <w:style w:type="paragraph" w:styleId="CommentSubject">
    <w:name w:val="annotation subject"/>
    <w:basedOn w:val="CommentText"/>
    <w:next w:val="CommentText"/>
    <w:link w:val="CommentSubjectChar"/>
    <w:rsid w:val="0020528D"/>
    <w:pPr>
      <w:spacing w:line="240" w:lineRule="auto"/>
      <w:jc w:val="both"/>
    </w:pPr>
    <w:rPr>
      <w:rFonts w:ascii="Segoe UI" w:hAnsi="Segoe UI"/>
      <w:b/>
      <w:bCs/>
    </w:rPr>
  </w:style>
  <w:style w:type="character" w:customStyle="1" w:styleId="CommentSubjectChar">
    <w:name w:val="Comment Subject Char"/>
    <w:basedOn w:val="CommentTextChar"/>
    <w:link w:val="CommentSubject"/>
    <w:rsid w:val="0020528D"/>
    <w:rPr>
      <w:rFonts w:ascii="Arial" w:hAnsi="Arial"/>
      <w:b/>
      <w:bCs/>
      <w:sz w:val="20"/>
      <w:szCs w:val="20"/>
      <w:lang w:val="tr-TR"/>
    </w:rPr>
  </w:style>
  <w:style w:type="paragraph" w:styleId="Revision">
    <w:name w:val="Revision"/>
    <w:hidden/>
    <w:uiPriority w:val="62"/>
    <w:unhideWhenUsed/>
    <w:rsid w:val="006E2D24"/>
    <w:rPr>
      <w:sz w:val="22"/>
    </w:rPr>
  </w:style>
  <w:style w:type="paragraph" w:customStyle="1" w:styleId="He04Funote">
    <w:name w:val="_He_04_Fußnote"/>
    <w:next w:val="Normal"/>
    <w:qFormat/>
    <w:rsid w:val="00A90F18"/>
    <w:pPr>
      <w:tabs>
        <w:tab w:val="left" w:pos="85"/>
      </w:tabs>
      <w:spacing w:line="256" w:lineRule="auto"/>
      <w:ind w:left="85" w:hanging="85"/>
    </w:pPr>
    <w:rPr>
      <w:rFonts w:eastAsiaTheme="minorHAnsi" w:cstheme="minorBidi"/>
      <w:sz w:val="15"/>
      <w:szCs w:val="22"/>
      <w14:numForm w14:val="lining"/>
    </w:rPr>
  </w:style>
  <w:style w:type="character" w:styleId="FootnoteReference">
    <w:name w:val="footnote reference"/>
    <w:basedOn w:val="DefaultParagraphFont"/>
    <w:uiPriority w:val="99"/>
    <w:unhideWhenUsed/>
    <w:rsid w:val="00A90F18"/>
    <w:rPr>
      <w:vertAlign w:val="superscript"/>
    </w:rPr>
  </w:style>
  <w:style w:type="paragraph" w:customStyle="1" w:styleId="He05Fett">
    <w:name w:val="_He_05_Fett"/>
    <w:next w:val="Normal"/>
    <w:link w:val="He05FettZchn"/>
    <w:qFormat/>
    <w:rsid w:val="00A92FCD"/>
    <w:pPr>
      <w:spacing w:after="160" w:line="259" w:lineRule="auto"/>
    </w:pPr>
    <w:rPr>
      <w:rFonts w:eastAsiaTheme="minorHAnsi" w:cstheme="minorBidi"/>
      <w:b/>
      <w:szCs w:val="22"/>
    </w:rPr>
  </w:style>
  <w:style w:type="character" w:customStyle="1" w:styleId="He05FettZchn">
    <w:name w:val="_He_05_Fett Zchn"/>
    <w:basedOn w:val="DefaultParagraphFont"/>
    <w:link w:val="He05Fett"/>
    <w:rsid w:val="00A92FCD"/>
    <w:rPr>
      <w:rFonts w:eastAsiaTheme="minorHAnsi" w:cstheme="minorBidi"/>
      <w:b/>
      <w:szCs w:val="22"/>
      <w:lang w:val="tr-TR"/>
    </w:rPr>
  </w:style>
  <w:style w:type="paragraph" w:customStyle="1" w:styleId="He01Flietext">
    <w:name w:val="_He_01_Fließtext"/>
    <w:qFormat/>
    <w:rsid w:val="00FE683A"/>
    <w:pPr>
      <w:tabs>
        <w:tab w:val="left" w:pos="284"/>
      </w:tabs>
      <w:spacing w:after="160" w:line="259" w:lineRule="auto"/>
      <w:jc w:val="both"/>
    </w:pPr>
    <w:rPr>
      <w:rFonts w:eastAsiaTheme="minorHAnsi" w:cstheme="minorBidi"/>
      <w:szCs w:val="22"/>
    </w:rPr>
  </w:style>
  <w:style w:type="paragraph" w:styleId="NormalWeb">
    <w:name w:val="Normal (Web)"/>
    <w:basedOn w:val="Normal"/>
    <w:uiPriority w:val="99"/>
    <w:unhideWhenUsed/>
    <w:rsid w:val="002566B2"/>
    <w:pPr>
      <w:spacing w:before="100" w:beforeAutospacing="1" w:after="100" w:afterAutospacing="1" w:line="240" w:lineRule="auto"/>
      <w:jc w:val="left"/>
    </w:pPr>
    <w:rPr>
      <w:rFonts w:ascii="Times New Roman" w:hAnsi="Times New Roman"/>
      <w:sz w:val="24"/>
      <w:lang w:eastAsia="de-DE"/>
    </w:rPr>
  </w:style>
  <w:style w:type="paragraph" w:styleId="FootnoteText">
    <w:name w:val="footnote text"/>
    <w:basedOn w:val="Normal"/>
    <w:link w:val="FootnoteTextChar"/>
    <w:uiPriority w:val="99"/>
    <w:unhideWhenUsed/>
    <w:rsid w:val="00C76008"/>
    <w:pPr>
      <w:spacing w:line="240" w:lineRule="auto"/>
      <w:jc w:val="left"/>
    </w:pPr>
    <w:rPr>
      <w:rFonts w:eastAsiaTheme="minorHAnsi" w:cstheme="minorBidi"/>
      <w:szCs w:val="20"/>
    </w:rPr>
  </w:style>
  <w:style w:type="character" w:customStyle="1" w:styleId="FootnoteTextChar">
    <w:name w:val="Footnote Text Char"/>
    <w:basedOn w:val="DefaultParagraphFont"/>
    <w:link w:val="FootnoteText"/>
    <w:uiPriority w:val="99"/>
    <w:rsid w:val="00C76008"/>
    <w:rPr>
      <w:rFonts w:eastAsiaTheme="minorHAnsi" w:cstheme="minorBidi"/>
      <w:sz w:val="22"/>
      <w:szCs w:val="2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68271">
      <w:bodyDiv w:val="1"/>
      <w:marLeft w:val="0"/>
      <w:marRight w:val="0"/>
      <w:marTop w:val="0"/>
      <w:marBottom w:val="0"/>
      <w:divBdr>
        <w:top w:val="none" w:sz="0" w:space="0" w:color="auto"/>
        <w:left w:val="none" w:sz="0" w:space="0" w:color="auto"/>
        <w:bottom w:val="none" w:sz="0" w:space="0" w:color="auto"/>
        <w:right w:val="none" w:sz="0" w:space="0" w:color="auto"/>
      </w:divBdr>
    </w:div>
    <w:div w:id="215901274">
      <w:bodyDiv w:val="1"/>
      <w:marLeft w:val="0"/>
      <w:marRight w:val="0"/>
      <w:marTop w:val="0"/>
      <w:marBottom w:val="0"/>
      <w:divBdr>
        <w:top w:val="none" w:sz="0" w:space="0" w:color="auto"/>
        <w:left w:val="none" w:sz="0" w:space="0" w:color="auto"/>
        <w:bottom w:val="none" w:sz="0" w:space="0" w:color="auto"/>
        <w:right w:val="none" w:sz="0" w:space="0" w:color="auto"/>
      </w:divBdr>
    </w:div>
    <w:div w:id="331758879">
      <w:bodyDiv w:val="1"/>
      <w:marLeft w:val="0"/>
      <w:marRight w:val="0"/>
      <w:marTop w:val="0"/>
      <w:marBottom w:val="0"/>
      <w:divBdr>
        <w:top w:val="none" w:sz="0" w:space="0" w:color="auto"/>
        <w:left w:val="none" w:sz="0" w:space="0" w:color="auto"/>
        <w:bottom w:val="none" w:sz="0" w:space="0" w:color="auto"/>
        <w:right w:val="none" w:sz="0" w:space="0" w:color="auto"/>
      </w:divBdr>
    </w:div>
    <w:div w:id="545877286">
      <w:bodyDiv w:val="1"/>
      <w:marLeft w:val="0"/>
      <w:marRight w:val="0"/>
      <w:marTop w:val="0"/>
      <w:marBottom w:val="0"/>
      <w:divBdr>
        <w:top w:val="none" w:sz="0" w:space="0" w:color="auto"/>
        <w:left w:val="none" w:sz="0" w:space="0" w:color="auto"/>
        <w:bottom w:val="none" w:sz="0" w:space="0" w:color="auto"/>
        <w:right w:val="none" w:sz="0" w:space="0" w:color="auto"/>
      </w:divBdr>
    </w:div>
    <w:div w:id="830367474">
      <w:bodyDiv w:val="1"/>
      <w:marLeft w:val="0"/>
      <w:marRight w:val="0"/>
      <w:marTop w:val="0"/>
      <w:marBottom w:val="0"/>
      <w:divBdr>
        <w:top w:val="none" w:sz="0" w:space="0" w:color="auto"/>
        <w:left w:val="none" w:sz="0" w:space="0" w:color="auto"/>
        <w:bottom w:val="none" w:sz="0" w:space="0" w:color="auto"/>
        <w:right w:val="none" w:sz="0" w:space="0" w:color="auto"/>
      </w:divBdr>
    </w:div>
    <w:div w:id="1303580746">
      <w:bodyDiv w:val="1"/>
      <w:marLeft w:val="0"/>
      <w:marRight w:val="0"/>
      <w:marTop w:val="0"/>
      <w:marBottom w:val="0"/>
      <w:divBdr>
        <w:top w:val="none" w:sz="0" w:space="0" w:color="auto"/>
        <w:left w:val="none" w:sz="0" w:space="0" w:color="auto"/>
        <w:bottom w:val="none" w:sz="0" w:space="0" w:color="auto"/>
        <w:right w:val="none" w:sz="0" w:space="0" w:color="auto"/>
      </w:divBdr>
    </w:div>
    <w:div w:id="1370689247">
      <w:bodyDiv w:val="1"/>
      <w:marLeft w:val="0"/>
      <w:marRight w:val="0"/>
      <w:marTop w:val="0"/>
      <w:marBottom w:val="0"/>
      <w:divBdr>
        <w:top w:val="none" w:sz="0" w:space="0" w:color="auto"/>
        <w:left w:val="none" w:sz="0" w:space="0" w:color="auto"/>
        <w:bottom w:val="none" w:sz="0" w:space="0" w:color="auto"/>
        <w:right w:val="none" w:sz="0" w:space="0" w:color="auto"/>
      </w:divBdr>
    </w:div>
    <w:div w:id="1374620896">
      <w:bodyDiv w:val="1"/>
      <w:marLeft w:val="0"/>
      <w:marRight w:val="0"/>
      <w:marTop w:val="0"/>
      <w:marBottom w:val="0"/>
      <w:divBdr>
        <w:top w:val="none" w:sz="0" w:space="0" w:color="auto"/>
        <w:left w:val="none" w:sz="0" w:space="0" w:color="auto"/>
        <w:bottom w:val="none" w:sz="0" w:space="0" w:color="auto"/>
        <w:right w:val="none" w:sz="0" w:space="0" w:color="auto"/>
      </w:divBdr>
    </w:div>
    <w:div w:id="1483084704">
      <w:bodyDiv w:val="1"/>
      <w:marLeft w:val="0"/>
      <w:marRight w:val="0"/>
      <w:marTop w:val="0"/>
      <w:marBottom w:val="0"/>
      <w:divBdr>
        <w:top w:val="none" w:sz="0" w:space="0" w:color="auto"/>
        <w:left w:val="none" w:sz="0" w:space="0" w:color="auto"/>
        <w:bottom w:val="none" w:sz="0" w:space="0" w:color="auto"/>
        <w:right w:val="none" w:sz="0" w:space="0" w:color="auto"/>
      </w:divBdr>
    </w:div>
    <w:div w:id="1546261199">
      <w:bodyDiv w:val="1"/>
      <w:marLeft w:val="0"/>
      <w:marRight w:val="0"/>
      <w:marTop w:val="0"/>
      <w:marBottom w:val="0"/>
      <w:divBdr>
        <w:top w:val="none" w:sz="0" w:space="0" w:color="auto"/>
        <w:left w:val="none" w:sz="0" w:space="0" w:color="auto"/>
        <w:bottom w:val="none" w:sz="0" w:space="0" w:color="auto"/>
        <w:right w:val="none" w:sz="0" w:space="0" w:color="auto"/>
      </w:divBdr>
    </w:div>
    <w:div w:id="1641376655">
      <w:bodyDiv w:val="1"/>
      <w:marLeft w:val="0"/>
      <w:marRight w:val="0"/>
      <w:marTop w:val="0"/>
      <w:marBottom w:val="0"/>
      <w:divBdr>
        <w:top w:val="none" w:sz="0" w:space="0" w:color="auto"/>
        <w:left w:val="none" w:sz="0" w:space="0" w:color="auto"/>
        <w:bottom w:val="none" w:sz="0" w:space="0" w:color="auto"/>
        <w:right w:val="none" w:sz="0" w:space="0" w:color="auto"/>
      </w:divBdr>
    </w:div>
    <w:div w:id="2013604992">
      <w:bodyDiv w:val="1"/>
      <w:marLeft w:val="0"/>
      <w:marRight w:val="0"/>
      <w:marTop w:val="0"/>
      <w:marBottom w:val="0"/>
      <w:divBdr>
        <w:top w:val="none" w:sz="0" w:space="0" w:color="auto"/>
        <w:left w:val="none" w:sz="0" w:space="0" w:color="auto"/>
        <w:bottom w:val="none" w:sz="0" w:space="0" w:color="auto"/>
        <w:right w:val="none" w:sz="0" w:space="0" w:color="auto"/>
      </w:divBdr>
      <w:divsChild>
        <w:div w:id="237326346">
          <w:marLeft w:val="0"/>
          <w:marRight w:val="0"/>
          <w:marTop w:val="0"/>
          <w:marBottom w:val="0"/>
          <w:divBdr>
            <w:top w:val="none" w:sz="0" w:space="0" w:color="auto"/>
            <w:left w:val="none" w:sz="0" w:space="0" w:color="auto"/>
            <w:bottom w:val="none" w:sz="0" w:space="0" w:color="auto"/>
            <w:right w:val="none" w:sz="0" w:space="0" w:color="auto"/>
          </w:divBdr>
        </w:div>
        <w:div w:id="331104911">
          <w:marLeft w:val="0"/>
          <w:marRight w:val="0"/>
          <w:marTop w:val="0"/>
          <w:marBottom w:val="0"/>
          <w:divBdr>
            <w:top w:val="none" w:sz="0" w:space="0" w:color="auto"/>
            <w:left w:val="none" w:sz="0" w:space="0" w:color="auto"/>
            <w:bottom w:val="none" w:sz="0" w:space="0" w:color="auto"/>
            <w:right w:val="none" w:sz="0" w:space="0" w:color="auto"/>
          </w:divBdr>
        </w:div>
        <w:div w:id="430466892">
          <w:marLeft w:val="0"/>
          <w:marRight w:val="0"/>
          <w:marTop w:val="0"/>
          <w:marBottom w:val="0"/>
          <w:divBdr>
            <w:top w:val="none" w:sz="0" w:space="0" w:color="auto"/>
            <w:left w:val="none" w:sz="0" w:space="0" w:color="auto"/>
            <w:bottom w:val="none" w:sz="0" w:space="0" w:color="auto"/>
            <w:right w:val="none" w:sz="0" w:space="0" w:color="auto"/>
          </w:divBdr>
        </w:div>
        <w:div w:id="881399477">
          <w:marLeft w:val="0"/>
          <w:marRight w:val="0"/>
          <w:marTop w:val="0"/>
          <w:marBottom w:val="0"/>
          <w:divBdr>
            <w:top w:val="none" w:sz="0" w:space="0" w:color="auto"/>
            <w:left w:val="none" w:sz="0" w:space="0" w:color="auto"/>
            <w:bottom w:val="none" w:sz="0" w:space="0" w:color="auto"/>
            <w:right w:val="none" w:sz="0" w:space="0" w:color="auto"/>
          </w:divBdr>
        </w:div>
        <w:div w:id="1927032988">
          <w:marLeft w:val="0"/>
          <w:marRight w:val="0"/>
          <w:marTop w:val="0"/>
          <w:marBottom w:val="0"/>
          <w:divBdr>
            <w:top w:val="none" w:sz="0" w:space="0" w:color="auto"/>
            <w:left w:val="none" w:sz="0" w:space="0" w:color="auto"/>
            <w:bottom w:val="none" w:sz="0" w:space="0" w:color="auto"/>
            <w:right w:val="none" w:sz="0" w:space="0" w:color="auto"/>
          </w:divBdr>
        </w:div>
        <w:div w:id="2009089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henke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segoe-Henkel-press-release-template-2020-english.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406d6b-70e0-427c-b08d-4edfc77771aa" xsi:nil="true"/>
    <lcf76f155ced4ddcb4097134ff3c332f xmlns="487aa4a8-6e08-4624-a126-3644f60fbb35">
      <Terms xmlns="http://schemas.microsoft.com/office/infopath/2007/PartnerControls"/>
    </lcf76f155ced4ddcb4097134ff3c332f>
    <Datum xmlns="487aa4a8-6e08-4624-a126-3644f60fbb35" xsi:nil="true"/>
  </documentManagement>
</p:properties>
</file>

<file path=customXml/item2.xml><?xml version="1.0" encoding="utf-8"?>
<?mso-contentType ?>
<SharedContentType xmlns="Microsoft.SharePoint.Taxonomy.ContentTypeSync" SourceId="72f792e8-4dad-42c1-ad63-44982727bf4d" ContentTypeId="0x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E3C925157EE074095811C87522C7BC7" ma:contentTypeVersion="22" ma:contentTypeDescription="Create a new document." ma:contentTypeScope="" ma:versionID="74ca59087a68a0460257cfd765d09988">
  <xsd:schema xmlns:xsd="http://www.w3.org/2001/XMLSchema" xmlns:xs="http://www.w3.org/2001/XMLSchema" xmlns:p="http://schemas.microsoft.com/office/2006/metadata/properties" xmlns:ns2="487aa4a8-6e08-4624-a126-3644f60fbb35" xmlns:ns3="cec4b484-d643-4c02-a873-288aa5369532" xmlns:ns4="ef406d6b-70e0-427c-b08d-4edfc77771aa" targetNamespace="http://schemas.microsoft.com/office/2006/metadata/properties" ma:root="true" ma:fieldsID="8033796c042ced27f4b2ab1bf1ebc10c" ns2:_="" ns3:_="" ns4:_="">
    <xsd:import namespace="487aa4a8-6e08-4624-a126-3644f60fbb35"/>
    <xsd:import namespace="cec4b484-d643-4c02-a873-288aa5369532"/>
    <xsd:import namespace="ef406d6b-70e0-427c-b08d-4edfc77771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Datum"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aa4a8-6e08-4624-a126-3644f60fb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20" nillable="true" ma:displayName="Datum" ma:format="DateOnly" ma:internalName="Datum">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2f792e8-4dad-42c1-ad63-44982727b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4b484-d643-4c02-a873-288aa53695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406d6b-70e0-427c-b08d-4edfc77771a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099daea-b67b-4b58-9130-be82b407cc11}" ma:internalName="TaxCatchAll" ma:showField="CatchAllData" ma:web="cec4b484-d643-4c02-a873-288aa5369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245D12-BDB4-413F-ABB3-2AF0CF323A38}">
  <ds:schemaRefs>
    <ds:schemaRef ds:uri="http://schemas.microsoft.com/office/2006/metadata/properties"/>
    <ds:schemaRef ds:uri="http://schemas.microsoft.com/office/infopath/2007/PartnerControls"/>
    <ds:schemaRef ds:uri="ef406d6b-70e0-427c-b08d-4edfc77771aa"/>
    <ds:schemaRef ds:uri="487aa4a8-6e08-4624-a126-3644f60fbb35"/>
  </ds:schemaRefs>
</ds:datastoreItem>
</file>

<file path=customXml/itemProps2.xml><?xml version="1.0" encoding="utf-8"?>
<ds:datastoreItem xmlns:ds="http://schemas.openxmlformats.org/officeDocument/2006/customXml" ds:itemID="{70E590B4-7A0D-4F62-ACD8-2A023F14A264}">
  <ds:schemaRefs>
    <ds:schemaRef ds:uri="Microsoft.SharePoint.Taxonomy.ContentTypeSync"/>
  </ds:schemaRefs>
</ds:datastoreItem>
</file>

<file path=customXml/itemProps3.xml><?xml version="1.0" encoding="utf-8"?>
<ds:datastoreItem xmlns:ds="http://schemas.openxmlformats.org/officeDocument/2006/customXml" ds:itemID="{F9BB933F-EB42-4950-84FD-39B7E1C8A8D9}">
  <ds:schemaRefs>
    <ds:schemaRef ds:uri="http://schemas.openxmlformats.org/officeDocument/2006/bibliography"/>
  </ds:schemaRefs>
</ds:datastoreItem>
</file>

<file path=customXml/itemProps4.xml><?xml version="1.0" encoding="utf-8"?>
<ds:datastoreItem xmlns:ds="http://schemas.openxmlformats.org/officeDocument/2006/customXml" ds:itemID="{13AA53AF-ABE2-4687-80CC-AE0B9CFC5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aa4a8-6e08-4624-a126-3644f60fbb35"/>
    <ds:schemaRef ds:uri="cec4b484-d643-4c02-a873-288aa5369532"/>
    <ds:schemaRef ds:uri="ef406d6b-70e0-427c-b08d-4edfc7777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C226D13-73FC-4A7A-93C2-AC11939BB4A9}">
  <ds:schemaRefs>
    <ds:schemaRef ds:uri="http://schemas.microsoft.com/sharepoint/v3/contenttype/forms"/>
  </ds:schemaRefs>
</ds:datastoreItem>
</file>

<file path=docMetadata/LabelInfo.xml><?xml version="1.0" encoding="utf-8"?>
<clbl:labelList xmlns:clbl="http://schemas.microsoft.com/office/2020/mipLabelMetadata">
  <clbl:label id="{e8701075-0d9e-4ea1-991d-5a0d110a5d29}" enabled="0" method="" siteId="{e8701075-0d9e-4ea1-991d-5a0d110a5d29}" removed="1"/>
</clbl:labelList>
</file>

<file path=docProps/app.xml><?xml version="1.0" encoding="utf-8"?>
<Properties xmlns="http://schemas.openxmlformats.org/officeDocument/2006/extended-properties" xmlns:vt="http://schemas.openxmlformats.org/officeDocument/2006/docPropsVTypes">
  <Template>segoe-Henkel-press-release-template-2020-english</Template>
  <TotalTime>0</TotalTime>
  <Pages>7</Pages>
  <Words>2333</Words>
  <Characters>15191</Characters>
  <Application>Microsoft Office Word</Application>
  <DocSecurity>0</DocSecurity>
  <Lines>245</Lines>
  <Paragraphs>53</Paragraphs>
  <ScaleCrop>false</ScaleCrop>
  <HeadingPairs>
    <vt:vector size="6" baseType="variant">
      <vt:variant>
        <vt:lpstr>Title</vt:lpstr>
      </vt:variant>
      <vt:variant>
        <vt:i4>1</vt:i4>
      </vt:variant>
      <vt:variant>
        <vt:lpstr>Konu Başlığı</vt:lpstr>
      </vt:variant>
      <vt:variant>
        <vt:i4>1</vt:i4>
      </vt:variant>
      <vt:variant>
        <vt:lpstr>Titel</vt:lpstr>
      </vt:variant>
      <vt:variant>
        <vt:i4>1</vt:i4>
      </vt:variant>
    </vt:vector>
  </HeadingPairs>
  <TitlesOfParts>
    <vt:vector size="3" baseType="lpstr">
      <vt:lpstr>Pressemitteilung</vt:lpstr>
      <vt:lpstr>Pressemitteilung</vt:lpstr>
      <vt:lpstr>Pressemitteilung</vt:lpstr>
    </vt:vector>
  </TitlesOfParts>
  <Company>Henkel AG &amp; Co. KGaA</Company>
  <LinksUpToDate>false</LinksUpToDate>
  <CharactersWithSpaces>17471</CharactersWithSpaces>
  <SharedDoc>false</SharedDoc>
  <HLinks>
    <vt:vector size="66" baseType="variant">
      <vt:variant>
        <vt:i4>6946937</vt:i4>
      </vt:variant>
      <vt:variant>
        <vt:i4>30</vt:i4>
      </vt:variant>
      <vt:variant>
        <vt:i4>0</vt:i4>
      </vt:variant>
      <vt:variant>
        <vt:i4>5</vt:i4>
      </vt:variant>
      <vt:variant>
        <vt:lpwstr>http://www.henkel.de/ir</vt:lpwstr>
      </vt:variant>
      <vt:variant>
        <vt:lpwstr/>
      </vt:variant>
      <vt:variant>
        <vt:i4>6619256</vt:i4>
      </vt:variant>
      <vt:variant>
        <vt:i4>27</vt:i4>
      </vt:variant>
      <vt:variant>
        <vt:i4>0</vt:i4>
      </vt:variant>
      <vt:variant>
        <vt:i4>5</vt:i4>
      </vt:variant>
      <vt:variant>
        <vt:lpwstr>http://www.henkel.de/presse</vt:lpwstr>
      </vt:variant>
      <vt:variant>
        <vt:lpwstr/>
      </vt:variant>
      <vt:variant>
        <vt:i4>2228305</vt:i4>
      </vt:variant>
      <vt:variant>
        <vt:i4>24</vt:i4>
      </vt:variant>
      <vt:variant>
        <vt:i4>0</vt:i4>
      </vt:variant>
      <vt:variant>
        <vt:i4>5</vt:i4>
      </vt:variant>
      <vt:variant>
        <vt:lpwstr>mailto:linda.gehring@henkel.com</vt:lpwstr>
      </vt:variant>
      <vt:variant>
        <vt:lpwstr/>
      </vt:variant>
      <vt:variant>
        <vt:i4>7208970</vt:i4>
      </vt:variant>
      <vt:variant>
        <vt:i4>21</vt:i4>
      </vt:variant>
      <vt:variant>
        <vt:i4>0</vt:i4>
      </vt:variant>
      <vt:variant>
        <vt:i4>5</vt:i4>
      </vt:variant>
      <vt:variant>
        <vt:lpwstr>mailto:dennis.starke@henkel.com</vt:lpwstr>
      </vt:variant>
      <vt:variant>
        <vt:lpwstr/>
      </vt:variant>
      <vt:variant>
        <vt:i4>2687054</vt:i4>
      </vt:variant>
      <vt:variant>
        <vt:i4>18</vt:i4>
      </vt:variant>
      <vt:variant>
        <vt:i4>0</vt:i4>
      </vt:variant>
      <vt:variant>
        <vt:i4>5</vt:i4>
      </vt:variant>
      <vt:variant>
        <vt:lpwstr>mailto:hanna.philipps@henkel.com</vt:lpwstr>
      </vt:variant>
      <vt:variant>
        <vt:lpwstr/>
      </vt:variant>
      <vt:variant>
        <vt:i4>1835116</vt:i4>
      </vt:variant>
      <vt:variant>
        <vt:i4>15</vt:i4>
      </vt:variant>
      <vt:variant>
        <vt:i4>0</vt:i4>
      </vt:variant>
      <vt:variant>
        <vt:i4>5</vt:i4>
      </vt:variant>
      <vt:variant>
        <vt:lpwstr>mailto:jennifer.ott@henkel.com</vt:lpwstr>
      </vt:variant>
      <vt:variant>
        <vt:lpwstr/>
      </vt:variant>
      <vt:variant>
        <vt:i4>7667735</vt:i4>
      </vt:variant>
      <vt:variant>
        <vt:i4>12</vt:i4>
      </vt:variant>
      <vt:variant>
        <vt:i4>0</vt:i4>
      </vt:variant>
      <vt:variant>
        <vt:i4>5</vt:i4>
      </vt:variant>
      <vt:variant>
        <vt:lpwstr>mailto:wulf.klueppelholz@henkel.com</vt:lpwstr>
      </vt:variant>
      <vt:variant>
        <vt:lpwstr/>
      </vt:variant>
      <vt:variant>
        <vt:i4>7602201</vt:i4>
      </vt:variant>
      <vt:variant>
        <vt:i4>9</vt:i4>
      </vt:variant>
      <vt:variant>
        <vt:i4>0</vt:i4>
      </vt:variant>
      <vt:variant>
        <vt:i4>5</vt:i4>
      </vt:variant>
      <vt:variant>
        <vt:lpwstr>mailto:manuel.boesing@henkel.com</vt:lpwstr>
      </vt:variant>
      <vt:variant>
        <vt:lpwstr/>
      </vt:variant>
      <vt:variant>
        <vt:i4>119</vt:i4>
      </vt:variant>
      <vt:variant>
        <vt:i4>6</vt:i4>
      </vt:variant>
      <vt:variant>
        <vt:i4>0</vt:i4>
      </vt:variant>
      <vt:variant>
        <vt:i4>5</vt:i4>
      </vt:variant>
      <vt:variant>
        <vt:lpwstr>mailto:lars.witteck@henkel.com</vt:lpwstr>
      </vt:variant>
      <vt:variant>
        <vt:lpwstr/>
      </vt:variant>
      <vt:variant>
        <vt:i4>786533</vt:i4>
      </vt:variant>
      <vt:variant>
        <vt:i4>3</vt:i4>
      </vt:variant>
      <vt:variant>
        <vt:i4>0</vt:i4>
      </vt:variant>
      <vt:variant>
        <vt:i4>5</vt:i4>
      </vt:variant>
      <vt:variant>
        <vt:lpwstr>mailto:lars.korinth@henkel.com</vt:lpwstr>
      </vt:variant>
      <vt:variant>
        <vt:lpwstr/>
      </vt:variant>
      <vt:variant>
        <vt:i4>196694</vt:i4>
      </vt:variant>
      <vt:variant>
        <vt:i4>0</vt:i4>
      </vt:variant>
      <vt:variant>
        <vt:i4>0</vt:i4>
      </vt:variant>
      <vt:variant>
        <vt:i4>5</vt:i4>
      </vt:variant>
      <vt:variant>
        <vt:lpwstr>http://www.henkel.de/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Henkel</dc:creator>
  <cp:keywords/>
  <dc:description/>
  <cp:lastModifiedBy>Oznur Cati</cp:lastModifiedBy>
  <cp:revision>5</cp:revision>
  <cp:lastPrinted>2026-02-11T08:17:00Z</cp:lastPrinted>
  <dcterms:created xsi:type="dcterms:W3CDTF">2026-08-12T05:53:00Z</dcterms:created>
  <dcterms:modified xsi:type="dcterms:W3CDTF">2026-08-12T07:57:00Z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0x0101004E3C925157EE074095811C87522C7BC7</vt:lpwstr>
  </property>
  <property fmtid="{D5CDD505-2E9C-101B-9397-08002B2CF9AE}" pid="3" name="MediaServiceImageTags">
    <vt:lpwstr/>
  </property>
</Properties>
</file>