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1620CBA6" w:rsidR="00B422EC" w:rsidRPr="00EA1CF4" w:rsidRDefault="00081692" w:rsidP="00EA1CF4">
      <w:pPr>
        <w:pStyle w:val="MonthDayYear"/>
        <w:tabs>
          <w:tab w:val="left" w:pos="7371"/>
        </w:tabs>
        <w:jc w:val="left"/>
        <w:rPr>
          <w:rFonts w:ascii="Noto Sans Thai" w:hAnsi="Noto Sans Thai" w:cs="Noto Sans Thai"/>
        </w:rPr>
      </w:pPr>
      <w:r w:rsidRPr="00EA1CF4">
        <w:rPr>
          <w:rFonts w:ascii="Noto Sans Thai" w:hAnsi="Noto Sans Thai" w:cs="Noto Sans Thai"/>
          <w:lang w:val="th"/>
        </w:rPr>
        <w:tab/>
        <w:t xml:space="preserve">    6 สิงหาคม 2026</w:t>
      </w:r>
    </w:p>
    <w:p w14:paraId="166A9534" w14:textId="0E9371DF" w:rsidR="00497D5E" w:rsidRPr="00EA1CF4" w:rsidRDefault="007A2FB6" w:rsidP="00EA1CF4">
      <w:pPr>
        <w:pStyle w:val="Topline"/>
        <w:spacing w:after="240"/>
        <w:jc w:val="left"/>
        <w:rPr>
          <w:rFonts w:ascii="Noto Sans Thai" w:hAnsi="Noto Sans Thai" w:cs="Noto Sans Thai"/>
        </w:rPr>
      </w:pPr>
      <w:bookmarkStart w:id="0" w:name="_Hlk190695874"/>
      <w:r w:rsidRPr="00EA1CF4">
        <w:rPr>
          <w:rFonts w:ascii="Noto Sans Thai" w:hAnsi="Noto Sans Thai" w:cs="Noto Sans Thai"/>
          <w:lang w:val="th"/>
        </w:rPr>
        <w:t>Henkel เดินหน้าวาระการเติบโต: ด้วยการลงทุนในแบรนด์ นวัตกรรม และการควบรวมและซื้อกิจการ</w:t>
      </w:r>
    </w:p>
    <w:bookmarkEnd w:id="0"/>
    <w:p w14:paraId="3FE075DA" w14:textId="76F97B95" w:rsidR="00633B49" w:rsidRPr="00EA1CF4" w:rsidRDefault="0012714C" w:rsidP="00EA1CF4">
      <w:pPr>
        <w:jc w:val="left"/>
        <w:rPr>
          <w:rStyle w:val="Headline"/>
          <w:rFonts w:ascii="Noto Sans Thai" w:hAnsi="Noto Sans Thai" w:cs="Noto Sans Thai"/>
        </w:rPr>
      </w:pPr>
      <w:r w:rsidRPr="00EA1CF4">
        <w:rPr>
          <w:rStyle w:val="Headline"/>
          <w:rFonts w:ascii="Noto Sans Thai" w:hAnsi="Noto Sans Thai" w:cs="Noto Sans Thai"/>
          <w:lang w:val="th"/>
        </w:rPr>
        <w:t xml:space="preserve">Henkel มีผลประกอบการด้านยอดขายและกำไรที่แข็งแกร่ง </w:t>
      </w:r>
      <w:r w:rsidRPr="00EA1CF4">
        <w:rPr>
          <w:rStyle w:val="Headline"/>
          <w:rFonts w:ascii="Noto Sans Thai" w:hAnsi="Noto Sans Thai" w:cs="Noto Sans Thai"/>
          <w:b w:val="0"/>
          <w:bCs w:val="0"/>
          <w:lang w:val="th"/>
        </w:rPr>
        <w:br/>
      </w:r>
      <w:r w:rsidRPr="00EA1CF4">
        <w:rPr>
          <w:rStyle w:val="Headline"/>
          <w:rFonts w:ascii="Noto Sans Thai" w:hAnsi="Noto Sans Thai" w:cs="Noto Sans Thai"/>
          <w:lang w:val="th"/>
        </w:rPr>
        <w:t>ในช่วงครึ่งปีแรก และปรับเพิ่มประมาณการการเติบโตของยอดขายสำหรับปี 2026</w:t>
      </w:r>
    </w:p>
    <w:p w14:paraId="5E22EDC4" w14:textId="77777777" w:rsidR="00A54C2A" w:rsidRPr="00EA1CF4" w:rsidRDefault="00A54C2A" w:rsidP="00EA1CF4">
      <w:pPr>
        <w:spacing w:line="240" w:lineRule="auto"/>
        <w:jc w:val="left"/>
        <w:rPr>
          <w:rFonts w:ascii="Noto Sans Thai" w:hAnsi="Noto Sans Thai" w:cs="Noto Sans Thai"/>
          <w:sz w:val="16"/>
          <w:szCs w:val="16"/>
        </w:rPr>
      </w:pPr>
    </w:p>
    <w:p w14:paraId="55670377" w14:textId="7F0FACE7" w:rsidR="00DC34C4" w:rsidRPr="00EA1CF4" w:rsidRDefault="00DC34C4" w:rsidP="00EA1CF4">
      <w:pPr>
        <w:pStyle w:val="ListParagraph"/>
        <w:numPr>
          <w:ilvl w:val="0"/>
          <w:numId w:val="7"/>
        </w:numPr>
        <w:spacing w:after="80"/>
        <w:ind w:left="284" w:right="-108" w:hanging="357"/>
        <w:contextualSpacing w:val="0"/>
        <w:jc w:val="left"/>
        <w:rPr>
          <w:rFonts w:ascii="Noto Sans Thai" w:hAnsi="Noto Sans Thai" w:cs="Noto Sans Thai"/>
          <w:b/>
          <w:szCs w:val="22"/>
        </w:rPr>
      </w:pPr>
      <w:bookmarkStart w:id="1" w:name="_Hlk64363173"/>
      <w:bookmarkStart w:id="2" w:name="_Hlk43712519"/>
      <w:r w:rsidRPr="00EA1CF4">
        <w:rPr>
          <w:rFonts w:ascii="Noto Sans Thai" w:hAnsi="Noto Sans Thai" w:cs="Noto Sans Thai"/>
          <w:b/>
          <w:bCs/>
          <w:szCs w:val="22"/>
          <w:lang w:val="th"/>
        </w:rPr>
        <w:t>ยอดขายของกลุ่มบริษัทในช่วงครึ่งปีแรกเติบโตจากภายในอย่างแข็งแกร่งที่ 3.2 เปอร์เซ็นต์ แตะระดับ 10.3 พันล้านยูโร</w:t>
      </w:r>
    </w:p>
    <w:p w14:paraId="6BFCBE6D" w14:textId="642AA32D" w:rsidR="00DC34C4" w:rsidRPr="00EA1CF4" w:rsidRDefault="0087393A" w:rsidP="00EA1CF4">
      <w:pPr>
        <w:pStyle w:val="ListParagraph"/>
        <w:numPr>
          <w:ilvl w:val="0"/>
          <w:numId w:val="7"/>
        </w:numPr>
        <w:spacing w:after="80"/>
        <w:ind w:left="284" w:right="-108" w:hanging="357"/>
        <w:contextualSpacing w:val="0"/>
        <w:jc w:val="left"/>
        <w:rPr>
          <w:rFonts w:ascii="Noto Sans Thai" w:hAnsi="Noto Sans Thai" w:cs="Noto Sans Thai"/>
          <w:b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การเติบโตที่แข็งแกร่งได้รับแรงหนุนจากพัฒนาการเชิงบวกด้านราคาและปริมาณในทุก </w:t>
      </w:r>
      <w:r w:rsidRPr="00EA1CF4">
        <w:rPr>
          <w:rFonts w:ascii="Noto Sans Thai" w:hAnsi="Noto Sans Thai" w:cs="Noto Sans Thai"/>
          <w:szCs w:val="22"/>
          <w:lang w:val="th"/>
        </w:rPr>
        <w:br/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หน่วยธุรกิจ</w:t>
      </w:r>
    </w:p>
    <w:p w14:paraId="5A223F67" w14:textId="41EEB7C6" w:rsidR="00DC34C4" w:rsidRPr="00EA1CF4" w:rsidRDefault="00DC34C4" w:rsidP="00EA1CF4">
      <w:pPr>
        <w:pStyle w:val="ListParagraph"/>
        <w:numPr>
          <w:ilvl w:val="0"/>
          <w:numId w:val="7"/>
        </w:numPr>
        <w:spacing w:after="80"/>
        <w:ind w:left="284" w:right="-108" w:hanging="357"/>
        <w:contextualSpacing w:val="0"/>
        <w:jc w:val="left"/>
        <w:rPr>
          <w:rFonts w:ascii="Noto Sans Thai" w:hAnsi="Noto Sans Thai" w:cs="Noto Sans Thai"/>
          <w:b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กำไรจากการดำเนินงาน (EBIT)* เพิ่มขึ้นเป็น 1,620 ล้านยูโร (+0.3 เปอร์เซ็นต์)</w:t>
      </w:r>
    </w:p>
    <w:p w14:paraId="6EE72A28" w14:textId="6890DDDF" w:rsidR="00DC34C4" w:rsidRPr="00EA1CF4" w:rsidRDefault="00DC34C4" w:rsidP="00EA1CF4">
      <w:pPr>
        <w:pStyle w:val="ListParagraph"/>
        <w:numPr>
          <w:ilvl w:val="0"/>
          <w:numId w:val="7"/>
        </w:numPr>
        <w:spacing w:after="80"/>
        <w:ind w:left="284" w:right="-108" w:hanging="357"/>
        <w:contextualSpacing w:val="0"/>
        <w:jc w:val="left"/>
        <w:rPr>
          <w:rFonts w:ascii="Noto Sans Thai" w:hAnsi="Noto Sans Thai" w:cs="Noto Sans Thai"/>
          <w:b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อัตรากำไร EBIT แข็งแกร่งที่ 15.7 เปอร์เซ็นต์ (+10 เบสิสพอยต์) โดยทั้งสองหน่วยธุรกิจต่างแสดงให้เห็นถึงความแข็งแกร่งของธุรกิจ</w:t>
      </w:r>
    </w:p>
    <w:p w14:paraId="35493545" w14:textId="541E021D" w:rsidR="00DC34C4" w:rsidRPr="00EA1CF4" w:rsidRDefault="00DC34C4" w:rsidP="00EA1CF4">
      <w:pPr>
        <w:pStyle w:val="ListParagraph"/>
        <w:numPr>
          <w:ilvl w:val="0"/>
          <w:numId w:val="7"/>
        </w:numPr>
        <w:spacing w:after="80"/>
        <w:ind w:left="284" w:right="-108" w:hanging="357"/>
        <w:contextualSpacing w:val="0"/>
        <w:jc w:val="left"/>
        <w:rPr>
          <w:rFonts w:ascii="Noto Sans Thai" w:hAnsi="Noto Sans Thai" w:cs="Noto Sans Thai"/>
          <w:b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กำไรต่อหุ้นบุริมสิทธิ (EPS)* เพิ่มขึ้นเป็น 2.86 ยูโร </w:t>
      </w:r>
      <w:r w:rsidRPr="00EA1CF4">
        <w:rPr>
          <w:rFonts w:ascii="Noto Sans Thai" w:hAnsi="Noto Sans Thai" w:cs="Noto Sans Thai"/>
          <w:szCs w:val="22"/>
          <w:lang w:val="th"/>
        </w:rPr>
        <w:br/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เพิ่มขึ้น 7.1 เปอร์เซ็นต์ในอัตราแลกเปลี่ยนคงที่</w:t>
      </w:r>
    </w:p>
    <w:p w14:paraId="55DDFC3A" w14:textId="35060543" w:rsidR="00DC34C4" w:rsidRPr="00EA1CF4" w:rsidRDefault="00DC34C4" w:rsidP="00EA1CF4">
      <w:pPr>
        <w:pStyle w:val="ListParagraph"/>
        <w:numPr>
          <w:ilvl w:val="0"/>
          <w:numId w:val="7"/>
        </w:numPr>
        <w:spacing w:after="80"/>
        <w:ind w:left="284" w:right="-108" w:hanging="357"/>
        <w:contextualSpacing w:val="0"/>
        <w:jc w:val="left"/>
        <w:rPr>
          <w:rFonts w:ascii="Noto Sans Thai" w:hAnsi="Noto Sans Thai" w:cs="Noto Sans Thai"/>
          <w:b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ดำเนินกลยุทธ์การเติบโตผ่านการควบรวมและซื้อกิจการได้สำเร็จในช่วงครึ่งปีแรก </w:t>
      </w:r>
      <w:r w:rsidRPr="00EA1CF4">
        <w:rPr>
          <w:rFonts w:ascii="Noto Sans Thai" w:hAnsi="Noto Sans Thai" w:cs="Noto Sans Thai"/>
          <w:szCs w:val="22"/>
          <w:lang w:val="th"/>
        </w:rPr>
        <w:br/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โดยเริ่มส่งผลเชิงบวกต่อยอดขายและกำไรในปี 2026</w:t>
      </w:r>
    </w:p>
    <w:bookmarkEnd w:id="1"/>
    <w:bookmarkEnd w:id="2"/>
    <w:p w14:paraId="1D293644" w14:textId="136E2BE2" w:rsidR="00DC34C4" w:rsidRPr="00EA1CF4" w:rsidRDefault="00DC34C4" w:rsidP="00EA1CF4">
      <w:pPr>
        <w:pStyle w:val="ListParagraph"/>
        <w:numPr>
          <w:ilvl w:val="0"/>
          <w:numId w:val="7"/>
        </w:numPr>
        <w:spacing w:after="80"/>
        <w:ind w:left="284" w:right="-108" w:hanging="357"/>
        <w:contextualSpacing w:val="0"/>
        <w:jc w:val="left"/>
        <w:rPr>
          <w:rFonts w:ascii="Noto Sans Thai" w:hAnsi="Noto Sans Thai" w:cs="Noto Sans Thai"/>
          <w:b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แนวโน้มสำหรับปีงบประมาณ 2026: ปรับเพิ่มประมาณการการเติบโตของยอดขายสำหรับกลุ่มบริษัท และ </w:t>
      </w:r>
      <w:r w:rsidRPr="00EA1CF4">
        <w:rPr>
          <w:rFonts w:ascii="Noto Sans Thai" w:hAnsi="Noto Sans Thai" w:cs="Noto Sans Thai"/>
          <w:szCs w:val="22"/>
          <w:lang w:val="th"/>
        </w:rPr>
        <w:br/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ธุรกิจเทคโนโลยีกาว</w:t>
      </w:r>
    </w:p>
    <w:p w14:paraId="5113870C" w14:textId="6CB987D0" w:rsidR="00DC34C4" w:rsidRPr="00EA1CF4" w:rsidRDefault="00DC34C4" w:rsidP="00EA1CF4">
      <w:pPr>
        <w:pStyle w:val="ListParagraph"/>
        <w:widowControl w:val="0"/>
        <w:numPr>
          <w:ilvl w:val="1"/>
          <w:numId w:val="7"/>
        </w:numPr>
        <w:tabs>
          <w:tab w:val="left" w:pos="702"/>
        </w:tabs>
        <w:autoSpaceDE w:val="0"/>
        <w:autoSpaceDN w:val="0"/>
        <w:spacing w:before="113" w:line="240" w:lineRule="auto"/>
        <w:ind w:left="702"/>
        <w:contextualSpacing w:val="0"/>
        <w:jc w:val="left"/>
        <w:rPr>
          <w:rFonts w:ascii="Noto Sans Thai" w:hAnsi="Noto Sans Thai" w:cs="Noto Sans Thai"/>
        </w:rPr>
      </w:pPr>
      <w:r w:rsidRPr="00EA1CF4">
        <w:rPr>
          <w:rFonts w:ascii="Noto Sans Thai" w:hAnsi="Noto Sans Thai" w:cs="Noto Sans Thai"/>
          <w:lang w:val="th"/>
        </w:rPr>
        <w:t>การเติบโตของยอดขายจากภายใน: 1.5 ถึง 3.5 เปอร์เซ็นต์ (เดิม: 1.0 ถึง 3.0 เปอร์เซ็นต์)</w:t>
      </w:r>
    </w:p>
    <w:p w14:paraId="7530C7F9" w14:textId="581E6AEB" w:rsidR="00DC34C4" w:rsidRPr="00EA1CF4" w:rsidRDefault="00DC34C4" w:rsidP="00EA1CF4">
      <w:pPr>
        <w:pStyle w:val="ListParagraph"/>
        <w:widowControl w:val="0"/>
        <w:numPr>
          <w:ilvl w:val="1"/>
          <w:numId w:val="7"/>
        </w:numPr>
        <w:tabs>
          <w:tab w:val="left" w:pos="702"/>
        </w:tabs>
        <w:autoSpaceDE w:val="0"/>
        <w:autoSpaceDN w:val="0"/>
        <w:spacing w:before="113" w:line="240" w:lineRule="auto"/>
        <w:ind w:left="702"/>
        <w:contextualSpacing w:val="0"/>
        <w:jc w:val="left"/>
        <w:rPr>
          <w:rFonts w:ascii="Noto Sans Thai" w:hAnsi="Noto Sans Thai" w:cs="Noto Sans Thai"/>
        </w:rPr>
      </w:pPr>
      <w:r w:rsidRPr="00EA1CF4">
        <w:rPr>
          <w:rFonts w:ascii="Noto Sans Thai" w:hAnsi="Noto Sans Thai" w:cs="Noto Sans Thai"/>
          <w:lang w:val="th"/>
        </w:rPr>
        <w:t>ผลตอบแทนจากการขายที่ปรับแล้ว: 14.5 ถึง 16.0 เปอร์เซ็นต์</w:t>
      </w:r>
    </w:p>
    <w:p w14:paraId="738D13D3" w14:textId="1AFD4F2D" w:rsidR="00DC34C4" w:rsidRPr="00EA1CF4" w:rsidRDefault="00DC34C4" w:rsidP="00EA1CF4">
      <w:pPr>
        <w:pStyle w:val="ListParagraph"/>
        <w:widowControl w:val="0"/>
        <w:numPr>
          <w:ilvl w:val="1"/>
          <w:numId w:val="7"/>
        </w:numPr>
        <w:tabs>
          <w:tab w:val="left" w:pos="702"/>
        </w:tabs>
        <w:autoSpaceDE w:val="0"/>
        <w:autoSpaceDN w:val="0"/>
        <w:spacing w:before="113" w:line="240" w:lineRule="auto"/>
        <w:ind w:left="702"/>
        <w:contextualSpacing w:val="0"/>
        <w:jc w:val="left"/>
        <w:rPr>
          <w:rFonts w:ascii="Noto Sans Thai" w:hAnsi="Noto Sans Thai" w:cs="Noto Sans Thai"/>
        </w:rPr>
      </w:pPr>
      <w:r w:rsidRPr="00EA1CF4">
        <w:rPr>
          <w:rFonts w:ascii="Noto Sans Thai" w:hAnsi="Noto Sans Thai" w:cs="Noto Sans Thai"/>
          <w:lang w:val="th"/>
        </w:rPr>
        <w:t>กำไรต่อหุ้นบุริมสิทธิ (EPS) ที่ปรับแล้ว: เพิ่มขึ้นในช่วงเปอร์เซ็นต์ตัวเลขหลักเดียวตั้งแต่ระดับต่ำถึงระดับสูง (เมื่อคำนวณในอัตราแลกเปลี่ยนคงที่)</w:t>
      </w:r>
    </w:p>
    <w:p w14:paraId="0E973721" w14:textId="3F3EF3D0" w:rsidR="00D93B82" w:rsidRPr="00EA1CF4" w:rsidRDefault="00D93B82" w:rsidP="00EA1CF4">
      <w:pPr>
        <w:jc w:val="left"/>
        <w:rPr>
          <w:rFonts w:ascii="Noto Sans Thai" w:hAnsi="Noto Sans Thai" w:cs="Noto Sans Thai"/>
          <w:b/>
          <w:bCs/>
          <w:szCs w:val="22"/>
        </w:rPr>
      </w:pPr>
    </w:p>
    <w:p w14:paraId="1F0E6762" w14:textId="6A37F56A" w:rsidR="002566B2" w:rsidRPr="00EA1CF4" w:rsidRDefault="00F26F5F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ดุสเซลดอร์ฟ – Henkel มีการเติบโตของยอดขายจากภายในที่แข็งแกร่งและมีผลประกอบการด้านกำไรที่ดีมากในช่วงครึ่งแรกของปี 2026 แม้สภาพแวดล้อมทางเศรษฐกิจยังคงท้าทายอย่างมาก “หน่วยธุรกิจทั้งสองยังคงร่วมกันขับเคลื่อนการเติบโตของยอดขายจากภายใน โดยแต่ละหน่วยธุรกิจมีพัฒนาการเชิงบวกทั้งด้านราคาและปริมาณ สำหรับธุรกิจเทคโนโลยีกาว การดำเนินมาตรการด้านราคาอย่างสม่ำเสมอและรวดเร็วเพื่อชดเชยแรงกดดันจากราคาวัตถุดิบ ยังช่วยสนับสนุนการปรับตัวดีขึ้นของยอดขายและกำไรด้วย” Carsten Knobel ประธานเจ้าหน้าที่บริหารของ Henkel กล่าว “สำหรับธุรกิจคอนซูเมอร์แบรนด์ กลุ่มธุรกิจผลิตภัณฑ์ดูแลเส้นผมยังคงรักษาแนวโน้มการเติบโตที่แข็งแกร่งอย่างมากไว้ได้ ขณะที่ธุรกิจผลิตภัณฑ์ซักผ้ากลับมามีการเติบโตในเชิงบวก”</w:t>
      </w:r>
    </w:p>
    <w:p w14:paraId="341CB32D" w14:textId="06A0E23D" w:rsidR="002566B2" w:rsidRPr="00EA1CF4" w:rsidRDefault="002566B2" w:rsidP="00EA1CF4">
      <w:pPr>
        <w:jc w:val="left"/>
        <w:rPr>
          <w:rFonts w:ascii="Noto Sans Thai" w:hAnsi="Noto Sans Thai" w:cs="Noto Sans Thai"/>
          <w:szCs w:val="22"/>
        </w:rPr>
      </w:pPr>
    </w:p>
    <w:p w14:paraId="4C128449" w14:textId="068C3A01" w:rsidR="002566B2" w:rsidRPr="00EA1CF4" w:rsidRDefault="002566B2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“เราเดินหน้าดำเนินกลยุทธ์อย่างต่อเนื่อง โดยมุ่งเน้นการเติบโตอย่างมีเป้าหมายอย่างชัดเจน และผลลัพธ์ของเราแสดงให้เห็นว่าแนวทางนี้ประสบความสำเร็จ ในช่วงครึ่งปีแรก เรามีผลการดำเนิน</w:t>
      </w:r>
      <w:r w:rsidR="00E3132A">
        <w:rPr>
          <w:rFonts w:ascii="Noto Sans Thai" w:hAnsi="Noto Sans Thai" w:cs="Noto Sans Thai" w:hint="cs"/>
          <w:szCs w:val="22"/>
          <w:cs/>
          <w:lang w:val="th" w:bidi="th-TH"/>
        </w:rPr>
        <w:t>งาน</w:t>
      </w:r>
      <w:r w:rsidRPr="00EA1CF4">
        <w:rPr>
          <w:rFonts w:ascii="Noto Sans Thai" w:hAnsi="Noto Sans Thai" w:cs="Noto Sans Thai"/>
          <w:szCs w:val="22"/>
          <w:lang w:val="th"/>
        </w:rPr>
        <w:t>ทางธุรกิจโดยรวมแข็งแกร่งอย่างมาก ขณะเดียวกันก็ยังคงลงทุนเพื่ออนาคตของเราอย่างมีนัยสำคัญ ทั้งในด้านแบรนด์ เทคโนโลยี และนวัตกรรม นอกจากนี้ เรายังเร่งดำเนินกิจกรรมด้านการควบรวมและซื้อกิจการอย่างมาก เราได้บรรลุข้อตกลงในการเข้าซื้อกิจการ 5 รายการ ซึ่งมีมูลค่ารวมประมาณ 5 พันล้านยูโร และจะช่วยเสริมความแข็งแกร่งให้แก่หน่วยธุรกิจทั้งสองของเราอย่างมาก ขณะนี้ เราดำเนินการเข้าซื้อกิจการ 4 รายการเสร็จสิ้นแล้ว ในช่วงหลายปีข้างหน้า คาดว่าธุรกิจที่เข้าซื้อจะเติบโตสูงกว่าค่าเฉลี่ยในช่วงเลขหลักเดียวระดับกลางถึงสูง และสร้างยอดขายเพิ่มเติมประมาณ 2 พันล้านยูโรต่อปี นี่ถือเป็นอีกก้าวสำคัญในการขับเคลื่อนวาระการเติบโตของเราให้ก้าวหน้าอย่างยั่งยืน” Carsten Knobel กล่าวต่อ</w:t>
      </w:r>
    </w:p>
    <w:p w14:paraId="68E01B8E" w14:textId="779C302B" w:rsidR="002566B2" w:rsidRPr="00EA1CF4" w:rsidRDefault="002566B2" w:rsidP="00EA1CF4">
      <w:pPr>
        <w:jc w:val="left"/>
        <w:rPr>
          <w:rFonts w:ascii="Noto Sans Thai" w:hAnsi="Noto Sans Thai" w:cs="Noto Sans Thai"/>
          <w:szCs w:val="22"/>
          <w:lang w:bidi="th"/>
        </w:rPr>
      </w:pPr>
    </w:p>
    <w:p w14:paraId="33735EE5" w14:textId="42F001CF" w:rsidR="002566B2" w:rsidRPr="00EA1CF4" w:rsidRDefault="002566B2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“จากผลการดำเนินงานที่แข็งแกร่งของเราในช่วงครึ่งปีแรก เราจึงปรับเพิ่มประมาณการการเติบโตของยอดขายสำหรับทั้งกลุ่มบริษัทและหน่วยธุรกิจเทคโนโลยีกาว สำหรับกลุ่มบริษัท ขณะนี้เราคาดว่าการเติบโตของยอดขายจากภายในจะอยู่ระหว่าง 1.5 ถึง 3.5 เปอร์เซ็นต์ เทียบกับประมาณการเดิมที่ 1 ถึง 3 เปอร์เซ็นต์ สำหรับธุรกิจเทคโนโลยีกาว เราได้ปรับเพิ่มประมาณการการเติบโตของยอดขายจากภายในจากเดิม 1 ถึง 3 เปอร์เซ็นต์ เป็น 2 ถึง 4 เปอร์เซ็นต์ ในปัจจุบัน ดังนั้น เรายังคงเชื่อมั่นว่า Henkel เดินหน้าไปในทิศทางที่เหมาะสมเพื่อสร้างการเติบโตอย่างยั่งยืนและมีผลกำไร”</w:t>
      </w:r>
    </w:p>
    <w:p w14:paraId="59F5F4F0" w14:textId="2592F72C" w:rsidR="006D4D0C" w:rsidRPr="00EA1CF4" w:rsidRDefault="006D4D0C" w:rsidP="00EA1CF4">
      <w:pPr>
        <w:spacing w:after="120"/>
        <w:jc w:val="left"/>
        <w:rPr>
          <w:rFonts w:ascii="Noto Sans Thai" w:hAnsi="Noto Sans Thai" w:cs="Noto Sans Thai"/>
          <w:b/>
          <w:bCs/>
          <w:szCs w:val="22"/>
        </w:rPr>
      </w:pPr>
    </w:p>
    <w:p w14:paraId="2706BE4B" w14:textId="555EEA54" w:rsidR="000C47D1" w:rsidRPr="00EA1CF4" w:rsidRDefault="006D4D0C" w:rsidP="00EA1CF4">
      <w:pPr>
        <w:spacing w:after="120"/>
        <w:jc w:val="left"/>
        <w:rPr>
          <w:rFonts w:ascii="Noto Sans Thai" w:hAnsi="Noto Sans Thai" w:cs="Noto Sans Thai"/>
          <w:b/>
          <w:bCs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lastRenderedPageBreak/>
        <w:t>ผลการดำเนินงานด้านยอดขายและกำไรของกลุ่มบริษัทในช่วงครึ่งปีแรกของปี 2026</w:t>
      </w:r>
    </w:p>
    <w:p w14:paraId="0C3735E3" w14:textId="28F6AEB0" w:rsidR="00E812A3" w:rsidRPr="00EA1CF4" w:rsidRDefault="00E812A3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Henkel มี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ยอดขายของกลุ่มบริษัท</w:t>
      </w:r>
      <w:r w:rsidRPr="00EA1CF4">
        <w:rPr>
          <w:rFonts w:ascii="Noto Sans Thai" w:hAnsi="Noto Sans Thai" w:cs="Noto Sans Thai"/>
          <w:szCs w:val="22"/>
          <w:lang w:val="th"/>
        </w:rPr>
        <w:t>อยู่ที่ 10,348 ล้านยูโรในช่วงครึ่งปีแรกของปี 2026 คิดเป็นการเปลี่ยนแปลงตามตัวเลขรายงานที่ -0.5 เปอร์เซ็นต์ (ไตรมาส 2: 5,396 ล้านยูโร, +4.6 เปอร์เซ็นต์) ผลกระทบจากอัตราแลกเปลี่ยนเงินตราต่างประเทศส่งผลให้ยอดขายลดลง -3.9 เปอร์เซ็นต์ (ไตรมาส 2: -2.6 เปอร์เซ็นต์) การเข้าซื้อกิจการและการขายกิจการส่งผลบวกเล็กน้อยต่อยอดขายที่ 0.2 เปอร์เซ็นต์ (ไตรมาส 2: +2.5 เปอร์เซ็นต์) แม้การถอนการลงทุนในธุรกิจแบรนด์ผู้ค้าปลีกในอเมริกาเหนือเมื่อเดือนเมษายน 2025 จะส่งผลกระทบเชิงลบ แต่การเข้าซื้อกิจการที่เสร็จสิ้นในทั้งสองหน่วยธุรกิจในช่วงครึ่งปีแรกของปี 2026 โดยเฉพาะ ATP Adhesive Systems และ Not Your Mother’s ได้ส่งผลเชิงบวก เมื่อพิจารณาการเติบโตจากภายใน กล่าวคือ หลังปรับผลกระทบจากอัตราแลกเปลี่ยนเงินตราต่างประเทศและการเข้าซื้อกิจการ/การขายกิจการแล้ว Henkel มีการเติบโตของยอดขายแข็งแกร่งที่ 3.2 เปอร์เซ็นต์ (ไตรมาส 2: +4.7 เปอร์เซ็นต์)</w:t>
      </w:r>
    </w:p>
    <w:p w14:paraId="5125CC31" w14:textId="77777777" w:rsidR="00E812A3" w:rsidRPr="00EA1CF4" w:rsidRDefault="00E812A3" w:rsidP="00EA1CF4">
      <w:pPr>
        <w:jc w:val="left"/>
        <w:rPr>
          <w:rFonts w:ascii="Noto Sans Thai" w:hAnsi="Noto Sans Thai" w:cs="Noto Sans Thai"/>
          <w:szCs w:val="22"/>
        </w:rPr>
      </w:pPr>
    </w:p>
    <w:p w14:paraId="4EB6CF32" w14:textId="36EF4A67" w:rsidR="00E812A3" w:rsidRPr="00EA1CF4" w:rsidRDefault="00E812A3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หน่วยธุรกิจ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เทคโนโลยีกาว</w:t>
      </w:r>
      <w:r w:rsidRPr="00EA1CF4">
        <w:rPr>
          <w:rFonts w:ascii="Noto Sans Thai" w:hAnsi="Noto Sans Thai" w:cs="Noto Sans Thai"/>
          <w:szCs w:val="22"/>
          <w:lang w:val="th"/>
        </w:rPr>
        <w:t>มีการเติบโตของยอดขายจากภายในแข็งแกร่งอย่างมากที่ 4.5 เปอร์เซ็นต์ (ไตรมาส 2: +7.4 เปอร์เซ็นต์) ในช่วงครึ่งปีแรกของปี 2026 โดยมีแรงขับเคลื่อนหลักจากกลุ่มธุรกิจยานยนต์และอิเล็กทรอนิกส์ หน่วยธุรกิจ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คอนซูเมอร์แบรนด์</w:t>
      </w:r>
      <w:r w:rsidRPr="00EA1CF4">
        <w:rPr>
          <w:rFonts w:ascii="Noto Sans Thai" w:hAnsi="Noto Sans Thai" w:cs="Noto Sans Thai"/>
          <w:szCs w:val="22"/>
          <w:lang w:val="th"/>
        </w:rPr>
        <w:t>มีพัฒนาการเชิงบวกเช่นกัน โดยมีการเติบโตของยอดขายจากภายในในระดับที่ดีที่ 1.7 เปอร์เซ็นต์ (ไตรมาส 2: +1.6 เปอร์เซ็นต์) โดยมีแรงขับเคลื่อนสำคัญจากการเติบโตอย่างแข็งแกร่งมากของกลุ่มธุรกิจผลิตภัณฑ์ดูแลเส้นผม</w:t>
      </w:r>
    </w:p>
    <w:p w14:paraId="25B9A9F2" w14:textId="744AD424" w:rsidR="00211BA0" w:rsidRPr="00EA1CF4" w:rsidRDefault="00211BA0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ภูมิภาค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ยุโรป</w:t>
      </w:r>
      <w:r w:rsidRPr="00EA1CF4">
        <w:rPr>
          <w:rFonts w:ascii="Noto Sans Thai" w:hAnsi="Noto Sans Thai" w:cs="Noto Sans Thai"/>
          <w:szCs w:val="22"/>
          <w:lang w:val="th"/>
        </w:rPr>
        <w:t xml:space="preserve">มีการเปลี่ยนแปลงของยอดขายจากภายในติดลบที่ -1.5 เปอร์เซ็นต์ (ไตรมาส 2: +0.4 เปอร์เซ็นต์) ในทางตรงกันข้าม 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อเมริกาเหนือ</w:t>
      </w:r>
      <w:r w:rsidRPr="00EA1CF4">
        <w:rPr>
          <w:rFonts w:ascii="Noto Sans Thai" w:hAnsi="Noto Sans Thai" w:cs="Noto Sans Thai"/>
          <w:szCs w:val="22"/>
          <w:lang w:val="th"/>
        </w:rPr>
        <w:t xml:space="preserve">มีการเติบโตจากภายในในระดับที่ดีที่ 2.4 เปอร์เซ็นต์ (ไตรมาส 2: +3.9 เปอร์เซ็นต์) ในภูมิภาค 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IMEA</w:t>
      </w:r>
      <w:r w:rsidRPr="00EA1CF4">
        <w:rPr>
          <w:rFonts w:ascii="Noto Sans Thai" w:hAnsi="Noto Sans Thai" w:cs="Noto Sans Thai"/>
          <w:szCs w:val="22"/>
          <w:lang w:val="th"/>
        </w:rPr>
        <w:t xml:space="preserve"> และ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เอเชียแปซิฟิก</w:t>
      </w:r>
      <w:r w:rsidRPr="00EA1CF4">
        <w:rPr>
          <w:rFonts w:ascii="Noto Sans Thai" w:hAnsi="Noto Sans Thai" w:cs="Noto Sans Thai"/>
          <w:szCs w:val="22"/>
          <w:lang w:val="th"/>
        </w:rPr>
        <w:t xml:space="preserve"> Henkel มีการเติบโตของยอดขายจากภายในในระดับเลขสองหลักที่ 14.9 เปอร์เซ็นต์ (ไตรมาส 2: +17.4 เปอร์เซ็นต์) และ 10.3 เปอร์เซ็นต์ (ไตรมาส 2: +10.3 เปอร์เซ็นต์) ตามลำดับ ในทางตรงกันข้าม ภูมิภาค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ลาตินอเมริกา</w:t>
      </w:r>
      <w:r w:rsidRPr="00EA1CF4">
        <w:rPr>
          <w:rFonts w:ascii="Noto Sans Thai" w:hAnsi="Noto Sans Thai" w:cs="Noto Sans Thai"/>
          <w:szCs w:val="22"/>
          <w:lang w:val="th"/>
        </w:rPr>
        <w:t>มีการเปลี่ยนแปลงของยอดขายจากภายในติดลบเล็กน้อยที่ -1.3 เปอร์เซ็นต์ (ไตรมาส 2: +0.5 เปอร์เซ็นต์)</w:t>
      </w:r>
    </w:p>
    <w:p w14:paraId="0C44AA06" w14:textId="77777777" w:rsidR="00211BA0" w:rsidRPr="00EA1CF4" w:rsidRDefault="00211BA0" w:rsidP="00EA1CF4">
      <w:pPr>
        <w:jc w:val="left"/>
        <w:rPr>
          <w:rFonts w:ascii="Noto Sans Thai" w:hAnsi="Noto Sans Thai" w:cs="Noto Sans Thai"/>
          <w:szCs w:val="22"/>
        </w:rPr>
      </w:pPr>
    </w:p>
    <w:p w14:paraId="722810C9" w14:textId="5EB97830" w:rsidR="000311F4" w:rsidRPr="00EA1CF4" w:rsidRDefault="003663FD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กำไรจากการดำเนินงานที่ปรับแล้ว (EBIT ที่ปรับแล้ว)</w:t>
      </w:r>
      <w:r w:rsidRPr="00EA1CF4">
        <w:rPr>
          <w:rFonts w:ascii="Noto Sans Thai" w:hAnsi="Noto Sans Thai" w:cs="Noto Sans Thai"/>
          <w:szCs w:val="22"/>
          <w:lang w:val="th"/>
        </w:rPr>
        <w:t xml:space="preserve"> อยู่ที่ 1,620 ล้านยูโร สูงกว่าตัวเลขของปีก่อนเล็กน้อยที่ 1,614 ล้านยูโร </w:t>
      </w:r>
    </w:p>
    <w:p w14:paraId="02E68EC1" w14:textId="77777777" w:rsidR="000311F4" w:rsidRPr="00EA1CF4" w:rsidRDefault="000311F4" w:rsidP="00EA1CF4">
      <w:pPr>
        <w:jc w:val="left"/>
        <w:rPr>
          <w:rFonts w:ascii="Noto Sans Thai" w:hAnsi="Noto Sans Thai" w:cs="Noto Sans Thai"/>
          <w:szCs w:val="22"/>
        </w:rPr>
      </w:pPr>
    </w:p>
    <w:p w14:paraId="7D455914" w14:textId="0DD4C61B" w:rsidR="000311F4" w:rsidRPr="00EA1CF4" w:rsidRDefault="000311F4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อัตราผลตอบแทนต่อยอดขายที่ปรับแล้ว (อัตรากำไร EBIT ที่ปรับแล้ว)</w:t>
      </w:r>
      <w:r w:rsidRPr="00EA1CF4">
        <w:rPr>
          <w:rFonts w:ascii="Noto Sans Thai" w:hAnsi="Noto Sans Thai" w:cs="Noto Sans Thai"/>
          <w:szCs w:val="22"/>
          <w:lang w:val="th"/>
        </w:rPr>
        <w:t xml:space="preserve"> ของกลุ่มบริษัท Henkel เพิ่มขึ้นเป็น </w:t>
      </w:r>
      <w:r w:rsidRPr="00EA1CF4">
        <w:rPr>
          <w:rFonts w:ascii="Noto Sans Thai" w:hAnsi="Noto Sans Thai" w:cs="Noto Sans Thai"/>
          <w:szCs w:val="22"/>
          <w:lang w:val="th"/>
        </w:rPr>
        <w:br/>
        <w:t>15.7 เปอร์เซ็นต์ (ปีก่อน: 15.5 เปอร์เซ็นต์)</w:t>
      </w:r>
    </w:p>
    <w:p w14:paraId="4415DB2B" w14:textId="77777777" w:rsidR="000311F4" w:rsidRPr="00EA1CF4" w:rsidRDefault="000311F4" w:rsidP="00EA1CF4">
      <w:pPr>
        <w:jc w:val="left"/>
        <w:rPr>
          <w:rFonts w:ascii="Noto Sans Thai" w:hAnsi="Noto Sans Thai" w:cs="Noto Sans Thai"/>
          <w:szCs w:val="22"/>
        </w:rPr>
      </w:pPr>
    </w:p>
    <w:p w14:paraId="4F5EEB63" w14:textId="06997081" w:rsidR="000311F4" w:rsidRPr="00EA1CF4" w:rsidRDefault="003663FD" w:rsidP="00EA1CF4">
      <w:pPr>
        <w:jc w:val="left"/>
        <w:rPr>
          <w:rFonts w:ascii="Noto Sans Thai" w:hAnsi="Noto Sans Thai" w:cs="Noto Sans Thai"/>
          <w:szCs w:val="22"/>
        </w:rPr>
      </w:pPr>
      <w:bookmarkStart w:id="3" w:name="_Hlk190081485"/>
      <w:r w:rsidRPr="00EA1CF4">
        <w:rPr>
          <w:rFonts w:ascii="Noto Sans Thai" w:hAnsi="Noto Sans Thai" w:cs="Noto Sans Thai"/>
          <w:b/>
          <w:bCs/>
          <w:szCs w:val="22"/>
          <w:lang w:val="th"/>
        </w:rPr>
        <w:lastRenderedPageBreak/>
        <w:t>กำไรต่อหุ้นบุริมสิทธิที่ปรับแล้ว</w:t>
      </w:r>
      <w:r w:rsidRPr="00EA1CF4">
        <w:rPr>
          <w:rFonts w:ascii="Noto Sans Thai" w:hAnsi="Noto Sans Thai" w:cs="Noto Sans Thai"/>
          <w:szCs w:val="22"/>
          <w:lang w:val="th"/>
        </w:rPr>
        <w:t>เพิ่มขึ้น 1.8 เปอร์เซ็นต์ เป็น 2.86 ยูโร (ปีก่อน: 2.81 ยูโร) หากใช้อัตราแลกเปลี่ยนคงที่ กำไรต่อหุ้นบุริมสิทธิที่ปรับแล้วเพิ่มขึ้น 7.1 เปอร์เซ็นต์)</w:t>
      </w:r>
    </w:p>
    <w:p w14:paraId="4A7BE388" w14:textId="77777777" w:rsidR="000311F4" w:rsidRPr="00EA1CF4" w:rsidRDefault="000311F4" w:rsidP="00EA1CF4">
      <w:pPr>
        <w:jc w:val="left"/>
        <w:rPr>
          <w:rFonts w:ascii="Noto Sans Thai" w:hAnsi="Noto Sans Thai" w:cs="Noto Sans Thai"/>
          <w:szCs w:val="22"/>
        </w:rPr>
      </w:pPr>
    </w:p>
    <w:bookmarkEnd w:id="3"/>
    <w:p w14:paraId="2D4BE88B" w14:textId="55EB6419" w:rsidR="000311F4" w:rsidRPr="00EA1CF4" w:rsidRDefault="003663FD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เงินทุนหมุนเวียนสุทธิ</w:t>
      </w:r>
      <w:r w:rsidRPr="00EA1CF4">
        <w:rPr>
          <w:rFonts w:ascii="Noto Sans Thai" w:hAnsi="Noto Sans Thai" w:cs="Noto Sans Thai"/>
          <w:szCs w:val="22"/>
          <w:lang w:val="th"/>
        </w:rPr>
        <w:t>เมื่อคิดเป็นสัดส่วนของยอดขายในไตรมาส 2 เพิ่มขึ้นจาก 6.0 เปอร์เซ็นต์ เป็น 7.0 เปอร์เซ็นต์ เมื่อเทียบกับช่วงเดียวกันของปีก่อน โดยส่วนหนึ่งเป็นผลจากการเข้าซื้อกิจการ</w:t>
      </w:r>
    </w:p>
    <w:p w14:paraId="5424E5ED" w14:textId="77777777" w:rsidR="000311F4" w:rsidRPr="00EA1CF4" w:rsidRDefault="000311F4" w:rsidP="00EA1CF4">
      <w:pPr>
        <w:jc w:val="left"/>
        <w:rPr>
          <w:rFonts w:ascii="Noto Sans Thai" w:hAnsi="Noto Sans Thai" w:cs="Noto Sans Thai"/>
          <w:szCs w:val="22"/>
        </w:rPr>
      </w:pPr>
    </w:p>
    <w:p w14:paraId="52A4DE57" w14:textId="1B8FCC29" w:rsidR="000311F4" w:rsidRPr="00EA1CF4" w:rsidRDefault="005D4737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กระแสเงินสดอิสระ</w:t>
      </w:r>
      <w:r w:rsidRPr="00EA1CF4">
        <w:rPr>
          <w:rFonts w:ascii="Noto Sans Thai" w:hAnsi="Noto Sans Thai" w:cs="Noto Sans Thai"/>
          <w:szCs w:val="22"/>
          <w:lang w:val="th"/>
        </w:rPr>
        <w:t>เพิ่มขึ้นเป็น 612 ล้านยูโร (ครึ่งปีแรกของปี 2025: 485 ล้านยูโร) โดยมีสาเหตุหลักจากกระแสเงินสดจากกิจกรรมดำเนินงานที่เพิ่มขึ้น</w:t>
      </w:r>
    </w:p>
    <w:p w14:paraId="2DA96DA1" w14:textId="77777777" w:rsidR="005D4737" w:rsidRPr="00EA1CF4" w:rsidRDefault="005D4737" w:rsidP="00EA1CF4">
      <w:pPr>
        <w:jc w:val="left"/>
        <w:rPr>
          <w:rFonts w:ascii="Noto Sans Thai" w:hAnsi="Noto Sans Thai" w:cs="Noto Sans Thai"/>
          <w:szCs w:val="22"/>
        </w:rPr>
      </w:pPr>
    </w:p>
    <w:p w14:paraId="64A8E4B0" w14:textId="224C8E3D" w:rsidR="000311F4" w:rsidRPr="00EA1CF4" w:rsidRDefault="000311F4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ฐานะการเงินสุทธิ</w:t>
      </w:r>
      <w:r w:rsidRPr="00EA1CF4">
        <w:rPr>
          <w:rFonts w:ascii="Noto Sans Thai" w:hAnsi="Noto Sans Thai" w:cs="Noto Sans Thai"/>
          <w:szCs w:val="22"/>
          <w:lang w:val="th"/>
        </w:rPr>
        <w:t>อยู่ที่ -1,855 ล้านยูโร ณ วันที่ 30 มิถุนายน 2026 (31 ธันวาคม 2025: 109 ล้านยูโร) โดยมีสาเหตุหลักจากกระแสเงินสดไหลออกที่เกี่ยวข้องกับการเข้าซื้อกิจการที่เพิ่งดำเนินการเสร็จสิ้นและโครงการซื้อหุ้นคืน</w:t>
      </w:r>
    </w:p>
    <w:p w14:paraId="247B272B" w14:textId="77777777" w:rsidR="000311F4" w:rsidRPr="00EA1CF4" w:rsidRDefault="000311F4" w:rsidP="00EA1CF4">
      <w:pPr>
        <w:jc w:val="left"/>
        <w:rPr>
          <w:rFonts w:ascii="Noto Sans Thai" w:hAnsi="Noto Sans Thai" w:cs="Noto Sans Thai"/>
          <w:szCs w:val="22"/>
        </w:rPr>
      </w:pPr>
    </w:p>
    <w:p w14:paraId="4649C4D4" w14:textId="42D9D5A2" w:rsidR="00846017" w:rsidRPr="00EA1CF4" w:rsidRDefault="00DE4DB3" w:rsidP="00EA1CF4">
      <w:pPr>
        <w:spacing w:after="120"/>
        <w:jc w:val="left"/>
        <w:rPr>
          <w:rFonts w:ascii="Noto Sans Thai" w:hAnsi="Noto Sans Thai" w:cs="Noto Sans Thai"/>
          <w:b/>
          <w:bCs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ผลการดำเนินงานของหน่วยธุรกิจในช่วงครึ่งปีแรกของปีงบประมาณ 2026</w:t>
      </w:r>
    </w:p>
    <w:p w14:paraId="6A3D995D" w14:textId="77777777" w:rsidR="005D4737" w:rsidRPr="00EA1CF4" w:rsidRDefault="00B312F1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ยอดขาย</w:t>
      </w:r>
      <w:r w:rsidRPr="00EA1CF4">
        <w:rPr>
          <w:rFonts w:ascii="Noto Sans Thai" w:hAnsi="Noto Sans Thai" w:cs="Noto Sans Thai"/>
          <w:szCs w:val="22"/>
          <w:lang w:val="th"/>
        </w:rPr>
        <w:t>ของหน่วยธุรกิจ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เทคโนโลยีกาว</w:t>
      </w:r>
      <w:r w:rsidRPr="00EA1CF4">
        <w:rPr>
          <w:rFonts w:ascii="Noto Sans Thai" w:hAnsi="Noto Sans Thai" w:cs="Noto Sans Thai"/>
          <w:szCs w:val="22"/>
          <w:lang w:val="th"/>
        </w:rPr>
        <w:t>เพิ่มขึ้น 2.2 เปอร์เซ็นต์ตามตัวเลขรายงาน เป็น 5,534 ล้านยูโรในช่วงครึ่งปีแรกของปี 2026 (ไตรมาส 2: 2,908 ล้านยูโร, +7.6 เปอร์เซ็นต์) หน่วยธุรกิจเทคโนโลยีกาวมีการเติบโตของยอดขาย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จากภายใน</w:t>
      </w:r>
      <w:r w:rsidRPr="00EA1CF4">
        <w:rPr>
          <w:rFonts w:ascii="Noto Sans Thai" w:hAnsi="Noto Sans Thai" w:cs="Noto Sans Thai"/>
          <w:szCs w:val="22"/>
          <w:lang w:val="th"/>
        </w:rPr>
        <w:t>ที่แข็งแกร่งอย่างมากที่ 4.5 เปอร์เซ็นต์ (ไตรมาส 2: +7.4 เปอร์เซ็นต์) การเติบโตนี้ได้รับแรงขับเคลื่อนจากการปรับตัวเชิงบวกทั้งด้านราคาและปริมาณ</w:t>
      </w:r>
    </w:p>
    <w:p w14:paraId="7DCABAF6" w14:textId="77777777" w:rsidR="005D4737" w:rsidRPr="00EA1CF4" w:rsidRDefault="005D4737" w:rsidP="00EA1CF4">
      <w:pPr>
        <w:jc w:val="left"/>
        <w:rPr>
          <w:rFonts w:ascii="Noto Sans Thai" w:hAnsi="Noto Sans Thai" w:cs="Noto Sans Thai"/>
          <w:szCs w:val="22"/>
        </w:rPr>
      </w:pPr>
    </w:p>
    <w:p w14:paraId="17A3AF2D" w14:textId="22B3DEBC" w:rsidR="005D4737" w:rsidRPr="00EA1CF4" w:rsidRDefault="005D4737" w:rsidP="00EA1CF4">
      <w:pPr>
        <w:jc w:val="left"/>
        <w:rPr>
          <w:rFonts w:ascii="Noto Sans Thai" w:eastAsia="Segoe UI" w:hAnsi="Noto Sans Thai" w:cs="Noto Sans Thai"/>
          <w:szCs w:val="18"/>
        </w:rPr>
      </w:pPr>
      <w:r w:rsidRPr="00EA1CF4">
        <w:rPr>
          <w:rFonts w:ascii="Noto Sans Thai" w:eastAsia="Segoe UI" w:hAnsi="Noto Sans Thai" w:cs="Noto Sans Thai"/>
          <w:szCs w:val="18"/>
          <w:lang w:val="th"/>
        </w:rPr>
        <w:t>เมื่อพิจารณาแต่ละกลุ่มธุรกิจ การเติบโตของยอดขายจากภายในของหน่วยธุรกิจเทคโนโลยีกาวในช่วงครึ่งปีแรกมีแรงขับเคลื่อนสำคัญจากยอดขายจากภายในของกลุ่มธุรกิจ</w:t>
      </w:r>
      <w:r w:rsidRPr="00EA1CF4">
        <w:rPr>
          <w:rFonts w:ascii="Noto Sans Thai" w:eastAsia="Segoe UI" w:hAnsi="Noto Sans Thai" w:cs="Noto Sans Thai"/>
          <w:b/>
          <w:bCs/>
          <w:szCs w:val="18"/>
          <w:lang w:val="th"/>
        </w:rPr>
        <w:t>ยานยนต์และอิเล็กทรอนิกส์</w:t>
      </w:r>
      <w:r w:rsidRPr="00EA1CF4">
        <w:rPr>
          <w:rFonts w:ascii="Noto Sans Thai" w:eastAsia="Segoe UI" w:hAnsi="Noto Sans Thai" w:cs="Noto Sans Thai"/>
          <w:szCs w:val="18"/>
          <w:lang w:val="th"/>
        </w:rPr>
        <w:t>ที่เพิ่มขึ้นอย่างมีนัยสำคัญ 7.8 เปอร์เซ็นต์ (ไตรมาส 2: +8.8 เปอร์เซ็นต์) การเติบโตนี้ได้รับแรงหนุนจากการเติบโตของยอดขายจากภายในในระดับเลขสองหลักของธุรกิจอิเล็กทรอนิกส์ และการเพิ่มขึ้นอย่างมีนัยสำคัญของยอดขายในธุรกิจอุตสาหกรรม ในทางตรงกันข้าม ธุรกิจยานยนต์ปรับตัวลดลงในภาพรวมในช่วงครึ่งปีแรก แต่ปรับตัวดีขึ้นในไตรมาส 2 โดยมียอดขายจากภายในเติบโตในระดับที่ดี กลุ่มธุรกิจ</w:t>
      </w:r>
      <w:r w:rsidRPr="00EA1CF4">
        <w:rPr>
          <w:rFonts w:ascii="Noto Sans Thai" w:eastAsia="Segoe UI" w:hAnsi="Noto Sans Thai" w:cs="Noto Sans Thai"/>
          <w:b/>
          <w:bCs/>
          <w:szCs w:val="18"/>
          <w:lang w:val="th"/>
        </w:rPr>
        <w:t>บรรจุภัณฑ์และสินค้าอุปโภคบริโภค</w:t>
      </w:r>
      <w:r w:rsidRPr="00EA1CF4">
        <w:rPr>
          <w:rFonts w:ascii="Noto Sans Thai" w:eastAsia="Segoe UI" w:hAnsi="Noto Sans Thai" w:cs="Noto Sans Thai"/>
          <w:szCs w:val="18"/>
          <w:lang w:val="th"/>
        </w:rPr>
        <w:t>มีการเติบโตของยอดขายจากภายในที่แข็งแกร่งอย่างมากที่ 4.7 เปอร์เซ็นต์ โดยมีแรงขับเคลื่อนจากการเติบโตที่แข็งแกร่งของธุรกิจบรรจุภัณฑ์ และการเพิ่มขึ้นของยอดขายจากภายในที่แข็งแกร่งอย่างมากในธุรกิจสินค้าอุปโภคบริโภค (ไตรมาส 2: +9.1 เปอร์เซ็นต์) การเติบโตดังกล่าวยังได้รับแรงหนุนจากการที่ลูกค้าเร่งซื้อสินค้าล่วงหน้า เนื่องจากความไม่แน่นอนทางภูมิรัฐศาสตร์ กลุ่มธุรกิจ</w:t>
      </w:r>
      <w:r w:rsidRPr="00EA1CF4">
        <w:rPr>
          <w:rFonts w:ascii="Noto Sans Thai" w:eastAsia="Segoe UI" w:hAnsi="Noto Sans Thai" w:cs="Noto Sans Thai"/>
          <w:b/>
          <w:bCs/>
          <w:szCs w:val="18"/>
          <w:lang w:val="th"/>
        </w:rPr>
        <w:t xml:space="preserve">งานช่างฝีมือ งานก่อสร้าง </w:t>
      </w:r>
      <w:r w:rsidRPr="00EA1CF4">
        <w:rPr>
          <w:rFonts w:ascii="Noto Sans Thai" w:eastAsia="Segoe UI" w:hAnsi="Noto Sans Thai" w:cs="Noto Sans Thai"/>
          <w:b/>
          <w:bCs/>
          <w:szCs w:val="18"/>
          <w:lang w:val="th"/>
        </w:rPr>
        <w:lastRenderedPageBreak/>
        <w:t>และมืออาชีพ</w:t>
      </w:r>
      <w:r w:rsidRPr="00EA1CF4">
        <w:rPr>
          <w:rFonts w:ascii="Noto Sans Thai" w:eastAsia="Segoe UI" w:hAnsi="Noto Sans Thai" w:cs="Noto Sans Thai"/>
          <w:szCs w:val="18"/>
          <w:lang w:val="th"/>
        </w:rPr>
        <w:t>มียอดขายจากภายในเติบโต 1.0 เปอร์เซ็นต์ (ไตรมาส 2: +4.4 เปอร์เซ็นต์) การเติบโตนี้มีแรงขับเคลื่อนสำคัญจากยอดขายภายในของธุรกิจการผลิตทั่วไปและการบำรุงรักษาที่เพิ่มขึ้นอย่างแข็งแกร่ง ขณะที่ธุรกิจสินค้าอุปโภคบริโภคและการก่อสร้างมีการเปลี่ยนแปลงของยอดขายจากภายในติดลบเล็กน้อย</w:t>
      </w:r>
    </w:p>
    <w:p w14:paraId="27A9A0CF" w14:textId="77777777" w:rsidR="005D4737" w:rsidRPr="00EA1CF4" w:rsidRDefault="005D4737" w:rsidP="00EA1CF4">
      <w:pPr>
        <w:jc w:val="left"/>
        <w:rPr>
          <w:rFonts w:ascii="Noto Sans Thai" w:hAnsi="Noto Sans Thai" w:cs="Noto Sans Thai"/>
          <w:szCs w:val="22"/>
          <w:highlight w:val="yellow"/>
        </w:rPr>
      </w:pPr>
      <w:bookmarkStart w:id="4" w:name="_Hlk190097207"/>
    </w:p>
    <w:p w14:paraId="70926E97" w14:textId="5FFE50AC" w:rsidR="005D4737" w:rsidRPr="00EA1CF4" w:rsidRDefault="005D4737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กำไรจากการดำเนินงานที่ปรับแล้ว</w:t>
      </w:r>
      <w:r w:rsidRPr="00EA1CF4">
        <w:rPr>
          <w:rFonts w:ascii="Noto Sans Thai" w:hAnsi="Noto Sans Thai" w:cs="Noto Sans Thai"/>
          <w:szCs w:val="22"/>
          <w:lang w:val="th"/>
        </w:rPr>
        <w:t>อยู่ที่ 982 ล้านยูโร สูงกว่าระดับของปีก่อน แม้ได้รับผลกระทบเชิงลบจากอัตราแลกเปลี่ยนเงินตราต่างประเทศ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 อัตราผลตอบแทนต่อยอดขายที่ปรับแล้ว</w:t>
      </w:r>
      <w:r w:rsidRPr="00EA1CF4">
        <w:rPr>
          <w:rFonts w:ascii="Noto Sans Thai" w:hAnsi="Noto Sans Thai" w:cs="Noto Sans Thai"/>
          <w:szCs w:val="22"/>
          <w:lang w:val="th"/>
        </w:rPr>
        <w:t>เพิ่มขึ้นเป็น 17.7 เปอร์เซ็นต์ เทียบกับ 17.2 เปอร์เซ็นต์ในช่วงเดียวกันของปีก่อน ทั้งนี้ การประหยัดต่อขนาดจากการเติบโตของปริมาณขายและโครงสร้างธุรกิจส่งผลเชิงบวก</w:t>
      </w:r>
    </w:p>
    <w:p w14:paraId="4FF29955" w14:textId="77777777" w:rsidR="005D4737" w:rsidRPr="00EA1CF4" w:rsidRDefault="005D4737" w:rsidP="00EA1CF4">
      <w:pPr>
        <w:jc w:val="left"/>
        <w:rPr>
          <w:rFonts w:ascii="Noto Sans Thai" w:hAnsi="Noto Sans Thai" w:cs="Noto Sans Thai"/>
          <w:szCs w:val="22"/>
        </w:rPr>
      </w:pPr>
    </w:p>
    <w:bookmarkEnd w:id="4"/>
    <w:p w14:paraId="23ADC4EC" w14:textId="23683692" w:rsidR="00A27073" w:rsidRPr="00EA1CF4" w:rsidRDefault="00A27073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หน่วยธุรกิจ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คอนซูเมอร์แบรนด์</w:t>
      </w:r>
      <w:r w:rsidRPr="00EA1CF4">
        <w:rPr>
          <w:rFonts w:ascii="Noto Sans Thai" w:hAnsi="Noto Sans Thai" w:cs="Noto Sans Thai"/>
          <w:szCs w:val="22"/>
          <w:lang w:val="th"/>
        </w:rPr>
        <w:t>มี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ยอดขาย</w:t>
      </w:r>
      <w:r w:rsidRPr="00EA1CF4">
        <w:rPr>
          <w:rFonts w:ascii="Noto Sans Thai" w:hAnsi="Noto Sans Thai" w:cs="Noto Sans Thai"/>
          <w:szCs w:val="22"/>
          <w:lang w:val="th"/>
        </w:rPr>
        <w:t xml:space="preserve"> 4,733 ล้านยูโรในช่วงครึ่งปีแรกของปี 2026 ลดลงตามตัวเลขรายงาน -3.5 เปอร์เซ็นต์เมื่อเทียบกับช่วงเดียวกันของปีก่อน (ไตรมาส 2: 2,448 ล้านยูโร, +1.1 เปอร์เซ็นต์) 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ยอดขายที่มาจากตัวธุรกิจเอง</w:t>
      </w:r>
      <w:r w:rsidRPr="00EA1CF4">
        <w:rPr>
          <w:rFonts w:ascii="Noto Sans Thai" w:hAnsi="Noto Sans Thai" w:cs="Noto Sans Thai"/>
          <w:szCs w:val="22"/>
          <w:lang w:val="th"/>
        </w:rPr>
        <w:t>เพิ่มขึ้น 1.7 เปอร์เซ็นต์ (ไตรมาส 2: +1.6 เปอร์เซ็นต์) โดยหน่วยธุรกิจมีการปรับตัวเชิงบวกทั้งด้านราคาและปริมาณเมื่อเทียบกับช่วงครึ่งปีแรกของปี 2025</w:t>
      </w:r>
    </w:p>
    <w:p w14:paraId="5EF78331" w14:textId="77777777" w:rsidR="00A27073" w:rsidRPr="00EA1CF4" w:rsidRDefault="00A27073" w:rsidP="00EA1CF4">
      <w:pPr>
        <w:jc w:val="left"/>
        <w:rPr>
          <w:rFonts w:ascii="Noto Sans Thai" w:hAnsi="Noto Sans Thai" w:cs="Noto Sans Thai"/>
          <w:szCs w:val="22"/>
          <w:highlight w:val="yellow"/>
        </w:rPr>
      </w:pPr>
    </w:p>
    <w:p w14:paraId="3BF6D58D" w14:textId="14EEBA3C" w:rsidR="00A27073" w:rsidRPr="00EA1CF4" w:rsidRDefault="00A27073" w:rsidP="00EA1CF4">
      <w:pPr>
        <w:jc w:val="left"/>
        <w:rPr>
          <w:rFonts w:ascii="Noto Sans Thai" w:hAnsi="Noto Sans Thai" w:cs="Noto Sans Thai"/>
          <w:szCs w:val="22"/>
          <w:highlight w:val="yellow"/>
        </w:rPr>
      </w:pPr>
      <w:r w:rsidRPr="00EA1CF4">
        <w:rPr>
          <w:rFonts w:ascii="Noto Sans Thai" w:hAnsi="Noto Sans Thai" w:cs="Noto Sans Thai"/>
          <w:szCs w:val="22"/>
          <w:lang w:val="th"/>
        </w:rPr>
        <w:t>ในช่วงครึ่งปีแรก ธุรกิจ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ผลิตภัณฑ์ซักผ้าและผลิตภัณฑ์ดูแลบ้าน</w:t>
      </w:r>
      <w:r w:rsidRPr="00EA1CF4">
        <w:rPr>
          <w:rFonts w:ascii="Noto Sans Thai" w:hAnsi="Noto Sans Thai" w:cs="Noto Sans Thai"/>
          <w:szCs w:val="22"/>
          <w:lang w:val="th"/>
        </w:rPr>
        <w:t xml:space="preserve">มียอดขายจากภายในเติบโตในเชิงบวกที่ 0.7 เปอร์เซ็นต์ </w:t>
      </w:r>
      <w:r w:rsidRPr="00EA1CF4">
        <w:rPr>
          <w:rFonts w:ascii="Noto Sans Thai" w:hAnsi="Noto Sans Thai" w:cs="Noto Sans Thai"/>
          <w:szCs w:val="18"/>
          <w:lang w:val="th"/>
        </w:rPr>
        <w:t>(ไตรมาส 2: +1.3 เปอร์เซ็นต์)</w:t>
      </w:r>
      <w:r w:rsidRPr="00EA1CF4">
        <w:rPr>
          <w:rFonts w:ascii="Noto Sans Thai" w:hAnsi="Noto Sans Thai" w:cs="Noto Sans Thai"/>
          <w:szCs w:val="22"/>
          <w:lang w:val="th"/>
        </w:rPr>
        <w:t xml:space="preserve"> ธุรกิจผลิตภัณฑ์ซักผ้ามียอดขายจากภายในเติบโตในเชิงบวก โดยมีแรงขับเคลื่อนจากยอดขายในหมวดผลิตภัณฑ์ดูแลเนื้อผ้าที่เพิ่มขึ้นอย่างมีนัยสำคัญ และการเติบโตในเชิงบวกของหมวดผลิตภัณฑ์ปรับสภาพผ้า ในทางตรงกันข้าม หมวดผลิตภัณฑ์ซักทำความสะอาดผ้าปรับตัวลดลงเล็กน้อย ธุรกิจผลิตภัณฑ์ดูแลบ้านมียอดขายจากภายในเติบโตในระดับที่ดี โดยมีแรงขับเคลื่อนสำคัญจากการเติบโตในระดับเลขสองหลักของหมวดผลิตภัณฑ์ล้างจานด้วยมือ กลุ่มธุรกิจ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ผลิตภัณฑ์ดูแลเส้นผม</w:t>
      </w:r>
      <w:r w:rsidRPr="00EA1CF4">
        <w:rPr>
          <w:rFonts w:ascii="Noto Sans Thai" w:hAnsi="Noto Sans Thai" w:cs="Noto Sans Thai"/>
          <w:szCs w:val="22"/>
          <w:lang w:val="th"/>
        </w:rPr>
        <w:t xml:space="preserve">มียอดขายจากภายในเติบโตอย่างแข็งแกร่งมากที่ 4.2 เปอร์เซ็นต์ </w:t>
      </w:r>
      <w:r w:rsidRPr="00EA1CF4">
        <w:rPr>
          <w:rFonts w:ascii="Noto Sans Thai" w:hAnsi="Noto Sans Thai" w:cs="Noto Sans Thai"/>
          <w:szCs w:val="18"/>
          <w:lang w:val="th"/>
        </w:rPr>
        <w:t>(ไตรมาส 2: +3.3 เปอร์เซ็นต์)</w:t>
      </w:r>
      <w:r w:rsidRPr="00EA1CF4">
        <w:rPr>
          <w:rFonts w:ascii="Noto Sans Thai" w:hAnsi="Noto Sans Thai" w:cs="Noto Sans Thai"/>
          <w:szCs w:val="22"/>
          <w:lang w:val="th"/>
        </w:rPr>
        <w:t xml:space="preserve"> จึงเป็นแรงขับเคลื่อนหลักของการเติบโตในหน่วยธุรกิจคอนซูเมอร์แบรนด์ ผลการดำเนินงานเชิงบวกนี้ได้รับแรงหนุนจากทั้งธุรกิจสินค้าอุปโภคบริโภค ซึ่งมียอดขายจากภายในเติบโตอย่างแข็งแกร่ง และธุรกิจผลิตภัณฑ์สำหรับมืออาชีพ ซึ่งมียอดขายเพิ่มขึ้นอย่างแข็งแกร่งมาก สำหรับธุรกิจสินค้าอุปโภคบริโภค ทุกหมวดหมู่ต่างมีส่วนช่วยขับเคลื่อนการเติบโต โดยหมวดผลิตภัณฑ์เปลี่ยนสีผมและผลิตภัณฑ์จัดแต่งทรงผมมีส่วนสนับสนุนมากที่สุด ในทางตรงกันข้าม กลุ่ม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ธุรกิจสินค้าอุปโภคบริโภคอื่น ๆ</w:t>
      </w:r>
      <w:r w:rsidRPr="00EA1CF4">
        <w:rPr>
          <w:rFonts w:ascii="Noto Sans Thai" w:hAnsi="Noto Sans Thai" w:cs="Noto Sans Thai"/>
          <w:szCs w:val="22"/>
          <w:lang w:val="th"/>
        </w:rPr>
        <w:t xml:space="preserve"> มียอดขายจากภายในปรับตัวลดลง -2.1 เปอร์เซ็นต์ (ไตรมาส 2: -4.6 เปอร์เซ็นต์) ในช่วงครึ่งปีแรก โดยมีสาเหตุหลักจากผลการดำเนินงานของธุรกิจผลิตภัณฑ์ดูแลร่างกายในภูมิภาคยุโรป อย่างไรก็ตาม ภูมิภาคอเมริกาเหนือมียอดขายจากภายในเติบโตในระดับที่ดี</w:t>
      </w:r>
    </w:p>
    <w:p w14:paraId="0101AD53" w14:textId="77777777" w:rsidR="00A27073" w:rsidRPr="00EA1CF4" w:rsidRDefault="00A27073" w:rsidP="00EA1CF4">
      <w:pPr>
        <w:jc w:val="left"/>
        <w:rPr>
          <w:rFonts w:ascii="Noto Sans Thai" w:hAnsi="Noto Sans Thai" w:cs="Noto Sans Thai"/>
          <w:szCs w:val="22"/>
        </w:rPr>
      </w:pPr>
      <w:bookmarkStart w:id="5" w:name="_Hlk190100714"/>
    </w:p>
    <w:p w14:paraId="2669D3B3" w14:textId="39BDE271" w:rsidR="005F2643" w:rsidRPr="00EA1CF4" w:rsidRDefault="00A27073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กำไรจากการดำเนินงานที่ปรับแล้ว</w:t>
      </w:r>
      <w:r w:rsidRPr="00EA1CF4">
        <w:rPr>
          <w:rFonts w:ascii="Noto Sans Thai" w:hAnsi="Noto Sans Thai" w:cs="Noto Sans Thai"/>
          <w:szCs w:val="22"/>
          <w:lang w:val="th"/>
        </w:rPr>
        <w:t xml:space="preserve">อยู่ที่ 724 ล้านยูโร ต่ำกว่าระดับของปีก่อนเล็กน้อย โดยมีสาเหตุหลักจากการถอนการลงทุนในธุรกิจแบรนด์ผู้ค้าปลีกในอเมริกาเหนือเมื่อเดือนเมษายน 2025 และผลกระทบเชิงลบจากอัตราแลกเปลี่ยนเงินตราต่างประเทศ ในทางตรงกันข้าม 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อัตราผลตอบแทนต่อยอดขายที่ปรับแล้ว</w:t>
      </w:r>
      <w:r w:rsidRPr="00EA1CF4">
        <w:rPr>
          <w:rFonts w:ascii="Noto Sans Thai" w:hAnsi="Noto Sans Thai" w:cs="Noto Sans Thai"/>
          <w:szCs w:val="22"/>
          <w:lang w:val="th"/>
        </w:rPr>
        <w:t xml:space="preserve">ยังคงอยู่ที่ 15.3 เปอร์เซ็นต์ ซึ่งไม่เปลี่ยนแปลงจากช่วงเดียวกันของปีก่อน </w:t>
      </w:r>
      <w:bookmarkEnd w:id="5"/>
    </w:p>
    <w:p w14:paraId="45F7F611" w14:textId="6AC974FB" w:rsidR="00B05ECC" w:rsidRPr="00EA1CF4" w:rsidRDefault="00B05ECC" w:rsidP="00EA1CF4">
      <w:pPr>
        <w:jc w:val="left"/>
        <w:rPr>
          <w:rFonts w:ascii="Noto Sans Thai" w:hAnsi="Noto Sans Thai" w:cs="Noto Sans Thai"/>
          <w:szCs w:val="22"/>
        </w:rPr>
      </w:pPr>
    </w:p>
    <w:p w14:paraId="2024FF95" w14:textId="222DDBFE" w:rsidR="00E21F5D" w:rsidRPr="00EA1CF4" w:rsidRDefault="00A811D8" w:rsidP="00EA1CF4">
      <w:pPr>
        <w:spacing w:after="120"/>
        <w:jc w:val="left"/>
        <w:rPr>
          <w:rFonts w:ascii="Noto Sans Thai" w:hAnsi="Noto Sans Thai" w:cs="Noto Sans Thai"/>
          <w:b/>
          <w:bCs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เดินหน้าดำเนินกลยุทธ์การเติบโตผ่านการควบรวมและซื้อกิจการได้สำเร็จในช่วงครึ่งปีแรก</w:t>
      </w:r>
    </w:p>
    <w:p w14:paraId="02BF1EFC" w14:textId="2C0D709A" w:rsidR="005110D3" w:rsidRPr="00EA1CF4" w:rsidRDefault="00A811D8" w:rsidP="00EA1CF4">
      <w:pPr>
        <w:autoSpaceDE w:val="0"/>
        <w:autoSpaceDN w:val="0"/>
        <w:adjustRightInd w:val="0"/>
        <w:jc w:val="left"/>
        <w:rPr>
          <w:rFonts w:ascii="Noto Sans Thai" w:hAnsi="Noto Sans Thai" w:cs="Noto Sans Thai"/>
          <w:bCs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ในช่วงครึ่งปีแรกของปี 2026 Henkel</w:t>
      </w:r>
      <w:r w:rsidR="002C6891">
        <w:rPr>
          <w:rFonts w:ascii="Noto Sans Thai" w:hAnsi="Noto Sans Thai" w:cs="Noto Sans Thai"/>
          <w:szCs w:val="22"/>
        </w:rPr>
        <w:t xml:space="preserve"> </w:t>
      </w:r>
      <w:r w:rsidRPr="00EA1CF4">
        <w:rPr>
          <w:rFonts w:ascii="Noto Sans Thai" w:hAnsi="Noto Sans Thai" w:cs="Noto Sans Thai"/>
          <w:szCs w:val="22"/>
          <w:lang w:val="th"/>
        </w:rPr>
        <w:t>มีความคืบหน้าอย่างมีนัยสำคัญในการดำเนินกลยุทธ์การเติบโตผ่านการควบรวมและซื้อกิจการในหน่วยธุรกิจ</w:t>
      </w:r>
      <w:r w:rsidR="00AC6553">
        <w:rPr>
          <w:rFonts w:ascii="Noto Sans Thai" w:hAnsi="Noto Sans Thai" w:cs="Noto Sans Thai"/>
          <w:szCs w:val="22"/>
        </w:rPr>
        <w:t xml:space="preserve"> </w:t>
      </w:r>
      <w:r w:rsidRPr="00EA1CF4">
        <w:rPr>
          <w:rFonts w:ascii="Noto Sans Thai" w:hAnsi="Noto Sans Thai" w:cs="Noto Sans Thai"/>
          <w:szCs w:val="22"/>
          <w:lang w:val="th"/>
        </w:rPr>
        <w:t>ทั้งสอง โดยกลยุทธ์ดังกล่าวถือเป็นส่วนสำคัญของ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กลยุทธ์การเติบโต</w:t>
      </w:r>
      <w:r w:rsidRPr="00EA1CF4">
        <w:rPr>
          <w:rFonts w:ascii="Noto Sans Thai" w:hAnsi="Noto Sans Thai" w:cs="Noto Sans Thai"/>
          <w:szCs w:val="22"/>
          <w:lang w:val="th"/>
        </w:rPr>
        <w:t>โดยรวมของบริษัท จากการเข้าซื้อกิจการที่ประกาศเมื่อไม่นานมานี้ Henkel ลงทุนรวม 5 พันล้านยูโร และขยายธุรกิจด้วยยอดขายรวมต่อปีประมาณ 1.6 พันล้านยูโร จนถึงปัจจุบัน Henkel ดำเนินธุรกรรมเสร็จสมบูรณ์แล้ว 4 รายการจากทั้งหมด 5 รายการ ได้แก่: Wetherby Laroc และ ATP Adhesive Systems ในหน่วยธุรกิจเทคโนโลยีกาว รวมถึง Not Your Mother’s และล่าสุด OLAPLEX ในหน่วยธุรกิจคอนซูเมอร์แบรนด์ การเข้าซื้อ Stahl Group ในธุรกิจกาวคาดว่าจะเสร็จสมบูรณ์ในช่วงครึ่งหลังของปีงบประมาณ 2026</w:t>
      </w:r>
    </w:p>
    <w:p w14:paraId="0F99C05C" w14:textId="77777777" w:rsidR="00E21F5D" w:rsidRPr="00EA1CF4" w:rsidRDefault="00E21F5D" w:rsidP="00EA1CF4">
      <w:pPr>
        <w:autoSpaceDE w:val="0"/>
        <w:autoSpaceDN w:val="0"/>
        <w:adjustRightInd w:val="0"/>
        <w:jc w:val="left"/>
        <w:rPr>
          <w:rFonts w:ascii="Noto Sans Thai" w:hAnsi="Noto Sans Thai" w:cs="Noto Sans Thai"/>
          <w:bCs/>
          <w:szCs w:val="22"/>
        </w:rPr>
      </w:pPr>
    </w:p>
    <w:p w14:paraId="77AA3405" w14:textId="40367051" w:rsidR="00C76008" w:rsidRPr="00EA1CF4" w:rsidRDefault="00C76008" w:rsidP="00EA1CF4">
      <w:pPr>
        <w:autoSpaceDE w:val="0"/>
        <w:autoSpaceDN w:val="0"/>
        <w:adjustRightInd w:val="0"/>
        <w:jc w:val="left"/>
        <w:rPr>
          <w:rFonts w:ascii="Noto Sans Thai" w:hAnsi="Noto Sans Thai" w:cs="Noto Sans Thai"/>
          <w:bCs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การเข้าซื้อ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 OLAPLEX</w:t>
      </w:r>
      <w:r w:rsidRPr="00EA1CF4">
        <w:rPr>
          <w:rFonts w:ascii="Noto Sans Thai" w:hAnsi="Noto Sans Thai" w:cs="Noto Sans Thai"/>
          <w:szCs w:val="22"/>
          <w:lang w:val="th"/>
        </w:rPr>
        <w:t xml:space="preserve"> แบรนด์ผลิตภัณฑ์ดูแลเส้นผมระดับพรีเมียมซึ่งมียอดขายต่อปีประมาณ 370 ล้านยูโร ช่วยให้ Henkel เสริมความแข็งแกร่งให้กับการดำเนินธุรกิจในตลาดผลิตภัณฑ์ดูแลเส้นผมระดับพรีเมียมทั่วโลก และก้าวขึ้นเป็นผู้ประกอบการอันดับสองของโลก</w:t>
      </w:r>
      <w:r w:rsidR="00BE6CB6">
        <w:rPr>
          <w:rFonts w:ascii="Noto Sans Thai" w:hAnsi="Noto Sans Thai" w:cs="Noto Sans Thai"/>
          <w:szCs w:val="22"/>
        </w:rPr>
        <w:t xml:space="preserve"> </w:t>
      </w:r>
      <w:r w:rsidRPr="00EA1CF4">
        <w:rPr>
          <w:rFonts w:ascii="Noto Sans Thai" w:hAnsi="Noto Sans Thai" w:cs="Noto Sans Thai"/>
          <w:szCs w:val="22"/>
          <w:lang w:val="th"/>
        </w:rPr>
        <w:t>ในธุรกิจผลิตภัณฑ์ดูแลเส้นผมสำหรับมืออาชีพ ตลาดผลิตภัณฑ์ดูแลเส้นผมระดับพรีเมียมมีความน่าสนใจอย่างมาก โดยคาดว่าจะมีอัตราการเติบโตเฉลี่ยต่อปีแบบทบต้นประมาณ 5 เปอร์เซ็นต์ในช่วงหลายปีข้างหน้า OLAPLEX เป็นแบรนด์ผลิตภัณฑ์ดูแลเส้นผมระดับพรีเมียมที่มีชื่อเสียงและได้รับการยอมรับอย่างกว้างขวาง พร้อมกลุ่มผลิตภัณฑ์ประสิทธิภาพสูงที่พัฒนาบนพื้นฐานทางวิทยาศาสตร์ การดำเนินธุรกรรมนี้เสร็จสมบูรณ์ช่วยให้ Henkel เสริมความแข็งแกร่งให้กับการดำเนินธุรกิจในตลาดผลิตภัณฑ์ดูแลเส้นผมทั่วโลก ซึ่งเป็นหนึ่งในหมวดหมู่หลักของธุรกิจคอนซูเมอร์แบรนด์ Henkel มั่นใจว่าจะสามารถขยายธุรกิจได้อย่างมีนัยสำคัญ ด้วยการใช้ประโยชน์จากโอกาสในการขายผลิตภัณฑ์เกี่ยวเนื่องข้ามกลุ่ม และเสริมความแข็งแกร่งให้กับทั้งช่องทางค้าปลีกเฉพาะทางและร้านทำผมในฐานะช่องทางการจัดจำหน่าย นอกจากนี้ การเข้าซื้อกิจการครั้งนี้ยังเปิดโอกาสที่น่าสนใจด้านนวัตกรรมและเทคโนโลยีอีกด้วย</w:t>
      </w:r>
    </w:p>
    <w:p w14:paraId="62E961AE" w14:textId="77777777" w:rsidR="00C76008" w:rsidRPr="00EA1CF4" w:rsidRDefault="00C76008" w:rsidP="00EA1CF4">
      <w:pPr>
        <w:autoSpaceDE w:val="0"/>
        <w:autoSpaceDN w:val="0"/>
        <w:adjustRightInd w:val="0"/>
        <w:jc w:val="left"/>
        <w:rPr>
          <w:rFonts w:ascii="Noto Sans Thai" w:hAnsi="Noto Sans Thai" w:cs="Noto Sans Thai"/>
          <w:bCs/>
          <w:szCs w:val="22"/>
        </w:rPr>
      </w:pPr>
    </w:p>
    <w:p w14:paraId="7B2072E3" w14:textId="22C71D14" w:rsidR="00C76008" w:rsidRPr="00EA1CF4" w:rsidRDefault="00C76008" w:rsidP="00EA1CF4">
      <w:pPr>
        <w:autoSpaceDE w:val="0"/>
        <w:autoSpaceDN w:val="0"/>
        <w:adjustRightInd w:val="0"/>
        <w:jc w:val="left"/>
        <w:rPr>
          <w:rFonts w:ascii="Noto Sans Thai" w:hAnsi="Noto Sans Thai" w:cs="Noto Sans Thai"/>
          <w:bCs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 xml:space="preserve">การเข้าซื้อ 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ATP Adhesive Systems </w:t>
      </w:r>
      <w:r w:rsidRPr="00EA1CF4">
        <w:rPr>
          <w:rFonts w:ascii="Noto Sans Thai" w:hAnsi="Noto Sans Thai" w:cs="Noto Sans Thai"/>
          <w:szCs w:val="22"/>
          <w:lang w:val="th"/>
        </w:rPr>
        <w:t>ซึ่งมียอดขายต่อปีประมาณ 270 ล้านยูโร ช่วยให้ Henkel ขยายกลุ่มผลิตภัณฑ์ไปนอกเหนือจากเทคโนโลยีแบบของเหลว และสร้างแพลตฟอร์มการเติบโตใหม่สำหรับเทปชนิดพิเศษสูตรน้ำประสิทธิภาพสูง ตลาดนี้มีความน่าสนใจอย่างมาก และคาดว่าจะเติบโตในอัตราประมาณ 7 เปอร์เซ็นต์ต่อปี เทปชนิดพิเศษสูตรน้ำกำลังมีส่วนแบ่งตลาดเพิ่มขึ้น เนื่องจากเป็นทางเลือกที่ยั่งยืนกว่าโซลูชันที่ใช้ตัวทำละลาย ผลิตภัณฑ์เหล่านี้สามารถลดการปล่อยสารประกอบอินทรีย์ระเหยง่าย (VOC) ได้สูงสุดถึง 90 เปอร์เซ็นต์ และลดคาร์บอนฟุตพริ้นท์ได้มากถึง 60 เปอร์เซ็นต์ ตัวอย่างเช่น เทปชนิดพิเศษของ ATP ถูกนำไปใช้ในอุตสาหกรรมยานยนต์สำหรับระบบช่วยเหลือผู้ขับขี่ขั้นสูง การเข้าซื้อกิจการครั้งนี้ยังช่วยเสริมศักยภาพด้านนวัตกรรมของ Henkel สร้างโอกาสที่น่าสนใจในการขายผลิตภัณฑ์เกี่ยวเนื่องข้ามกลุ่ม และเสริมความแข็งแกร่งของ Henkel ในตลาดโซลูชันกาวที่ยั่งยืนให้มากยิ่งขึ้นอีกด้วย</w:t>
      </w:r>
    </w:p>
    <w:p w14:paraId="37C82585" w14:textId="77777777" w:rsidR="00754FF6" w:rsidRPr="00EA1CF4" w:rsidRDefault="00754FF6" w:rsidP="00EA1CF4">
      <w:pPr>
        <w:jc w:val="left"/>
        <w:rPr>
          <w:rFonts w:ascii="Noto Sans Thai" w:hAnsi="Noto Sans Thai" w:cs="Noto Sans Thai"/>
          <w:bCs/>
          <w:szCs w:val="22"/>
        </w:rPr>
      </w:pPr>
    </w:p>
    <w:p w14:paraId="5FE9F64E" w14:textId="4BB3476E" w:rsidR="00CD223C" w:rsidRPr="00EA1CF4" w:rsidRDefault="00C76008" w:rsidP="00EA1CF4">
      <w:pPr>
        <w:jc w:val="left"/>
        <w:rPr>
          <w:rFonts w:ascii="Noto Sans Thai" w:hAnsi="Noto Sans Thai" w:cs="Noto Sans Thai"/>
          <w:bCs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Henkel คาดว่าการเข้าซื้อกิจการที่เกิดขึ้นเมื่อไม่นานมานี้จะเริ่มส่งผลเชิงบวกต่อยอดขายและกำไรในปีงบประมาณปัจจุบัน ในปี 2026 คาดว่าธุรกิจที่เข้าซื้อจะสร้างยอดขายประมาณ 700 ล้านยูโร</w:t>
      </w:r>
      <w:r w:rsidRPr="00EA1CF4">
        <w:rPr>
          <w:rStyle w:val="FootnoteReference"/>
          <w:rFonts w:ascii="Noto Sans Thai" w:hAnsi="Noto Sans Thai" w:cs="Noto Sans Thai"/>
          <w:lang w:val="th"/>
        </w:rPr>
        <w:footnoteReference w:id="2"/>
      </w:r>
      <w:r w:rsidRPr="00EA1CF4">
        <w:rPr>
          <w:rFonts w:ascii="Noto Sans Thai" w:hAnsi="Noto Sans Thai" w:cs="Noto Sans Thai"/>
          <w:szCs w:val="22"/>
          <w:lang w:val="th"/>
        </w:rPr>
        <w:t xml:space="preserve"> ในอนาคต คาดว่าการเข้าซื้อกิจการทั้ง 5 รายการจะสร้างการเติบโตสูงกว่าค่าเฉลี่ยในช่วงเลขหลักเดียวระดับกลางถึงสูง โดยคาดว่ายอดขายรวมจะเพิ่มขึ้นเป็นประมาณ 2 พันล้านยูโรภายในปี 2030 ในด้านกำไร Henkel คาดว่าการเข้าซื้อกิจการดังกล่าวจะช่วยเพิ่มกำไรต่อหุ้นบุริมสิทธิที่ปรับแล้วอย่างน้อย 10 เปอร์เซ็นต์ภายในปี 2030</w:t>
      </w:r>
    </w:p>
    <w:p w14:paraId="4DFD3C6C" w14:textId="77777777" w:rsidR="00211BA0" w:rsidRPr="00EA1CF4" w:rsidRDefault="00211BA0" w:rsidP="00EA1CF4">
      <w:pPr>
        <w:jc w:val="left"/>
        <w:rPr>
          <w:rFonts w:ascii="Noto Sans Thai" w:hAnsi="Noto Sans Thai" w:cs="Noto Sans Thai"/>
          <w:bCs/>
          <w:szCs w:val="22"/>
        </w:rPr>
      </w:pPr>
    </w:p>
    <w:p w14:paraId="2F2FD7C3" w14:textId="4AED9D90" w:rsidR="00E83A6D" w:rsidRPr="00EA1CF4" w:rsidRDefault="00E83A6D" w:rsidP="00EA1CF4">
      <w:pPr>
        <w:spacing w:after="80"/>
        <w:ind w:right="-108"/>
        <w:jc w:val="left"/>
        <w:rPr>
          <w:rFonts w:ascii="Noto Sans Thai" w:hAnsi="Noto Sans Thai" w:cs="Noto Sans Thai"/>
          <w:b/>
          <w:szCs w:val="22"/>
        </w:rPr>
      </w:pPr>
      <w:bookmarkStart w:id="6" w:name="_Hlk190182989"/>
      <w:r w:rsidRPr="00EA1CF4">
        <w:rPr>
          <w:rFonts w:ascii="Noto Sans Thai" w:hAnsi="Noto Sans Thai" w:cs="Noto Sans Thai"/>
          <w:b/>
          <w:bCs/>
          <w:szCs w:val="22"/>
          <w:lang w:val="th"/>
        </w:rPr>
        <w:t xml:space="preserve">แนวโน้มสำหรับปีงบประมาณ 2026: ปรับเพิ่มประมาณการการเติบโตของยอดขายสำหรับกลุ่มบริษัท และ </w:t>
      </w:r>
      <w:r w:rsidRPr="00EA1CF4">
        <w:rPr>
          <w:rFonts w:ascii="Noto Sans Thai" w:hAnsi="Noto Sans Thai" w:cs="Noto Sans Thai"/>
          <w:szCs w:val="22"/>
          <w:lang w:val="th"/>
        </w:rPr>
        <w:br/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ธุรกิจเทคโนโลยีกาว</w:t>
      </w:r>
    </w:p>
    <w:p w14:paraId="3AFD25E5" w14:textId="639AFF30" w:rsidR="0061561D" w:rsidRPr="00EA1CF4" w:rsidRDefault="008B00CA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จากผลการดำเนินงานที่แข็งแกร่งในช่วงครึ่งปีแรก Henkel จึงปรับเพิ่มประมาณการการเติบโตของยอดขายสำหรับทั้งกลุ่มบริษัทและหน่วยธุรกิจเทคโนโลยีกาว ขณะที่ประมาณการอัตรากำไร EBIT ที่ปรับแล้วและการเติบโตของกำไรต่อหุ้นบุริมสิทธิที่ปรับแล้วในอัตราแลกเปลี่ยนคงที่ยังคงไม่เปลี่ยนแปลง</w:t>
      </w:r>
    </w:p>
    <w:p w14:paraId="4CF8E151" w14:textId="77777777" w:rsidR="0061561D" w:rsidRPr="00EA1CF4" w:rsidRDefault="0061561D" w:rsidP="00EA1CF4">
      <w:pPr>
        <w:jc w:val="left"/>
        <w:rPr>
          <w:rFonts w:ascii="Noto Sans Thai" w:hAnsi="Noto Sans Thai" w:cs="Noto Sans Thai"/>
          <w:szCs w:val="22"/>
        </w:rPr>
      </w:pPr>
    </w:p>
    <w:p w14:paraId="13C33C91" w14:textId="68E623DF" w:rsidR="00E83A6D" w:rsidRPr="00EA1CF4" w:rsidRDefault="00E83A6D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สำหรับปีปัจจุบัน Henkel คาดว่า</w:t>
      </w:r>
      <w:r w:rsidRPr="00EA1CF4">
        <w:rPr>
          <w:rFonts w:ascii="Noto Sans Thai" w:hAnsi="Noto Sans Thai" w:cs="Noto Sans Thai"/>
          <w:b/>
          <w:bCs/>
          <w:szCs w:val="22"/>
          <w:lang w:val="th"/>
        </w:rPr>
        <w:t>การเติบโตของยอดขายจากภายใน</w:t>
      </w:r>
      <w:r w:rsidRPr="00EA1CF4">
        <w:rPr>
          <w:rFonts w:ascii="Noto Sans Thai" w:hAnsi="Noto Sans Thai" w:cs="Noto Sans Thai"/>
          <w:szCs w:val="22"/>
          <w:lang w:val="th"/>
        </w:rPr>
        <w:t xml:space="preserve">จะอยู่ระหว่าง 1.5 ถึง 3.5 เปอร์เซ็นต์ (ก่อนหน้านี้: 1.0 ถึง 3.0 เปอร์เซ็นต์) สำหรับหน่วยธุรกิจเทคโนโลยีกาว </w:t>
      </w:r>
      <w:r w:rsidRPr="00EA1CF4">
        <w:rPr>
          <w:rFonts w:ascii="Noto Sans Thai" w:hAnsi="Noto Sans Thai" w:cs="Noto Sans Thai"/>
          <w:szCs w:val="22"/>
          <w:lang w:val="th"/>
        </w:rPr>
        <w:lastRenderedPageBreak/>
        <w:t xml:space="preserve">ขณะนี้คาดว่าการเติบโตของยอดขายจากภายในจะอยู่ระหว่าง 2.0 ถึง 4.0 เปอร์เซ็นต์ (ก่อนหน้านี้: 1.0 ถึง 3.0 เปอร์เซ็นต์) สำหรับธุรกิจคอนซูเมอร์แบรนด์ Henkel ยังคงคาดว่าการเติบโตของยอดขายจากภายในจะอยู่ที่ 0.5 ถึง 2.5 เปอร์เซ็นต์ </w:t>
      </w:r>
    </w:p>
    <w:p w14:paraId="100C5C2D" w14:textId="77777777" w:rsidR="00E83A6D" w:rsidRPr="00EA1CF4" w:rsidRDefault="00E83A6D" w:rsidP="00EA1CF4">
      <w:pPr>
        <w:jc w:val="left"/>
        <w:rPr>
          <w:rFonts w:ascii="Noto Sans Thai" w:hAnsi="Noto Sans Thai" w:cs="Noto Sans Thai"/>
          <w:szCs w:val="22"/>
        </w:rPr>
      </w:pPr>
    </w:p>
    <w:p w14:paraId="43F73761" w14:textId="4EAAC17D" w:rsidR="00E83A6D" w:rsidRPr="00EA1CF4" w:rsidRDefault="00E83A6D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อัตราผลตอบแทนต่อยอดขายที่ปรับแล้ว</w:t>
      </w:r>
      <w:r w:rsidRPr="00EA1CF4">
        <w:rPr>
          <w:rFonts w:ascii="Noto Sans Thai" w:hAnsi="Noto Sans Thai" w:cs="Noto Sans Thai"/>
          <w:szCs w:val="22"/>
          <w:lang w:val="th"/>
        </w:rPr>
        <w:t xml:space="preserve"> (อัตรากำไร EBIT ที่ปรับแล้ว) คาดว่าจะอยู่ในช่วง 14.5 ถึง 16.0 เปอร์เซ็นต์ สำหรับธุรกิจเทคโนโลยีกาว คาดว่าอัตราผลตอบแทนต่อยอดขายที่ปรับแล้วจะอยู่ระหว่าง 16.5 ถึง 18.0 เปอร์เซ็นต์ และสำหรับธุรกิจคอนซูเมอร์แบรนด์จะอยู่ระหว่าง 14.0 ถึง 15.5 เปอร์เซ็นต์ </w:t>
      </w:r>
    </w:p>
    <w:p w14:paraId="312FBE80" w14:textId="77777777" w:rsidR="00E83A6D" w:rsidRPr="00EA1CF4" w:rsidRDefault="00E83A6D" w:rsidP="00EA1CF4">
      <w:pPr>
        <w:jc w:val="left"/>
        <w:rPr>
          <w:rFonts w:ascii="Noto Sans Thai" w:hAnsi="Noto Sans Thai" w:cs="Noto Sans Thai"/>
          <w:szCs w:val="22"/>
        </w:rPr>
      </w:pPr>
    </w:p>
    <w:p w14:paraId="5292E09C" w14:textId="2E12B8AB" w:rsidR="00E83A6D" w:rsidRPr="00EA1CF4" w:rsidRDefault="00E83A6D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b/>
          <w:bCs/>
          <w:szCs w:val="22"/>
          <w:lang w:val="th"/>
        </w:rPr>
        <w:t>กําไรต่อหุ้นบุริมสิทธิที่ปรับแล้ว</w:t>
      </w:r>
      <w:r w:rsidRPr="00EA1CF4">
        <w:rPr>
          <w:rFonts w:ascii="Noto Sans Thai" w:hAnsi="Noto Sans Thai" w:cs="Noto Sans Thai"/>
          <w:szCs w:val="22"/>
          <w:lang w:val="th"/>
        </w:rPr>
        <w:t xml:space="preserve"> (EPS) ณ อัตราแลกเปลี่ยนคงที่ คาดว่าจะเพิ่มขึ้นในช่วงเปอร์เซ็นต์ตัวเลขหลักเดียว ตั้งแต่ระดับต่ำจนถึงสูง</w:t>
      </w:r>
    </w:p>
    <w:p w14:paraId="3E57D116" w14:textId="77777777" w:rsidR="00E83A6D" w:rsidRPr="00EA1CF4" w:rsidRDefault="00E83A6D" w:rsidP="00EA1CF4">
      <w:pPr>
        <w:jc w:val="left"/>
        <w:rPr>
          <w:rFonts w:ascii="Noto Sans Thai" w:hAnsi="Noto Sans Thai" w:cs="Noto Sans Thai"/>
          <w:szCs w:val="22"/>
        </w:rPr>
      </w:pPr>
    </w:p>
    <w:p w14:paraId="108B3DB6" w14:textId="354B43C3" w:rsidR="00E83A6D" w:rsidRPr="00EA1CF4" w:rsidRDefault="00E83A6D" w:rsidP="00EA1CF4">
      <w:pPr>
        <w:jc w:val="left"/>
        <w:rPr>
          <w:rFonts w:ascii="Noto Sans Thai" w:hAnsi="Noto Sans Thai" w:cs="Noto Sans Thai"/>
          <w:szCs w:val="22"/>
        </w:rPr>
      </w:pPr>
      <w:r w:rsidRPr="00EA1CF4">
        <w:rPr>
          <w:rFonts w:ascii="Noto Sans Thai" w:hAnsi="Noto Sans Thai" w:cs="Noto Sans Thai"/>
          <w:szCs w:val="22"/>
          <w:lang w:val="th"/>
        </w:rPr>
        <w:t>"ผลการดำเนินทางธุรกิจที่แข็งแกร่งอย่างมากในช่วงครึ่งปีแรกของปี 2026 ซึ่งโดดเด่นด้วยการเติบโตของยอดขายจากภายในที่แข็งแกร่ง รวมถึงอัตรากำไรและกำไรที่ปรับตัวดีขึ้นอย่างต่อเนื่อง แสดงให้เห็นว่าการเปลี่ยนผ่านของ Henkel กำลังเห็นผลอย่างเป็นรูปธรรม เราจะยังคงเดินหน้าขับเคลื่อนการเปลี่ยนผ่านนี้ต่อไป เพื่อเสริมความแข็งแกร่งให้กับความสามารถในการแข่งขันในระยะยาว และวางตำแหน่งบริษัทให้พร้อมสำหรับความสำเร็จในอนาคต เรากำลังเปลี่ยนผ่าน Henkel เพื่อมุ่งสู่อนาคตที่ประสบความสำเร็จ และด้วยกลยุทธ์ที่ชัดเจน เราจึงเดินหน้าอย่างมั่นคงสู่การสร้างการเติบโตที่มีผลกำไรยิ่งขึ้น” Carsten Knobel กล่าว</w:t>
      </w:r>
    </w:p>
    <w:bookmarkEnd w:id="6"/>
    <w:p w14:paraId="33E22388" w14:textId="77777777" w:rsidR="00B312F1" w:rsidRPr="00EA1CF4" w:rsidRDefault="00B312F1" w:rsidP="00EA1CF4">
      <w:pPr>
        <w:spacing w:line="240" w:lineRule="auto"/>
        <w:jc w:val="left"/>
        <w:rPr>
          <w:rFonts w:ascii="Noto Sans Thai" w:eastAsia="PMingLiU" w:hAnsi="Noto Sans Thai" w:cs="Noto Sans Thai"/>
          <w:b/>
          <w:bCs/>
          <w:sz w:val="18"/>
        </w:rPr>
      </w:pPr>
    </w:p>
    <w:p w14:paraId="21A92672" w14:textId="77777777" w:rsidR="007A478D" w:rsidRDefault="007A478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21F9E54C" w14:textId="77777777" w:rsidR="007A478D" w:rsidRDefault="007A478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0D760A9C" w14:textId="77777777" w:rsidR="007A478D" w:rsidRDefault="007A478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00F49D5F" w14:textId="77777777" w:rsidR="007A478D" w:rsidRDefault="007A478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6D3031DF" w14:textId="77777777" w:rsidR="007A478D" w:rsidRDefault="007A478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3AE05E49" w14:textId="77777777" w:rsidR="007A478D" w:rsidRDefault="007A478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7B14590F" w14:textId="77777777" w:rsidR="007A478D" w:rsidRDefault="007A478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58DC7A6E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63E68F61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60E025CF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28292A79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4DCC71C5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15E33699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78833B9E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70FF0334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42FC9B5C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22258F40" w14:textId="77777777" w:rsidR="00C155FD" w:rsidRDefault="00C155FD" w:rsidP="00EA1CF4">
      <w:pPr>
        <w:jc w:val="left"/>
        <w:rPr>
          <w:rFonts w:ascii="Noto Sans Thai" w:hAnsi="Noto Sans Thai" w:cs="Noto Sans Thai"/>
          <w:b/>
          <w:bCs/>
          <w:sz w:val="18"/>
          <w:szCs w:val="18"/>
        </w:rPr>
      </w:pPr>
    </w:p>
    <w:p w14:paraId="680187D5" w14:textId="6FE0E7B2" w:rsidR="00292C23" w:rsidRPr="00EA1CF4" w:rsidRDefault="00292C23" w:rsidP="00EA1CF4">
      <w:pPr>
        <w:jc w:val="left"/>
        <w:rPr>
          <w:rFonts w:ascii="Noto Sans Thai" w:hAnsi="Noto Sans Thai" w:cs="Noto Sans Thai"/>
          <w:b/>
          <w:bCs/>
          <w:szCs w:val="22"/>
        </w:rPr>
      </w:pPr>
      <w:r w:rsidRPr="00EA1CF4">
        <w:rPr>
          <w:rFonts w:ascii="Noto Sans Thai" w:hAnsi="Noto Sans Thai" w:cs="Noto Sans Thai"/>
          <w:b/>
          <w:bCs/>
          <w:sz w:val="18"/>
          <w:szCs w:val="18"/>
          <w:lang w:val="th"/>
        </w:rPr>
        <w:lastRenderedPageBreak/>
        <w:t>เกี่ยวกับ Henkel</w:t>
      </w:r>
    </w:p>
    <w:p w14:paraId="1DC4E6EC" w14:textId="15B16499" w:rsidR="00292C23" w:rsidRPr="00292C23" w:rsidRDefault="00292C23" w:rsidP="00EA1CF4">
      <w:pPr>
        <w:jc w:val="left"/>
        <w:rPr>
          <w:sz w:val="18"/>
        </w:rPr>
      </w:pPr>
      <w:r w:rsidRPr="00EA1CF4">
        <w:rPr>
          <w:rFonts w:ascii="Noto Sans Thai" w:hAnsi="Noto Sans Thai" w:cs="Noto Sans Thai"/>
          <w:sz w:val="18"/>
          <w:lang w:val="th"/>
        </w:rPr>
        <w:t>ด้วยแบรนด์ นวัตกรรม และเทคโนโลยีของเรา ทําให้เราครองตำแหน่งผู้นําตลาดทั่วโลกในธุรกิจอุตสาหกรรมและธุรกิจสินค้าอุปโภคบริโภค หน่วยธุรกิจเทคโนโลยีกาวเป็นผู้นำตลาดระดับโลกในอุตสาหกรรมกาว ซีลแลนท์ และสารเคลือบผิว ธุรกิจคอนซูเมอร์แบรนด์ครองตำแหน่งผู้นำในธุรกิจผลิตภัณฑ์ดูแลเส้นผม ผลิตภัณฑ์ซักล้างและดูแลบ้านในหลายตลาดและหลากหลายหมวดหมู่ธุรกิจทั่วโลก แบรนด์ระดับต้น ๆ สามแบรนด์ของเราคือ Loctite, Persil และ Schwarzkopf ในปีงบประมาณ 2025 บริษัท Henkel มีรายงานยอดขายประมาณ 20.5 พันล้านยูโร และผลกําไรจากการดําเนินงานที่ปรับแล้วประมาณ 3.0 พันล้านยูโร หุ้นบุริมสิทธิของ Henkel จดทะเบียนในดัชนีหุ้น DAX ของเยอรมัน ความยั่งยืนเป็นสิ่งที่เฮงเค็ลยึดมั่นมายาวนาน และบริษัทมีกลยุทธ์ความยั่งยืนที่ชัดเจนพร้อมเป้าหมายเฉพาะ เฮงเค็ลก่อตั้งขึ้นในปี 1876</w:t>
      </w:r>
      <w:r w:rsidR="00D30F2B">
        <w:rPr>
          <w:rFonts w:ascii="Noto Sans Thai" w:hAnsi="Noto Sans Thai" w:cs="Noto Sans Thai"/>
          <w:sz w:val="18"/>
        </w:rPr>
        <w:t xml:space="preserve"> </w:t>
      </w:r>
      <w:r w:rsidRPr="00EA1CF4">
        <w:rPr>
          <w:rFonts w:ascii="Noto Sans Thai" w:hAnsi="Noto Sans Thai" w:cs="Noto Sans Thai"/>
          <w:sz w:val="18"/>
          <w:lang w:val="th"/>
        </w:rPr>
        <w:t>และปัจจุบันมีทีมงานที่มีความหลากหลายจากเพื่อนร่วมงานประมาณ 50,000 คนทั่วโลก ซึ่งรวมกันเป็นวัฒนธรรมองค์กรที่แข็งแกร่ง ยึดมั่นค่านิยมเดียวกัน และมีวัตถุประสงค์ร่วมกัน: "</w:t>
      </w:r>
      <w:r w:rsidRPr="005C0829">
        <w:rPr>
          <w:rFonts w:asciiTheme="minorHAnsi" w:hAnsiTheme="minorHAnsi" w:cstheme="minorHAnsi"/>
          <w:sz w:val="14"/>
          <w:szCs w:val="14"/>
          <w:lang w:val="th"/>
        </w:rPr>
        <w:t>Pioneers at heart for the good of generations.”</w:t>
      </w:r>
      <w:r>
        <w:rPr>
          <w:sz w:val="18"/>
          <w:lang w:val="th"/>
        </w:rPr>
        <w:t xml:space="preserve"> (บุกเบิกด้วยหัวใจเพื่อสิ่งที่ดีแก่คนรุ่นหลัง) ดูข้อมูลเพิ่มเติมได้ที่ </w:t>
      </w:r>
      <w:hyperlink r:id="rId12" w:history="1">
        <w:r>
          <w:rPr>
            <w:color w:val="0000FF"/>
            <w:sz w:val="18"/>
            <w:szCs w:val="18"/>
            <w:u w:val="single"/>
            <w:lang w:val="th"/>
          </w:rPr>
          <w:t>www.henkel.com</w:t>
        </w:r>
      </w:hyperlink>
      <w:r>
        <w:rPr>
          <w:sz w:val="18"/>
          <w:lang w:val="th"/>
        </w:rPr>
        <w:t xml:space="preserve"> </w:t>
      </w:r>
    </w:p>
    <w:p w14:paraId="25DBBED5" w14:textId="77777777" w:rsidR="00292C23" w:rsidRPr="00292C23" w:rsidRDefault="00292C23" w:rsidP="00292C23">
      <w:pPr>
        <w:rPr>
          <w:sz w:val="14"/>
          <w:szCs w:val="14"/>
        </w:rPr>
      </w:pPr>
    </w:p>
    <w:p w14:paraId="532BFA22" w14:textId="0831AE8D" w:rsidR="00292C23" w:rsidRPr="00292C23" w:rsidRDefault="00292C23" w:rsidP="00292C23">
      <w:pPr>
        <w:spacing w:after="160" w:line="240" w:lineRule="auto"/>
        <w:jc w:val="left"/>
        <w:rPr>
          <w:sz w:val="14"/>
          <w:szCs w:val="14"/>
        </w:rPr>
      </w:pPr>
      <w:r>
        <w:rPr>
          <w:sz w:val="14"/>
          <w:szCs w:val="14"/>
          <w:lang w:val="th"/>
        </w:rPr>
        <w:t>เอกสารนี้ประกอบด้วยคําแถลงที่อ้างถึงการพัฒนาธุรกิจในอนาคต ผลการดําเนินงานทางการเงิน และเหตุการณ์หรือการพัฒนาอื่น ๆ ที่เกี่ยวข้องกับ Henkel ในอนาคต ซึ่งอาจถือเป็นคําแถลงการคาดการณ์ล่วงหน้า คําแถลงต่าง ๆ อย่างเช่น "คาดหวัง" "ตั้งใจ" "วางแผน" "คาดการณ์" "เชื่อ" "ประเมิน" และคําที่คล้ายคลึงกันเป็นลักษณะของคําแถลงเกี่ยวกับอนาคต คําแถลงดังกล่าวอ้างอิงตามการประเมินและสมมติฐานปัจจุบันของฝ่ายบริหารของบริษัท Henkel AG &amp; Co. KGaA คําแถลงเหล่านี้ไม่ได้หมายความถึงการรับประกันว่าความคาดหวังเหล่านั้นจะพิสูจน์ได้ว่ามีความถูกต้อง ผลการดําเนินงานในอนาคตและผลลัพธ์ที่เกิดขึ้นจริงของ Henkel AG &amp; Co. KGaA และบริษัทในเครือขึ้นอยู่กับความเสี่ยงและความไม่แน่นอนหลายประการ และอาจแตกต่างอย่างมีนัยสําคัญ (ทั้งในเชิงบวกและเชิงลบ) จากคําแถลงที่คาดการณ์ล่วงหน้า ปัจจัยหลายประการเหล่านี้อยู่นอกเหนือการควบคุมของ Henkel และไม่สามารถประเมินได้ล่วงหน้าอย่างถูกต้อง เช่น สภาพแวดล้อมทางเศรษฐกิจในอนาคต และการกระทําของคู่แข่งและบุคคลอื่น ๆ ที่เกี่ยวข้องในตลาด Henkel ไม่มีแผนหรือสัญญาว่าจะปรับปรุงคําแถลงการคาดการณ์ล่วงหน้านี้</w:t>
      </w:r>
    </w:p>
    <w:p w14:paraId="5927BD4C" w14:textId="77777777" w:rsidR="00292C23" w:rsidRPr="00292C23" w:rsidRDefault="00292C23" w:rsidP="00292C23">
      <w:pPr>
        <w:spacing w:after="160" w:line="240" w:lineRule="auto"/>
        <w:jc w:val="left"/>
        <w:rPr>
          <w:sz w:val="14"/>
          <w:szCs w:val="14"/>
        </w:rPr>
      </w:pPr>
      <w:r>
        <w:rPr>
          <w:sz w:val="14"/>
          <w:szCs w:val="14"/>
          <w:lang w:val="th"/>
        </w:rPr>
        <w:t>เอกสารนี้ประกอบด้วยตัวชี้วัดทางการเงินเพิ่มเติมที่ไม่ได้นิยามไว้อย่างชัดเจนในกรอบการรายงานทางการเงินที่เกี่ยวข้อง และเป็นหรืออาจเป็นมาตรการทางเลือกในการวัดผลการดำเนินงาน ผู้อ่านไม่ควรมองว่าตัวชี้วัดทางการเงินเพิ่มเติมเหล่านี้แยกกันหรือเป็นทางเลือกแทนการวัดสินทรัพย์สุทธิและสถานะทางการเงินหรือผลลัพธ์จากการดําเนินงานของ Henkel ตามที่นําเสนอตามกรอบการรายงานทางการเงินที่เกี่ยวข้องในงบแสดงฐานะทางการเงินรวม (Consolidated Financial Statement) บริษัทอื่น ๆ ที่รายงานหรืออธิบายตัวชี้วัดผลการดำเนินงานทางเลือกที่มีชื่อคล้ายคลึงกันอาจมีการคํานวณด้วยวิธีที่แตกต่างกัน</w:t>
      </w:r>
    </w:p>
    <w:p w14:paraId="6495E95E" w14:textId="77777777" w:rsidR="00292C23" w:rsidRPr="00292C23" w:rsidRDefault="00292C23" w:rsidP="00292C23">
      <w:pPr>
        <w:spacing w:after="160" w:line="240" w:lineRule="auto"/>
        <w:jc w:val="left"/>
        <w:rPr>
          <w:sz w:val="14"/>
          <w:szCs w:val="14"/>
        </w:rPr>
      </w:pPr>
      <w:r>
        <w:rPr>
          <w:sz w:val="14"/>
          <w:szCs w:val="14"/>
          <w:lang w:val="th"/>
        </w:rPr>
        <w:t>เอกสารฉบับนี้จัดทำขึ้นเพื่อวัตถุประสงค์ในการให้ข้อมูลเท่านั้น และไม่ได้มีจุดมุ่งหมายเพื่อใช้เป็นคำแนะนำในการลงทุน การเสนอขาย หรือการชักชวนให้เสนอซื้อหลักทรัพย์ใด ๆ</w:t>
      </w:r>
    </w:p>
    <w:p w14:paraId="6626B667" w14:textId="77777777" w:rsidR="00292C23" w:rsidRPr="00292C23" w:rsidRDefault="00292C23" w:rsidP="00292C23">
      <w:pPr>
        <w:tabs>
          <w:tab w:val="left" w:pos="1080"/>
          <w:tab w:val="left" w:pos="4500"/>
        </w:tabs>
        <w:spacing w:line="264" w:lineRule="auto"/>
        <w:rPr>
          <w:rFonts w:asciiTheme="majorHAnsi" w:eastAsia="PMingLiU" w:hAnsiTheme="majorHAnsi" w:cs="Calibri Light"/>
          <w:b/>
          <w:sz w:val="18"/>
          <w:szCs w:val="18"/>
        </w:rPr>
      </w:pPr>
    </w:p>
    <w:p w14:paraId="671552F8" w14:textId="77777777" w:rsidR="00873812" w:rsidRDefault="00873812" w:rsidP="00873812">
      <w:pPr>
        <w:rPr>
          <w:rFonts w:cs="Calibri Light"/>
          <w:b/>
          <w:sz w:val="18"/>
          <w:szCs w:val="18"/>
        </w:rPr>
      </w:pPr>
    </w:p>
    <w:p w14:paraId="6FAD726A" w14:textId="2DC48454" w:rsidR="00873812" w:rsidRPr="007E0ECE" w:rsidRDefault="00873812" w:rsidP="00873812">
      <w:pPr>
        <w:rPr>
          <w:rFonts w:cs="Calibri Light"/>
          <w:b/>
          <w:sz w:val="18"/>
          <w:szCs w:val="18"/>
        </w:rPr>
      </w:pPr>
      <w:r>
        <w:rPr>
          <w:rFonts w:cs="Calibri Light"/>
          <w:b/>
          <w:bCs/>
          <w:sz w:val="18"/>
          <w:szCs w:val="18"/>
          <w:lang w:val="th"/>
        </w:rPr>
        <w:t>ข้อมูลติดต่อ</w:t>
      </w:r>
    </w:p>
    <w:p w14:paraId="6C0B352E" w14:textId="77777777" w:rsidR="00873812" w:rsidRPr="007E0ECE" w:rsidRDefault="00873812" w:rsidP="00873812">
      <w:pPr>
        <w:rPr>
          <w:rFonts w:cs="Calibri Light"/>
          <w:b/>
          <w:sz w:val="18"/>
          <w:szCs w:val="18"/>
        </w:rPr>
      </w:pPr>
    </w:p>
    <w:p w14:paraId="05041C7A" w14:textId="77777777" w:rsidR="00873812" w:rsidRPr="007E0ECE" w:rsidRDefault="00873812" w:rsidP="00873812">
      <w:pPr>
        <w:rPr>
          <w:rFonts w:cs="Calibri Light"/>
          <w:b/>
          <w:sz w:val="18"/>
          <w:szCs w:val="18"/>
        </w:rPr>
      </w:pPr>
      <w:r>
        <w:rPr>
          <w:rFonts w:cs="Calibri Light"/>
          <w:b/>
          <w:bCs/>
          <w:sz w:val="18"/>
          <w:szCs w:val="18"/>
          <w:lang w:val="th"/>
        </w:rPr>
        <w:t>Cheerio Chan</w:t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</w:p>
    <w:p w14:paraId="09C5240E" w14:textId="77777777" w:rsidR="00873812" w:rsidRPr="007E0ECE" w:rsidRDefault="00873812" w:rsidP="00873812">
      <w:pPr>
        <w:rPr>
          <w:rFonts w:cs="Calibri Light"/>
          <w:bCs/>
          <w:sz w:val="18"/>
          <w:szCs w:val="18"/>
        </w:rPr>
      </w:pPr>
      <w:r>
        <w:rPr>
          <w:rFonts w:cs="Calibri Light"/>
          <w:sz w:val="18"/>
          <w:szCs w:val="18"/>
          <w:lang w:val="th"/>
        </w:rPr>
        <w:t>+65 8799 3216</w:t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  <w:r>
        <w:rPr>
          <w:rFonts w:cs="Calibri Light"/>
          <w:sz w:val="18"/>
          <w:szCs w:val="18"/>
          <w:lang w:val="th"/>
        </w:rPr>
        <w:tab/>
      </w:r>
    </w:p>
    <w:p w14:paraId="40297702" w14:textId="6578E0AA" w:rsidR="00EA1CF4" w:rsidRPr="009F1F02" w:rsidRDefault="00873812" w:rsidP="009F1F02">
      <w:pPr>
        <w:pStyle w:val="He01Flietext"/>
        <w:rPr>
          <w:rStyle w:val="Hyperlink"/>
          <w:color w:val="auto"/>
          <w:sz w:val="14"/>
          <w:szCs w:val="14"/>
          <w:u w:val="none"/>
          <w:lang w:val="en-US"/>
        </w:rPr>
      </w:pPr>
      <w:r>
        <w:rPr>
          <w:rFonts w:eastAsia="Times New Roman" w:cs="Calibri Light"/>
          <w:szCs w:val="18"/>
          <w:lang w:val="th"/>
        </w:rPr>
        <w:t>cheerio.chan@henkel.com</w:t>
      </w:r>
    </w:p>
    <w:sectPr w:rsidR="00EA1CF4" w:rsidRPr="009F1F02" w:rsidSect="00C65957">
      <w:head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44" w:right="1411" w:bottom="1843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553C" w14:textId="77777777" w:rsidR="005C2897" w:rsidRDefault="005C2897">
      <w:r>
        <w:separator/>
      </w:r>
    </w:p>
  </w:endnote>
  <w:endnote w:type="continuationSeparator" w:id="0">
    <w:p w14:paraId="3C45E829" w14:textId="77777777" w:rsidR="005C2897" w:rsidRDefault="005C2897">
      <w:r>
        <w:continuationSeparator/>
      </w:r>
    </w:p>
  </w:endnote>
  <w:endnote w:type="continuationNotice" w:id="1">
    <w:p w14:paraId="4972D188" w14:textId="77777777" w:rsidR="005C2897" w:rsidRDefault="005C28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Thai">
    <w:altName w:val="Browallia New"/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374CEDE3" w:rsidR="00CF6F33" w:rsidRPr="00112A28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</w:pPr>
    <w:r>
      <w:rPr>
        <w:bCs w:val="0"/>
        <w:lang w:val="th"/>
      </w:rPr>
      <w:t>Henkel AG &amp; Co. KGaA</w:t>
    </w:r>
    <w:r>
      <w:rPr>
        <w:bCs w:val="0"/>
        <w:lang w:val="th"/>
      </w:rPr>
      <w:tab/>
      <w:t xml:space="preserve">หน้า </w:t>
    </w:r>
    <w:r>
      <w:rPr>
        <w:bCs w:val="0"/>
        <w:lang w:val="th"/>
      </w:rPr>
      <w:fldChar w:fldCharType="begin"/>
    </w:r>
    <w:r>
      <w:rPr>
        <w:bCs w:val="0"/>
        <w:lang w:val="th"/>
      </w:rPr>
      <w:instrText xml:space="preserve"> PAGE  \* Arabic  \* MERGEFORMAT </w:instrText>
    </w:r>
    <w:r>
      <w:rPr>
        <w:bCs w:val="0"/>
        <w:lang w:val="th"/>
      </w:rPr>
      <w:fldChar w:fldCharType="separate"/>
    </w:r>
    <w:r>
      <w:rPr>
        <w:bCs w:val="0"/>
        <w:lang w:val="th"/>
      </w:rPr>
      <w:t>2</w:t>
    </w:r>
    <w:r>
      <w:rPr>
        <w:bCs w:val="0"/>
        <w:lang w:val="th"/>
      </w:rPr>
      <w:fldChar w:fldCharType="end"/>
    </w:r>
    <w:r>
      <w:rPr>
        <w:bCs w:val="0"/>
        <w:lang w:val="th"/>
      </w:rPr>
      <w:t>/</w:t>
    </w:r>
    <w:fldSimple w:instr="NUMPAGES  \* Arabic  \* MERGEFORMAT">
      <w:r>
        <w:rPr>
          <w:bCs w:val="0"/>
          <w:lang w:val="th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058E" w14:textId="4A77F117" w:rsidR="00CF6F33" w:rsidRPr="00992A11" w:rsidRDefault="00C016CC" w:rsidP="00992A11">
    <w:pPr>
      <w:pStyle w:val="Footer"/>
    </w:pPr>
    <w:r>
      <w:rPr>
        <w:bCs w:val="0"/>
        <w:sz w:val="24"/>
        <w:lang w:val="th"/>
      </w:rPr>
      <mc:AlternateContent>
        <mc:Choice Requires="wps">
          <w:drawing>
            <wp:anchor distT="45720" distB="45720" distL="114300" distR="114300" simplePos="0" relativeHeight="251660290" behindDoc="0" locked="0" layoutInCell="1" allowOverlap="1" wp14:anchorId="7668DE83" wp14:editId="302D3BA8">
              <wp:simplePos x="0" y="0"/>
              <wp:positionH relativeFrom="margin">
                <wp:posOffset>0</wp:posOffset>
              </wp:positionH>
              <wp:positionV relativeFrom="paragraph">
                <wp:posOffset>45085</wp:posOffset>
              </wp:positionV>
              <wp:extent cx="5413973" cy="232834"/>
              <wp:effectExtent l="0" t="0" r="0" b="0"/>
              <wp:wrapNone/>
              <wp:docPr id="35485232" name="Textfeld 35485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3973" cy="2328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15F460" w14:textId="77777777" w:rsidR="00C016CC" w:rsidRPr="00CF56F5" w:rsidRDefault="00C016CC" w:rsidP="00C016CC">
                          <w:pPr>
                            <w:pStyle w:val="He04Funot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th"/>
                            </w:rPr>
                            <w:t>* ปรับแล้วโดยตัดรายการค่าใช้จ่ายและรายได้แบบครั้งเดียว และค่าใช้จ่ายจากการปรับโครงสร้างออก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8DE83" id="_x0000_t202" coordsize="21600,21600" o:spt="202" path="m,l,21600r21600,l21600,xe">
              <v:stroke joinstyle="miter"/>
              <v:path gradientshapeok="t" o:connecttype="rect"/>
            </v:shapetype>
            <v:shape id="Textfeld 35485232" o:spid="_x0000_s1026" type="#_x0000_t202" style="position:absolute;left:0;text-align:left;margin-left:0;margin-top:3.55pt;width:426.3pt;height:18.35pt;z-index:25166029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" stroked="f">
              <v:textbox>
                <w:txbxContent>
                  <w:p w14:paraId="3815F460" w14:textId="77777777" w:rsidR="00C016CC" w:rsidRPr="00CF56F5" w:rsidRDefault="00C016CC" w:rsidP="00C016CC">
                    <w:pPr>
                      <w:pStyle w:val="He04Funot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  <w:lang w:val="th"/>
                      </w:rPr>
                      <w:t>* ปรับแล้วโดยตัดรายการค่าใช้จ่ายและรายได้แบบครั้งเดียว และค่าใช้จ่ายจากการปรับโครงสร้างออก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Cs w:val="0"/>
        <w:lang w:val="th"/>
      </w:rPr>
      <w:drawing>
        <wp:anchor distT="0" distB="0" distL="114300" distR="114300" simplePos="0" relativeHeight="251658242" behindDoc="0" locked="0" layoutInCell="1" allowOverlap="1" wp14:anchorId="134B6F6F" wp14:editId="687DE7DE">
          <wp:simplePos x="0" y="0"/>
          <wp:positionH relativeFrom="column">
            <wp:posOffset>0</wp:posOffset>
          </wp:positionH>
          <wp:positionV relativeFrom="paragraph">
            <wp:posOffset>-365833</wp:posOffset>
          </wp:positionV>
          <wp:extent cx="4967544" cy="407963"/>
          <wp:effectExtent l="0" t="0" r="5080" b="0"/>
          <wp:wrapNone/>
          <wp:docPr id="73404956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04956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7544" cy="407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Cs w:val="0"/>
        <w:lang w:val="th"/>
      </w:rPr>
      <w:t xml:space="preserve">หน้า </w:t>
    </w:r>
    <w:r>
      <w:rPr>
        <w:bCs w:val="0"/>
        <w:lang w:val="th"/>
      </w:rPr>
      <w:fldChar w:fldCharType="begin"/>
    </w:r>
    <w:r>
      <w:rPr>
        <w:bCs w:val="0"/>
        <w:lang w:val="th"/>
      </w:rPr>
      <w:instrText xml:space="preserve"> PAGE  \* Arabic  \* MERGEFORMAT </w:instrText>
    </w:r>
    <w:r>
      <w:rPr>
        <w:bCs w:val="0"/>
        <w:lang w:val="th"/>
      </w:rPr>
      <w:fldChar w:fldCharType="separate"/>
    </w:r>
    <w:r>
      <w:rPr>
        <w:bCs w:val="0"/>
        <w:lang w:val="th"/>
      </w:rPr>
      <w:t>1</w:t>
    </w:r>
    <w:r>
      <w:rPr>
        <w:bCs w:val="0"/>
        <w:lang w:val="th"/>
      </w:rPr>
      <w:fldChar w:fldCharType="end"/>
    </w:r>
    <w:r>
      <w:rPr>
        <w:bCs w:val="0"/>
        <w:lang w:val="th"/>
      </w:rPr>
      <w:t>/</w:t>
    </w:r>
    <w:r>
      <w:rPr>
        <w:bCs w:val="0"/>
        <w:lang w:val="th"/>
      </w:rPr>
      <w:fldChar w:fldCharType="begin"/>
    </w:r>
    <w:r>
      <w:rPr>
        <w:bCs w:val="0"/>
        <w:lang w:val="th"/>
      </w:rPr>
      <w:instrText xml:space="preserve"> NUMPAGES  \* Arabic  \* MERGEFORMAT </w:instrText>
    </w:r>
    <w:r>
      <w:rPr>
        <w:bCs w:val="0"/>
        <w:lang w:val="th"/>
      </w:rPr>
      <w:fldChar w:fldCharType="separate"/>
    </w:r>
    <w:r>
      <w:rPr>
        <w:bCs w:val="0"/>
        <w:lang w:val="th"/>
      </w:rPr>
      <w:t>1</w:t>
    </w:r>
    <w:r>
      <w:rPr>
        <w:bCs w:val="0"/>
        <w:lang w:val="t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CFA8" w14:textId="77777777" w:rsidR="005C2897" w:rsidRDefault="005C2897">
      <w:r>
        <w:separator/>
      </w:r>
    </w:p>
  </w:footnote>
  <w:footnote w:type="continuationSeparator" w:id="0">
    <w:p w14:paraId="38795424" w14:textId="77777777" w:rsidR="005C2897" w:rsidRDefault="005C2897">
      <w:r>
        <w:continuationSeparator/>
      </w:r>
    </w:p>
  </w:footnote>
  <w:footnote w:type="continuationNotice" w:id="1">
    <w:p w14:paraId="3C76A11B" w14:textId="77777777" w:rsidR="005C2897" w:rsidRDefault="005C2897">
      <w:pPr>
        <w:spacing w:line="240" w:lineRule="auto"/>
      </w:pPr>
    </w:p>
  </w:footnote>
  <w:footnote w:id="2">
    <w:p w14:paraId="798A1A37" w14:textId="79A404DD" w:rsidR="00C76008" w:rsidRPr="00C76008" w:rsidRDefault="00C76008" w:rsidP="00C76008">
      <w:pPr>
        <w:pStyle w:val="FootnoteText"/>
        <w:rPr>
          <w:sz w:val="18"/>
          <w:szCs w:val="16"/>
        </w:rPr>
      </w:pPr>
      <w:r>
        <w:rPr>
          <w:rStyle w:val="FootnoteReference"/>
          <w:sz w:val="18"/>
          <w:szCs w:val="16"/>
          <w:lang w:val="th"/>
        </w:rPr>
        <w:footnoteRef/>
      </w:r>
      <w:r>
        <w:rPr>
          <w:sz w:val="18"/>
          <w:szCs w:val="16"/>
          <w:lang w:val="th"/>
        </w:rPr>
        <w:t xml:space="preserve"> รวมถึงการเข้าซื้อ </w:t>
      </w:r>
      <w:r w:rsidRPr="0030150D">
        <w:rPr>
          <w:sz w:val="14"/>
          <w:szCs w:val="14"/>
          <w:lang w:val="th"/>
        </w:rPr>
        <w:t>Stahl Group</w:t>
      </w:r>
      <w:r>
        <w:rPr>
          <w:sz w:val="18"/>
          <w:szCs w:val="16"/>
          <w:lang w:val="th"/>
        </w:rPr>
        <w:t xml:space="preserve"> ซึ่งยังดำเนินการไม่เสร็จสมบูรณ์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05DAD93D" w:rsidR="00CF6F33" w:rsidRPr="00EA1CF4" w:rsidRDefault="0059722C" w:rsidP="00EB46D9">
    <w:pPr>
      <w:pStyle w:val="Header"/>
      <w:rPr>
        <w:rFonts w:ascii="Noto Sans Thai" w:hAnsi="Noto Sans Thai" w:cs="Noto Sans Thai"/>
      </w:rPr>
    </w:pPr>
    <w:r w:rsidRPr="00EA1CF4">
      <w:rPr>
        <w:rFonts w:ascii="Noto Sans Thai" w:hAnsi="Noto Sans Thai" w:cs="Noto Sans Thai"/>
        <w:b w:val="0"/>
        <w:bCs w:val="0"/>
        <w:noProof/>
        <w:lang w:val="th"/>
      </w:rPr>
      <w:drawing>
        <wp:anchor distT="0" distB="0" distL="114300" distR="114300" simplePos="0" relativeHeight="251658241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653066876" name="Grafik 16530668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1CF4">
      <w:rPr>
        <w:rFonts w:ascii="Noto Sans Thai" w:hAnsi="Noto Sans Thai" w:cs="Noto Sans Thai"/>
        <w:b w:val="0"/>
        <w:bCs w:val="0"/>
        <w:noProof/>
        <w:lang w:val="th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8350C8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Pr="00EA1CF4">
      <w:rPr>
        <w:rFonts w:ascii="Noto Sans Thai" w:hAnsi="Noto Sans Thai" w:cs="Noto Sans Thai"/>
        <w:noProof/>
        <w:lang w:val="th"/>
      </w:rPr>
      <w:t>ข่าว</w:t>
    </w:r>
    <w:r w:rsidRPr="00EA1CF4">
      <w:rPr>
        <w:rFonts w:ascii="Noto Sans Thai" w:hAnsi="Noto Sans Thai" w:cs="Noto Sans Thai"/>
        <w:lang w:val="th"/>
      </w:rPr>
      <w:t>ประชาสัมพันธ์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B6FB3"/>
    <w:multiLevelType w:val="hybridMultilevel"/>
    <w:tmpl w:val="FD7E88F4"/>
    <w:lvl w:ilvl="0" w:tplc="A86EF7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322993">
    <w:abstractNumId w:val="1"/>
  </w:num>
  <w:num w:numId="2" w16cid:durableId="165293174">
    <w:abstractNumId w:val="0"/>
  </w:num>
  <w:num w:numId="3" w16cid:durableId="1508134485">
    <w:abstractNumId w:val="7"/>
  </w:num>
  <w:num w:numId="4" w16cid:durableId="1234970366">
    <w:abstractNumId w:val="4"/>
  </w:num>
  <w:num w:numId="5" w16cid:durableId="1008554684">
    <w:abstractNumId w:val="2"/>
  </w:num>
  <w:num w:numId="6" w16cid:durableId="933825870">
    <w:abstractNumId w:val="5"/>
  </w:num>
  <w:num w:numId="7" w16cid:durableId="912852597">
    <w:abstractNumId w:val="3"/>
  </w:num>
  <w:num w:numId="8" w16cid:durableId="1625698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33451C"/>
    <w:rsid w:val="00000839"/>
    <w:rsid w:val="00002AA4"/>
    <w:rsid w:val="00005267"/>
    <w:rsid w:val="00005415"/>
    <w:rsid w:val="00006346"/>
    <w:rsid w:val="000069EB"/>
    <w:rsid w:val="00006A45"/>
    <w:rsid w:val="00007410"/>
    <w:rsid w:val="00011DDB"/>
    <w:rsid w:val="00013644"/>
    <w:rsid w:val="00014FC1"/>
    <w:rsid w:val="00016137"/>
    <w:rsid w:val="00017389"/>
    <w:rsid w:val="00020DC3"/>
    <w:rsid w:val="00021C67"/>
    <w:rsid w:val="00024147"/>
    <w:rsid w:val="00024483"/>
    <w:rsid w:val="000256A9"/>
    <w:rsid w:val="00026EEE"/>
    <w:rsid w:val="000301F0"/>
    <w:rsid w:val="00030557"/>
    <w:rsid w:val="00030701"/>
    <w:rsid w:val="00030F51"/>
    <w:rsid w:val="000311F4"/>
    <w:rsid w:val="000343EB"/>
    <w:rsid w:val="00035A84"/>
    <w:rsid w:val="0003650E"/>
    <w:rsid w:val="00037396"/>
    <w:rsid w:val="000378F9"/>
    <w:rsid w:val="00037D04"/>
    <w:rsid w:val="00040539"/>
    <w:rsid w:val="00040816"/>
    <w:rsid w:val="00040CC9"/>
    <w:rsid w:val="00041F81"/>
    <w:rsid w:val="000425ED"/>
    <w:rsid w:val="00045A1D"/>
    <w:rsid w:val="00045CCB"/>
    <w:rsid w:val="000471D0"/>
    <w:rsid w:val="000510FC"/>
    <w:rsid w:val="00051555"/>
    <w:rsid w:val="000517E2"/>
    <w:rsid w:val="00051E86"/>
    <w:rsid w:val="00054AFE"/>
    <w:rsid w:val="0005544E"/>
    <w:rsid w:val="00055CE4"/>
    <w:rsid w:val="000575F9"/>
    <w:rsid w:val="000618FC"/>
    <w:rsid w:val="00062741"/>
    <w:rsid w:val="0006442E"/>
    <w:rsid w:val="00065466"/>
    <w:rsid w:val="000665F3"/>
    <w:rsid w:val="00066A9C"/>
    <w:rsid w:val="00067071"/>
    <w:rsid w:val="00067F67"/>
    <w:rsid w:val="00070652"/>
    <w:rsid w:val="00070757"/>
    <w:rsid w:val="00071284"/>
    <w:rsid w:val="0007275A"/>
    <w:rsid w:val="00073AED"/>
    <w:rsid w:val="000751A7"/>
    <w:rsid w:val="000759DC"/>
    <w:rsid w:val="0007746E"/>
    <w:rsid w:val="00077AF9"/>
    <w:rsid w:val="00080D10"/>
    <w:rsid w:val="00081241"/>
    <w:rsid w:val="00081692"/>
    <w:rsid w:val="000818B6"/>
    <w:rsid w:val="00081EF8"/>
    <w:rsid w:val="00082417"/>
    <w:rsid w:val="0008357F"/>
    <w:rsid w:val="00083A35"/>
    <w:rsid w:val="00083A61"/>
    <w:rsid w:val="00083DAB"/>
    <w:rsid w:val="0008406B"/>
    <w:rsid w:val="00084918"/>
    <w:rsid w:val="00085A1A"/>
    <w:rsid w:val="00090DB6"/>
    <w:rsid w:val="00090E73"/>
    <w:rsid w:val="00091F11"/>
    <w:rsid w:val="00092511"/>
    <w:rsid w:val="00093255"/>
    <w:rsid w:val="00094235"/>
    <w:rsid w:val="00096AD4"/>
    <w:rsid w:val="000979FE"/>
    <w:rsid w:val="000A0598"/>
    <w:rsid w:val="000A05E0"/>
    <w:rsid w:val="000A06FB"/>
    <w:rsid w:val="000A31D3"/>
    <w:rsid w:val="000A50CF"/>
    <w:rsid w:val="000A511E"/>
    <w:rsid w:val="000A64B3"/>
    <w:rsid w:val="000A6C25"/>
    <w:rsid w:val="000B005C"/>
    <w:rsid w:val="000B10DE"/>
    <w:rsid w:val="000B2E86"/>
    <w:rsid w:val="000B576C"/>
    <w:rsid w:val="000B5D2F"/>
    <w:rsid w:val="000B5E32"/>
    <w:rsid w:val="000B6244"/>
    <w:rsid w:val="000B695A"/>
    <w:rsid w:val="000B6EF1"/>
    <w:rsid w:val="000B72A8"/>
    <w:rsid w:val="000C0715"/>
    <w:rsid w:val="000C1254"/>
    <w:rsid w:val="000C210A"/>
    <w:rsid w:val="000C27E5"/>
    <w:rsid w:val="000C30D6"/>
    <w:rsid w:val="000C47D1"/>
    <w:rsid w:val="000C50A1"/>
    <w:rsid w:val="000C56DD"/>
    <w:rsid w:val="000C63F4"/>
    <w:rsid w:val="000D11CB"/>
    <w:rsid w:val="000D14C4"/>
    <w:rsid w:val="000D1672"/>
    <w:rsid w:val="000D178A"/>
    <w:rsid w:val="000D18CE"/>
    <w:rsid w:val="000D40C6"/>
    <w:rsid w:val="000D6C67"/>
    <w:rsid w:val="000E0CAB"/>
    <w:rsid w:val="000E1B84"/>
    <w:rsid w:val="000E21E4"/>
    <w:rsid w:val="000E2F62"/>
    <w:rsid w:val="000E38ED"/>
    <w:rsid w:val="000E45C7"/>
    <w:rsid w:val="000E67D5"/>
    <w:rsid w:val="000E755E"/>
    <w:rsid w:val="000E7F24"/>
    <w:rsid w:val="000F03BE"/>
    <w:rsid w:val="000F10AC"/>
    <w:rsid w:val="000F1757"/>
    <w:rsid w:val="000F225B"/>
    <w:rsid w:val="000F333E"/>
    <w:rsid w:val="000F3949"/>
    <w:rsid w:val="000F41BC"/>
    <w:rsid w:val="000F48E9"/>
    <w:rsid w:val="000F4DAE"/>
    <w:rsid w:val="000F7ADB"/>
    <w:rsid w:val="000F7D43"/>
    <w:rsid w:val="000F7FAF"/>
    <w:rsid w:val="00100D8B"/>
    <w:rsid w:val="00102045"/>
    <w:rsid w:val="00102264"/>
    <w:rsid w:val="00103537"/>
    <w:rsid w:val="0010421C"/>
    <w:rsid w:val="0010465B"/>
    <w:rsid w:val="001050D7"/>
    <w:rsid w:val="0010570F"/>
    <w:rsid w:val="00105975"/>
    <w:rsid w:val="001079EE"/>
    <w:rsid w:val="00110090"/>
    <w:rsid w:val="00110407"/>
    <w:rsid w:val="0011116D"/>
    <w:rsid w:val="00111386"/>
    <w:rsid w:val="001118DF"/>
    <w:rsid w:val="00111F4D"/>
    <w:rsid w:val="001125B2"/>
    <w:rsid w:val="00112A28"/>
    <w:rsid w:val="00113571"/>
    <w:rsid w:val="00114DDF"/>
    <w:rsid w:val="00114FAA"/>
    <w:rsid w:val="00115230"/>
    <w:rsid w:val="00115AE1"/>
    <w:rsid w:val="00115B5F"/>
    <w:rsid w:val="001162B4"/>
    <w:rsid w:val="00116DF3"/>
    <w:rsid w:val="00122B90"/>
    <w:rsid w:val="00122CBC"/>
    <w:rsid w:val="0012414B"/>
    <w:rsid w:val="001244F8"/>
    <w:rsid w:val="001246AB"/>
    <w:rsid w:val="00124FA3"/>
    <w:rsid w:val="001255F8"/>
    <w:rsid w:val="00126AF1"/>
    <w:rsid w:val="00126C65"/>
    <w:rsid w:val="00126D4A"/>
    <w:rsid w:val="0012714C"/>
    <w:rsid w:val="001274FA"/>
    <w:rsid w:val="00131762"/>
    <w:rsid w:val="001318EB"/>
    <w:rsid w:val="00132DA9"/>
    <w:rsid w:val="0013305B"/>
    <w:rsid w:val="00133B99"/>
    <w:rsid w:val="0013569C"/>
    <w:rsid w:val="00135939"/>
    <w:rsid w:val="001369E3"/>
    <w:rsid w:val="001375DD"/>
    <w:rsid w:val="00142EFB"/>
    <w:rsid w:val="001438BF"/>
    <w:rsid w:val="001443BD"/>
    <w:rsid w:val="00144A87"/>
    <w:rsid w:val="00145B62"/>
    <w:rsid w:val="00146193"/>
    <w:rsid w:val="00147E09"/>
    <w:rsid w:val="001519D2"/>
    <w:rsid w:val="00152022"/>
    <w:rsid w:val="00152026"/>
    <w:rsid w:val="00152392"/>
    <w:rsid w:val="00152A41"/>
    <w:rsid w:val="001544C3"/>
    <w:rsid w:val="00154D75"/>
    <w:rsid w:val="00156ED6"/>
    <w:rsid w:val="001577E9"/>
    <w:rsid w:val="00157A59"/>
    <w:rsid w:val="00157F37"/>
    <w:rsid w:val="0016138C"/>
    <w:rsid w:val="00162D60"/>
    <w:rsid w:val="001640D5"/>
    <w:rsid w:val="00164499"/>
    <w:rsid w:val="001653D7"/>
    <w:rsid w:val="001659FB"/>
    <w:rsid w:val="00171763"/>
    <w:rsid w:val="00171D3F"/>
    <w:rsid w:val="00172151"/>
    <w:rsid w:val="00172C99"/>
    <w:rsid w:val="001731CE"/>
    <w:rsid w:val="00173E0D"/>
    <w:rsid w:val="001742EE"/>
    <w:rsid w:val="00175C72"/>
    <w:rsid w:val="00177D1E"/>
    <w:rsid w:val="00180F93"/>
    <w:rsid w:val="00181B06"/>
    <w:rsid w:val="0018672E"/>
    <w:rsid w:val="001928FC"/>
    <w:rsid w:val="00193BD5"/>
    <w:rsid w:val="00194571"/>
    <w:rsid w:val="00196308"/>
    <w:rsid w:val="0019782F"/>
    <w:rsid w:val="00197E9B"/>
    <w:rsid w:val="001A1185"/>
    <w:rsid w:val="001A3D77"/>
    <w:rsid w:val="001A4A02"/>
    <w:rsid w:val="001B30F7"/>
    <w:rsid w:val="001B31F0"/>
    <w:rsid w:val="001B4862"/>
    <w:rsid w:val="001B5147"/>
    <w:rsid w:val="001B65FF"/>
    <w:rsid w:val="001B710A"/>
    <w:rsid w:val="001B771D"/>
    <w:rsid w:val="001B7C20"/>
    <w:rsid w:val="001C0890"/>
    <w:rsid w:val="001C0B32"/>
    <w:rsid w:val="001C2D66"/>
    <w:rsid w:val="001C36F7"/>
    <w:rsid w:val="001C43A5"/>
    <w:rsid w:val="001C4BE1"/>
    <w:rsid w:val="001C5338"/>
    <w:rsid w:val="001C5847"/>
    <w:rsid w:val="001C7F21"/>
    <w:rsid w:val="001D1497"/>
    <w:rsid w:val="001D5534"/>
    <w:rsid w:val="001D63D9"/>
    <w:rsid w:val="001D6F0E"/>
    <w:rsid w:val="001D7ADF"/>
    <w:rsid w:val="001E0F71"/>
    <w:rsid w:val="001E1575"/>
    <w:rsid w:val="001E160D"/>
    <w:rsid w:val="001E17FB"/>
    <w:rsid w:val="001E255E"/>
    <w:rsid w:val="001E2B9B"/>
    <w:rsid w:val="001E2C06"/>
    <w:rsid w:val="001E35BA"/>
    <w:rsid w:val="001E3A31"/>
    <w:rsid w:val="001E4393"/>
    <w:rsid w:val="001E4690"/>
    <w:rsid w:val="001E49D3"/>
    <w:rsid w:val="001E4CCB"/>
    <w:rsid w:val="001E51A6"/>
    <w:rsid w:val="001E6D05"/>
    <w:rsid w:val="001E73E8"/>
    <w:rsid w:val="001E7C28"/>
    <w:rsid w:val="001F0C14"/>
    <w:rsid w:val="001F0F3B"/>
    <w:rsid w:val="001F11A1"/>
    <w:rsid w:val="001F1AB5"/>
    <w:rsid w:val="001F1BDF"/>
    <w:rsid w:val="001F1D6D"/>
    <w:rsid w:val="001F20A0"/>
    <w:rsid w:val="001F35F8"/>
    <w:rsid w:val="001F39FC"/>
    <w:rsid w:val="001F3E04"/>
    <w:rsid w:val="001F4AC3"/>
    <w:rsid w:val="001F4CAC"/>
    <w:rsid w:val="001F52E0"/>
    <w:rsid w:val="001F590C"/>
    <w:rsid w:val="001F7110"/>
    <w:rsid w:val="001F7185"/>
    <w:rsid w:val="001F773D"/>
    <w:rsid w:val="001F7E96"/>
    <w:rsid w:val="002005F5"/>
    <w:rsid w:val="0020202E"/>
    <w:rsid w:val="00202284"/>
    <w:rsid w:val="0020528D"/>
    <w:rsid w:val="0020543B"/>
    <w:rsid w:val="00205A66"/>
    <w:rsid w:val="002063CF"/>
    <w:rsid w:val="00206613"/>
    <w:rsid w:val="0020756B"/>
    <w:rsid w:val="00207E75"/>
    <w:rsid w:val="00210D86"/>
    <w:rsid w:val="0021158F"/>
    <w:rsid w:val="00211BA0"/>
    <w:rsid w:val="00212488"/>
    <w:rsid w:val="002129A6"/>
    <w:rsid w:val="002151DB"/>
    <w:rsid w:val="00220628"/>
    <w:rsid w:val="00221A45"/>
    <w:rsid w:val="00221BA0"/>
    <w:rsid w:val="00224CB4"/>
    <w:rsid w:val="002260C7"/>
    <w:rsid w:val="002304D2"/>
    <w:rsid w:val="002310E3"/>
    <w:rsid w:val="00232594"/>
    <w:rsid w:val="002338C1"/>
    <w:rsid w:val="00233D04"/>
    <w:rsid w:val="00234ABD"/>
    <w:rsid w:val="00236491"/>
    <w:rsid w:val="00236C3B"/>
    <w:rsid w:val="00236E2A"/>
    <w:rsid w:val="00237F62"/>
    <w:rsid w:val="00240D96"/>
    <w:rsid w:val="00241E10"/>
    <w:rsid w:val="00242C71"/>
    <w:rsid w:val="0024586A"/>
    <w:rsid w:val="0024601F"/>
    <w:rsid w:val="002464E3"/>
    <w:rsid w:val="0024732C"/>
    <w:rsid w:val="002502E1"/>
    <w:rsid w:val="00250C98"/>
    <w:rsid w:val="00250F80"/>
    <w:rsid w:val="0025124F"/>
    <w:rsid w:val="002518A2"/>
    <w:rsid w:val="002528B3"/>
    <w:rsid w:val="00253854"/>
    <w:rsid w:val="0025551F"/>
    <w:rsid w:val="00255F8C"/>
    <w:rsid w:val="00256174"/>
    <w:rsid w:val="002566B2"/>
    <w:rsid w:val="002569B9"/>
    <w:rsid w:val="00256F0C"/>
    <w:rsid w:val="00257231"/>
    <w:rsid w:val="00260318"/>
    <w:rsid w:val="00261C23"/>
    <w:rsid w:val="00262C05"/>
    <w:rsid w:val="002715AF"/>
    <w:rsid w:val="002717F0"/>
    <w:rsid w:val="0027214F"/>
    <w:rsid w:val="0027301C"/>
    <w:rsid w:val="00273099"/>
    <w:rsid w:val="00281D14"/>
    <w:rsid w:val="00282C13"/>
    <w:rsid w:val="002833D8"/>
    <w:rsid w:val="002836D7"/>
    <w:rsid w:val="00284538"/>
    <w:rsid w:val="00285669"/>
    <w:rsid w:val="002858F6"/>
    <w:rsid w:val="00286BF6"/>
    <w:rsid w:val="00286D3E"/>
    <w:rsid w:val="002903B7"/>
    <w:rsid w:val="002919AD"/>
    <w:rsid w:val="00292C23"/>
    <w:rsid w:val="00293E0F"/>
    <w:rsid w:val="00295E54"/>
    <w:rsid w:val="002962D7"/>
    <w:rsid w:val="00296C33"/>
    <w:rsid w:val="002A0D7B"/>
    <w:rsid w:val="002A0DF7"/>
    <w:rsid w:val="002A268C"/>
    <w:rsid w:val="002A2975"/>
    <w:rsid w:val="002A460D"/>
    <w:rsid w:val="002A505B"/>
    <w:rsid w:val="002A5EE9"/>
    <w:rsid w:val="002A60E0"/>
    <w:rsid w:val="002A69D0"/>
    <w:rsid w:val="002A72F8"/>
    <w:rsid w:val="002B1AA8"/>
    <w:rsid w:val="002B1E87"/>
    <w:rsid w:val="002B4583"/>
    <w:rsid w:val="002B687A"/>
    <w:rsid w:val="002C1344"/>
    <w:rsid w:val="002C252E"/>
    <w:rsid w:val="002C3A2A"/>
    <w:rsid w:val="002C458A"/>
    <w:rsid w:val="002C6093"/>
    <w:rsid w:val="002C6552"/>
    <w:rsid w:val="002C672A"/>
    <w:rsid w:val="002C6773"/>
    <w:rsid w:val="002C6891"/>
    <w:rsid w:val="002C6F51"/>
    <w:rsid w:val="002C73EC"/>
    <w:rsid w:val="002D0FE0"/>
    <w:rsid w:val="002D269A"/>
    <w:rsid w:val="002D2A3D"/>
    <w:rsid w:val="002D3E72"/>
    <w:rsid w:val="002D3EAC"/>
    <w:rsid w:val="002D46A9"/>
    <w:rsid w:val="002D5D1D"/>
    <w:rsid w:val="002D6EFD"/>
    <w:rsid w:val="002D74CF"/>
    <w:rsid w:val="002D7B8C"/>
    <w:rsid w:val="002E0A45"/>
    <w:rsid w:val="002E0B17"/>
    <w:rsid w:val="002E26B4"/>
    <w:rsid w:val="002E31C0"/>
    <w:rsid w:val="002E3A73"/>
    <w:rsid w:val="002E4FFB"/>
    <w:rsid w:val="002E63A7"/>
    <w:rsid w:val="002E650E"/>
    <w:rsid w:val="002E6E2F"/>
    <w:rsid w:val="002E7DED"/>
    <w:rsid w:val="002F0334"/>
    <w:rsid w:val="002F2A7B"/>
    <w:rsid w:val="002F4AB2"/>
    <w:rsid w:val="002F4F67"/>
    <w:rsid w:val="002F5944"/>
    <w:rsid w:val="002F7BC2"/>
    <w:rsid w:val="002F7E11"/>
    <w:rsid w:val="003002BA"/>
    <w:rsid w:val="0030037C"/>
    <w:rsid w:val="003008B9"/>
    <w:rsid w:val="0030150D"/>
    <w:rsid w:val="00302BC5"/>
    <w:rsid w:val="00304087"/>
    <w:rsid w:val="003053DC"/>
    <w:rsid w:val="003054B0"/>
    <w:rsid w:val="003057B1"/>
    <w:rsid w:val="003062AD"/>
    <w:rsid w:val="00310ACD"/>
    <w:rsid w:val="00312C23"/>
    <w:rsid w:val="0031379F"/>
    <w:rsid w:val="00313A9C"/>
    <w:rsid w:val="0031621E"/>
    <w:rsid w:val="00316A16"/>
    <w:rsid w:val="00316B30"/>
    <w:rsid w:val="00320228"/>
    <w:rsid w:val="00320372"/>
    <w:rsid w:val="00320A26"/>
    <w:rsid w:val="003212F3"/>
    <w:rsid w:val="00321344"/>
    <w:rsid w:val="00321622"/>
    <w:rsid w:val="00321788"/>
    <w:rsid w:val="003221D5"/>
    <w:rsid w:val="00323D57"/>
    <w:rsid w:val="00323FA3"/>
    <w:rsid w:val="00325064"/>
    <w:rsid w:val="00325EC9"/>
    <w:rsid w:val="00326735"/>
    <w:rsid w:val="003279C6"/>
    <w:rsid w:val="0032B295"/>
    <w:rsid w:val="00331A3E"/>
    <w:rsid w:val="0033451C"/>
    <w:rsid w:val="00334724"/>
    <w:rsid w:val="00335660"/>
    <w:rsid w:val="00335FBD"/>
    <w:rsid w:val="0033649A"/>
    <w:rsid w:val="00336854"/>
    <w:rsid w:val="0033769B"/>
    <w:rsid w:val="00337A89"/>
    <w:rsid w:val="0034015C"/>
    <w:rsid w:val="00341409"/>
    <w:rsid w:val="00341CAE"/>
    <w:rsid w:val="003442F4"/>
    <w:rsid w:val="00344546"/>
    <w:rsid w:val="003455CF"/>
    <w:rsid w:val="0034716E"/>
    <w:rsid w:val="00350CB4"/>
    <w:rsid w:val="00353705"/>
    <w:rsid w:val="00355536"/>
    <w:rsid w:val="003562E8"/>
    <w:rsid w:val="00357F94"/>
    <w:rsid w:val="003614D7"/>
    <w:rsid w:val="0036357D"/>
    <w:rsid w:val="00363637"/>
    <w:rsid w:val="00363CDD"/>
    <w:rsid w:val="003649BC"/>
    <w:rsid w:val="00364F7E"/>
    <w:rsid w:val="00365BE1"/>
    <w:rsid w:val="00365E44"/>
    <w:rsid w:val="003662B1"/>
    <w:rsid w:val="003662EF"/>
    <w:rsid w:val="003663FD"/>
    <w:rsid w:val="003667AD"/>
    <w:rsid w:val="00367AA1"/>
    <w:rsid w:val="00370A5B"/>
    <w:rsid w:val="00372497"/>
    <w:rsid w:val="00372E36"/>
    <w:rsid w:val="00373C15"/>
    <w:rsid w:val="00373D53"/>
    <w:rsid w:val="00375653"/>
    <w:rsid w:val="00375DFA"/>
    <w:rsid w:val="00375F7D"/>
    <w:rsid w:val="003767D3"/>
    <w:rsid w:val="00376EE9"/>
    <w:rsid w:val="00376FFC"/>
    <w:rsid w:val="00377CBB"/>
    <w:rsid w:val="00382CCB"/>
    <w:rsid w:val="00382DA3"/>
    <w:rsid w:val="00384F62"/>
    <w:rsid w:val="00385438"/>
    <w:rsid w:val="003858E5"/>
    <w:rsid w:val="003877B6"/>
    <w:rsid w:val="00391539"/>
    <w:rsid w:val="003921B7"/>
    <w:rsid w:val="00392D73"/>
    <w:rsid w:val="00393887"/>
    <w:rsid w:val="00393F1B"/>
    <w:rsid w:val="00394C6B"/>
    <w:rsid w:val="0039610B"/>
    <w:rsid w:val="00396442"/>
    <w:rsid w:val="003967E1"/>
    <w:rsid w:val="00397C2B"/>
    <w:rsid w:val="003A11DF"/>
    <w:rsid w:val="003A290F"/>
    <w:rsid w:val="003A4AAA"/>
    <w:rsid w:val="003A4B10"/>
    <w:rsid w:val="003A4E2E"/>
    <w:rsid w:val="003A4E62"/>
    <w:rsid w:val="003A5A6A"/>
    <w:rsid w:val="003A775E"/>
    <w:rsid w:val="003B02F2"/>
    <w:rsid w:val="003B0BD0"/>
    <w:rsid w:val="003B0CDD"/>
    <w:rsid w:val="003B1069"/>
    <w:rsid w:val="003B1F2E"/>
    <w:rsid w:val="003B38CC"/>
    <w:rsid w:val="003B390A"/>
    <w:rsid w:val="003B3D53"/>
    <w:rsid w:val="003B4E3A"/>
    <w:rsid w:val="003B60C3"/>
    <w:rsid w:val="003B6373"/>
    <w:rsid w:val="003B79E1"/>
    <w:rsid w:val="003C0E8C"/>
    <w:rsid w:val="003C15DE"/>
    <w:rsid w:val="003C2096"/>
    <w:rsid w:val="003C2889"/>
    <w:rsid w:val="003C2AB0"/>
    <w:rsid w:val="003C34C9"/>
    <w:rsid w:val="003C4EB2"/>
    <w:rsid w:val="003C5801"/>
    <w:rsid w:val="003C5E05"/>
    <w:rsid w:val="003C63D0"/>
    <w:rsid w:val="003C7959"/>
    <w:rsid w:val="003D0055"/>
    <w:rsid w:val="003D3968"/>
    <w:rsid w:val="003D42AF"/>
    <w:rsid w:val="003D4899"/>
    <w:rsid w:val="003D4AD2"/>
    <w:rsid w:val="003D5E11"/>
    <w:rsid w:val="003D73C0"/>
    <w:rsid w:val="003E031D"/>
    <w:rsid w:val="003E0583"/>
    <w:rsid w:val="003E1833"/>
    <w:rsid w:val="003E4062"/>
    <w:rsid w:val="003E6DA3"/>
    <w:rsid w:val="003E7305"/>
    <w:rsid w:val="003F0C1C"/>
    <w:rsid w:val="003F1AF3"/>
    <w:rsid w:val="003F25E4"/>
    <w:rsid w:val="003F4804"/>
    <w:rsid w:val="003F4AAA"/>
    <w:rsid w:val="003F4D8D"/>
    <w:rsid w:val="003F4E93"/>
    <w:rsid w:val="003F5708"/>
    <w:rsid w:val="003F66A4"/>
    <w:rsid w:val="00401508"/>
    <w:rsid w:val="00401688"/>
    <w:rsid w:val="004024D9"/>
    <w:rsid w:val="0040257E"/>
    <w:rsid w:val="0040386D"/>
    <w:rsid w:val="00404188"/>
    <w:rsid w:val="00406435"/>
    <w:rsid w:val="004066F9"/>
    <w:rsid w:val="00406CBE"/>
    <w:rsid w:val="004073DC"/>
    <w:rsid w:val="004137C0"/>
    <w:rsid w:val="004138F3"/>
    <w:rsid w:val="00420F5B"/>
    <w:rsid w:val="00421F20"/>
    <w:rsid w:val="0042238F"/>
    <w:rsid w:val="00423B63"/>
    <w:rsid w:val="00427BEA"/>
    <w:rsid w:val="00430120"/>
    <w:rsid w:val="004313E7"/>
    <w:rsid w:val="00432542"/>
    <w:rsid w:val="004339B2"/>
    <w:rsid w:val="00437F32"/>
    <w:rsid w:val="00440E7A"/>
    <w:rsid w:val="004433D5"/>
    <w:rsid w:val="0044344E"/>
    <w:rsid w:val="004438C1"/>
    <w:rsid w:val="00444A70"/>
    <w:rsid w:val="0044763B"/>
    <w:rsid w:val="00452696"/>
    <w:rsid w:val="00452726"/>
    <w:rsid w:val="00453F32"/>
    <w:rsid w:val="00454DAA"/>
    <w:rsid w:val="0045535C"/>
    <w:rsid w:val="00456765"/>
    <w:rsid w:val="00456A53"/>
    <w:rsid w:val="00456F1E"/>
    <w:rsid w:val="0046213C"/>
    <w:rsid w:val="00462518"/>
    <w:rsid w:val="0046266D"/>
    <w:rsid w:val="004629B3"/>
    <w:rsid w:val="0046376E"/>
    <w:rsid w:val="00463B50"/>
    <w:rsid w:val="00464251"/>
    <w:rsid w:val="00464860"/>
    <w:rsid w:val="0046587C"/>
    <w:rsid w:val="0046690F"/>
    <w:rsid w:val="004677F8"/>
    <w:rsid w:val="00467CC0"/>
    <w:rsid w:val="00471116"/>
    <w:rsid w:val="00472FEC"/>
    <w:rsid w:val="00473A2A"/>
    <w:rsid w:val="00473B89"/>
    <w:rsid w:val="004747D0"/>
    <w:rsid w:val="00476830"/>
    <w:rsid w:val="004770F6"/>
    <w:rsid w:val="004812D2"/>
    <w:rsid w:val="00483B28"/>
    <w:rsid w:val="00484218"/>
    <w:rsid w:val="004858E1"/>
    <w:rsid w:val="00485EF2"/>
    <w:rsid w:val="004864A1"/>
    <w:rsid w:val="0048769E"/>
    <w:rsid w:val="00487A1F"/>
    <w:rsid w:val="00490A03"/>
    <w:rsid w:val="00490B0D"/>
    <w:rsid w:val="00490E5D"/>
    <w:rsid w:val="00492B0A"/>
    <w:rsid w:val="00492D88"/>
    <w:rsid w:val="00493327"/>
    <w:rsid w:val="0049382E"/>
    <w:rsid w:val="0049391A"/>
    <w:rsid w:val="00494DBE"/>
    <w:rsid w:val="00495CE6"/>
    <w:rsid w:val="00497D5E"/>
    <w:rsid w:val="00497EB9"/>
    <w:rsid w:val="004A144D"/>
    <w:rsid w:val="004A1D27"/>
    <w:rsid w:val="004A2176"/>
    <w:rsid w:val="004A2703"/>
    <w:rsid w:val="004A323C"/>
    <w:rsid w:val="004A4D16"/>
    <w:rsid w:val="004B0801"/>
    <w:rsid w:val="004B1117"/>
    <w:rsid w:val="004B1A6B"/>
    <w:rsid w:val="004B1FC8"/>
    <w:rsid w:val="004B339A"/>
    <w:rsid w:val="004B39DA"/>
    <w:rsid w:val="004B54E8"/>
    <w:rsid w:val="004B7595"/>
    <w:rsid w:val="004B773C"/>
    <w:rsid w:val="004C0138"/>
    <w:rsid w:val="004C0686"/>
    <w:rsid w:val="004C12E8"/>
    <w:rsid w:val="004C130C"/>
    <w:rsid w:val="004C1389"/>
    <w:rsid w:val="004C1578"/>
    <w:rsid w:val="004C174B"/>
    <w:rsid w:val="004C33BA"/>
    <w:rsid w:val="004C47EA"/>
    <w:rsid w:val="004C4FEB"/>
    <w:rsid w:val="004C6570"/>
    <w:rsid w:val="004C678C"/>
    <w:rsid w:val="004C6B79"/>
    <w:rsid w:val="004C7345"/>
    <w:rsid w:val="004D059B"/>
    <w:rsid w:val="004D09F9"/>
    <w:rsid w:val="004D0E64"/>
    <w:rsid w:val="004D144F"/>
    <w:rsid w:val="004D1DBD"/>
    <w:rsid w:val="004D304E"/>
    <w:rsid w:val="004D4543"/>
    <w:rsid w:val="004D48A8"/>
    <w:rsid w:val="004D4CB6"/>
    <w:rsid w:val="004D4DCB"/>
    <w:rsid w:val="004E0907"/>
    <w:rsid w:val="004E20CF"/>
    <w:rsid w:val="004E2324"/>
    <w:rsid w:val="004E28C9"/>
    <w:rsid w:val="004E3341"/>
    <w:rsid w:val="004E3406"/>
    <w:rsid w:val="004E5124"/>
    <w:rsid w:val="004E7BE2"/>
    <w:rsid w:val="004E7E3A"/>
    <w:rsid w:val="004F10C1"/>
    <w:rsid w:val="004F1A34"/>
    <w:rsid w:val="004F1C5E"/>
    <w:rsid w:val="004F3032"/>
    <w:rsid w:val="004F3E47"/>
    <w:rsid w:val="004F4CC8"/>
    <w:rsid w:val="004F4F5A"/>
    <w:rsid w:val="004F51FF"/>
    <w:rsid w:val="004F5AD9"/>
    <w:rsid w:val="0050159C"/>
    <w:rsid w:val="005022B7"/>
    <w:rsid w:val="00502E62"/>
    <w:rsid w:val="005044C2"/>
    <w:rsid w:val="00506B8A"/>
    <w:rsid w:val="005110D3"/>
    <w:rsid w:val="00511161"/>
    <w:rsid w:val="00512222"/>
    <w:rsid w:val="0051413C"/>
    <w:rsid w:val="00515F4A"/>
    <w:rsid w:val="0051693C"/>
    <w:rsid w:val="00520A65"/>
    <w:rsid w:val="005218B8"/>
    <w:rsid w:val="00521B13"/>
    <w:rsid w:val="0052212B"/>
    <w:rsid w:val="005221A8"/>
    <w:rsid w:val="005230C7"/>
    <w:rsid w:val="0052474F"/>
    <w:rsid w:val="0052625A"/>
    <w:rsid w:val="005266EA"/>
    <w:rsid w:val="00527072"/>
    <w:rsid w:val="005272FE"/>
    <w:rsid w:val="0053001D"/>
    <w:rsid w:val="00530E38"/>
    <w:rsid w:val="00533B0D"/>
    <w:rsid w:val="00534B46"/>
    <w:rsid w:val="00535018"/>
    <w:rsid w:val="005355DB"/>
    <w:rsid w:val="00535866"/>
    <w:rsid w:val="00536CBD"/>
    <w:rsid w:val="00540358"/>
    <w:rsid w:val="00540A05"/>
    <w:rsid w:val="00540D47"/>
    <w:rsid w:val="00540E25"/>
    <w:rsid w:val="005428D7"/>
    <w:rsid w:val="00542D43"/>
    <w:rsid w:val="00545516"/>
    <w:rsid w:val="005463C3"/>
    <w:rsid w:val="005465A3"/>
    <w:rsid w:val="00547C7C"/>
    <w:rsid w:val="005506D5"/>
    <w:rsid w:val="00550864"/>
    <w:rsid w:val="00551D6C"/>
    <w:rsid w:val="00553580"/>
    <w:rsid w:val="005550A8"/>
    <w:rsid w:val="0055571E"/>
    <w:rsid w:val="005565E8"/>
    <w:rsid w:val="00556F67"/>
    <w:rsid w:val="00557849"/>
    <w:rsid w:val="00563009"/>
    <w:rsid w:val="005635B7"/>
    <w:rsid w:val="005652E8"/>
    <w:rsid w:val="0056772E"/>
    <w:rsid w:val="00567A17"/>
    <w:rsid w:val="005735E2"/>
    <w:rsid w:val="0057370A"/>
    <w:rsid w:val="0057384B"/>
    <w:rsid w:val="0057392C"/>
    <w:rsid w:val="0057446D"/>
    <w:rsid w:val="0057667C"/>
    <w:rsid w:val="00576BDA"/>
    <w:rsid w:val="00577DB4"/>
    <w:rsid w:val="005826DA"/>
    <w:rsid w:val="00582943"/>
    <w:rsid w:val="00582D0E"/>
    <w:rsid w:val="00582E09"/>
    <w:rsid w:val="005833F0"/>
    <w:rsid w:val="005835F4"/>
    <w:rsid w:val="00585A6D"/>
    <w:rsid w:val="00586280"/>
    <w:rsid w:val="00586584"/>
    <w:rsid w:val="005865FC"/>
    <w:rsid w:val="00586913"/>
    <w:rsid w:val="005869CE"/>
    <w:rsid w:val="00586CAF"/>
    <w:rsid w:val="005873E9"/>
    <w:rsid w:val="00587A90"/>
    <w:rsid w:val="00591180"/>
    <w:rsid w:val="00592E9F"/>
    <w:rsid w:val="00595286"/>
    <w:rsid w:val="0059722C"/>
    <w:rsid w:val="005977A6"/>
    <w:rsid w:val="00597D07"/>
    <w:rsid w:val="00597DD6"/>
    <w:rsid w:val="005A16E6"/>
    <w:rsid w:val="005A1746"/>
    <w:rsid w:val="005A30D7"/>
    <w:rsid w:val="005A3846"/>
    <w:rsid w:val="005A678F"/>
    <w:rsid w:val="005A7DE8"/>
    <w:rsid w:val="005A7E97"/>
    <w:rsid w:val="005B2CD2"/>
    <w:rsid w:val="005B5567"/>
    <w:rsid w:val="005B632A"/>
    <w:rsid w:val="005B6788"/>
    <w:rsid w:val="005B6A58"/>
    <w:rsid w:val="005C0829"/>
    <w:rsid w:val="005C2897"/>
    <w:rsid w:val="005C4C2F"/>
    <w:rsid w:val="005C5A83"/>
    <w:rsid w:val="005C7112"/>
    <w:rsid w:val="005D0155"/>
    <w:rsid w:val="005D0561"/>
    <w:rsid w:val="005D0AD9"/>
    <w:rsid w:val="005D1A67"/>
    <w:rsid w:val="005D1F10"/>
    <w:rsid w:val="005D22F6"/>
    <w:rsid w:val="005D4647"/>
    <w:rsid w:val="005D4737"/>
    <w:rsid w:val="005D5EDE"/>
    <w:rsid w:val="005D6774"/>
    <w:rsid w:val="005D68AA"/>
    <w:rsid w:val="005D6BD1"/>
    <w:rsid w:val="005E060E"/>
    <w:rsid w:val="005E0C30"/>
    <w:rsid w:val="005E1DCB"/>
    <w:rsid w:val="005E2A31"/>
    <w:rsid w:val="005E33E0"/>
    <w:rsid w:val="005E3FBB"/>
    <w:rsid w:val="005E51FC"/>
    <w:rsid w:val="005E66B4"/>
    <w:rsid w:val="005E69D9"/>
    <w:rsid w:val="005E6CB1"/>
    <w:rsid w:val="005E7116"/>
    <w:rsid w:val="005E7971"/>
    <w:rsid w:val="005F17D1"/>
    <w:rsid w:val="005F23BC"/>
    <w:rsid w:val="005F2643"/>
    <w:rsid w:val="005F27F4"/>
    <w:rsid w:val="005F297C"/>
    <w:rsid w:val="005F3239"/>
    <w:rsid w:val="005F39BF"/>
    <w:rsid w:val="005F566C"/>
    <w:rsid w:val="005F5D54"/>
    <w:rsid w:val="005F5F4D"/>
    <w:rsid w:val="005F6567"/>
    <w:rsid w:val="005F676D"/>
    <w:rsid w:val="005F6A21"/>
    <w:rsid w:val="005F6D24"/>
    <w:rsid w:val="005F750F"/>
    <w:rsid w:val="005F7A8A"/>
    <w:rsid w:val="00600998"/>
    <w:rsid w:val="00600ACF"/>
    <w:rsid w:val="006019EB"/>
    <w:rsid w:val="00601CC1"/>
    <w:rsid w:val="006022D0"/>
    <w:rsid w:val="00605DFE"/>
    <w:rsid w:val="00607094"/>
    <w:rsid w:val="00607256"/>
    <w:rsid w:val="00607621"/>
    <w:rsid w:val="0060790C"/>
    <w:rsid w:val="0060791E"/>
    <w:rsid w:val="00611B7B"/>
    <w:rsid w:val="00611F08"/>
    <w:rsid w:val="00611FB2"/>
    <w:rsid w:val="00613BF1"/>
    <w:rsid w:val="006144B1"/>
    <w:rsid w:val="0061561D"/>
    <w:rsid w:val="00615A5C"/>
    <w:rsid w:val="00616C7F"/>
    <w:rsid w:val="006177FF"/>
    <w:rsid w:val="0062077F"/>
    <w:rsid w:val="00621BC7"/>
    <w:rsid w:val="00622033"/>
    <w:rsid w:val="0062460B"/>
    <w:rsid w:val="00630644"/>
    <w:rsid w:val="006335F1"/>
    <w:rsid w:val="006336FD"/>
    <w:rsid w:val="00633B49"/>
    <w:rsid w:val="006345B6"/>
    <w:rsid w:val="006345CD"/>
    <w:rsid w:val="00635616"/>
    <w:rsid w:val="00635712"/>
    <w:rsid w:val="00635984"/>
    <w:rsid w:val="00635F41"/>
    <w:rsid w:val="006368FF"/>
    <w:rsid w:val="00636D95"/>
    <w:rsid w:val="006377D4"/>
    <w:rsid w:val="00640135"/>
    <w:rsid w:val="006402FF"/>
    <w:rsid w:val="0064107F"/>
    <w:rsid w:val="00643372"/>
    <w:rsid w:val="00643D8A"/>
    <w:rsid w:val="00645A5C"/>
    <w:rsid w:val="006460E5"/>
    <w:rsid w:val="00647A78"/>
    <w:rsid w:val="00647AB9"/>
    <w:rsid w:val="00647C4B"/>
    <w:rsid w:val="006504AF"/>
    <w:rsid w:val="00650894"/>
    <w:rsid w:val="0065112B"/>
    <w:rsid w:val="00652091"/>
    <w:rsid w:val="00652229"/>
    <w:rsid w:val="00652793"/>
    <w:rsid w:val="006528DE"/>
    <w:rsid w:val="006541A1"/>
    <w:rsid w:val="00657789"/>
    <w:rsid w:val="00660320"/>
    <w:rsid w:val="0066187E"/>
    <w:rsid w:val="00662375"/>
    <w:rsid w:val="006626CA"/>
    <w:rsid w:val="00663487"/>
    <w:rsid w:val="006701CD"/>
    <w:rsid w:val="00672382"/>
    <w:rsid w:val="006733BB"/>
    <w:rsid w:val="0067607A"/>
    <w:rsid w:val="006763B5"/>
    <w:rsid w:val="00676E80"/>
    <w:rsid w:val="006775C2"/>
    <w:rsid w:val="00681257"/>
    <w:rsid w:val="00681C3E"/>
    <w:rsid w:val="00681D37"/>
    <w:rsid w:val="00682191"/>
    <w:rsid w:val="006822E9"/>
    <w:rsid w:val="00682643"/>
    <w:rsid w:val="00682EB9"/>
    <w:rsid w:val="00682F1E"/>
    <w:rsid w:val="0068378C"/>
    <w:rsid w:val="006839D3"/>
    <w:rsid w:val="0068441A"/>
    <w:rsid w:val="0068699A"/>
    <w:rsid w:val="00690B19"/>
    <w:rsid w:val="00691675"/>
    <w:rsid w:val="006938EE"/>
    <w:rsid w:val="00694195"/>
    <w:rsid w:val="0069650C"/>
    <w:rsid w:val="006A06BB"/>
    <w:rsid w:val="006A0A3C"/>
    <w:rsid w:val="006A1ED8"/>
    <w:rsid w:val="006A3D5B"/>
    <w:rsid w:val="006A442A"/>
    <w:rsid w:val="006A59E9"/>
    <w:rsid w:val="006A5AB1"/>
    <w:rsid w:val="006A6F2B"/>
    <w:rsid w:val="006A75B8"/>
    <w:rsid w:val="006A79F0"/>
    <w:rsid w:val="006B048F"/>
    <w:rsid w:val="006B359D"/>
    <w:rsid w:val="006B47EE"/>
    <w:rsid w:val="006B499F"/>
    <w:rsid w:val="006B54C6"/>
    <w:rsid w:val="006B617F"/>
    <w:rsid w:val="006B78E0"/>
    <w:rsid w:val="006C187E"/>
    <w:rsid w:val="006C1FB8"/>
    <w:rsid w:val="006C2BB0"/>
    <w:rsid w:val="006C33BE"/>
    <w:rsid w:val="006C4B3D"/>
    <w:rsid w:val="006C53D0"/>
    <w:rsid w:val="006C5B53"/>
    <w:rsid w:val="006C7E78"/>
    <w:rsid w:val="006D006A"/>
    <w:rsid w:val="006D064D"/>
    <w:rsid w:val="006D098F"/>
    <w:rsid w:val="006D127F"/>
    <w:rsid w:val="006D20E3"/>
    <w:rsid w:val="006D2218"/>
    <w:rsid w:val="006D33E1"/>
    <w:rsid w:val="006D4996"/>
    <w:rsid w:val="006D4D0C"/>
    <w:rsid w:val="006D510B"/>
    <w:rsid w:val="006D535B"/>
    <w:rsid w:val="006D54AB"/>
    <w:rsid w:val="006D58E5"/>
    <w:rsid w:val="006E1084"/>
    <w:rsid w:val="006E1097"/>
    <w:rsid w:val="006E10B2"/>
    <w:rsid w:val="006E1A70"/>
    <w:rsid w:val="006E1FA9"/>
    <w:rsid w:val="006E2D24"/>
    <w:rsid w:val="006E3006"/>
    <w:rsid w:val="006E3AFC"/>
    <w:rsid w:val="006E4458"/>
    <w:rsid w:val="006E4F02"/>
    <w:rsid w:val="006E5032"/>
    <w:rsid w:val="006E5BDA"/>
    <w:rsid w:val="006E7AC9"/>
    <w:rsid w:val="006F0FC7"/>
    <w:rsid w:val="006F39A9"/>
    <w:rsid w:val="006F3D9D"/>
    <w:rsid w:val="006F524E"/>
    <w:rsid w:val="006F5D57"/>
    <w:rsid w:val="006F643F"/>
    <w:rsid w:val="006F670F"/>
    <w:rsid w:val="006F77F3"/>
    <w:rsid w:val="0070063C"/>
    <w:rsid w:val="00700D69"/>
    <w:rsid w:val="0070243F"/>
    <w:rsid w:val="00702921"/>
    <w:rsid w:val="00703272"/>
    <w:rsid w:val="0070362C"/>
    <w:rsid w:val="00703652"/>
    <w:rsid w:val="00704020"/>
    <w:rsid w:val="00704044"/>
    <w:rsid w:val="00705B35"/>
    <w:rsid w:val="00705BBE"/>
    <w:rsid w:val="00706C6E"/>
    <w:rsid w:val="0070733C"/>
    <w:rsid w:val="007102D5"/>
    <w:rsid w:val="00710C5D"/>
    <w:rsid w:val="00712C06"/>
    <w:rsid w:val="0071348C"/>
    <w:rsid w:val="00717273"/>
    <w:rsid w:val="00720FD4"/>
    <w:rsid w:val="00721DFD"/>
    <w:rsid w:val="00721EEF"/>
    <w:rsid w:val="00722A02"/>
    <w:rsid w:val="00723A21"/>
    <w:rsid w:val="00723B91"/>
    <w:rsid w:val="00723C6D"/>
    <w:rsid w:val="00724550"/>
    <w:rsid w:val="00724AF2"/>
    <w:rsid w:val="00724E51"/>
    <w:rsid w:val="0072502E"/>
    <w:rsid w:val="00730624"/>
    <w:rsid w:val="0073096C"/>
    <w:rsid w:val="0073100D"/>
    <w:rsid w:val="00731368"/>
    <w:rsid w:val="00733429"/>
    <w:rsid w:val="00733A46"/>
    <w:rsid w:val="00733BB0"/>
    <w:rsid w:val="00735E2D"/>
    <w:rsid w:val="00736F2C"/>
    <w:rsid w:val="007371B2"/>
    <w:rsid w:val="00740F23"/>
    <w:rsid w:val="007419C8"/>
    <w:rsid w:val="00742398"/>
    <w:rsid w:val="007432A9"/>
    <w:rsid w:val="00745C0B"/>
    <w:rsid w:val="00746050"/>
    <w:rsid w:val="00746118"/>
    <w:rsid w:val="00746C7F"/>
    <w:rsid w:val="007507B5"/>
    <w:rsid w:val="0075091D"/>
    <w:rsid w:val="00750EC4"/>
    <w:rsid w:val="00751831"/>
    <w:rsid w:val="0075201B"/>
    <w:rsid w:val="00753A24"/>
    <w:rsid w:val="00754294"/>
    <w:rsid w:val="0075430D"/>
    <w:rsid w:val="00754FF6"/>
    <w:rsid w:val="0075779F"/>
    <w:rsid w:val="00757FC5"/>
    <w:rsid w:val="0076106F"/>
    <w:rsid w:val="00761D97"/>
    <w:rsid w:val="0076354B"/>
    <w:rsid w:val="00764668"/>
    <w:rsid w:val="007658F3"/>
    <w:rsid w:val="00765D0E"/>
    <w:rsid w:val="00765E3B"/>
    <w:rsid w:val="00766EA2"/>
    <w:rsid w:val="00767034"/>
    <w:rsid w:val="00772188"/>
    <w:rsid w:val="0077222A"/>
    <w:rsid w:val="00773909"/>
    <w:rsid w:val="0077433B"/>
    <w:rsid w:val="00774E1E"/>
    <w:rsid w:val="0077544E"/>
    <w:rsid w:val="00776743"/>
    <w:rsid w:val="00776D7F"/>
    <w:rsid w:val="00777F5C"/>
    <w:rsid w:val="007813D0"/>
    <w:rsid w:val="007845AC"/>
    <w:rsid w:val="00785993"/>
    <w:rsid w:val="00785A0D"/>
    <w:rsid w:val="007863BF"/>
    <w:rsid w:val="007866E2"/>
    <w:rsid w:val="00786BA3"/>
    <w:rsid w:val="00790993"/>
    <w:rsid w:val="0079202F"/>
    <w:rsid w:val="0079203E"/>
    <w:rsid w:val="007934C3"/>
    <w:rsid w:val="00793FDA"/>
    <w:rsid w:val="00794903"/>
    <w:rsid w:val="00795486"/>
    <w:rsid w:val="00795AF2"/>
    <w:rsid w:val="00795E4F"/>
    <w:rsid w:val="007A0287"/>
    <w:rsid w:val="007A09FC"/>
    <w:rsid w:val="007A2AAD"/>
    <w:rsid w:val="007A2FB6"/>
    <w:rsid w:val="007A3017"/>
    <w:rsid w:val="007A4432"/>
    <w:rsid w:val="007A478D"/>
    <w:rsid w:val="007A59E9"/>
    <w:rsid w:val="007A784E"/>
    <w:rsid w:val="007A7E31"/>
    <w:rsid w:val="007B02A0"/>
    <w:rsid w:val="007B278C"/>
    <w:rsid w:val="007B2C2C"/>
    <w:rsid w:val="007B2DAD"/>
    <w:rsid w:val="007B3774"/>
    <w:rsid w:val="007B4939"/>
    <w:rsid w:val="007B499C"/>
    <w:rsid w:val="007B4D4B"/>
    <w:rsid w:val="007B58C6"/>
    <w:rsid w:val="007B76D8"/>
    <w:rsid w:val="007C0646"/>
    <w:rsid w:val="007C0ED6"/>
    <w:rsid w:val="007C1ACD"/>
    <w:rsid w:val="007C1E5E"/>
    <w:rsid w:val="007C1E9D"/>
    <w:rsid w:val="007C3AE3"/>
    <w:rsid w:val="007C6C51"/>
    <w:rsid w:val="007D0000"/>
    <w:rsid w:val="007D2A02"/>
    <w:rsid w:val="007D39AD"/>
    <w:rsid w:val="007D5EA2"/>
    <w:rsid w:val="007D6144"/>
    <w:rsid w:val="007D617A"/>
    <w:rsid w:val="007D62A4"/>
    <w:rsid w:val="007D6CE5"/>
    <w:rsid w:val="007E0917"/>
    <w:rsid w:val="007E136B"/>
    <w:rsid w:val="007E1736"/>
    <w:rsid w:val="007E25DD"/>
    <w:rsid w:val="007E2887"/>
    <w:rsid w:val="007E3318"/>
    <w:rsid w:val="007E6EA1"/>
    <w:rsid w:val="007F0F16"/>
    <w:rsid w:val="007F0F63"/>
    <w:rsid w:val="007F2B1E"/>
    <w:rsid w:val="007F4590"/>
    <w:rsid w:val="007F62B4"/>
    <w:rsid w:val="007F7C05"/>
    <w:rsid w:val="007F7DF9"/>
    <w:rsid w:val="00800FD6"/>
    <w:rsid w:val="00801517"/>
    <w:rsid w:val="008019C0"/>
    <w:rsid w:val="008028AF"/>
    <w:rsid w:val="008028DE"/>
    <w:rsid w:val="00804966"/>
    <w:rsid w:val="0080510A"/>
    <w:rsid w:val="0080596A"/>
    <w:rsid w:val="00805CBF"/>
    <w:rsid w:val="00807195"/>
    <w:rsid w:val="00810AC4"/>
    <w:rsid w:val="0081218E"/>
    <w:rsid w:val="0081228B"/>
    <w:rsid w:val="00813492"/>
    <w:rsid w:val="00814DE2"/>
    <w:rsid w:val="00815599"/>
    <w:rsid w:val="00815D34"/>
    <w:rsid w:val="008177EE"/>
    <w:rsid w:val="00817895"/>
    <w:rsid w:val="00817AE8"/>
    <w:rsid w:val="00817DE8"/>
    <w:rsid w:val="008229F5"/>
    <w:rsid w:val="00824293"/>
    <w:rsid w:val="008259DE"/>
    <w:rsid w:val="0082699A"/>
    <w:rsid w:val="00827F2A"/>
    <w:rsid w:val="00832633"/>
    <w:rsid w:val="0083342C"/>
    <w:rsid w:val="00833869"/>
    <w:rsid w:val="00833CEB"/>
    <w:rsid w:val="0083662B"/>
    <w:rsid w:val="008372D2"/>
    <w:rsid w:val="008374D1"/>
    <w:rsid w:val="008377BC"/>
    <w:rsid w:val="00841179"/>
    <w:rsid w:val="00841353"/>
    <w:rsid w:val="00844C17"/>
    <w:rsid w:val="008450BB"/>
    <w:rsid w:val="00846017"/>
    <w:rsid w:val="008464F2"/>
    <w:rsid w:val="00847726"/>
    <w:rsid w:val="00851033"/>
    <w:rsid w:val="00851A55"/>
    <w:rsid w:val="00851CB1"/>
    <w:rsid w:val="00852511"/>
    <w:rsid w:val="0085252F"/>
    <w:rsid w:val="008530DF"/>
    <w:rsid w:val="00853FD6"/>
    <w:rsid w:val="00855F22"/>
    <w:rsid w:val="00855FD0"/>
    <w:rsid w:val="008564C4"/>
    <w:rsid w:val="0085658E"/>
    <w:rsid w:val="008568E6"/>
    <w:rsid w:val="00857408"/>
    <w:rsid w:val="008578A9"/>
    <w:rsid w:val="00860338"/>
    <w:rsid w:val="0086072A"/>
    <w:rsid w:val="0086088F"/>
    <w:rsid w:val="008614F1"/>
    <w:rsid w:val="008639B3"/>
    <w:rsid w:val="00863C1A"/>
    <w:rsid w:val="00863F9D"/>
    <w:rsid w:val="0086470F"/>
    <w:rsid w:val="00865882"/>
    <w:rsid w:val="00866CDD"/>
    <w:rsid w:val="0087082E"/>
    <w:rsid w:val="008712FE"/>
    <w:rsid w:val="0087142D"/>
    <w:rsid w:val="00872928"/>
    <w:rsid w:val="00872DA6"/>
    <w:rsid w:val="00873416"/>
    <w:rsid w:val="00873812"/>
    <w:rsid w:val="0087393A"/>
    <w:rsid w:val="00873956"/>
    <w:rsid w:val="0087538C"/>
    <w:rsid w:val="00875495"/>
    <w:rsid w:val="00875A71"/>
    <w:rsid w:val="00875CB0"/>
    <w:rsid w:val="008762E7"/>
    <w:rsid w:val="008770CC"/>
    <w:rsid w:val="00877800"/>
    <w:rsid w:val="00877C32"/>
    <w:rsid w:val="00880580"/>
    <w:rsid w:val="0088094B"/>
    <w:rsid w:val="00880E72"/>
    <w:rsid w:val="0088176E"/>
    <w:rsid w:val="008825EE"/>
    <w:rsid w:val="00882DE4"/>
    <w:rsid w:val="0088313E"/>
    <w:rsid w:val="008849B2"/>
    <w:rsid w:val="0088596E"/>
    <w:rsid w:val="00885D26"/>
    <w:rsid w:val="00886C54"/>
    <w:rsid w:val="008870ED"/>
    <w:rsid w:val="008877FC"/>
    <w:rsid w:val="00892132"/>
    <w:rsid w:val="008947FF"/>
    <w:rsid w:val="0089796A"/>
    <w:rsid w:val="0089799B"/>
    <w:rsid w:val="008979FA"/>
    <w:rsid w:val="008A2375"/>
    <w:rsid w:val="008A54B6"/>
    <w:rsid w:val="008A7DEB"/>
    <w:rsid w:val="008A7E55"/>
    <w:rsid w:val="008B00CA"/>
    <w:rsid w:val="008B1B65"/>
    <w:rsid w:val="008B2185"/>
    <w:rsid w:val="008B3182"/>
    <w:rsid w:val="008B3557"/>
    <w:rsid w:val="008B39E0"/>
    <w:rsid w:val="008B4302"/>
    <w:rsid w:val="008B605A"/>
    <w:rsid w:val="008B6086"/>
    <w:rsid w:val="008B760D"/>
    <w:rsid w:val="008C093B"/>
    <w:rsid w:val="008C0E76"/>
    <w:rsid w:val="008C2665"/>
    <w:rsid w:val="008C287D"/>
    <w:rsid w:val="008C6041"/>
    <w:rsid w:val="008C74E3"/>
    <w:rsid w:val="008D0936"/>
    <w:rsid w:val="008D403B"/>
    <w:rsid w:val="008D4707"/>
    <w:rsid w:val="008D6DD7"/>
    <w:rsid w:val="008D764F"/>
    <w:rsid w:val="008D76C5"/>
    <w:rsid w:val="008E0A04"/>
    <w:rsid w:val="008E0AFA"/>
    <w:rsid w:val="008E28BD"/>
    <w:rsid w:val="008E2C6D"/>
    <w:rsid w:val="008E4F56"/>
    <w:rsid w:val="008E6661"/>
    <w:rsid w:val="008E75D3"/>
    <w:rsid w:val="008F02E9"/>
    <w:rsid w:val="008F076A"/>
    <w:rsid w:val="008F0CE4"/>
    <w:rsid w:val="008F125E"/>
    <w:rsid w:val="008F1CC5"/>
    <w:rsid w:val="008F2444"/>
    <w:rsid w:val="008F2B54"/>
    <w:rsid w:val="008F2CC5"/>
    <w:rsid w:val="008F4C1E"/>
    <w:rsid w:val="008F4D2F"/>
    <w:rsid w:val="008F510A"/>
    <w:rsid w:val="008F55A2"/>
    <w:rsid w:val="00900235"/>
    <w:rsid w:val="00900D3C"/>
    <w:rsid w:val="00904FAA"/>
    <w:rsid w:val="00906292"/>
    <w:rsid w:val="0091352F"/>
    <w:rsid w:val="00914901"/>
    <w:rsid w:val="00914B5B"/>
    <w:rsid w:val="009152B8"/>
    <w:rsid w:val="00917162"/>
    <w:rsid w:val="009172B9"/>
    <w:rsid w:val="009178AA"/>
    <w:rsid w:val="00920430"/>
    <w:rsid w:val="00920544"/>
    <w:rsid w:val="00921C0C"/>
    <w:rsid w:val="00923001"/>
    <w:rsid w:val="0092358D"/>
    <w:rsid w:val="009238BF"/>
    <w:rsid w:val="009251CC"/>
    <w:rsid w:val="0092680D"/>
    <w:rsid w:val="0092714E"/>
    <w:rsid w:val="00927661"/>
    <w:rsid w:val="00931E24"/>
    <w:rsid w:val="009324F0"/>
    <w:rsid w:val="00933130"/>
    <w:rsid w:val="0093478F"/>
    <w:rsid w:val="00936826"/>
    <w:rsid w:val="00940B3D"/>
    <w:rsid w:val="00942002"/>
    <w:rsid w:val="00942359"/>
    <w:rsid w:val="0094623A"/>
    <w:rsid w:val="00946FC5"/>
    <w:rsid w:val="00947885"/>
    <w:rsid w:val="009504AB"/>
    <w:rsid w:val="00951212"/>
    <w:rsid w:val="00951818"/>
    <w:rsid w:val="00952168"/>
    <w:rsid w:val="009527FE"/>
    <w:rsid w:val="009529B2"/>
    <w:rsid w:val="009535A6"/>
    <w:rsid w:val="009538D0"/>
    <w:rsid w:val="0095421F"/>
    <w:rsid w:val="009555CA"/>
    <w:rsid w:val="00955D69"/>
    <w:rsid w:val="00957D2C"/>
    <w:rsid w:val="00960319"/>
    <w:rsid w:val="00960539"/>
    <w:rsid w:val="009605B1"/>
    <w:rsid w:val="00960CBC"/>
    <w:rsid w:val="00962591"/>
    <w:rsid w:val="00962AD4"/>
    <w:rsid w:val="00963A06"/>
    <w:rsid w:val="00965192"/>
    <w:rsid w:val="00967DD4"/>
    <w:rsid w:val="009700B1"/>
    <w:rsid w:val="00970ECF"/>
    <w:rsid w:val="00971261"/>
    <w:rsid w:val="00971FD4"/>
    <w:rsid w:val="009722CB"/>
    <w:rsid w:val="009739A0"/>
    <w:rsid w:val="00974EE4"/>
    <w:rsid w:val="00974F84"/>
    <w:rsid w:val="00975D5B"/>
    <w:rsid w:val="00976216"/>
    <w:rsid w:val="009767C7"/>
    <w:rsid w:val="00977D30"/>
    <w:rsid w:val="00980E69"/>
    <w:rsid w:val="0098334C"/>
    <w:rsid w:val="00984643"/>
    <w:rsid w:val="0098576C"/>
    <w:rsid w:val="0098579A"/>
    <w:rsid w:val="00991475"/>
    <w:rsid w:val="009918DD"/>
    <w:rsid w:val="0099195A"/>
    <w:rsid w:val="00991BD2"/>
    <w:rsid w:val="00992407"/>
    <w:rsid w:val="00992A11"/>
    <w:rsid w:val="00994681"/>
    <w:rsid w:val="0099486A"/>
    <w:rsid w:val="00994EFB"/>
    <w:rsid w:val="009954D8"/>
    <w:rsid w:val="00997239"/>
    <w:rsid w:val="009A0B33"/>
    <w:rsid w:val="009A0E26"/>
    <w:rsid w:val="009A16EC"/>
    <w:rsid w:val="009A22C2"/>
    <w:rsid w:val="009A743E"/>
    <w:rsid w:val="009A79B8"/>
    <w:rsid w:val="009A7CF6"/>
    <w:rsid w:val="009A7F82"/>
    <w:rsid w:val="009B10F6"/>
    <w:rsid w:val="009B11ED"/>
    <w:rsid w:val="009B1B55"/>
    <w:rsid w:val="009B29B7"/>
    <w:rsid w:val="009B2D03"/>
    <w:rsid w:val="009B3199"/>
    <w:rsid w:val="009B3B37"/>
    <w:rsid w:val="009B63F4"/>
    <w:rsid w:val="009B7D1F"/>
    <w:rsid w:val="009C088E"/>
    <w:rsid w:val="009C17DC"/>
    <w:rsid w:val="009C292D"/>
    <w:rsid w:val="009C37AB"/>
    <w:rsid w:val="009C4C7A"/>
    <w:rsid w:val="009C4D35"/>
    <w:rsid w:val="009C5E51"/>
    <w:rsid w:val="009C6158"/>
    <w:rsid w:val="009C75A2"/>
    <w:rsid w:val="009C7B68"/>
    <w:rsid w:val="009D1522"/>
    <w:rsid w:val="009D51F0"/>
    <w:rsid w:val="009D61DC"/>
    <w:rsid w:val="009D7252"/>
    <w:rsid w:val="009D7652"/>
    <w:rsid w:val="009E1FF6"/>
    <w:rsid w:val="009E3CAF"/>
    <w:rsid w:val="009E3E5E"/>
    <w:rsid w:val="009E3F48"/>
    <w:rsid w:val="009E53A5"/>
    <w:rsid w:val="009E5EB4"/>
    <w:rsid w:val="009E7B37"/>
    <w:rsid w:val="009E7BCC"/>
    <w:rsid w:val="009F1F02"/>
    <w:rsid w:val="009F4451"/>
    <w:rsid w:val="009F563C"/>
    <w:rsid w:val="009F610E"/>
    <w:rsid w:val="00A00DA9"/>
    <w:rsid w:val="00A00F7E"/>
    <w:rsid w:val="00A044D6"/>
    <w:rsid w:val="00A04ADB"/>
    <w:rsid w:val="00A04D8F"/>
    <w:rsid w:val="00A04F89"/>
    <w:rsid w:val="00A05F11"/>
    <w:rsid w:val="00A11E0F"/>
    <w:rsid w:val="00A12378"/>
    <w:rsid w:val="00A141E9"/>
    <w:rsid w:val="00A148CB"/>
    <w:rsid w:val="00A15B6B"/>
    <w:rsid w:val="00A15D78"/>
    <w:rsid w:val="00A15EBE"/>
    <w:rsid w:val="00A17F5B"/>
    <w:rsid w:val="00A216E5"/>
    <w:rsid w:val="00A24617"/>
    <w:rsid w:val="00A25165"/>
    <w:rsid w:val="00A25F5B"/>
    <w:rsid w:val="00A26744"/>
    <w:rsid w:val="00A26CB6"/>
    <w:rsid w:val="00A27073"/>
    <w:rsid w:val="00A2751B"/>
    <w:rsid w:val="00A30A00"/>
    <w:rsid w:val="00A316D9"/>
    <w:rsid w:val="00A32F82"/>
    <w:rsid w:val="00A32F8B"/>
    <w:rsid w:val="00A34F9F"/>
    <w:rsid w:val="00A36481"/>
    <w:rsid w:val="00A36675"/>
    <w:rsid w:val="00A3756F"/>
    <w:rsid w:val="00A37BF5"/>
    <w:rsid w:val="00A42D6F"/>
    <w:rsid w:val="00A43870"/>
    <w:rsid w:val="00A4474B"/>
    <w:rsid w:val="00A45A62"/>
    <w:rsid w:val="00A462DC"/>
    <w:rsid w:val="00A4657C"/>
    <w:rsid w:val="00A51DB8"/>
    <w:rsid w:val="00A52E0B"/>
    <w:rsid w:val="00A52FA1"/>
    <w:rsid w:val="00A540B0"/>
    <w:rsid w:val="00A54AC5"/>
    <w:rsid w:val="00A54C2A"/>
    <w:rsid w:val="00A54D12"/>
    <w:rsid w:val="00A55DC3"/>
    <w:rsid w:val="00A56D41"/>
    <w:rsid w:val="00A56DEC"/>
    <w:rsid w:val="00A60529"/>
    <w:rsid w:val="00A60899"/>
    <w:rsid w:val="00A608D3"/>
    <w:rsid w:val="00A60F91"/>
    <w:rsid w:val="00A61353"/>
    <w:rsid w:val="00A61481"/>
    <w:rsid w:val="00A616F1"/>
    <w:rsid w:val="00A61A48"/>
    <w:rsid w:val="00A629D6"/>
    <w:rsid w:val="00A63035"/>
    <w:rsid w:val="00A637C9"/>
    <w:rsid w:val="00A66DB1"/>
    <w:rsid w:val="00A67A92"/>
    <w:rsid w:val="00A70DC6"/>
    <w:rsid w:val="00A7315C"/>
    <w:rsid w:val="00A7420B"/>
    <w:rsid w:val="00A743B1"/>
    <w:rsid w:val="00A74FDC"/>
    <w:rsid w:val="00A77192"/>
    <w:rsid w:val="00A8089F"/>
    <w:rsid w:val="00A811D8"/>
    <w:rsid w:val="00A81C0A"/>
    <w:rsid w:val="00A820BE"/>
    <w:rsid w:val="00A842D5"/>
    <w:rsid w:val="00A87870"/>
    <w:rsid w:val="00A903F3"/>
    <w:rsid w:val="00A90F18"/>
    <w:rsid w:val="00A90FFB"/>
    <w:rsid w:val="00A9149D"/>
    <w:rsid w:val="00A91A70"/>
    <w:rsid w:val="00A92FCD"/>
    <w:rsid w:val="00A9302F"/>
    <w:rsid w:val="00A957F6"/>
    <w:rsid w:val="00A959CF"/>
    <w:rsid w:val="00A9635E"/>
    <w:rsid w:val="00A97316"/>
    <w:rsid w:val="00A97BD8"/>
    <w:rsid w:val="00AA010B"/>
    <w:rsid w:val="00AA0D54"/>
    <w:rsid w:val="00AA1B85"/>
    <w:rsid w:val="00AA3290"/>
    <w:rsid w:val="00AA46F0"/>
    <w:rsid w:val="00AA6481"/>
    <w:rsid w:val="00AA7270"/>
    <w:rsid w:val="00AB08B8"/>
    <w:rsid w:val="00AB0C08"/>
    <w:rsid w:val="00AB12AC"/>
    <w:rsid w:val="00AB1CB6"/>
    <w:rsid w:val="00AB1D9A"/>
    <w:rsid w:val="00AB4A1F"/>
    <w:rsid w:val="00AB5C61"/>
    <w:rsid w:val="00AB7EAC"/>
    <w:rsid w:val="00AC02F8"/>
    <w:rsid w:val="00AC22DB"/>
    <w:rsid w:val="00AC304D"/>
    <w:rsid w:val="00AC3204"/>
    <w:rsid w:val="00AC3540"/>
    <w:rsid w:val="00AC3D15"/>
    <w:rsid w:val="00AC5055"/>
    <w:rsid w:val="00AC5315"/>
    <w:rsid w:val="00AC6553"/>
    <w:rsid w:val="00AC7623"/>
    <w:rsid w:val="00AC7D60"/>
    <w:rsid w:val="00AD0A8D"/>
    <w:rsid w:val="00AD0C22"/>
    <w:rsid w:val="00AD1AD7"/>
    <w:rsid w:val="00AD1AE2"/>
    <w:rsid w:val="00AD3290"/>
    <w:rsid w:val="00AD442C"/>
    <w:rsid w:val="00AD44FE"/>
    <w:rsid w:val="00AD5A37"/>
    <w:rsid w:val="00AD6B50"/>
    <w:rsid w:val="00AE05A4"/>
    <w:rsid w:val="00AE177E"/>
    <w:rsid w:val="00AE25FC"/>
    <w:rsid w:val="00AE380A"/>
    <w:rsid w:val="00AE400C"/>
    <w:rsid w:val="00AE49F1"/>
    <w:rsid w:val="00AE4A1C"/>
    <w:rsid w:val="00AE4B7A"/>
    <w:rsid w:val="00AE5532"/>
    <w:rsid w:val="00AE58C4"/>
    <w:rsid w:val="00AE74D8"/>
    <w:rsid w:val="00AF0B6F"/>
    <w:rsid w:val="00AF0F75"/>
    <w:rsid w:val="00AF1D69"/>
    <w:rsid w:val="00AF23A8"/>
    <w:rsid w:val="00AF30D0"/>
    <w:rsid w:val="00AF41FA"/>
    <w:rsid w:val="00AF4720"/>
    <w:rsid w:val="00AF4796"/>
    <w:rsid w:val="00AF71EB"/>
    <w:rsid w:val="00AF73E4"/>
    <w:rsid w:val="00B00988"/>
    <w:rsid w:val="00B01405"/>
    <w:rsid w:val="00B027BA"/>
    <w:rsid w:val="00B052E8"/>
    <w:rsid w:val="00B05CCA"/>
    <w:rsid w:val="00B05ECC"/>
    <w:rsid w:val="00B06DC3"/>
    <w:rsid w:val="00B07F73"/>
    <w:rsid w:val="00B100C9"/>
    <w:rsid w:val="00B11099"/>
    <w:rsid w:val="00B1114C"/>
    <w:rsid w:val="00B116B7"/>
    <w:rsid w:val="00B14271"/>
    <w:rsid w:val="00B16270"/>
    <w:rsid w:val="00B20182"/>
    <w:rsid w:val="00B20E4B"/>
    <w:rsid w:val="00B22578"/>
    <w:rsid w:val="00B2292F"/>
    <w:rsid w:val="00B23C16"/>
    <w:rsid w:val="00B23C52"/>
    <w:rsid w:val="00B24E86"/>
    <w:rsid w:val="00B259E1"/>
    <w:rsid w:val="00B2685D"/>
    <w:rsid w:val="00B26D1E"/>
    <w:rsid w:val="00B26EE8"/>
    <w:rsid w:val="00B30351"/>
    <w:rsid w:val="00B312F1"/>
    <w:rsid w:val="00B33837"/>
    <w:rsid w:val="00B33C2A"/>
    <w:rsid w:val="00B349F7"/>
    <w:rsid w:val="00B34A14"/>
    <w:rsid w:val="00B35967"/>
    <w:rsid w:val="00B35CBA"/>
    <w:rsid w:val="00B363D9"/>
    <w:rsid w:val="00B416D1"/>
    <w:rsid w:val="00B422EC"/>
    <w:rsid w:val="00B44875"/>
    <w:rsid w:val="00B44C07"/>
    <w:rsid w:val="00B46320"/>
    <w:rsid w:val="00B4657A"/>
    <w:rsid w:val="00B47F0A"/>
    <w:rsid w:val="00B50B6B"/>
    <w:rsid w:val="00B51D75"/>
    <w:rsid w:val="00B54329"/>
    <w:rsid w:val="00B54885"/>
    <w:rsid w:val="00B54BFF"/>
    <w:rsid w:val="00B554C9"/>
    <w:rsid w:val="00B56AD9"/>
    <w:rsid w:val="00B5714F"/>
    <w:rsid w:val="00B57158"/>
    <w:rsid w:val="00B5778D"/>
    <w:rsid w:val="00B60827"/>
    <w:rsid w:val="00B61117"/>
    <w:rsid w:val="00B614C0"/>
    <w:rsid w:val="00B61EBB"/>
    <w:rsid w:val="00B634AB"/>
    <w:rsid w:val="00B63624"/>
    <w:rsid w:val="00B671E3"/>
    <w:rsid w:val="00B7037B"/>
    <w:rsid w:val="00B719F6"/>
    <w:rsid w:val="00B726D4"/>
    <w:rsid w:val="00B72969"/>
    <w:rsid w:val="00B73A2D"/>
    <w:rsid w:val="00B758FD"/>
    <w:rsid w:val="00B76807"/>
    <w:rsid w:val="00B769E6"/>
    <w:rsid w:val="00B77D24"/>
    <w:rsid w:val="00B8214F"/>
    <w:rsid w:val="00B82B43"/>
    <w:rsid w:val="00B82B48"/>
    <w:rsid w:val="00B84956"/>
    <w:rsid w:val="00B84F2C"/>
    <w:rsid w:val="00B85133"/>
    <w:rsid w:val="00B8643A"/>
    <w:rsid w:val="00B86A4F"/>
    <w:rsid w:val="00B873D9"/>
    <w:rsid w:val="00B91786"/>
    <w:rsid w:val="00B93035"/>
    <w:rsid w:val="00B93D17"/>
    <w:rsid w:val="00B940EB"/>
    <w:rsid w:val="00B9431C"/>
    <w:rsid w:val="00B95798"/>
    <w:rsid w:val="00B958E8"/>
    <w:rsid w:val="00B97E4A"/>
    <w:rsid w:val="00BA09B2"/>
    <w:rsid w:val="00BA0F35"/>
    <w:rsid w:val="00BA397D"/>
    <w:rsid w:val="00BA465D"/>
    <w:rsid w:val="00BA52C0"/>
    <w:rsid w:val="00BA5B46"/>
    <w:rsid w:val="00BA621C"/>
    <w:rsid w:val="00BA63D4"/>
    <w:rsid w:val="00BB2D73"/>
    <w:rsid w:val="00BB400D"/>
    <w:rsid w:val="00BB45BA"/>
    <w:rsid w:val="00BB48B2"/>
    <w:rsid w:val="00BB4A3A"/>
    <w:rsid w:val="00BB5D0B"/>
    <w:rsid w:val="00BB629C"/>
    <w:rsid w:val="00BC0995"/>
    <w:rsid w:val="00BC1761"/>
    <w:rsid w:val="00BC19ED"/>
    <w:rsid w:val="00BC25A8"/>
    <w:rsid w:val="00BC513A"/>
    <w:rsid w:val="00BC585F"/>
    <w:rsid w:val="00BC6C56"/>
    <w:rsid w:val="00BC6DE2"/>
    <w:rsid w:val="00BC6E62"/>
    <w:rsid w:val="00BC782A"/>
    <w:rsid w:val="00BD010D"/>
    <w:rsid w:val="00BD013A"/>
    <w:rsid w:val="00BD2510"/>
    <w:rsid w:val="00BD3A53"/>
    <w:rsid w:val="00BD4640"/>
    <w:rsid w:val="00BD4ECD"/>
    <w:rsid w:val="00BD5A19"/>
    <w:rsid w:val="00BD6539"/>
    <w:rsid w:val="00BD656A"/>
    <w:rsid w:val="00BD6D1B"/>
    <w:rsid w:val="00BE2403"/>
    <w:rsid w:val="00BE2D0A"/>
    <w:rsid w:val="00BE47D4"/>
    <w:rsid w:val="00BE536C"/>
    <w:rsid w:val="00BE66DB"/>
    <w:rsid w:val="00BE6CB6"/>
    <w:rsid w:val="00BE793A"/>
    <w:rsid w:val="00BE7A0B"/>
    <w:rsid w:val="00BF114D"/>
    <w:rsid w:val="00BF1B93"/>
    <w:rsid w:val="00BF2B82"/>
    <w:rsid w:val="00BF2CEB"/>
    <w:rsid w:val="00BF432A"/>
    <w:rsid w:val="00BF66DA"/>
    <w:rsid w:val="00BF6E82"/>
    <w:rsid w:val="00BF7E0D"/>
    <w:rsid w:val="00C016CC"/>
    <w:rsid w:val="00C0361D"/>
    <w:rsid w:val="00C041A4"/>
    <w:rsid w:val="00C060C7"/>
    <w:rsid w:val="00C06DCC"/>
    <w:rsid w:val="00C07F92"/>
    <w:rsid w:val="00C10EA4"/>
    <w:rsid w:val="00C111D8"/>
    <w:rsid w:val="00C11D25"/>
    <w:rsid w:val="00C13217"/>
    <w:rsid w:val="00C155FD"/>
    <w:rsid w:val="00C15BEC"/>
    <w:rsid w:val="00C15DB5"/>
    <w:rsid w:val="00C208E2"/>
    <w:rsid w:val="00C213CF"/>
    <w:rsid w:val="00C21874"/>
    <w:rsid w:val="00C21897"/>
    <w:rsid w:val="00C2288E"/>
    <w:rsid w:val="00C22B54"/>
    <w:rsid w:val="00C22CEA"/>
    <w:rsid w:val="00C22F1F"/>
    <w:rsid w:val="00C24279"/>
    <w:rsid w:val="00C249E3"/>
    <w:rsid w:val="00C24C17"/>
    <w:rsid w:val="00C27C4A"/>
    <w:rsid w:val="00C31595"/>
    <w:rsid w:val="00C31B25"/>
    <w:rsid w:val="00C3309D"/>
    <w:rsid w:val="00C3411D"/>
    <w:rsid w:val="00C34357"/>
    <w:rsid w:val="00C34829"/>
    <w:rsid w:val="00C363B8"/>
    <w:rsid w:val="00C3758F"/>
    <w:rsid w:val="00C40B88"/>
    <w:rsid w:val="00C43DDD"/>
    <w:rsid w:val="00C44489"/>
    <w:rsid w:val="00C44FC2"/>
    <w:rsid w:val="00C47D87"/>
    <w:rsid w:val="00C47FCD"/>
    <w:rsid w:val="00C50FA6"/>
    <w:rsid w:val="00C51DE1"/>
    <w:rsid w:val="00C53430"/>
    <w:rsid w:val="00C5376E"/>
    <w:rsid w:val="00C549AA"/>
    <w:rsid w:val="00C554C1"/>
    <w:rsid w:val="00C558F2"/>
    <w:rsid w:val="00C55AEE"/>
    <w:rsid w:val="00C5701B"/>
    <w:rsid w:val="00C6069A"/>
    <w:rsid w:val="00C61501"/>
    <w:rsid w:val="00C61BDC"/>
    <w:rsid w:val="00C64D40"/>
    <w:rsid w:val="00C65957"/>
    <w:rsid w:val="00C66065"/>
    <w:rsid w:val="00C66218"/>
    <w:rsid w:val="00C677C9"/>
    <w:rsid w:val="00C70B76"/>
    <w:rsid w:val="00C70DBC"/>
    <w:rsid w:val="00C70FB7"/>
    <w:rsid w:val="00C71E80"/>
    <w:rsid w:val="00C75DCE"/>
    <w:rsid w:val="00C76008"/>
    <w:rsid w:val="00C7750A"/>
    <w:rsid w:val="00C808A6"/>
    <w:rsid w:val="00C83BA4"/>
    <w:rsid w:val="00C84AC6"/>
    <w:rsid w:val="00C855DB"/>
    <w:rsid w:val="00C855F3"/>
    <w:rsid w:val="00C86270"/>
    <w:rsid w:val="00C87338"/>
    <w:rsid w:val="00C90C20"/>
    <w:rsid w:val="00C9109C"/>
    <w:rsid w:val="00C9362C"/>
    <w:rsid w:val="00C948CF"/>
    <w:rsid w:val="00C95798"/>
    <w:rsid w:val="00C95A74"/>
    <w:rsid w:val="00C962BE"/>
    <w:rsid w:val="00C96FD6"/>
    <w:rsid w:val="00C97091"/>
    <w:rsid w:val="00C97260"/>
    <w:rsid w:val="00C97391"/>
    <w:rsid w:val="00CA14A5"/>
    <w:rsid w:val="00CA14DA"/>
    <w:rsid w:val="00CA1AB8"/>
    <w:rsid w:val="00CA2001"/>
    <w:rsid w:val="00CA2B10"/>
    <w:rsid w:val="00CA3F11"/>
    <w:rsid w:val="00CA5256"/>
    <w:rsid w:val="00CA5564"/>
    <w:rsid w:val="00CB078E"/>
    <w:rsid w:val="00CB3782"/>
    <w:rsid w:val="00CB4D20"/>
    <w:rsid w:val="00CB5B6C"/>
    <w:rsid w:val="00CB60EF"/>
    <w:rsid w:val="00CB74E3"/>
    <w:rsid w:val="00CC052E"/>
    <w:rsid w:val="00CC06E5"/>
    <w:rsid w:val="00CC0B14"/>
    <w:rsid w:val="00CC5B9C"/>
    <w:rsid w:val="00CC7C09"/>
    <w:rsid w:val="00CD02DF"/>
    <w:rsid w:val="00CD10A5"/>
    <w:rsid w:val="00CD16BE"/>
    <w:rsid w:val="00CD179F"/>
    <w:rsid w:val="00CD1F32"/>
    <w:rsid w:val="00CD223C"/>
    <w:rsid w:val="00CD2268"/>
    <w:rsid w:val="00CD4616"/>
    <w:rsid w:val="00CD50DC"/>
    <w:rsid w:val="00CD56AF"/>
    <w:rsid w:val="00CD5FFA"/>
    <w:rsid w:val="00CD608B"/>
    <w:rsid w:val="00CD61BB"/>
    <w:rsid w:val="00CE32F0"/>
    <w:rsid w:val="00CE33D5"/>
    <w:rsid w:val="00CE4712"/>
    <w:rsid w:val="00CE6073"/>
    <w:rsid w:val="00CE761C"/>
    <w:rsid w:val="00CF2B65"/>
    <w:rsid w:val="00CF5D37"/>
    <w:rsid w:val="00CF6353"/>
    <w:rsid w:val="00CF6F33"/>
    <w:rsid w:val="00D02248"/>
    <w:rsid w:val="00D0406B"/>
    <w:rsid w:val="00D04429"/>
    <w:rsid w:val="00D04B47"/>
    <w:rsid w:val="00D04E37"/>
    <w:rsid w:val="00D063B8"/>
    <w:rsid w:val="00D06825"/>
    <w:rsid w:val="00D0702E"/>
    <w:rsid w:val="00D07467"/>
    <w:rsid w:val="00D076E6"/>
    <w:rsid w:val="00D1044F"/>
    <w:rsid w:val="00D106BD"/>
    <w:rsid w:val="00D14E64"/>
    <w:rsid w:val="00D17185"/>
    <w:rsid w:val="00D17852"/>
    <w:rsid w:val="00D17D02"/>
    <w:rsid w:val="00D17E3B"/>
    <w:rsid w:val="00D22A9A"/>
    <w:rsid w:val="00D2306F"/>
    <w:rsid w:val="00D23C09"/>
    <w:rsid w:val="00D23CED"/>
    <w:rsid w:val="00D241D1"/>
    <w:rsid w:val="00D24BD2"/>
    <w:rsid w:val="00D24F2C"/>
    <w:rsid w:val="00D254F7"/>
    <w:rsid w:val="00D2573D"/>
    <w:rsid w:val="00D260A2"/>
    <w:rsid w:val="00D27EC0"/>
    <w:rsid w:val="00D30CC6"/>
    <w:rsid w:val="00D30DA4"/>
    <w:rsid w:val="00D30F2B"/>
    <w:rsid w:val="00D31722"/>
    <w:rsid w:val="00D3260C"/>
    <w:rsid w:val="00D3391A"/>
    <w:rsid w:val="00D33DB5"/>
    <w:rsid w:val="00D34995"/>
    <w:rsid w:val="00D35790"/>
    <w:rsid w:val="00D359FC"/>
    <w:rsid w:val="00D41276"/>
    <w:rsid w:val="00D41971"/>
    <w:rsid w:val="00D442D5"/>
    <w:rsid w:val="00D45043"/>
    <w:rsid w:val="00D46CCF"/>
    <w:rsid w:val="00D51576"/>
    <w:rsid w:val="00D519AF"/>
    <w:rsid w:val="00D532A9"/>
    <w:rsid w:val="00D5437A"/>
    <w:rsid w:val="00D5611E"/>
    <w:rsid w:val="00D5653B"/>
    <w:rsid w:val="00D56C30"/>
    <w:rsid w:val="00D5726D"/>
    <w:rsid w:val="00D572AC"/>
    <w:rsid w:val="00D6071F"/>
    <w:rsid w:val="00D6087E"/>
    <w:rsid w:val="00D61D6E"/>
    <w:rsid w:val="00D62580"/>
    <w:rsid w:val="00D62EF1"/>
    <w:rsid w:val="00D6309D"/>
    <w:rsid w:val="00D644CA"/>
    <w:rsid w:val="00D64961"/>
    <w:rsid w:val="00D64EA0"/>
    <w:rsid w:val="00D66FC2"/>
    <w:rsid w:val="00D7044E"/>
    <w:rsid w:val="00D704A8"/>
    <w:rsid w:val="00D76C7E"/>
    <w:rsid w:val="00D771DE"/>
    <w:rsid w:val="00D7776D"/>
    <w:rsid w:val="00D77ADC"/>
    <w:rsid w:val="00D81AEF"/>
    <w:rsid w:val="00D82A42"/>
    <w:rsid w:val="00D834F1"/>
    <w:rsid w:val="00D83609"/>
    <w:rsid w:val="00D83AA6"/>
    <w:rsid w:val="00D85C0D"/>
    <w:rsid w:val="00D866CB"/>
    <w:rsid w:val="00D86909"/>
    <w:rsid w:val="00D87A9A"/>
    <w:rsid w:val="00D87E39"/>
    <w:rsid w:val="00D90625"/>
    <w:rsid w:val="00D909F8"/>
    <w:rsid w:val="00D9152C"/>
    <w:rsid w:val="00D92179"/>
    <w:rsid w:val="00D922C6"/>
    <w:rsid w:val="00D9293F"/>
    <w:rsid w:val="00D92C6A"/>
    <w:rsid w:val="00D92DE7"/>
    <w:rsid w:val="00D93598"/>
    <w:rsid w:val="00D93B82"/>
    <w:rsid w:val="00D93FDD"/>
    <w:rsid w:val="00D94253"/>
    <w:rsid w:val="00D942F8"/>
    <w:rsid w:val="00D96FA9"/>
    <w:rsid w:val="00D97A5B"/>
    <w:rsid w:val="00D97AF7"/>
    <w:rsid w:val="00D97D9B"/>
    <w:rsid w:val="00DA1655"/>
    <w:rsid w:val="00DA1E18"/>
    <w:rsid w:val="00DA2009"/>
    <w:rsid w:val="00DA3F5E"/>
    <w:rsid w:val="00DA585A"/>
    <w:rsid w:val="00DA6DF7"/>
    <w:rsid w:val="00DA7741"/>
    <w:rsid w:val="00DA7769"/>
    <w:rsid w:val="00DB01C3"/>
    <w:rsid w:val="00DB05B1"/>
    <w:rsid w:val="00DB2594"/>
    <w:rsid w:val="00DB2823"/>
    <w:rsid w:val="00DB2D74"/>
    <w:rsid w:val="00DB3786"/>
    <w:rsid w:val="00DB59E8"/>
    <w:rsid w:val="00DB5A79"/>
    <w:rsid w:val="00DB638B"/>
    <w:rsid w:val="00DC2465"/>
    <w:rsid w:val="00DC34C4"/>
    <w:rsid w:val="00DC4BCA"/>
    <w:rsid w:val="00DC5E2C"/>
    <w:rsid w:val="00DC7D48"/>
    <w:rsid w:val="00DD0253"/>
    <w:rsid w:val="00DD145A"/>
    <w:rsid w:val="00DD182E"/>
    <w:rsid w:val="00DD512E"/>
    <w:rsid w:val="00DD5EC8"/>
    <w:rsid w:val="00DD5FF5"/>
    <w:rsid w:val="00DD61D4"/>
    <w:rsid w:val="00DD7BEC"/>
    <w:rsid w:val="00DE083E"/>
    <w:rsid w:val="00DE0C22"/>
    <w:rsid w:val="00DE1177"/>
    <w:rsid w:val="00DE2CEA"/>
    <w:rsid w:val="00DE3CFE"/>
    <w:rsid w:val="00DE4DB3"/>
    <w:rsid w:val="00DE4F86"/>
    <w:rsid w:val="00DE5576"/>
    <w:rsid w:val="00DE567C"/>
    <w:rsid w:val="00DE6154"/>
    <w:rsid w:val="00DE634D"/>
    <w:rsid w:val="00DE6A3C"/>
    <w:rsid w:val="00DE74F4"/>
    <w:rsid w:val="00DE7C8B"/>
    <w:rsid w:val="00DE7F97"/>
    <w:rsid w:val="00DF0AAF"/>
    <w:rsid w:val="00DF1010"/>
    <w:rsid w:val="00DF2244"/>
    <w:rsid w:val="00DF334D"/>
    <w:rsid w:val="00DF53D9"/>
    <w:rsid w:val="00DF5AEA"/>
    <w:rsid w:val="00DF5D49"/>
    <w:rsid w:val="00DF63F6"/>
    <w:rsid w:val="00DF7992"/>
    <w:rsid w:val="00DF7BD0"/>
    <w:rsid w:val="00E00C8E"/>
    <w:rsid w:val="00E0219D"/>
    <w:rsid w:val="00E0276A"/>
    <w:rsid w:val="00E0374B"/>
    <w:rsid w:val="00E0392F"/>
    <w:rsid w:val="00E0632F"/>
    <w:rsid w:val="00E06C36"/>
    <w:rsid w:val="00E071A9"/>
    <w:rsid w:val="00E07D26"/>
    <w:rsid w:val="00E10047"/>
    <w:rsid w:val="00E10B28"/>
    <w:rsid w:val="00E117FD"/>
    <w:rsid w:val="00E13747"/>
    <w:rsid w:val="00E14758"/>
    <w:rsid w:val="00E16BDE"/>
    <w:rsid w:val="00E21088"/>
    <w:rsid w:val="00E21F5D"/>
    <w:rsid w:val="00E22B1C"/>
    <w:rsid w:val="00E23C5E"/>
    <w:rsid w:val="00E23E29"/>
    <w:rsid w:val="00E24632"/>
    <w:rsid w:val="00E24A05"/>
    <w:rsid w:val="00E25155"/>
    <w:rsid w:val="00E25AEA"/>
    <w:rsid w:val="00E27C2C"/>
    <w:rsid w:val="00E30D26"/>
    <w:rsid w:val="00E30DEF"/>
    <w:rsid w:val="00E30ED2"/>
    <w:rsid w:val="00E31276"/>
    <w:rsid w:val="00E3132A"/>
    <w:rsid w:val="00E3155D"/>
    <w:rsid w:val="00E32102"/>
    <w:rsid w:val="00E34666"/>
    <w:rsid w:val="00E349A2"/>
    <w:rsid w:val="00E36A66"/>
    <w:rsid w:val="00E37F70"/>
    <w:rsid w:val="00E41377"/>
    <w:rsid w:val="00E41985"/>
    <w:rsid w:val="00E42B89"/>
    <w:rsid w:val="00E430B8"/>
    <w:rsid w:val="00E446C1"/>
    <w:rsid w:val="00E46BCD"/>
    <w:rsid w:val="00E51CCC"/>
    <w:rsid w:val="00E52079"/>
    <w:rsid w:val="00E52FC7"/>
    <w:rsid w:val="00E545D7"/>
    <w:rsid w:val="00E547FE"/>
    <w:rsid w:val="00E54960"/>
    <w:rsid w:val="00E55447"/>
    <w:rsid w:val="00E55927"/>
    <w:rsid w:val="00E5669C"/>
    <w:rsid w:val="00E570D4"/>
    <w:rsid w:val="00E57483"/>
    <w:rsid w:val="00E60ECA"/>
    <w:rsid w:val="00E613AB"/>
    <w:rsid w:val="00E637B6"/>
    <w:rsid w:val="00E6487C"/>
    <w:rsid w:val="00E654A9"/>
    <w:rsid w:val="00E658DC"/>
    <w:rsid w:val="00E663B6"/>
    <w:rsid w:val="00E66B13"/>
    <w:rsid w:val="00E66BBE"/>
    <w:rsid w:val="00E6780D"/>
    <w:rsid w:val="00E71DFE"/>
    <w:rsid w:val="00E728D3"/>
    <w:rsid w:val="00E72BDE"/>
    <w:rsid w:val="00E73083"/>
    <w:rsid w:val="00E758B9"/>
    <w:rsid w:val="00E76025"/>
    <w:rsid w:val="00E76B45"/>
    <w:rsid w:val="00E77C00"/>
    <w:rsid w:val="00E810D3"/>
    <w:rsid w:val="00E812A3"/>
    <w:rsid w:val="00E82FE5"/>
    <w:rsid w:val="00E83724"/>
    <w:rsid w:val="00E83A6D"/>
    <w:rsid w:val="00E84236"/>
    <w:rsid w:val="00E84C02"/>
    <w:rsid w:val="00E85569"/>
    <w:rsid w:val="00E856AF"/>
    <w:rsid w:val="00E859D9"/>
    <w:rsid w:val="00E8607C"/>
    <w:rsid w:val="00E86B83"/>
    <w:rsid w:val="00E86D6E"/>
    <w:rsid w:val="00E878FB"/>
    <w:rsid w:val="00E87976"/>
    <w:rsid w:val="00E87C64"/>
    <w:rsid w:val="00E912E1"/>
    <w:rsid w:val="00E919C3"/>
    <w:rsid w:val="00E92278"/>
    <w:rsid w:val="00E93A01"/>
    <w:rsid w:val="00E93F8E"/>
    <w:rsid w:val="00E93FF8"/>
    <w:rsid w:val="00E948D8"/>
    <w:rsid w:val="00E94EB6"/>
    <w:rsid w:val="00E94F16"/>
    <w:rsid w:val="00E950CA"/>
    <w:rsid w:val="00E95CA8"/>
    <w:rsid w:val="00E96643"/>
    <w:rsid w:val="00E96CE0"/>
    <w:rsid w:val="00E96EAF"/>
    <w:rsid w:val="00E97448"/>
    <w:rsid w:val="00EA044C"/>
    <w:rsid w:val="00EA1752"/>
    <w:rsid w:val="00EA1911"/>
    <w:rsid w:val="00EA1CF4"/>
    <w:rsid w:val="00EA1D90"/>
    <w:rsid w:val="00EA371E"/>
    <w:rsid w:val="00EA539B"/>
    <w:rsid w:val="00EA5996"/>
    <w:rsid w:val="00EA5A89"/>
    <w:rsid w:val="00EA5BDB"/>
    <w:rsid w:val="00EA63FA"/>
    <w:rsid w:val="00EA7720"/>
    <w:rsid w:val="00EB0A73"/>
    <w:rsid w:val="00EB0B55"/>
    <w:rsid w:val="00EB254F"/>
    <w:rsid w:val="00EB3A98"/>
    <w:rsid w:val="00EB46D9"/>
    <w:rsid w:val="00EB6EF6"/>
    <w:rsid w:val="00EC0199"/>
    <w:rsid w:val="00EC0E64"/>
    <w:rsid w:val="00EC142D"/>
    <w:rsid w:val="00EC1E16"/>
    <w:rsid w:val="00EC2DD1"/>
    <w:rsid w:val="00EC4A19"/>
    <w:rsid w:val="00EC4BA5"/>
    <w:rsid w:val="00EC52DA"/>
    <w:rsid w:val="00EC6F28"/>
    <w:rsid w:val="00EC7220"/>
    <w:rsid w:val="00ED0024"/>
    <w:rsid w:val="00ED0EA0"/>
    <w:rsid w:val="00ED0F85"/>
    <w:rsid w:val="00ED1B01"/>
    <w:rsid w:val="00ED2B5C"/>
    <w:rsid w:val="00ED3269"/>
    <w:rsid w:val="00ED3A18"/>
    <w:rsid w:val="00ED3AB7"/>
    <w:rsid w:val="00ED3C57"/>
    <w:rsid w:val="00EE1A8C"/>
    <w:rsid w:val="00EE3FED"/>
    <w:rsid w:val="00EE4643"/>
    <w:rsid w:val="00EE529F"/>
    <w:rsid w:val="00EE65B6"/>
    <w:rsid w:val="00EE7C86"/>
    <w:rsid w:val="00EF1330"/>
    <w:rsid w:val="00EF15FF"/>
    <w:rsid w:val="00EF2D80"/>
    <w:rsid w:val="00EF31D8"/>
    <w:rsid w:val="00EF55E6"/>
    <w:rsid w:val="00EF5707"/>
    <w:rsid w:val="00EF588D"/>
    <w:rsid w:val="00EF66B1"/>
    <w:rsid w:val="00EF67D3"/>
    <w:rsid w:val="00EF6F1F"/>
    <w:rsid w:val="00EF70EC"/>
    <w:rsid w:val="00EF7111"/>
    <w:rsid w:val="00EF7833"/>
    <w:rsid w:val="00EF7D1A"/>
    <w:rsid w:val="00F02350"/>
    <w:rsid w:val="00F02759"/>
    <w:rsid w:val="00F03B49"/>
    <w:rsid w:val="00F0439C"/>
    <w:rsid w:val="00F0448F"/>
    <w:rsid w:val="00F0716C"/>
    <w:rsid w:val="00F105AE"/>
    <w:rsid w:val="00F108A8"/>
    <w:rsid w:val="00F131E4"/>
    <w:rsid w:val="00F13319"/>
    <w:rsid w:val="00F14353"/>
    <w:rsid w:val="00F1567C"/>
    <w:rsid w:val="00F1628B"/>
    <w:rsid w:val="00F16990"/>
    <w:rsid w:val="00F22E81"/>
    <w:rsid w:val="00F250ED"/>
    <w:rsid w:val="00F26F5F"/>
    <w:rsid w:val="00F270E9"/>
    <w:rsid w:val="00F27440"/>
    <w:rsid w:val="00F275C0"/>
    <w:rsid w:val="00F3011D"/>
    <w:rsid w:val="00F30443"/>
    <w:rsid w:val="00F3048B"/>
    <w:rsid w:val="00F317B5"/>
    <w:rsid w:val="00F33348"/>
    <w:rsid w:val="00F346B6"/>
    <w:rsid w:val="00F34AB1"/>
    <w:rsid w:val="00F36145"/>
    <w:rsid w:val="00F36227"/>
    <w:rsid w:val="00F37BDD"/>
    <w:rsid w:val="00F40716"/>
    <w:rsid w:val="00F41503"/>
    <w:rsid w:val="00F417D4"/>
    <w:rsid w:val="00F41D5C"/>
    <w:rsid w:val="00F432CF"/>
    <w:rsid w:val="00F437FD"/>
    <w:rsid w:val="00F43B69"/>
    <w:rsid w:val="00F4479A"/>
    <w:rsid w:val="00F44D82"/>
    <w:rsid w:val="00F45589"/>
    <w:rsid w:val="00F460F3"/>
    <w:rsid w:val="00F46207"/>
    <w:rsid w:val="00F466C8"/>
    <w:rsid w:val="00F46706"/>
    <w:rsid w:val="00F469A9"/>
    <w:rsid w:val="00F46B50"/>
    <w:rsid w:val="00F47C20"/>
    <w:rsid w:val="00F50B46"/>
    <w:rsid w:val="00F50D1F"/>
    <w:rsid w:val="00F51545"/>
    <w:rsid w:val="00F521DE"/>
    <w:rsid w:val="00F52654"/>
    <w:rsid w:val="00F541D4"/>
    <w:rsid w:val="00F553CE"/>
    <w:rsid w:val="00F56043"/>
    <w:rsid w:val="00F5664E"/>
    <w:rsid w:val="00F56BD8"/>
    <w:rsid w:val="00F56E86"/>
    <w:rsid w:val="00F56FA9"/>
    <w:rsid w:val="00F6171A"/>
    <w:rsid w:val="00F619BA"/>
    <w:rsid w:val="00F62306"/>
    <w:rsid w:val="00F63063"/>
    <w:rsid w:val="00F6351F"/>
    <w:rsid w:val="00F635FC"/>
    <w:rsid w:val="00F63D03"/>
    <w:rsid w:val="00F64EFA"/>
    <w:rsid w:val="00F65E2F"/>
    <w:rsid w:val="00F67385"/>
    <w:rsid w:val="00F67DF1"/>
    <w:rsid w:val="00F7054E"/>
    <w:rsid w:val="00F70E9F"/>
    <w:rsid w:val="00F7137C"/>
    <w:rsid w:val="00F72A09"/>
    <w:rsid w:val="00F74E67"/>
    <w:rsid w:val="00F76734"/>
    <w:rsid w:val="00F76814"/>
    <w:rsid w:val="00F77A5F"/>
    <w:rsid w:val="00F8309B"/>
    <w:rsid w:val="00F833C9"/>
    <w:rsid w:val="00F836C8"/>
    <w:rsid w:val="00F85198"/>
    <w:rsid w:val="00F90064"/>
    <w:rsid w:val="00F90BF7"/>
    <w:rsid w:val="00F94217"/>
    <w:rsid w:val="00F9586C"/>
    <w:rsid w:val="00F96AFD"/>
    <w:rsid w:val="00F96F4C"/>
    <w:rsid w:val="00FA07F4"/>
    <w:rsid w:val="00FA1398"/>
    <w:rsid w:val="00FA1515"/>
    <w:rsid w:val="00FA2053"/>
    <w:rsid w:val="00FA2E19"/>
    <w:rsid w:val="00FA397B"/>
    <w:rsid w:val="00FA3BE7"/>
    <w:rsid w:val="00FA4373"/>
    <w:rsid w:val="00FA4BA0"/>
    <w:rsid w:val="00FA697F"/>
    <w:rsid w:val="00FA6F4C"/>
    <w:rsid w:val="00FA7354"/>
    <w:rsid w:val="00FB0147"/>
    <w:rsid w:val="00FB0C8D"/>
    <w:rsid w:val="00FB0F92"/>
    <w:rsid w:val="00FB2FB3"/>
    <w:rsid w:val="00FB3846"/>
    <w:rsid w:val="00FB398A"/>
    <w:rsid w:val="00FB4BF5"/>
    <w:rsid w:val="00FB5059"/>
    <w:rsid w:val="00FB5521"/>
    <w:rsid w:val="00FB610D"/>
    <w:rsid w:val="00FB626E"/>
    <w:rsid w:val="00FB6CA8"/>
    <w:rsid w:val="00FC1E4C"/>
    <w:rsid w:val="00FC4477"/>
    <w:rsid w:val="00FC46FB"/>
    <w:rsid w:val="00FC4DD1"/>
    <w:rsid w:val="00FC7B66"/>
    <w:rsid w:val="00FD0D94"/>
    <w:rsid w:val="00FD106C"/>
    <w:rsid w:val="00FD1E33"/>
    <w:rsid w:val="00FD2BD3"/>
    <w:rsid w:val="00FD2DE3"/>
    <w:rsid w:val="00FD3DEF"/>
    <w:rsid w:val="00FD4CCA"/>
    <w:rsid w:val="00FD58B1"/>
    <w:rsid w:val="00FE00EA"/>
    <w:rsid w:val="00FE04BA"/>
    <w:rsid w:val="00FE234B"/>
    <w:rsid w:val="00FE2A9E"/>
    <w:rsid w:val="00FE34B3"/>
    <w:rsid w:val="00FE46B7"/>
    <w:rsid w:val="00FE4CEC"/>
    <w:rsid w:val="00FE683A"/>
    <w:rsid w:val="00FF0420"/>
    <w:rsid w:val="00FF41B8"/>
    <w:rsid w:val="00FF47C1"/>
    <w:rsid w:val="00FF4F5A"/>
    <w:rsid w:val="00FF5237"/>
    <w:rsid w:val="00FF5629"/>
    <w:rsid w:val="00FF5B79"/>
    <w:rsid w:val="00FF689D"/>
    <w:rsid w:val="06763376"/>
    <w:rsid w:val="06D79157"/>
    <w:rsid w:val="0DD79F36"/>
    <w:rsid w:val="11E43BAB"/>
    <w:rsid w:val="121534C5"/>
    <w:rsid w:val="161E678D"/>
    <w:rsid w:val="19090967"/>
    <w:rsid w:val="1B3C24C5"/>
    <w:rsid w:val="210B7837"/>
    <w:rsid w:val="23B4E6BE"/>
    <w:rsid w:val="24F18C83"/>
    <w:rsid w:val="25653D02"/>
    <w:rsid w:val="27AA7305"/>
    <w:rsid w:val="3310C0BE"/>
    <w:rsid w:val="38EF0D05"/>
    <w:rsid w:val="39A07357"/>
    <w:rsid w:val="42088138"/>
    <w:rsid w:val="511D528A"/>
    <w:rsid w:val="588ADAF6"/>
    <w:rsid w:val="5CE173DD"/>
    <w:rsid w:val="66EB6E8A"/>
    <w:rsid w:val="69981A89"/>
    <w:rsid w:val="7629CDD5"/>
    <w:rsid w:val="772E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B409AA"/>
  <w15:chartTrackingRefBased/>
  <w15:docId w15:val="{D8A9B98D-733D-4FF4-9BF4-D50BB21B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1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UnresolvedMention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paragraph" w:styleId="ListParagraph">
    <w:name w:val="List Paragraph"/>
    <w:basedOn w:val="Normal"/>
    <w:uiPriority w:val="1"/>
    <w:qFormat/>
    <w:rsid w:val="00635616"/>
    <w:pPr>
      <w:ind w:left="720"/>
      <w:contextualSpacing/>
    </w:pPr>
  </w:style>
  <w:style w:type="character" w:styleId="CommentReference">
    <w:name w:val="annotation reference"/>
    <w:rsid w:val="008460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6017"/>
    <w:pPr>
      <w:spacing w:line="260" w:lineRule="atLeast"/>
      <w:jc w:val="left"/>
    </w:pPr>
    <w:rPr>
      <w:rFonts w:ascii="Arial" w:hAnsi="Arial"/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rsid w:val="00846017"/>
    <w:rPr>
      <w:rFonts w:ascii="Arial" w:hAnsi="Arial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20528D"/>
    <w:pPr>
      <w:spacing w:line="240" w:lineRule="auto"/>
      <w:jc w:val="both"/>
    </w:pPr>
    <w:rPr>
      <w:rFonts w:ascii="Segoe UI" w:hAnsi="Segoe U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20528D"/>
    <w:rPr>
      <w:rFonts w:ascii="Arial" w:hAnsi="Arial"/>
      <w:b/>
      <w:bCs/>
      <w:sz w:val="20"/>
      <w:szCs w:val="20"/>
      <w:lang w:val="de-DE"/>
    </w:rPr>
  </w:style>
  <w:style w:type="paragraph" w:styleId="Revision">
    <w:name w:val="Revision"/>
    <w:hidden/>
    <w:uiPriority w:val="62"/>
    <w:unhideWhenUsed/>
    <w:rsid w:val="006E2D24"/>
    <w:rPr>
      <w:sz w:val="22"/>
    </w:rPr>
  </w:style>
  <w:style w:type="paragraph" w:customStyle="1" w:styleId="He04Funote">
    <w:name w:val="_He_04_Fußnote"/>
    <w:next w:val="Normal"/>
    <w:qFormat/>
    <w:rsid w:val="00A90F18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:lang w:val="de-DE"/>
      <w14:numForm w14:val="lining"/>
    </w:rPr>
  </w:style>
  <w:style w:type="character" w:styleId="FootnoteReference">
    <w:name w:val="footnote reference"/>
    <w:basedOn w:val="DefaultParagraphFont"/>
    <w:uiPriority w:val="99"/>
    <w:unhideWhenUsed/>
    <w:rsid w:val="00A90F18"/>
    <w:rPr>
      <w:vertAlign w:val="superscript"/>
    </w:rPr>
  </w:style>
  <w:style w:type="paragraph" w:customStyle="1" w:styleId="He05Fett">
    <w:name w:val="_He_05_Fett"/>
    <w:next w:val="Normal"/>
    <w:link w:val="He05FettZchn"/>
    <w:qFormat/>
    <w:rsid w:val="00A92FCD"/>
    <w:pPr>
      <w:spacing w:after="160" w:line="259" w:lineRule="auto"/>
    </w:pPr>
    <w:rPr>
      <w:rFonts w:eastAsiaTheme="minorHAnsi" w:cstheme="minorBidi"/>
      <w:b/>
      <w:szCs w:val="22"/>
      <w:lang w:val="de-DE"/>
    </w:rPr>
  </w:style>
  <w:style w:type="character" w:customStyle="1" w:styleId="He05FettZchn">
    <w:name w:val="_He_05_Fett Zchn"/>
    <w:basedOn w:val="DefaultParagraphFont"/>
    <w:link w:val="He05Fett"/>
    <w:rsid w:val="00A92FCD"/>
    <w:rPr>
      <w:rFonts w:eastAsiaTheme="minorHAnsi" w:cstheme="minorBidi"/>
      <w:b/>
      <w:szCs w:val="22"/>
      <w:lang w:val="de-DE"/>
    </w:rPr>
  </w:style>
  <w:style w:type="paragraph" w:customStyle="1" w:styleId="He01Flietext">
    <w:name w:val="_He_01_Fließtext"/>
    <w:qFormat/>
    <w:rsid w:val="00FE683A"/>
    <w:pPr>
      <w:tabs>
        <w:tab w:val="left" w:pos="284"/>
      </w:tabs>
      <w:spacing w:after="160" w:line="259" w:lineRule="auto"/>
      <w:jc w:val="both"/>
    </w:pPr>
    <w:rPr>
      <w:rFonts w:eastAsiaTheme="minorHAnsi" w:cstheme="minorBidi"/>
      <w:szCs w:val="22"/>
      <w:lang w:val="de-DE"/>
    </w:rPr>
  </w:style>
  <w:style w:type="paragraph" w:styleId="NormalWeb">
    <w:name w:val="Normal (Web)"/>
    <w:basedOn w:val="Normal"/>
    <w:uiPriority w:val="99"/>
    <w:unhideWhenUsed/>
    <w:rsid w:val="002566B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DE" w:eastAsia="de-DE"/>
    </w:rPr>
  </w:style>
  <w:style w:type="paragraph" w:styleId="FootnoteText">
    <w:name w:val="footnote text"/>
    <w:basedOn w:val="Normal"/>
    <w:link w:val="FootnoteTextChar"/>
    <w:uiPriority w:val="99"/>
    <w:unhideWhenUsed/>
    <w:rsid w:val="00C76008"/>
    <w:pPr>
      <w:spacing w:line="240" w:lineRule="auto"/>
      <w:jc w:val="left"/>
    </w:pPr>
    <w:rPr>
      <w:rFonts w:eastAsiaTheme="minorHAnsi" w:cstheme="minorBidi"/>
      <w:szCs w:val="20"/>
      <w:lang w:val="de-D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6008"/>
    <w:rPr>
      <w:rFonts w:eastAsiaTheme="minorHAnsi" w:cstheme="minorBidi"/>
      <w:sz w:val="22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enke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C925157EE074095811C87522C7BC7" ma:contentTypeVersion="22" ma:contentTypeDescription="Create a new document." ma:contentTypeScope="" ma:versionID="74ca59087a68a0460257cfd765d09988">
  <xsd:schema xmlns:xsd="http://www.w3.org/2001/XMLSchema" xmlns:xs="http://www.w3.org/2001/XMLSchema" xmlns:p="http://schemas.microsoft.com/office/2006/metadata/properties" xmlns:ns2="487aa4a8-6e08-4624-a126-3644f60fbb35" xmlns:ns3="cec4b484-d643-4c02-a873-288aa5369532" xmlns:ns4="ef406d6b-70e0-427c-b08d-4edfc77771aa" targetNamespace="http://schemas.microsoft.com/office/2006/metadata/properties" ma:root="true" ma:fieldsID="8033796c042ced27f4b2ab1bf1ebc10c" ns2:_="" ns3:_="" ns4:_="">
    <xsd:import namespace="487aa4a8-6e08-4624-a126-3644f60fbb35"/>
    <xsd:import namespace="cec4b484-d643-4c02-a873-288aa5369532"/>
    <xsd:import namespace="ef406d6b-70e0-427c-b08d-4edfc7777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Datum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aa4a8-6e08-4624-a126-3644f60fb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2f792e8-4dad-42c1-ad63-44982727b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4b484-d643-4c02-a873-288aa5369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6d6b-70e0-427c-b08d-4edfc77771a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99daea-b67b-4b58-9130-be82b407cc11}" ma:internalName="TaxCatchAll" ma:showField="CatchAllData" ma:web="cec4b484-d643-4c02-a873-288aa53695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406d6b-70e0-427c-b08d-4edfc77771aa" xsi:nil="true"/>
    <lcf76f155ced4ddcb4097134ff3c332f xmlns="487aa4a8-6e08-4624-a126-3644f60fbb35">
      <Terms xmlns="http://schemas.microsoft.com/office/infopath/2007/PartnerControls"/>
    </lcf76f155ced4ddcb4097134ff3c332f>
    <Datum xmlns="487aa4a8-6e08-4624-a126-3644f60fbb35" xsi:nil="true"/>
  </documentManagement>
</p:properties>
</file>

<file path=customXml/item5.xml><?xml version="1.0" encoding="utf-8"?>
<?mso-contentType ?>
<SharedContentType xmlns="Microsoft.SharePoint.Taxonomy.ContentTypeSync" SourceId="72f792e8-4dad-42c1-ad63-44982727bf4d" ContentTypeId="0x01" PreviousValue="false"/>
</file>

<file path=customXml/itemProps1.xml><?xml version="1.0" encoding="utf-8"?>
<ds:datastoreItem xmlns:ds="http://schemas.openxmlformats.org/officeDocument/2006/customXml" ds:itemID="{E5F5E823-FD9A-4CF5-8C4B-A2151B3E8D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AA53AF-ABE2-4687-80CC-AE0B9CFC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aa4a8-6e08-4624-a126-3644f60fbb35"/>
    <ds:schemaRef ds:uri="cec4b484-d643-4c02-a873-288aa5369532"/>
    <ds:schemaRef ds:uri="ef406d6b-70e0-427c-b08d-4edfc7777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ef406d6b-70e0-427c-b08d-4edfc77771aa"/>
    <ds:schemaRef ds:uri="487aa4a8-6e08-4624-a126-3644f60fbb35"/>
  </ds:schemaRefs>
</ds:datastoreItem>
</file>

<file path=customXml/itemProps5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9</Pages>
  <Words>2443</Words>
  <Characters>15544</Characters>
  <Application>Microsoft Office Word</Application>
  <DocSecurity>0</DocSecurity>
  <Lines>277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17931</CharactersWithSpaces>
  <SharedDoc>false</SharedDoc>
  <HLinks>
    <vt:vector size="66" baseType="variant">
      <vt:variant>
        <vt:i4>6946937</vt:i4>
      </vt:variant>
      <vt:variant>
        <vt:i4>30</vt:i4>
      </vt:variant>
      <vt:variant>
        <vt:i4>0</vt:i4>
      </vt:variant>
      <vt:variant>
        <vt:i4>5</vt:i4>
      </vt:variant>
      <vt:variant>
        <vt:lpwstr>http://www.henkel.de/ir</vt:lpwstr>
      </vt:variant>
      <vt:variant>
        <vt:lpwstr/>
      </vt:variant>
      <vt:variant>
        <vt:i4>6619256</vt:i4>
      </vt:variant>
      <vt:variant>
        <vt:i4>27</vt:i4>
      </vt:variant>
      <vt:variant>
        <vt:i4>0</vt:i4>
      </vt:variant>
      <vt:variant>
        <vt:i4>5</vt:i4>
      </vt:variant>
      <vt:variant>
        <vt:lpwstr>http://www.henkel.de/presse</vt:lpwstr>
      </vt:variant>
      <vt:variant>
        <vt:lpwstr/>
      </vt:variant>
      <vt:variant>
        <vt:i4>2228305</vt:i4>
      </vt:variant>
      <vt:variant>
        <vt:i4>24</vt:i4>
      </vt:variant>
      <vt:variant>
        <vt:i4>0</vt:i4>
      </vt:variant>
      <vt:variant>
        <vt:i4>5</vt:i4>
      </vt:variant>
      <vt:variant>
        <vt:lpwstr>mailto:linda.gehring@henkel.com</vt:lpwstr>
      </vt:variant>
      <vt:variant>
        <vt:lpwstr/>
      </vt:variant>
      <vt:variant>
        <vt:i4>7208970</vt:i4>
      </vt:variant>
      <vt:variant>
        <vt:i4>21</vt:i4>
      </vt:variant>
      <vt:variant>
        <vt:i4>0</vt:i4>
      </vt:variant>
      <vt:variant>
        <vt:i4>5</vt:i4>
      </vt:variant>
      <vt:variant>
        <vt:lpwstr>mailto:dennis.starke@henkel.com</vt:lpwstr>
      </vt:variant>
      <vt:variant>
        <vt:lpwstr/>
      </vt:variant>
      <vt:variant>
        <vt:i4>2687054</vt:i4>
      </vt:variant>
      <vt:variant>
        <vt:i4>18</vt:i4>
      </vt:variant>
      <vt:variant>
        <vt:i4>0</vt:i4>
      </vt:variant>
      <vt:variant>
        <vt:i4>5</vt:i4>
      </vt:variant>
      <vt:variant>
        <vt:lpwstr>mailto:hanna.philipps@henkel.com</vt:lpwstr>
      </vt:variant>
      <vt:variant>
        <vt:lpwstr/>
      </vt:variant>
      <vt:variant>
        <vt:i4>1835116</vt:i4>
      </vt:variant>
      <vt:variant>
        <vt:i4>15</vt:i4>
      </vt:variant>
      <vt:variant>
        <vt:i4>0</vt:i4>
      </vt:variant>
      <vt:variant>
        <vt:i4>5</vt:i4>
      </vt:variant>
      <vt:variant>
        <vt:lpwstr>mailto:jennifer.ott@henkel.com</vt:lpwstr>
      </vt:variant>
      <vt:variant>
        <vt:lpwstr/>
      </vt:variant>
      <vt:variant>
        <vt:i4>7667735</vt:i4>
      </vt:variant>
      <vt:variant>
        <vt:i4>12</vt:i4>
      </vt:variant>
      <vt:variant>
        <vt:i4>0</vt:i4>
      </vt:variant>
      <vt:variant>
        <vt:i4>5</vt:i4>
      </vt:variant>
      <vt:variant>
        <vt:lpwstr>mailto:wulf.klueppelholz@henkel.com</vt:lpwstr>
      </vt:variant>
      <vt:variant>
        <vt:lpwstr/>
      </vt:variant>
      <vt:variant>
        <vt:i4>7602201</vt:i4>
      </vt:variant>
      <vt:variant>
        <vt:i4>9</vt:i4>
      </vt:variant>
      <vt:variant>
        <vt:i4>0</vt:i4>
      </vt:variant>
      <vt:variant>
        <vt:i4>5</vt:i4>
      </vt:variant>
      <vt:variant>
        <vt:lpwstr>mailto:manuel.boesing@henkel.com</vt:lpwstr>
      </vt:variant>
      <vt:variant>
        <vt:lpwstr/>
      </vt:variant>
      <vt:variant>
        <vt:i4>119</vt:i4>
      </vt:variant>
      <vt:variant>
        <vt:i4>6</vt:i4>
      </vt:variant>
      <vt:variant>
        <vt:i4>0</vt:i4>
      </vt:variant>
      <vt:variant>
        <vt:i4>5</vt:i4>
      </vt:variant>
      <vt:variant>
        <vt:lpwstr>mailto:lars.witteck@henkel.com</vt:lpwstr>
      </vt:variant>
      <vt:variant>
        <vt:lpwstr/>
      </vt:variant>
      <vt:variant>
        <vt:i4>786533</vt:i4>
      </vt:variant>
      <vt:variant>
        <vt:i4>3</vt:i4>
      </vt:variant>
      <vt:variant>
        <vt:i4>0</vt:i4>
      </vt:variant>
      <vt:variant>
        <vt:i4>5</vt:i4>
      </vt:variant>
      <vt:variant>
        <vt:lpwstr>mailto:lars.korinth@henkel.com</vt:lpwstr>
      </vt:variant>
      <vt:variant>
        <vt:lpwstr/>
      </vt:variant>
      <vt:variant>
        <vt:i4>196694</vt:i4>
      </vt:variant>
      <vt:variant>
        <vt:i4>0</vt:i4>
      </vt:variant>
      <vt:variant>
        <vt:i4>0</vt:i4>
      </vt:variant>
      <vt:variant>
        <vt:i4>5</vt:i4>
      </vt:variant>
      <vt:variant>
        <vt:lpwstr>http://www.henkel.de/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Esther Rim</cp:lastModifiedBy>
  <cp:revision>16</cp:revision>
  <cp:lastPrinted>2026-02-11T08:17:00Z</cp:lastPrinted>
  <dcterms:created xsi:type="dcterms:W3CDTF">2026-08-12T07:51:00Z</dcterms:created>
  <dcterms:modified xsi:type="dcterms:W3CDTF">2026-08-14T03:42:00Z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0x0101004E3C925157EE074095811C87522C7BC7</vt:lpwstr>
  </property>
  <property fmtid="{D5CDD505-2E9C-101B-9397-08002B2CF9AE}" pid="3" name="MediaServiceImageTags">
    <vt:lpwstr/>
  </property>
</Properties>
</file>