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5E39A" w14:textId="2580C439" w:rsidR="00B422EC" w:rsidRPr="00903E17" w:rsidRDefault="00081692" w:rsidP="00081692">
      <w:pPr>
        <w:pStyle w:val="MonthDayYear"/>
        <w:tabs>
          <w:tab w:val="left" w:pos="7371"/>
        </w:tabs>
        <w:jc w:val="left"/>
        <w:rPr>
          <w:lang w:val="id"/>
        </w:rPr>
      </w:pPr>
      <w:r>
        <w:rPr>
          <w:lang w:val="id"/>
        </w:rPr>
        <w:tab/>
        <w:t xml:space="preserve">   6 Agustus</w:t>
      </w:r>
      <w:r w:rsidR="00144F1A">
        <w:rPr>
          <w:lang w:val="id"/>
        </w:rPr>
        <w:t xml:space="preserve"> </w:t>
      </w:r>
      <w:r>
        <w:rPr>
          <w:lang w:val="id"/>
        </w:rPr>
        <w:t>2026</w:t>
      </w:r>
    </w:p>
    <w:p w14:paraId="166A9534" w14:textId="0E9371DF" w:rsidR="00497D5E" w:rsidRPr="00903E17" w:rsidRDefault="007A2FB6" w:rsidP="00790993">
      <w:pPr>
        <w:pStyle w:val="Topline"/>
        <w:spacing w:after="240"/>
        <w:rPr>
          <w:rFonts w:asciiTheme="majorHAnsi" w:hAnsiTheme="majorHAnsi" w:cstheme="majorHAnsi"/>
          <w:lang w:val="id"/>
        </w:rPr>
      </w:pPr>
      <w:bookmarkStart w:id="0" w:name="_Hlk190695874"/>
      <w:r>
        <w:rPr>
          <w:rFonts w:asciiTheme="majorHAnsi" w:hAnsiTheme="majorHAnsi" w:cstheme="majorHAnsi"/>
          <w:lang w:val="id"/>
        </w:rPr>
        <w:t>Henkel mendorong agenda pertumbuhannya: investasi dalam merek, inovasi, dan M&amp;A</w:t>
      </w:r>
    </w:p>
    <w:bookmarkEnd w:id="0"/>
    <w:p w14:paraId="3FE075DA" w14:textId="412AA615" w:rsidR="00633B49" w:rsidRPr="00903E17" w:rsidRDefault="0012714C" w:rsidP="00C208E2">
      <w:pPr>
        <w:jc w:val="left"/>
        <w:rPr>
          <w:rStyle w:val="Headline"/>
          <w:rFonts w:asciiTheme="majorHAnsi" w:hAnsiTheme="majorHAnsi" w:cstheme="majorHAnsi"/>
          <w:lang w:val="id"/>
        </w:rPr>
      </w:pPr>
      <w:r>
        <w:rPr>
          <w:rStyle w:val="Headline"/>
          <w:rFonts w:asciiTheme="majorHAnsi" w:hAnsiTheme="majorHAnsi" w:cstheme="majorHAnsi"/>
          <w:lang w:val="id"/>
        </w:rPr>
        <w:t>Henkel mencatatkan kinerja penjualan dan pendapatan yang kuat di semester pertama serta menaikkan pertumbuhan penjualan untuk tahun 2026</w:t>
      </w:r>
    </w:p>
    <w:p w14:paraId="5E22EDC4" w14:textId="77777777" w:rsidR="00A54C2A" w:rsidRPr="00903E17" w:rsidRDefault="00A54C2A" w:rsidP="00C65957">
      <w:pPr>
        <w:spacing w:line="240" w:lineRule="auto"/>
        <w:jc w:val="left"/>
        <w:rPr>
          <w:sz w:val="16"/>
          <w:szCs w:val="16"/>
          <w:lang w:val="id"/>
        </w:rPr>
      </w:pPr>
    </w:p>
    <w:p w14:paraId="55670377" w14:textId="7F0FACE7" w:rsidR="00DC34C4" w:rsidRPr="00903E17" w:rsidRDefault="00DC34C4" w:rsidP="007A2FB6">
      <w:pPr>
        <w:pStyle w:val="ListParagraph"/>
        <w:numPr>
          <w:ilvl w:val="0"/>
          <w:numId w:val="7"/>
        </w:numPr>
        <w:spacing w:after="80"/>
        <w:ind w:left="284" w:right="-108" w:hanging="357"/>
        <w:contextualSpacing w:val="0"/>
        <w:jc w:val="left"/>
        <w:rPr>
          <w:rFonts w:asciiTheme="majorHAnsi" w:hAnsiTheme="majorHAnsi" w:cstheme="majorHAnsi"/>
          <w:b/>
          <w:szCs w:val="22"/>
          <w:lang w:val="nb-NO"/>
        </w:rPr>
      </w:pPr>
      <w:bookmarkStart w:id="1" w:name="_Hlk64363173"/>
      <w:bookmarkStart w:id="2" w:name="_Hlk43712519"/>
      <w:r>
        <w:rPr>
          <w:rFonts w:asciiTheme="majorHAnsi" w:hAnsiTheme="majorHAnsi" w:cstheme="majorHAnsi"/>
          <w:b/>
          <w:bCs/>
          <w:szCs w:val="22"/>
          <w:lang w:val="id"/>
        </w:rPr>
        <w:t>Penjualan Grup pada semester pertama dengan pertumbuhan organik yang kuat sebesar 3,2 persen, mencapai 10,3 miliar euro</w:t>
      </w:r>
    </w:p>
    <w:p w14:paraId="6BFCBE6D" w14:textId="642AA32D" w:rsidR="00DC34C4" w:rsidRPr="00E812A3" w:rsidRDefault="0087393A" w:rsidP="007A2FB6">
      <w:pPr>
        <w:pStyle w:val="ListParagraph"/>
        <w:numPr>
          <w:ilvl w:val="0"/>
          <w:numId w:val="7"/>
        </w:numPr>
        <w:spacing w:after="80"/>
        <w:ind w:left="284" w:right="-108" w:hanging="357"/>
        <w:contextualSpacing w:val="0"/>
        <w:jc w:val="left"/>
        <w:rPr>
          <w:rFonts w:asciiTheme="majorHAnsi" w:hAnsiTheme="majorHAnsi" w:cstheme="majorHAnsi"/>
          <w:b/>
          <w:szCs w:val="22"/>
        </w:rPr>
      </w:pPr>
      <w:r>
        <w:rPr>
          <w:rFonts w:asciiTheme="majorHAnsi" w:hAnsiTheme="majorHAnsi" w:cstheme="majorHAnsi"/>
          <w:b/>
          <w:bCs/>
          <w:szCs w:val="22"/>
          <w:lang w:val="id"/>
        </w:rPr>
        <w:t xml:space="preserve">Pertumbuhan yang kuat didukung oleh dinamika harga dan volume positif di seluruh </w:t>
      </w:r>
      <w:r>
        <w:rPr>
          <w:rFonts w:asciiTheme="majorHAnsi" w:hAnsiTheme="majorHAnsi" w:cstheme="majorHAnsi"/>
          <w:szCs w:val="22"/>
          <w:lang w:val="id"/>
        </w:rPr>
        <w:br/>
      </w:r>
      <w:r>
        <w:rPr>
          <w:rFonts w:asciiTheme="majorHAnsi" w:hAnsiTheme="majorHAnsi" w:cstheme="majorHAnsi"/>
          <w:b/>
          <w:bCs/>
          <w:szCs w:val="22"/>
          <w:lang w:val="id"/>
        </w:rPr>
        <w:t>unit bisnis</w:t>
      </w:r>
    </w:p>
    <w:p w14:paraId="5A223F67" w14:textId="41EEB7C6" w:rsidR="00DC34C4" w:rsidRPr="00903E17" w:rsidRDefault="00DC34C4" w:rsidP="007A2FB6">
      <w:pPr>
        <w:pStyle w:val="ListParagraph"/>
        <w:numPr>
          <w:ilvl w:val="0"/>
          <w:numId w:val="7"/>
        </w:numPr>
        <w:spacing w:after="80"/>
        <w:ind w:left="284" w:right="-108" w:hanging="357"/>
        <w:contextualSpacing w:val="0"/>
        <w:jc w:val="left"/>
        <w:rPr>
          <w:rFonts w:asciiTheme="majorHAnsi" w:hAnsiTheme="majorHAnsi" w:cstheme="majorHAnsi"/>
          <w:b/>
          <w:szCs w:val="22"/>
          <w:lang w:val="nb-NO"/>
        </w:rPr>
      </w:pPr>
      <w:r>
        <w:rPr>
          <w:rFonts w:asciiTheme="majorHAnsi" w:hAnsiTheme="majorHAnsi" w:cstheme="majorHAnsi"/>
          <w:b/>
          <w:bCs/>
          <w:szCs w:val="22"/>
          <w:lang w:val="id"/>
        </w:rPr>
        <w:t>Laba operasional (EBIT)* meningkat menjadi 1.620 juta euro (+0,3 persen)</w:t>
      </w:r>
    </w:p>
    <w:p w14:paraId="6EE72A28" w14:textId="6890DDDF" w:rsidR="00DC34C4" w:rsidRPr="00903E17" w:rsidRDefault="00DC34C4" w:rsidP="007A2FB6">
      <w:pPr>
        <w:pStyle w:val="ListParagraph"/>
        <w:numPr>
          <w:ilvl w:val="0"/>
          <w:numId w:val="7"/>
        </w:numPr>
        <w:spacing w:after="80"/>
        <w:ind w:left="284" w:right="-108" w:hanging="357"/>
        <w:contextualSpacing w:val="0"/>
        <w:jc w:val="left"/>
        <w:rPr>
          <w:rFonts w:asciiTheme="majorHAnsi" w:hAnsiTheme="majorHAnsi" w:cstheme="majorHAnsi"/>
          <w:b/>
          <w:szCs w:val="22"/>
          <w:lang w:val="nb-NO"/>
        </w:rPr>
      </w:pPr>
      <w:r>
        <w:rPr>
          <w:rFonts w:asciiTheme="majorHAnsi" w:hAnsiTheme="majorHAnsi" w:cstheme="majorHAnsi"/>
          <w:b/>
          <w:bCs/>
          <w:szCs w:val="22"/>
          <w:lang w:val="id"/>
        </w:rPr>
        <w:t>Margin EBIT* yang kuat sebesar 15,7 persen (+10 basis poin), didukung oleh kedua unit bisnis - menunjukkan kekuatan bisnisnya</w:t>
      </w:r>
    </w:p>
    <w:p w14:paraId="35493545" w14:textId="386B4A89" w:rsidR="00DC34C4" w:rsidRPr="00903E17" w:rsidRDefault="00DC34C4" w:rsidP="007A2FB6">
      <w:pPr>
        <w:pStyle w:val="ListParagraph"/>
        <w:numPr>
          <w:ilvl w:val="0"/>
          <w:numId w:val="7"/>
        </w:numPr>
        <w:spacing w:after="80"/>
        <w:ind w:left="284" w:right="-108" w:hanging="357"/>
        <w:contextualSpacing w:val="0"/>
        <w:jc w:val="left"/>
        <w:rPr>
          <w:rFonts w:asciiTheme="majorHAnsi" w:hAnsiTheme="majorHAnsi" w:cstheme="majorHAnsi"/>
          <w:b/>
          <w:szCs w:val="22"/>
          <w:lang w:val="nb-NO"/>
        </w:rPr>
      </w:pPr>
      <w:r>
        <w:rPr>
          <w:rFonts w:asciiTheme="majorHAnsi" w:hAnsiTheme="majorHAnsi" w:cstheme="majorHAnsi"/>
          <w:b/>
          <w:bCs/>
          <w:szCs w:val="22"/>
          <w:lang w:val="id"/>
        </w:rPr>
        <w:t>Pendapatan per saham preferen (EPS)* meningkat menjadi 2,86 euro, naik 7,1 persen pada nilai tukar konstan</w:t>
      </w:r>
    </w:p>
    <w:p w14:paraId="55DDFC3A" w14:textId="1C3241B5" w:rsidR="00DC34C4" w:rsidRPr="00903E17" w:rsidRDefault="00DC34C4" w:rsidP="007A2FB6">
      <w:pPr>
        <w:pStyle w:val="ListParagraph"/>
        <w:numPr>
          <w:ilvl w:val="0"/>
          <w:numId w:val="7"/>
        </w:numPr>
        <w:spacing w:after="80"/>
        <w:ind w:left="284" w:right="-108" w:hanging="357"/>
        <w:contextualSpacing w:val="0"/>
        <w:jc w:val="left"/>
        <w:rPr>
          <w:rFonts w:asciiTheme="majorHAnsi" w:hAnsiTheme="majorHAnsi" w:cstheme="majorHAnsi"/>
          <w:b/>
          <w:szCs w:val="22"/>
          <w:lang w:val="nb-NO"/>
        </w:rPr>
      </w:pPr>
      <w:r>
        <w:rPr>
          <w:rFonts w:asciiTheme="majorHAnsi" w:hAnsiTheme="majorHAnsi" w:cstheme="majorHAnsi"/>
          <w:b/>
          <w:bCs/>
          <w:szCs w:val="22"/>
          <w:lang w:val="id"/>
        </w:rPr>
        <w:t>Keberhasilan pelaksanaan strategi pertumbuhan M&amp;A pada semester pertama tahun ini, dengan kontribusi penjualan dan pendapatan positif pertama pada tahun 2026</w:t>
      </w:r>
    </w:p>
    <w:bookmarkEnd w:id="1"/>
    <w:bookmarkEnd w:id="2"/>
    <w:p w14:paraId="1D293644" w14:textId="42F028C3" w:rsidR="00DC34C4" w:rsidRPr="00903E17" w:rsidRDefault="00DC34C4" w:rsidP="007A2FB6">
      <w:pPr>
        <w:pStyle w:val="ListParagraph"/>
        <w:numPr>
          <w:ilvl w:val="0"/>
          <w:numId w:val="7"/>
        </w:numPr>
        <w:spacing w:after="80"/>
        <w:ind w:left="284" w:right="-108" w:hanging="357"/>
        <w:contextualSpacing w:val="0"/>
        <w:jc w:val="left"/>
        <w:rPr>
          <w:rFonts w:asciiTheme="majorHAnsi" w:hAnsiTheme="majorHAnsi" w:cstheme="majorHAnsi"/>
          <w:b/>
          <w:szCs w:val="22"/>
          <w:lang w:val="nb-NO"/>
        </w:rPr>
      </w:pPr>
      <w:r>
        <w:rPr>
          <w:rFonts w:asciiTheme="majorHAnsi" w:hAnsiTheme="majorHAnsi" w:cstheme="majorHAnsi"/>
          <w:b/>
          <w:bCs/>
          <w:szCs w:val="22"/>
          <w:lang w:val="id"/>
        </w:rPr>
        <w:t xml:space="preserve">Prospek untuk tahun fiskal 2026: Target pertumbuhan penjualan dinaikkan untuk tingkat Grup dan </w:t>
      </w:r>
      <w:r w:rsidR="00903E17" w:rsidRPr="00903E17">
        <w:rPr>
          <w:rFonts w:asciiTheme="majorHAnsi" w:hAnsiTheme="majorHAnsi" w:cstheme="majorHAnsi"/>
          <w:b/>
          <w:bCs/>
          <w:szCs w:val="22"/>
          <w:lang w:val="id"/>
        </w:rPr>
        <w:t>Adhesive Technologies</w:t>
      </w:r>
    </w:p>
    <w:p w14:paraId="5113870C" w14:textId="6CB987D0" w:rsidR="00DC34C4" w:rsidRPr="007A2FB6" w:rsidRDefault="00DC34C4" w:rsidP="00DC34C4">
      <w:pPr>
        <w:pStyle w:val="ListParagraph"/>
        <w:widowControl w:val="0"/>
        <w:numPr>
          <w:ilvl w:val="1"/>
          <w:numId w:val="7"/>
        </w:numPr>
        <w:tabs>
          <w:tab w:val="left" w:pos="702"/>
        </w:tabs>
        <w:autoSpaceDE w:val="0"/>
        <w:autoSpaceDN w:val="0"/>
        <w:spacing w:before="113" w:line="240" w:lineRule="auto"/>
        <w:ind w:left="702"/>
        <w:contextualSpacing w:val="0"/>
        <w:jc w:val="left"/>
      </w:pPr>
      <w:r>
        <w:rPr>
          <w:lang w:val="id"/>
        </w:rPr>
        <w:t>Pertumbuhan penjualan organik: 1,5 hingga 3,5 persen (sebelumnya: 1,0 hingga 3,0 persen)</w:t>
      </w:r>
    </w:p>
    <w:p w14:paraId="7530C7F9" w14:textId="581E6AEB" w:rsidR="00DC34C4" w:rsidRPr="001F3E04" w:rsidRDefault="00DC34C4" w:rsidP="00DC34C4">
      <w:pPr>
        <w:pStyle w:val="ListParagraph"/>
        <w:widowControl w:val="0"/>
        <w:numPr>
          <w:ilvl w:val="1"/>
          <w:numId w:val="7"/>
        </w:numPr>
        <w:tabs>
          <w:tab w:val="left" w:pos="702"/>
        </w:tabs>
        <w:autoSpaceDE w:val="0"/>
        <w:autoSpaceDN w:val="0"/>
        <w:spacing w:before="113" w:line="240" w:lineRule="auto"/>
        <w:ind w:left="702"/>
        <w:contextualSpacing w:val="0"/>
        <w:jc w:val="left"/>
      </w:pPr>
      <w:r>
        <w:rPr>
          <w:lang w:val="id"/>
        </w:rPr>
        <w:t>Laba atas penjualan yang disesuaikan: 14,5 hingga 16,0 persen</w:t>
      </w:r>
    </w:p>
    <w:p w14:paraId="738D13D3" w14:textId="1AFD4F2D" w:rsidR="00DC34C4" w:rsidRPr="00903E17" w:rsidRDefault="00DC34C4" w:rsidP="00026124">
      <w:pPr>
        <w:pStyle w:val="ListParagraph"/>
        <w:widowControl w:val="0"/>
        <w:numPr>
          <w:ilvl w:val="1"/>
          <w:numId w:val="7"/>
        </w:numPr>
        <w:tabs>
          <w:tab w:val="left" w:pos="702"/>
        </w:tabs>
        <w:autoSpaceDE w:val="0"/>
        <w:autoSpaceDN w:val="0"/>
        <w:spacing w:before="113" w:line="240" w:lineRule="auto"/>
        <w:ind w:left="702"/>
        <w:contextualSpacing w:val="0"/>
        <w:jc w:val="left"/>
        <w:rPr>
          <w:lang w:val="nb-NO"/>
        </w:rPr>
      </w:pPr>
      <w:r>
        <w:rPr>
          <w:lang w:val="id"/>
        </w:rPr>
        <w:t>Laba per saham preferen (EPS) yang disesuaikan: peningkatan dalam kisaran persentase satu digit rendah hingga tinggi (pada nilai tukar konstan)</w:t>
      </w:r>
    </w:p>
    <w:p w14:paraId="0E973721" w14:textId="3F3EF3D0" w:rsidR="00D93B82" w:rsidRPr="00903E17" w:rsidRDefault="00D93B82" w:rsidP="00037396">
      <w:pPr>
        <w:rPr>
          <w:rFonts w:cs="Segoe UI"/>
          <w:b/>
          <w:bCs/>
          <w:szCs w:val="22"/>
          <w:lang w:val="nb-NO"/>
        </w:rPr>
      </w:pPr>
    </w:p>
    <w:p w14:paraId="1F0E6762" w14:textId="24307344" w:rsidR="002566B2" w:rsidRPr="00903E17" w:rsidRDefault="00F26F5F" w:rsidP="002566B2">
      <w:pPr>
        <w:rPr>
          <w:rFonts w:cs="Segoe UI"/>
          <w:szCs w:val="22"/>
          <w:lang w:val="id"/>
        </w:rPr>
      </w:pPr>
      <w:r>
        <w:rPr>
          <w:szCs w:val="22"/>
          <w:lang w:val="id"/>
        </w:rPr>
        <w:t>Düsseldorf -</w:t>
      </w:r>
      <w:r>
        <w:rPr>
          <w:b/>
          <w:bCs/>
          <w:szCs w:val="22"/>
          <w:lang w:val="id"/>
        </w:rPr>
        <w:t xml:space="preserve"> </w:t>
      </w:r>
      <w:r>
        <w:rPr>
          <w:szCs w:val="22"/>
          <w:lang w:val="id"/>
        </w:rPr>
        <w:t xml:space="preserve">Henkel mencatatkan pertumbuhan penjualan organik yang kuat dan kinerja pendapatan yang sangat baik pada semester pertama tahun 2026 meskipun lingkungan ekonomi yang terus penuh tantangan. "Pertumbuhan penjualan organik sekali lagi didorong oleh kedua unit bisnis, yang masing-masing mencapai perkembangan harga dan volume yang </w:t>
      </w:r>
      <w:r>
        <w:rPr>
          <w:szCs w:val="22"/>
          <w:lang w:val="id"/>
        </w:rPr>
        <w:lastRenderedPageBreak/>
        <w:t xml:space="preserve">positif. Di </w:t>
      </w:r>
      <w:r w:rsidR="00903E17" w:rsidRPr="00903E17">
        <w:rPr>
          <w:szCs w:val="22"/>
          <w:lang w:val="id"/>
        </w:rPr>
        <w:t>Adhesive Technologies,</w:t>
      </w:r>
      <w:r>
        <w:rPr>
          <w:szCs w:val="22"/>
          <w:lang w:val="id"/>
        </w:rPr>
        <w:t xml:space="preserve"> peningkatan penjualan dan pendapatan juga didukung oleh pelaksanaan inisiatif penentuan harga yang konsisten dan cepat untuk mengimbangi tekanan harga bahan baku," kata CEO Henkel Carsten Knobel. "Pada divisi </w:t>
      </w:r>
      <w:r w:rsidR="00903E17" w:rsidRPr="00903E17">
        <w:rPr>
          <w:szCs w:val="22"/>
          <w:lang w:val="id"/>
        </w:rPr>
        <w:t>Consumer Brands</w:t>
      </w:r>
      <w:r>
        <w:rPr>
          <w:szCs w:val="22"/>
          <w:lang w:val="id"/>
        </w:rPr>
        <w:t xml:space="preserve">, lini bisnis </w:t>
      </w:r>
      <w:r w:rsidR="00903E17" w:rsidRPr="00903E17">
        <w:rPr>
          <w:szCs w:val="22"/>
          <w:lang w:val="id"/>
        </w:rPr>
        <w:t>Hair</w:t>
      </w:r>
      <w:r>
        <w:rPr>
          <w:szCs w:val="22"/>
          <w:lang w:val="id"/>
        </w:rPr>
        <w:t xml:space="preserve"> melanjutkan tren pertumbuhan yang sangat pesat sementara lini bisnis </w:t>
      </w:r>
      <w:r w:rsidR="00903E17" w:rsidRPr="00903E17">
        <w:rPr>
          <w:szCs w:val="22"/>
          <w:lang w:val="id"/>
        </w:rPr>
        <w:t>Laundry Care</w:t>
      </w:r>
      <w:r>
        <w:rPr>
          <w:szCs w:val="22"/>
          <w:lang w:val="id"/>
        </w:rPr>
        <w:t xml:space="preserve"> kembali mencatatkan pertumbuhan positif."</w:t>
      </w:r>
    </w:p>
    <w:p w14:paraId="341CB32D" w14:textId="65EABB78" w:rsidR="002566B2" w:rsidRPr="00903E17" w:rsidRDefault="002566B2" w:rsidP="002566B2">
      <w:pPr>
        <w:rPr>
          <w:rFonts w:cs="Segoe UI"/>
          <w:szCs w:val="22"/>
          <w:lang w:val="id"/>
        </w:rPr>
      </w:pPr>
    </w:p>
    <w:p w14:paraId="4C128449" w14:textId="2C941CA2" w:rsidR="002566B2" w:rsidRPr="00903E17" w:rsidRDefault="002566B2" w:rsidP="008530DF">
      <w:pPr>
        <w:rPr>
          <w:rFonts w:cs="Segoe UI"/>
          <w:szCs w:val="22"/>
          <w:lang w:val="id"/>
        </w:rPr>
      </w:pPr>
      <w:r>
        <w:rPr>
          <w:rFonts w:cs="Segoe UI"/>
          <w:szCs w:val="22"/>
          <w:lang w:val="id"/>
        </w:rPr>
        <w:t>"Kami secara konsisten menjalankan strategi kami dengan fokus yang jelas pada pertumbuhan yang terarah, dan hasil kami menunjukkan keberhasilan pendekatan ini. Pada semester pertama tahun ini, kami mencatatkan kinerja bisnis yang sangat pesat secara keseluruhan sekaligus terus berinvestasi secara signifikan pada masa depan kami, termasuk merek, teknologi, dan inovasi</w:t>
      </w:r>
      <w:r w:rsidR="00903E17">
        <w:rPr>
          <w:rFonts w:cs="Segoe UI"/>
          <w:szCs w:val="22"/>
          <w:lang w:val="id"/>
        </w:rPr>
        <w:t xml:space="preserve"> kami</w:t>
      </w:r>
      <w:r>
        <w:rPr>
          <w:rFonts w:cs="Segoe UI"/>
          <w:szCs w:val="22"/>
          <w:lang w:val="id"/>
        </w:rPr>
        <w:t xml:space="preserve">. Selain itu, kami </w:t>
      </w:r>
      <w:r w:rsidR="005C3559">
        <w:rPr>
          <w:rFonts w:cs="Segoe UI"/>
          <w:szCs w:val="22"/>
          <w:lang w:val="id"/>
        </w:rPr>
        <w:t xml:space="preserve">juga </w:t>
      </w:r>
      <w:r>
        <w:rPr>
          <w:rFonts w:cs="Segoe UI"/>
          <w:szCs w:val="22"/>
          <w:lang w:val="id"/>
        </w:rPr>
        <w:t>secara signifikan mempercepat aktivitas M&amp;A kami</w:t>
      </w:r>
      <w:r w:rsidR="008A058D">
        <w:rPr>
          <w:rFonts w:cs="Segoe UI"/>
          <w:szCs w:val="22"/>
          <w:lang w:val="id"/>
        </w:rPr>
        <w:t xml:space="preserve"> dan</w:t>
      </w:r>
      <w:r>
        <w:rPr>
          <w:rFonts w:cs="Segoe UI"/>
          <w:szCs w:val="22"/>
          <w:lang w:val="id"/>
        </w:rPr>
        <w:t xml:space="preserve"> telah menyepakati lima akuisisi dengan total nilai sekitar 5 miliar euro yang akan secara substansial memperkuat dua unit bisnis kam</w:t>
      </w:r>
      <w:r w:rsidR="008A058D">
        <w:rPr>
          <w:rFonts w:cs="Segoe UI"/>
          <w:szCs w:val="22"/>
          <w:lang w:val="id"/>
        </w:rPr>
        <w:t>i</w:t>
      </w:r>
      <w:r w:rsidR="002C529C">
        <w:rPr>
          <w:rFonts w:cs="Segoe UI"/>
          <w:szCs w:val="22"/>
          <w:lang w:val="id"/>
        </w:rPr>
        <w:t>,</w:t>
      </w:r>
      <w:r w:rsidR="008A058D">
        <w:rPr>
          <w:rFonts w:cs="Segoe UI"/>
          <w:szCs w:val="22"/>
          <w:lang w:val="id"/>
        </w:rPr>
        <w:t xml:space="preserve"> </w:t>
      </w:r>
      <w:r w:rsidR="00CE62AC">
        <w:rPr>
          <w:rFonts w:cs="Segoe UI"/>
          <w:szCs w:val="22"/>
          <w:lang w:val="id"/>
        </w:rPr>
        <w:t>di</w:t>
      </w:r>
      <w:r w:rsidR="008A058D">
        <w:rPr>
          <w:rFonts w:cs="Segoe UI"/>
          <w:szCs w:val="22"/>
          <w:lang w:val="id"/>
        </w:rPr>
        <w:t xml:space="preserve"> mana e</w:t>
      </w:r>
      <w:r>
        <w:rPr>
          <w:rFonts w:cs="Segoe UI"/>
          <w:szCs w:val="22"/>
          <w:lang w:val="id"/>
        </w:rPr>
        <w:t>mpat di antaranya sudah dirampungkan. Dalam beberapa tahun mendatang, bisnis yang diakuisisi diharapkan akan menghasilkan pertumbuhan di atas rata-rata dalam kisaran persentase digit menengah hingga tinggi dan berkontribusi sekitar 2 miliar euro dalam tambahan penjualan tahunan. Hal ini menandai langkah penting lainnya dalam memajukan agenda pertumbuhan kami secara berkelanjutan," lanjut Carsten Knobel.</w:t>
      </w:r>
    </w:p>
    <w:p w14:paraId="68E01B8E" w14:textId="11501B86" w:rsidR="002566B2" w:rsidRPr="00903E17" w:rsidRDefault="002566B2" w:rsidP="002566B2">
      <w:pPr>
        <w:rPr>
          <w:rFonts w:cs="Segoe UI"/>
          <w:szCs w:val="22"/>
          <w:lang w:val="id"/>
        </w:rPr>
      </w:pPr>
    </w:p>
    <w:p w14:paraId="33735EE5" w14:textId="7F5C3730" w:rsidR="002566B2" w:rsidRPr="00903E17" w:rsidRDefault="002566B2" w:rsidP="002566B2">
      <w:pPr>
        <w:rPr>
          <w:rFonts w:cs="Segoe UI"/>
          <w:szCs w:val="22"/>
          <w:lang w:val="nb-NO"/>
        </w:rPr>
      </w:pPr>
      <w:r>
        <w:rPr>
          <w:rFonts w:cs="Segoe UI"/>
          <w:szCs w:val="22"/>
          <w:lang w:val="id"/>
        </w:rPr>
        <w:t xml:space="preserve">"Berdasarkan kinerja kami yang kuat di semester pertama tahun ini, kami telah meningkatkan target pertumbuhan penjualan kami baik untuk tingkat Grup maupun unit bisnis </w:t>
      </w:r>
      <w:r w:rsidR="00A67D8B" w:rsidRPr="00A67D8B">
        <w:rPr>
          <w:rFonts w:cs="Segoe UI"/>
          <w:szCs w:val="22"/>
          <w:lang w:val="id"/>
        </w:rPr>
        <w:t>Adhesive Technologies</w:t>
      </w:r>
      <w:r>
        <w:rPr>
          <w:rFonts w:cs="Segoe UI"/>
          <w:szCs w:val="22"/>
          <w:lang w:val="id"/>
        </w:rPr>
        <w:t xml:space="preserve">. Di tingkat Grup, </w:t>
      </w:r>
      <w:r w:rsidR="00CE62AC">
        <w:rPr>
          <w:rFonts w:cs="Segoe UI"/>
          <w:szCs w:val="22"/>
          <w:lang w:val="id"/>
        </w:rPr>
        <w:t>saat ini</w:t>
      </w:r>
      <w:r>
        <w:rPr>
          <w:rFonts w:cs="Segoe UI"/>
          <w:szCs w:val="22"/>
          <w:lang w:val="id"/>
        </w:rPr>
        <w:t xml:space="preserve"> kami memperkirakan pertumbuhan penjualan organik antara 1,5 dan 3,5 persen, </w:t>
      </w:r>
      <w:r w:rsidR="00B1445C">
        <w:rPr>
          <w:rFonts w:cs="Segoe UI"/>
          <w:szCs w:val="22"/>
          <w:lang w:val="id"/>
        </w:rPr>
        <w:t>dari</w:t>
      </w:r>
      <w:r>
        <w:rPr>
          <w:rFonts w:cs="Segoe UI"/>
          <w:szCs w:val="22"/>
          <w:lang w:val="id"/>
        </w:rPr>
        <w:t xml:space="preserve"> sebelumnya yaitu dari 1 hingga 3 persen. Untuk </w:t>
      </w:r>
      <w:r w:rsidR="00B1445C" w:rsidRPr="00A67D8B">
        <w:rPr>
          <w:rFonts w:cs="Segoe UI"/>
          <w:szCs w:val="22"/>
          <w:lang w:val="id"/>
        </w:rPr>
        <w:t>Adhesive Technologies</w:t>
      </w:r>
      <w:r>
        <w:rPr>
          <w:rFonts w:cs="Segoe UI"/>
          <w:szCs w:val="22"/>
          <w:lang w:val="id"/>
        </w:rPr>
        <w:t>, kami telah meningkatkan target pertumbuhan penjualan organik dari 1 hingga 3 persen menjadi 2 hingga 4 persen. Dengan demikian, kami terus melihat Henkel berada di jalur yang benar dalam mencatatkan pertumbuhan yang berkelanjutan dan menguntungkan."</w:t>
      </w:r>
    </w:p>
    <w:p w14:paraId="59F5F4F0" w14:textId="33EB48E6" w:rsidR="006D4D0C" w:rsidRPr="00903E17" w:rsidRDefault="006D4D0C" w:rsidP="001274FA">
      <w:pPr>
        <w:spacing w:after="120"/>
        <w:rPr>
          <w:rFonts w:cs="Segoe UI"/>
          <w:b/>
          <w:bCs/>
          <w:szCs w:val="22"/>
          <w:lang w:val="nb-NO"/>
        </w:rPr>
      </w:pPr>
    </w:p>
    <w:p w14:paraId="2706BE4B" w14:textId="38F76C90" w:rsidR="000C47D1" w:rsidRPr="00903E17" w:rsidRDefault="006D4D0C" w:rsidP="001274FA">
      <w:pPr>
        <w:spacing w:after="120"/>
        <w:rPr>
          <w:rFonts w:cs="Segoe UI"/>
          <w:b/>
          <w:bCs/>
          <w:szCs w:val="22"/>
          <w:lang w:val="nb-NO"/>
        </w:rPr>
      </w:pPr>
      <w:r>
        <w:rPr>
          <w:rFonts w:cs="Segoe UI"/>
          <w:b/>
          <w:bCs/>
          <w:szCs w:val="22"/>
          <w:lang w:val="id"/>
        </w:rPr>
        <w:t>Kinerja penjualan dan pendapatan Grup pada semester pertama tahun 2026</w:t>
      </w:r>
    </w:p>
    <w:p w14:paraId="0C3735E3" w14:textId="674B7944" w:rsidR="00E812A3" w:rsidRPr="00903E17" w:rsidRDefault="00E812A3" w:rsidP="00E812A3">
      <w:pPr>
        <w:rPr>
          <w:rFonts w:cs="Segoe UI"/>
          <w:szCs w:val="22"/>
          <w:lang w:val="id"/>
        </w:rPr>
      </w:pPr>
      <w:r>
        <w:rPr>
          <w:rFonts w:cs="Segoe UI"/>
          <w:szCs w:val="22"/>
          <w:lang w:val="id"/>
        </w:rPr>
        <w:t xml:space="preserve">Henkel mencatat </w:t>
      </w:r>
      <w:r>
        <w:rPr>
          <w:rFonts w:cs="Segoe UI"/>
          <w:b/>
          <w:bCs/>
          <w:szCs w:val="22"/>
          <w:lang w:val="id"/>
        </w:rPr>
        <w:t xml:space="preserve">penjualan Grup </w:t>
      </w:r>
      <w:r>
        <w:rPr>
          <w:rFonts w:cs="Segoe UI"/>
          <w:szCs w:val="22"/>
          <w:lang w:val="id"/>
        </w:rPr>
        <w:t>sebesar 10.348 juta euro pada semester pertama tahun 2026, setara dengan perkembangan nominal sebesar -0,5 persen (Q2: 5.396 juta euro, +4,6 persen). Efek valuta asing mengurangi penjualan sebesar -3,9 persen (Q2: -2,6 persen). Akuisisi dan divestasi memiliki dampak sedikit positif pada penjualan sebesar 0,2 persen (Q2: +2,5 persen). Sementara divestasi bisnis merek peritel di Amerika Utara pada April 2025 mengalami dampak negatif, akuisisi yang selesai di kedua unit bisnis pada paruh pertama tahun 2026 - terutama ATP Adhesive Systems dan Not Your Mother's - memberikan kontribusi positif. Dalam istilah organik, yaitu disesuaikan untuk efek valuta asing dan akuisisi/divestasi, Henkel mencatat pertumbuhan penjualan yang kuat sebesar 3,2 persen (Q2: +4,7 persen).</w:t>
      </w:r>
    </w:p>
    <w:p w14:paraId="5125CC31" w14:textId="55781F89" w:rsidR="00E812A3" w:rsidRPr="00903E17" w:rsidRDefault="00537B25" w:rsidP="00E812A3">
      <w:pPr>
        <w:rPr>
          <w:rFonts w:cs="Segoe UI"/>
          <w:szCs w:val="22"/>
          <w:lang w:val="id"/>
        </w:rPr>
      </w:pPr>
      <w:r>
        <w:rPr>
          <w:noProof/>
          <w:sz w:val="24"/>
          <w:lang w:val="id"/>
        </w:rPr>
        <mc:AlternateContent>
          <mc:Choice Requires="wps">
            <w:drawing>
              <wp:anchor distT="45720" distB="45720" distL="114300" distR="114300" simplePos="0" relativeHeight="251658240" behindDoc="0" locked="0" layoutInCell="1" allowOverlap="1" wp14:anchorId="3117CDF1" wp14:editId="562DB880">
                <wp:simplePos x="0" y="0"/>
                <wp:positionH relativeFrom="margin">
                  <wp:posOffset>-68700</wp:posOffset>
                </wp:positionH>
                <wp:positionV relativeFrom="paragraph">
                  <wp:posOffset>224344</wp:posOffset>
                </wp:positionV>
                <wp:extent cx="5413973" cy="232834"/>
                <wp:effectExtent l="0" t="0" r="0" b="0"/>
                <wp:wrapNone/>
                <wp:docPr id="214901967" name="Textfeld 2149019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3973" cy="2328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3A01C7" w14:textId="77777777" w:rsidR="00E810D3" w:rsidRPr="00CF56F5" w:rsidRDefault="00E810D3" w:rsidP="00E810D3">
                            <w:pPr>
                              <w:pStyle w:val="He04Funote"/>
                              <w:rPr>
                                <w:sz w:val="12"/>
                                <w:szCs w:val="12"/>
                              </w:rPr>
                            </w:pPr>
                            <w:r>
                              <w:rPr>
                                <w:sz w:val="12"/>
                                <w:szCs w:val="12"/>
                                <w:lang w:val="id"/>
                              </w:rPr>
                              <w:t>* Setelah disesuaikan dengan beban dan pemasukan tidak berulang, serta untuk pengeluaran restrukturisasi.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117CDF1" id="_x0000_t202" coordsize="21600,21600" o:spt="202" path="m,l,21600r21600,l21600,xe">
                <v:stroke joinstyle="miter"/>
                <v:path gradientshapeok="t" o:connecttype="rect"/>
              </v:shapetype>
              <v:shape id="Textfeld 214901967" o:spid="_x0000_s1026" type="#_x0000_t202" style="position:absolute;left:0;text-align:left;margin-left:-5.4pt;margin-top:17.65pt;width:426.3pt;height:18.3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" stroked="f">
                <v:textbox>
                  <w:txbxContent>
                    <w:p w14:paraId="1E3A01C7" w14:textId="77777777" w:rsidR="00E810D3" w:rsidRPr="00CF56F5" w:rsidRDefault="00E810D3" w:rsidP="00E810D3">
                      <w:pPr>
                        <w:pStyle w:val="He04Funote"/>
                        <w:rPr>
                          <w:sz w:val="12"/>
                          <w:szCs w:val="12"/>
                        </w:rPr>
                      </w:pPr>
                      <w:r>
                        <w:rPr>
                          <w:sz w:val="12"/>
                          <w:szCs w:val="12"/>
                          <w:lang w:val="id"/>
                        </w:rPr>
                        <w:t>* Setelah disesuaikan dengan beban dan pemasukan tidak berulang, serta untuk pengeluaran restrukturisasi.</w:t>
                      </w:r>
                    </w:p>
                  </w:txbxContent>
                </v:textbox>
                <w10:wrap anchorx="margin"/>
              </v:shape>
            </w:pict>
          </mc:Fallback>
        </mc:AlternateContent>
      </w:r>
    </w:p>
    <w:p w14:paraId="4EB6CF32" w14:textId="46D9FB90" w:rsidR="00E812A3" w:rsidRDefault="00E812A3" w:rsidP="00E812A3">
      <w:pPr>
        <w:rPr>
          <w:rFonts w:cs="Segoe UI"/>
          <w:szCs w:val="22"/>
          <w:lang w:val="id"/>
        </w:rPr>
      </w:pPr>
      <w:r>
        <w:rPr>
          <w:rFonts w:cs="Segoe UI"/>
          <w:szCs w:val="22"/>
          <w:lang w:val="id"/>
        </w:rPr>
        <w:lastRenderedPageBreak/>
        <w:t xml:space="preserve">Unit bisnis </w:t>
      </w:r>
      <w:r w:rsidR="00FC5541" w:rsidRPr="00FC5541">
        <w:rPr>
          <w:rFonts w:cs="Segoe UI"/>
          <w:b/>
          <w:bCs/>
          <w:szCs w:val="22"/>
          <w:lang w:val="id"/>
        </w:rPr>
        <w:t xml:space="preserve">Adhesive Technologies </w:t>
      </w:r>
      <w:r>
        <w:rPr>
          <w:rFonts w:cs="Segoe UI"/>
          <w:szCs w:val="22"/>
          <w:lang w:val="id"/>
        </w:rPr>
        <w:t xml:space="preserve">mencatatkan pertumbuhan penjualan organik yang sangat kuat sebesar 4,5 persen (Q2: +7,4 persen), pada semester pertama tahun 2026, terutama didorong oleh lini bisnis </w:t>
      </w:r>
      <w:r w:rsidR="00866D6F" w:rsidRPr="00866D6F">
        <w:rPr>
          <w:rFonts w:cs="Segoe UI"/>
          <w:szCs w:val="22"/>
          <w:lang w:val="id"/>
        </w:rPr>
        <w:t>Mobility &amp; Electronics</w:t>
      </w:r>
      <w:r>
        <w:rPr>
          <w:rFonts w:cs="Segoe UI"/>
          <w:szCs w:val="22"/>
          <w:lang w:val="id"/>
        </w:rPr>
        <w:t xml:space="preserve">. Unit bisnis </w:t>
      </w:r>
      <w:r w:rsidR="009E3800" w:rsidRPr="009E3800">
        <w:rPr>
          <w:rFonts w:cs="Segoe UI"/>
          <w:b/>
          <w:bCs/>
          <w:szCs w:val="22"/>
          <w:lang w:val="id"/>
        </w:rPr>
        <w:t>Consumer Brands</w:t>
      </w:r>
      <w:r>
        <w:rPr>
          <w:rFonts w:cs="Segoe UI"/>
          <w:b/>
          <w:bCs/>
          <w:szCs w:val="22"/>
          <w:lang w:val="id"/>
        </w:rPr>
        <w:t xml:space="preserve"> </w:t>
      </w:r>
      <w:r>
        <w:rPr>
          <w:rFonts w:cs="Segoe UI"/>
          <w:szCs w:val="22"/>
          <w:lang w:val="id"/>
        </w:rPr>
        <w:t xml:space="preserve">juga melaporkan perkembangan positif, dengan pertumbuhan penjualan organik yang baik sebesar 1,7 persen (Q2: +1,6 persen), terutama didorong oleh peningkatan yang sangat kuat di lini bisnis </w:t>
      </w:r>
      <w:r w:rsidR="00C356CE" w:rsidRPr="00C356CE">
        <w:rPr>
          <w:rFonts w:cs="Segoe UI"/>
          <w:szCs w:val="22"/>
          <w:lang w:val="id"/>
        </w:rPr>
        <w:t>Hair</w:t>
      </w:r>
      <w:r>
        <w:rPr>
          <w:rFonts w:cs="Segoe UI"/>
          <w:szCs w:val="22"/>
          <w:lang w:val="id"/>
        </w:rPr>
        <w:t>.</w:t>
      </w:r>
    </w:p>
    <w:p w14:paraId="6607A23A" w14:textId="77777777" w:rsidR="00C356CE" w:rsidRPr="00903E17" w:rsidRDefault="00C356CE" w:rsidP="00E812A3">
      <w:pPr>
        <w:rPr>
          <w:rFonts w:cs="Segoe UI"/>
          <w:szCs w:val="22"/>
          <w:lang w:val="id"/>
        </w:rPr>
      </w:pPr>
    </w:p>
    <w:p w14:paraId="25B9A9F2" w14:textId="744AD424" w:rsidR="00211BA0" w:rsidRPr="00903E17" w:rsidRDefault="00211BA0" w:rsidP="00211BA0">
      <w:pPr>
        <w:rPr>
          <w:rFonts w:cs="Segoe UI"/>
          <w:szCs w:val="22"/>
          <w:lang w:val="nb-NO"/>
        </w:rPr>
      </w:pPr>
      <w:r>
        <w:rPr>
          <w:rFonts w:cs="Segoe UI"/>
          <w:szCs w:val="22"/>
          <w:lang w:val="id"/>
        </w:rPr>
        <w:t xml:space="preserve">Wilayah </w:t>
      </w:r>
      <w:r>
        <w:rPr>
          <w:rFonts w:cs="Segoe UI"/>
          <w:b/>
          <w:bCs/>
          <w:szCs w:val="22"/>
          <w:lang w:val="id"/>
        </w:rPr>
        <w:t>Eropa</w:t>
      </w:r>
      <w:r>
        <w:rPr>
          <w:rFonts w:cs="Segoe UI"/>
          <w:szCs w:val="22"/>
          <w:lang w:val="id"/>
        </w:rPr>
        <w:t xml:space="preserve"> mencatat perkembangan penjualan organik negatif sebesar -1,5 persen (Q2: +0,4 persen). Sebaliknya, </w:t>
      </w:r>
      <w:r>
        <w:rPr>
          <w:rFonts w:cs="Segoe UI"/>
          <w:b/>
          <w:bCs/>
          <w:szCs w:val="22"/>
          <w:lang w:val="id"/>
        </w:rPr>
        <w:t>Amerika Utara</w:t>
      </w:r>
      <w:r>
        <w:rPr>
          <w:rFonts w:cs="Segoe UI"/>
          <w:szCs w:val="22"/>
          <w:lang w:val="id"/>
        </w:rPr>
        <w:t xml:space="preserve"> mencapai pertumbuhan organik yang baik sebesar 2,4 persen (Q2: +3,9 persen). Di kawasan </w:t>
      </w:r>
      <w:r>
        <w:rPr>
          <w:rFonts w:cs="Segoe UI"/>
          <w:b/>
          <w:bCs/>
          <w:szCs w:val="22"/>
          <w:lang w:val="id"/>
        </w:rPr>
        <w:t>IMEA</w:t>
      </w:r>
      <w:r>
        <w:rPr>
          <w:rFonts w:cs="Segoe UI"/>
          <w:szCs w:val="22"/>
          <w:lang w:val="id"/>
        </w:rPr>
        <w:t xml:space="preserve"> dan </w:t>
      </w:r>
      <w:r>
        <w:rPr>
          <w:rFonts w:cs="Segoe UI"/>
          <w:b/>
          <w:bCs/>
          <w:szCs w:val="22"/>
          <w:lang w:val="id"/>
        </w:rPr>
        <w:t>Asia Pasifik</w:t>
      </w:r>
      <w:r>
        <w:rPr>
          <w:rFonts w:cs="Segoe UI"/>
          <w:szCs w:val="22"/>
          <w:lang w:val="id"/>
        </w:rPr>
        <w:t xml:space="preserve">, Henkel mencapai pertumbuhan penjualan organik dua digit masing-masing sebesar 14,9 persen (Q2: +17,4 persen) dan 10,3 persen (Q2: +10,3 persen). Sebaliknya, wilayah </w:t>
      </w:r>
      <w:r>
        <w:rPr>
          <w:rFonts w:cs="Segoe UI"/>
          <w:b/>
          <w:bCs/>
          <w:szCs w:val="22"/>
          <w:lang w:val="id"/>
        </w:rPr>
        <w:t>Amerika Latin</w:t>
      </w:r>
      <w:r>
        <w:rPr>
          <w:rFonts w:cs="Segoe UI"/>
          <w:szCs w:val="22"/>
          <w:lang w:val="id"/>
        </w:rPr>
        <w:t xml:space="preserve"> mencatat perkembangan penjualan organik yang sedikit negatif sebesar -1,3 persen (Q2: +0,5 persen).</w:t>
      </w:r>
    </w:p>
    <w:p w14:paraId="0C44AA06" w14:textId="77777777" w:rsidR="00211BA0" w:rsidRPr="00903E17" w:rsidRDefault="00211BA0" w:rsidP="00211BA0">
      <w:pPr>
        <w:rPr>
          <w:rFonts w:cs="Segoe UI"/>
          <w:szCs w:val="22"/>
          <w:lang w:val="nb-NO"/>
        </w:rPr>
      </w:pPr>
    </w:p>
    <w:p w14:paraId="722810C9" w14:textId="5EB97830" w:rsidR="000311F4" w:rsidRPr="00903E17" w:rsidRDefault="003663FD" w:rsidP="00211BA0">
      <w:pPr>
        <w:rPr>
          <w:rFonts w:cs="Segoe UI"/>
          <w:szCs w:val="22"/>
          <w:lang w:val="nb-NO"/>
        </w:rPr>
      </w:pPr>
      <w:r>
        <w:rPr>
          <w:rFonts w:cs="Segoe UI"/>
          <w:b/>
          <w:bCs/>
          <w:szCs w:val="22"/>
          <w:lang w:val="id"/>
        </w:rPr>
        <w:t>Laba operasional yang disesuaikan (EBIT yang disesuaikan)</w:t>
      </w:r>
      <w:r>
        <w:rPr>
          <w:rFonts w:cs="Segoe UI"/>
          <w:szCs w:val="22"/>
          <w:lang w:val="id"/>
        </w:rPr>
        <w:t xml:space="preserve"> mencapai 1.620 juta euro, sedikit di atas angka tahun sebelumnya sebesar 1.614 juta euro. </w:t>
      </w:r>
    </w:p>
    <w:p w14:paraId="02E68EC1" w14:textId="77777777" w:rsidR="000311F4" w:rsidRPr="00903E17" w:rsidRDefault="000311F4" w:rsidP="000311F4">
      <w:pPr>
        <w:rPr>
          <w:rFonts w:cs="Segoe UI"/>
          <w:szCs w:val="22"/>
          <w:lang w:val="nb-NO"/>
        </w:rPr>
      </w:pPr>
    </w:p>
    <w:p w14:paraId="7D455914" w14:textId="1C241BB5" w:rsidR="000311F4" w:rsidRPr="00903E17" w:rsidRDefault="000311F4" w:rsidP="000311F4">
      <w:pPr>
        <w:rPr>
          <w:rFonts w:cs="Segoe UI"/>
          <w:szCs w:val="22"/>
          <w:lang w:val="nb-NO"/>
        </w:rPr>
      </w:pPr>
      <w:r>
        <w:rPr>
          <w:rFonts w:cs="Segoe UI"/>
          <w:b/>
          <w:bCs/>
          <w:szCs w:val="22"/>
          <w:lang w:val="id"/>
        </w:rPr>
        <w:t>Laba atas penjualan yang disesuaikan (margin EBIT yang disesuaikan)</w:t>
      </w:r>
      <w:r>
        <w:rPr>
          <w:rFonts w:cs="Segoe UI"/>
          <w:szCs w:val="22"/>
          <w:lang w:val="id"/>
        </w:rPr>
        <w:t xml:space="preserve"> dari Henkel Group juga meningkat menjadi 15,7 persen (tahun sebelumnya: 15,5 persen).</w:t>
      </w:r>
    </w:p>
    <w:p w14:paraId="4415DB2B" w14:textId="77777777" w:rsidR="000311F4" w:rsidRPr="00903E17" w:rsidRDefault="000311F4" w:rsidP="000311F4">
      <w:pPr>
        <w:rPr>
          <w:rFonts w:cs="Segoe UI"/>
          <w:szCs w:val="22"/>
          <w:lang w:val="nb-NO"/>
        </w:rPr>
      </w:pPr>
    </w:p>
    <w:p w14:paraId="4F5EEB63" w14:textId="23DABB61" w:rsidR="000311F4" w:rsidRPr="00903E17" w:rsidRDefault="003663FD" w:rsidP="000311F4">
      <w:pPr>
        <w:rPr>
          <w:rFonts w:cs="Segoe UI"/>
          <w:szCs w:val="22"/>
          <w:lang w:val="nb-NO"/>
        </w:rPr>
      </w:pPr>
      <w:bookmarkStart w:id="3" w:name="_Hlk190081485"/>
      <w:r>
        <w:rPr>
          <w:rFonts w:cs="Segoe UI"/>
          <w:b/>
          <w:bCs/>
          <w:szCs w:val="22"/>
          <w:lang w:val="id"/>
        </w:rPr>
        <w:t>Penyesuaian laba per saham preferen</w:t>
      </w:r>
      <w:r>
        <w:rPr>
          <w:rFonts w:cs="Segoe UI"/>
          <w:szCs w:val="22"/>
          <w:lang w:val="id"/>
        </w:rPr>
        <w:t xml:space="preserve"> naik 1,8 persen menjadi 2,86 euro (tahun sebelumnya: 2,81 euro). Pada nilai tukar konstan, laba yang disesuaikan per saham preferen meningkat sebesar 7,1 persen.</w:t>
      </w:r>
    </w:p>
    <w:p w14:paraId="4A7BE388" w14:textId="77777777" w:rsidR="000311F4" w:rsidRPr="00903E17" w:rsidRDefault="000311F4" w:rsidP="000311F4">
      <w:pPr>
        <w:rPr>
          <w:rFonts w:cs="Segoe UI"/>
          <w:szCs w:val="22"/>
          <w:lang w:val="nb-NO"/>
        </w:rPr>
      </w:pPr>
    </w:p>
    <w:bookmarkEnd w:id="3"/>
    <w:p w14:paraId="2D4BE88B" w14:textId="55EB6419" w:rsidR="000311F4" w:rsidRPr="00903E17" w:rsidRDefault="003663FD" w:rsidP="000311F4">
      <w:pPr>
        <w:rPr>
          <w:rFonts w:cs="Segoe UI"/>
          <w:szCs w:val="22"/>
          <w:lang w:val="nb-NO"/>
        </w:rPr>
      </w:pPr>
      <w:r>
        <w:rPr>
          <w:rFonts w:cs="Segoe UI"/>
          <w:szCs w:val="22"/>
          <w:lang w:val="id"/>
        </w:rPr>
        <w:t xml:space="preserve">Rasio </w:t>
      </w:r>
      <w:r>
        <w:rPr>
          <w:rFonts w:cs="Segoe UI"/>
          <w:b/>
          <w:bCs/>
          <w:szCs w:val="22"/>
          <w:lang w:val="id"/>
        </w:rPr>
        <w:t>Modal kerja bersih</w:t>
      </w:r>
      <w:r>
        <w:rPr>
          <w:rFonts w:cs="Segoe UI"/>
          <w:szCs w:val="22"/>
          <w:lang w:val="id"/>
        </w:rPr>
        <w:t xml:space="preserve"> terhadap penjualan kuartal kedua baik dari 6,0 persen menjadi 7,0 persen dibandingkan dengan periode yang sama pada tahun sebelumnya, yang salah satunya dipicu oleh akuisisi.</w:t>
      </w:r>
    </w:p>
    <w:p w14:paraId="5424E5ED" w14:textId="77777777" w:rsidR="000311F4" w:rsidRPr="00903E17" w:rsidRDefault="000311F4" w:rsidP="000311F4">
      <w:pPr>
        <w:rPr>
          <w:rFonts w:cs="Segoe UI"/>
          <w:szCs w:val="22"/>
          <w:lang w:val="nb-NO"/>
        </w:rPr>
      </w:pPr>
    </w:p>
    <w:p w14:paraId="52A4DE57" w14:textId="1B8FCC29" w:rsidR="000311F4" w:rsidRPr="00903E17" w:rsidRDefault="005D4737" w:rsidP="005D4737">
      <w:pPr>
        <w:rPr>
          <w:rFonts w:cs="Segoe UI"/>
          <w:szCs w:val="22"/>
          <w:lang w:val="nb-NO"/>
        </w:rPr>
      </w:pPr>
      <w:r>
        <w:rPr>
          <w:rFonts w:cs="Segoe UI"/>
          <w:b/>
          <w:bCs/>
          <w:szCs w:val="22"/>
          <w:lang w:val="id"/>
        </w:rPr>
        <w:t xml:space="preserve">Arus kas bebas </w:t>
      </w:r>
      <w:r>
        <w:rPr>
          <w:rFonts w:cs="Segoe UI"/>
          <w:szCs w:val="22"/>
          <w:lang w:val="id"/>
        </w:rPr>
        <w:t>meningkat menjadi 612 juta euro (semester pertama 2025: 485 juta euro),</w:t>
      </w:r>
      <w:r>
        <w:rPr>
          <w:rFonts w:cs="Segoe UI"/>
          <w:b/>
          <w:bCs/>
          <w:szCs w:val="22"/>
          <w:lang w:val="id"/>
        </w:rPr>
        <w:t xml:space="preserve"> </w:t>
      </w:r>
      <w:r>
        <w:rPr>
          <w:rFonts w:cs="Segoe UI"/>
          <w:szCs w:val="22"/>
          <w:lang w:val="id"/>
        </w:rPr>
        <w:t>terutama karena arus kas yang lebih tinggi dari aktivitas operasional.</w:t>
      </w:r>
    </w:p>
    <w:p w14:paraId="2DA96DA1" w14:textId="77777777" w:rsidR="005D4737" w:rsidRPr="00903E17" w:rsidRDefault="005D4737" w:rsidP="005D4737">
      <w:pPr>
        <w:rPr>
          <w:rFonts w:cs="Segoe UI"/>
          <w:szCs w:val="22"/>
          <w:lang w:val="nb-NO"/>
        </w:rPr>
      </w:pPr>
    </w:p>
    <w:p w14:paraId="64A8E4B0" w14:textId="224C8E3D" w:rsidR="000311F4" w:rsidRPr="00903E17" w:rsidRDefault="000311F4" w:rsidP="000311F4">
      <w:pPr>
        <w:rPr>
          <w:rFonts w:cs="Segoe UI"/>
          <w:szCs w:val="22"/>
          <w:lang w:val="nb-NO"/>
        </w:rPr>
      </w:pPr>
      <w:r>
        <w:rPr>
          <w:rFonts w:cs="Segoe UI"/>
          <w:b/>
          <w:bCs/>
          <w:szCs w:val="22"/>
          <w:lang w:val="id"/>
        </w:rPr>
        <w:t>Posisi keuangan bersih</w:t>
      </w:r>
      <w:r>
        <w:rPr>
          <w:rFonts w:cs="Segoe UI"/>
          <w:szCs w:val="22"/>
          <w:lang w:val="id"/>
        </w:rPr>
        <w:t xml:space="preserve"> berada pada -1.855 juta euro per 30 Juni 2026 (31 Desember 2025: 109 juta euro), yang utamanya dipengaruhi arus kas yang keluar terkait penyelesaian akuisisi dan program pembelian kembali saham.</w:t>
      </w:r>
    </w:p>
    <w:p w14:paraId="247B272B" w14:textId="77777777" w:rsidR="000311F4" w:rsidRPr="00903E17" w:rsidRDefault="000311F4" w:rsidP="000311F4">
      <w:pPr>
        <w:rPr>
          <w:rFonts w:cs="Segoe UI"/>
          <w:szCs w:val="22"/>
          <w:lang w:val="nb-NO"/>
        </w:rPr>
      </w:pPr>
    </w:p>
    <w:p w14:paraId="4649C4D4" w14:textId="42D9D5A2" w:rsidR="00846017" w:rsidRPr="00903E17" w:rsidRDefault="00DE4DB3" w:rsidP="00CD1F32">
      <w:pPr>
        <w:spacing w:after="120"/>
        <w:rPr>
          <w:rFonts w:cs="Segoe UI"/>
          <w:b/>
          <w:bCs/>
          <w:szCs w:val="22"/>
          <w:lang w:val="nb-NO"/>
        </w:rPr>
      </w:pPr>
      <w:r>
        <w:rPr>
          <w:rFonts w:cs="Segoe UI"/>
          <w:b/>
          <w:bCs/>
          <w:szCs w:val="22"/>
          <w:lang w:val="id"/>
        </w:rPr>
        <w:t>Kinerja unit bisnis pada semester pertama tahun fiskal 2026</w:t>
      </w:r>
    </w:p>
    <w:p w14:paraId="6A3D995D" w14:textId="2360F83B" w:rsidR="005D4737" w:rsidRPr="00903E17" w:rsidRDefault="00B312F1" w:rsidP="00B312F1">
      <w:pPr>
        <w:rPr>
          <w:rFonts w:cs="Segoe UI"/>
          <w:szCs w:val="22"/>
          <w:lang w:val="id"/>
        </w:rPr>
      </w:pPr>
      <w:r>
        <w:rPr>
          <w:rFonts w:cs="Segoe UI"/>
          <w:b/>
          <w:bCs/>
          <w:szCs w:val="22"/>
          <w:lang w:val="id"/>
        </w:rPr>
        <w:t>Penjualan</w:t>
      </w:r>
      <w:r>
        <w:rPr>
          <w:rFonts w:cs="Segoe UI"/>
          <w:szCs w:val="22"/>
          <w:lang w:val="id"/>
        </w:rPr>
        <w:t xml:space="preserve"> di unit bisnis </w:t>
      </w:r>
      <w:r w:rsidR="004928B7" w:rsidRPr="004928B7">
        <w:rPr>
          <w:rFonts w:cs="Segoe UI"/>
          <w:b/>
          <w:bCs/>
          <w:szCs w:val="22"/>
          <w:lang w:val="id"/>
        </w:rPr>
        <w:t>Adhesive Technologies</w:t>
      </w:r>
      <w:r>
        <w:rPr>
          <w:rFonts w:cs="Segoe UI"/>
          <w:szCs w:val="22"/>
          <w:lang w:val="id"/>
        </w:rPr>
        <w:t xml:space="preserve"> meningkat 2,2 persen secara nominal menjadi 5.534 juta euro pada semester pertama tahun 2026 (Q2: 2.908 juta euro, +7,6 persen). Secara </w:t>
      </w:r>
      <w:r>
        <w:rPr>
          <w:rFonts w:cs="Segoe UI"/>
          <w:b/>
          <w:bCs/>
          <w:szCs w:val="22"/>
          <w:lang w:val="id"/>
        </w:rPr>
        <w:t>organik</w:t>
      </w:r>
      <w:r>
        <w:rPr>
          <w:rFonts w:cs="Segoe UI"/>
          <w:szCs w:val="22"/>
          <w:lang w:val="id"/>
        </w:rPr>
        <w:t xml:space="preserve">, </w:t>
      </w:r>
      <w:r w:rsidR="00F636EE" w:rsidRPr="00F636EE">
        <w:rPr>
          <w:rFonts w:cs="Segoe UI"/>
          <w:szCs w:val="22"/>
          <w:lang w:val="id"/>
        </w:rPr>
        <w:t>Adhesive Technologies</w:t>
      </w:r>
      <w:r>
        <w:rPr>
          <w:rFonts w:cs="Segoe UI"/>
          <w:szCs w:val="22"/>
          <w:lang w:val="id"/>
        </w:rPr>
        <w:t xml:space="preserve"> mencapai pertumbuhan penjualan yang sangat kuat sebesar </w:t>
      </w:r>
      <w:r>
        <w:rPr>
          <w:rFonts w:cs="Segoe UI"/>
          <w:szCs w:val="22"/>
          <w:lang w:val="id"/>
        </w:rPr>
        <w:lastRenderedPageBreak/>
        <w:t>4,5 persen (Q2: +7,4 persen). Pertumbuhan ini dipicu oleh perkembangan harga dan volume yang positif.</w:t>
      </w:r>
    </w:p>
    <w:p w14:paraId="7DCABAF6" w14:textId="77777777" w:rsidR="005D4737" w:rsidRPr="00903E17" w:rsidRDefault="005D4737" w:rsidP="00B312F1">
      <w:pPr>
        <w:rPr>
          <w:rFonts w:cs="Segoe UI"/>
          <w:szCs w:val="22"/>
          <w:lang w:val="id"/>
        </w:rPr>
      </w:pPr>
    </w:p>
    <w:p w14:paraId="17A3AF2D" w14:textId="1B4BF49E" w:rsidR="005D4737" w:rsidRPr="00903E17" w:rsidRDefault="005D4737" w:rsidP="005D4737">
      <w:pPr>
        <w:rPr>
          <w:rFonts w:eastAsia="Segoe UI" w:cs="Segoe UI"/>
          <w:szCs w:val="18"/>
          <w:lang w:val="id"/>
        </w:rPr>
      </w:pPr>
      <w:r>
        <w:rPr>
          <w:rFonts w:eastAsia="Segoe UI" w:cs="Segoe UI"/>
          <w:szCs w:val="18"/>
          <w:lang w:val="id"/>
        </w:rPr>
        <w:t xml:space="preserve">Di seluruh lini bisnis, pertumbuhan penjualan organik di unit bisnis </w:t>
      </w:r>
      <w:r w:rsidR="007740E2" w:rsidRPr="007740E2">
        <w:rPr>
          <w:rFonts w:eastAsia="Segoe UI" w:cs="Segoe UI"/>
          <w:szCs w:val="18"/>
          <w:lang w:val="id"/>
        </w:rPr>
        <w:t>Adhesive Technologies</w:t>
      </w:r>
      <w:r>
        <w:rPr>
          <w:rFonts w:eastAsia="Segoe UI" w:cs="Segoe UI"/>
          <w:szCs w:val="18"/>
          <w:lang w:val="id"/>
        </w:rPr>
        <w:t xml:space="preserve"> pada semester pertama tahun ini utamanya dipicu oleh peningkatan penjualan organik yang signifikan sebesar 7,8 persen di area bisnis </w:t>
      </w:r>
      <w:r w:rsidR="009C3FCE" w:rsidRPr="009C3FCE">
        <w:rPr>
          <w:rFonts w:eastAsia="Segoe UI" w:cs="Segoe UI"/>
          <w:b/>
          <w:bCs/>
          <w:szCs w:val="18"/>
          <w:lang w:val="id"/>
        </w:rPr>
        <w:t>Mobility &amp; Electronics</w:t>
      </w:r>
      <w:r>
        <w:rPr>
          <w:rFonts w:eastAsia="Segoe UI" w:cs="Segoe UI"/>
          <w:b/>
          <w:bCs/>
          <w:szCs w:val="18"/>
          <w:lang w:val="id"/>
        </w:rPr>
        <w:t xml:space="preserve"> </w:t>
      </w:r>
      <w:r>
        <w:rPr>
          <w:rFonts w:eastAsia="Segoe UI" w:cs="Segoe UI"/>
          <w:szCs w:val="18"/>
          <w:lang w:val="id"/>
        </w:rPr>
        <w:t>(Q2: +8,8 persen). Pertumbuhan ini didukung oleh pertumbuhan penjualan organik dua digit dalam bisnis Ele</w:t>
      </w:r>
      <w:r w:rsidR="00151E26">
        <w:rPr>
          <w:rFonts w:eastAsia="Segoe UI" w:cs="Segoe UI"/>
          <w:szCs w:val="18"/>
          <w:lang w:val="id"/>
        </w:rPr>
        <w:t>c</w:t>
      </w:r>
      <w:r>
        <w:rPr>
          <w:rFonts w:eastAsia="Segoe UI" w:cs="Segoe UI"/>
          <w:szCs w:val="18"/>
          <w:lang w:val="id"/>
        </w:rPr>
        <w:t>troni</w:t>
      </w:r>
      <w:r w:rsidR="00E80181">
        <w:rPr>
          <w:rFonts w:eastAsia="Segoe UI" w:cs="Segoe UI"/>
          <w:szCs w:val="18"/>
          <w:lang w:val="id"/>
        </w:rPr>
        <w:t>c</w:t>
      </w:r>
      <w:r>
        <w:rPr>
          <w:rFonts w:eastAsia="Segoe UI" w:cs="Segoe UI"/>
          <w:szCs w:val="18"/>
          <w:lang w:val="id"/>
        </w:rPr>
        <w:t xml:space="preserve"> dan peningkatan penjualan organik yang signifikan dalam bisnis Industr</w:t>
      </w:r>
      <w:r w:rsidR="00C26CB5">
        <w:rPr>
          <w:rFonts w:eastAsia="Segoe UI" w:cs="Segoe UI"/>
          <w:szCs w:val="18"/>
          <w:lang w:val="id"/>
        </w:rPr>
        <w:t>y</w:t>
      </w:r>
      <w:r>
        <w:rPr>
          <w:rFonts w:eastAsia="Segoe UI" w:cs="Segoe UI"/>
          <w:szCs w:val="18"/>
          <w:lang w:val="id"/>
        </w:rPr>
        <w:t xml:space="preserve">. Sebaliknya, bisnis </w:t>
      </w:r>
      <w:r w:rsidR="007E678C" w:rsidRPr="007E678C">
        <w:rPr>
          <w:rFonts w:eastAsia="Segoe UI" w:cs="Segoe UI"/>
          <w:szCs w:val="18"/>
          <w:lang w:val="id"/>
        </w:rPr>
        <w:t xml:space="preserve">Automotive </w:t>
      </w:r>
      <w:r>
        <w:rPr>
          <w:rFonts w:eastAsia="Segoe UI" w:cs="Segoe UI"/>
          <w:szCs w:val="18"/>
          <w:lang w:val="id"/>
        </w:rPr>
        <w:t xml:space="preserve">secara keseluruhan menurun pada paruh pertama tahun ini, tetapi menunjukkan peningkatan pada kuartal kedua dengan pertumbuhan penjualan organik yang baik. Area bisnis </w:t>
      </w:r>
      <w:r w:rsidR="00853F57" w:rsidRPr="00853F57">
        <w:rPr>
          <w:rFonts w:eastAsia="Segoe UI" w:cs="Segoe UI"/>
          <w:b/>
          <w:bCs/>
          <w:szCs w:val="18"/>
          <w:lang w:val="id"/>
        </w:rPr>
        <w:t xml:space="preserve">Packaging &amp; Consumer Goods </w:t>
      </w:r>
      <w:r>
        <w:rPr>
          <w:rFonts w:eastAsia="Segoe UI" w:cs="Segoe UI"/>
          <w:szCs w:val="18"/>
          <w:lang w:val="id"/>
        </w:rPr>
        <w:t>mencapai pertumbuhan penjualan organik yang sangat pesat sebesar 4,7 persen, yang dipicu kuatnya pertumbuhan bisnis</w:t>
      </w:r>
      <w:r w:rsidR="0003729D" w:rsidRPr="00631EC5">
        <w:rPr>
          <w:rFonts w:eastAsia="Segoe UI" w:cs="Segoe UI"/>
          <w:szCs w:val="18"/>
          <w:lang w:val="id"/>
        </w:rPr>
        <w:t xml:space="preserve"> Packaging</w:t>
      </w:r>
      <w:r>
        <w:rPr>
          <w:rFonts w:eastAsia="Segoe UI" w:cs="Segoe UI"/>
          <w:szCs w:val="18"/>
          <w:lang w:val="id"/>
        </w:rPr>
        <w:t xml:space="preserve"> dan peningkatan penjualan organik yang sangat kuat dalam bisnis </w:t>
      </w:r>
      <w:r w:rsidR="00631EC5" w:rsidRPr="00631EC5">
        <w:rPr>
          <w:rFonts w:eastAsia="Segoe UI" w:cs="Segoe UI"/>
          <w:szCs w:val="18"/>
          <w:lang w:val="id"/>
        </w:rPr>
        <w:t>Consumer Goods</w:t>
      </w:r>
      <w:r>
        <w:rPr>
          <w:rFonts w:eastAsia="Segoe UI" w:cs="Segoe UI"/>
          <w:szCs w:val="18"/>
          <w:lang w:val="id"/>
        </w:rPr>
        <w:t xml:space="preserve"> (Q2: +9,1 persen). Perkembangan ini juga didukung oleh aksi pembelian di awal oleh pelanggan sebagai respons terhadap ketidakpastian geopolitik. Lini bisnis </w:t>
      </w:r>
      <w:r w:rsidR="003F7B5B" w:rsidRPr="00C16FAB">
        <w:rPr>
          <w:rFonts w:eastAsia="Segoe UI" w:cs="Segoe UI"/>
          <w:b/>
          <w:bCs/>
          <w:szCs w:val="18"/>
          <w:lang w:val="id"/>
        </w:rPr>
        <w:t>Craftsmen, Construction &amp; Professional</w:t>
      </w:r>
      <w:r w:rsidR="003F7B5B">
        <w:rPr>
          <w:rFonts w:eastAsia="Segoe UI" w:cs="Segoe UI"/>
          <w:szCs w:val="18"/>
          <w:lang w:val="id"/>
        </w:rPr>
        <w:t xml:space="preserve"> </w:t>
      </w:r>
      <w:r>
        <w:rPr>
          <w:rFonts w:eastAsia="Segoe UI" w:cs="Segoe UI"/>
          <w:szCs w:val="18"/>
          <w:lang w:val="id"/>
        </w:rPr>
        <w:t xml:space="preserve">mencatat pertumbuhan penjualan organik sebesar 1,0 persen (Q2: +4,4 persen). Pertumbuhan ini utamanya dipicu oleh peningkatan penjualan organik yang pesat dalam bisnis </w:t>
      </w:r>
      <w:r w:rsidR="00C16FAB" w:rsidRPr="00C16FAB">
        <w:rPr>
          <w:rFonts w:eastAsia="Segoe UI" w:cs="Segoe UI"/>
          <w:szCs w:val="18"/>
          <w:lang w:val="id"/>
        </w:rPr>
        <w:t>General Manufacturing &amp; Maintenance</w:t>
      </w:r>
      <w:r>
        <w:rPr>
          <w:rFonts w:eastAsia="Segoe UI" w:cs="Segoe UI"/>
          <w:szCs w:val="18"/>
          <w:lang w:val="id"/>
        </w:rPr>
        <w:t xml:space="preserve">, sementara bisnis </w:t>
      </w:r>
      <w:r w:rsidR="00F042E4" w:rsidRPr="00E80181">
        <w:rPr>
          <w:rFonts w:eastAsia="Segoe UI" w:cs="Segoe UI"/>
          <w:szCs w:val="18"/>
          <w:lang w:val="id"/>
        </w:rPr>
        <w:t>Consumer &amp; Construction</w:t>
      </w:r>
      <w:r>
        <w:rPr>
          <w:rFonts w:eastAsia="Segoe UI" w:cs="Segoe UI"/>
          <w:szCs w:val="18"/>
          <w:lang w:val="id"/>
        </w:rPr>
        <w:t xml:space="preserve"> mencatat perkembangan penjualan organik yang sedikit negatif.</w:t>
      </w:r>
      <w:r w:rsidR="004065BA">
        <w:rPr>
          <w:rFonts w:eastAsia="Segoe UI" w:cs="Segoe UI"/>
          <w:szCs w:val="18"/>
          <w:lang w:val="id"/>
        </w:rPr>
        <w:t xml:space="preserve"> </w:t>
      </w:r>
    </w:p>
    <w:p w14:paraId="27A9A0CF" w14:textId="77777777" w:rsidR="005D4737" w:rsidRPr="00903E17" w:rsidRDefault="005D4737" w:rsidP="00B312F1">
      <w:pPr>
        <w:rPr>
          <w:rFonts w:cs="Segoe UI"/>
          <w:szCs w:val="22"/>
          <w:highlight w:val="yellow"/>
          <w:lang w:val="id"/>
        </w:rPr>
      </w:pPr>
      <w:bookmarkStart w:id="4" w:name="_Hlk190097207"/>
    </w:p>
    <w:p w14:paraId="70926E97" w14:textId="5FFE50AC" w:rsidR="005D4737" w:rsidRPr="00903E17" w:rsidRDefault="005D4737" w:rsidP="005D4737">
      <w:pPr>
        <w:rPr>
          <w:rFonts w:cs="Segoe UI"/>
          <w:szCs w:val="22"/>
          <w:lang w:val="nb-NO"/>
        </w:rPr>
      </w:pPr>
      <w:r>
        <w:rPr>
          <w:rFonts w:cs="Segoe UI"/>
          <w:szCs w:val="22"/>
          <w:lang w:val="id"/>
        </w:rPr>
        <w:t xml:space="preserve">Tingkat </w:t>
      </w:r>
      <w:r>
        <w:rPr>
          <w:rFonts w:cs="Segoe UI"/>
          <w:b/>
          <w:bCs/>
          <w:szCs w:val="22"/>
          <w:lang w:val="id"/>
        </w:rPr>
        <w:t xml:space="preserve">laba operasional yang disesuaikan </w:t>
      </w:r>
      <w:r>
        <w:rPr>
          <w:rFonts w:cs="Segoe UI"/>
          <w:szCs w:val="22"/>
          <w:lang w:val="id"/>
        </w:rPr>
        <w:t>berada di atas tahun sebelumnya sebesar 982 juta euro, meskipun ada efek valuta asing negatif.</w:t>
      </w:r>
      <w:r>
        <w:rPr>
          <w:rFonts w:cs="Segoe UI"/>
          <w:b/>
          <w:bCs/>
          <w:szCs w:val="22"/>
          <w:lang w:val="id"/>
        </w:rPr>
        <w:t xml:space="preserve"> Laba atas penjualan yang disesuaikan </w:t>
      </w:r>
      <w:r>
        <w:rPr>
          <w:rFonts w:cs="Segoe UI"/>
          <w:szCs w:val="22"/>
          <w:lang w:val="id"/>
        </w:rPr>
        <w:t>meningkat menjadi 17,7 persen, dibandingkan dengan 17,2 persen pada periode tahun sebelumnya. Di sini, efisiensi biaya dihasilkan berkat peningkatan volume penjualan dan bauran produk turut memberikan dampak positif.</w:t>
      </w:r>
    </w:p>
    <w:p w14:paraId="4FF29955" w14:textId="77777777" w:rsidR="005D4737" w:rsidRPr="00903E17" w:rsidRDefault="005D4737" w:rsidP="005D4737">
      <w:pPr>
        <w:rPr>
          <w:rFonts w:cs="Segoe UI"/>
          <w:szCs w:val="22"/>
          <w:lang w:val="nb-NO"/>
        </w:rPr>
      </w:pPr>
    </w:p>
    <w:bookmarkEnd w:id="4"/>
    <w:p w14:paraId="23ADC4EC" w14:textId="27703B88" w:rsidR="00A27073" w:rsidRPr="00903E17" w:rsidRDefault="00A27073" w:rsidP="00A27073">
      <w:pPr>
        <w:rPr>
          <w:rFonts w:cs="Segoe UI"/>
          <w:szCs w:val="22"/>
          <w:lang w:val="nb-NO"/>
        </w:rPr>
      </w:pPr>
      <w:r>
        <w:rPr>
          <w:rFonts w:cs="Segoe UI"/>
          <w:szCs w:val="22"/>
          <w:lang w:val="id"/>
        </w:rPr>
        <w:t xml:space="preserve">Unit bisnis </w:t>
      </w:r>
      <w:r w:rsidR="00D42542" w:rsidRPr="00D42542">
        <w:rPr>
          <w:rFonts w:cs="Segoe UI"/>
          <w:b/>
          <w:bCs/>
          <w:szCs w:val="22"/>
          <w:lang w:val="nb-NO"/>
        </w:rPr>
        <w:t>Consumer Brands</w:t>
      </w:r>
      <w:r w:rsidR="00D42542">
        <w:rPr>
          <w:rFonts w:cs="Segoe UI"/>
          <w:szCs w:val="22"/>
          <w:lang w:val="id"/>
        </w:rPr>
        <w:t xml:space="preserve"> </w:t>
      </w:r>
      <w:r>
        <w:rPr>
          <w:rFonts w:cs="Segoe UI"/>
          <w:szCs w:val="22"/>
          <w:lang w:val="id"/>
        </w:rPr>
        <w:t xml:space="preserve">menghasilkan </w:t>
      </w:r>
      <w:r>
        <w:rPr>
          <w:rFonts w:cs="Segoe UI"/>
          <w:b/>
          <w:bCs/>
          <w:szCs w:val="22"/>
          <w:lang w:val="id"/>
        </w:rPr>
        <w:t>penjualan</w:t>
      </w:r>
      <w:r>
        <w:rPr>
          <w:rFonts w:cs="Segoe UI"/>
          <w:szCs w:val="22"/>
          <w:lang w:val="id"/>
        </w:rPr>
        <w:t xml:space="preserve"> sebesar 4.733 juta euro pada paruh pertama tahun 2026, mewakili penurunan nominal sebesar -3,5 persen dibandingkan periode tahun sebelumnya (Q2: 2.448 juta euro, +1,1 persen). Secara </w:t>
      </w:r>
      <w:r>
        <w:rPr>
          <w:rFonts w:cs="Segoe UI"/>
          <w:b/>
          <w:bCs/>
          <w:szCs w:val="22"/>
          <w:lang w:val="id"/>
        </w:rPr>
        <w:t>organik</w:t>
      </w:r>
      <w:r>
        <w:rPr>
          <w:rFonts w:cs="Segoe UI"/>
          <w:szCs w:val="22"/>
          <w:lang w:val="id"/>
        </w:rPr>
        <w:t>, penjualan meningkat 1,7 persen (Q2: +1,6 persen), dengan unit bisnis mencatat perkembangan harga dan volume yang positif dibandingkan dengan paruh pertama tahun 2025.</w:t>
      </w:r>
    </w:p>
    <w:p w14:paraId="5EF78331" w14:textId="77777777" w:rsidR="00A27073" w:rsidRPr="00903E17" w:rsidRDefault="00A27073" w:rsidP="00521B13">
      <w:pPr>
        <w:rPr>
          <w:rFonts w:cs="Segoe UI"/>
          <w:szCs w:val="22"/>
          <w:highlight w:val="yellow"/>
          <w:lang w:val="nb-NO"/>
        </w:rPr>
      </w:pPr>
    </w:p>
    <w:p w14:paraId="3BF6D58D" w14:textId="1D5CF131" w:rsidR="00A27073" w:rsidRPr="00903E17" w:rsidRDefault="00A27073" w:rsidP="00A27073">
      <w:pPr>
        <w:rPr>
          <w:rFonts w:cs="Segoe UI"/>
          <w:szCs w:val="22"/>
          <w:highlight w:val="yellow"/>
          <w:lang w:val="nb-NO"/>
        </w:rPr>
      </w:pPr>
      <w:r>
        <w:rPr>
          <w:rFonts w:cs="Segoe UI"/>
          <w:szCs w:val="22"/>
          <w:lang w:val="id"/>
        </w:rPr>
        <w:t xml:space="preserve">Pada paruh pertama tahun ini, lini bisnis </w:t>
      </w:r>
      <w:r w:rsidR="00CF6ACA" w:rsidRPr="00CF6ACA">
        <w:rPr>
          <w:rFonts w:cs="Segoe UI"/>
          <w:b/>
          <w:bCs/>
          <w:szCs w:val="22"/>
          <w:lang w:val="nb-NO"/>
        </w:rPr>
        <w:t>Laundry &amp; Home Care</w:t>
      </w:r>
      <w:r>
        <w:rPr>
          <w:rFonts w:cs="Segoe UI"/>
          <w:b/>
          <w:bCs/>
          <w:szCs w:val="22"/>
          <w:lang w:val="id"/>
        </w:rPr>
        <w:t xml:space="preserve"> </w:t>
      </w:r>
      <w:r>
        <w:rPr>
          <w:rFonts w:cs="Segoe UI"/>
          <w:szCs w:val="22"/>
          <w:lang w:val="id"/>
        </w:rPr>
        <w:t xml:space="preserve">mencatat perkembangan penjualan organik positif sebesar 0,7 persen </w:t>
      </w:r>
      <w:r>
        <w:rPr>
          <w:rFonts w:cs="Segoe UI"/>
          <w:szCs w:val="18"/>
          <w:lang w:val="id"/>
        </w:rPr>
        <w:t>(Q2: +1,3 persen)</w:t>
      </w:r>
      <w:r>
        <w:rPr>
          <w:rFonts w:cs="Segoe UI"/>
          <w:szCs w:val="22"/>
          <w:lang w:val="id"/>
        </w:rPr>
        <w:t xml:space="preserve">. Bisnis </w:t>
      </w:r>
      <w:r w:rsidR="00C533EA" w:rsidRPr="00C533EA">
        <w:rPr>
          <w:rFonts w:cs="Segoe UI"/>
          <w:szCs w:val="22"/>
          <w:lang w:val="id"/>
        </w:rPr>
        <w:t>Laundry Care</w:t>
      </w:r>
      <w:r>
        <w:rPr>
          <w:rFonts w:cs="Segoe UI"/>
          <w:szCs w:val="22"/>
          <w:lang w:val="id"/>
        </w:rPr>
        <w:t xml:space="preserve"> mencapai pertumbuhan penjualan organik yang positif, didorong oleh peningkatan penjualan yang signifikan di kategori </w:t>
      </w:r>
      <w:r w:rsidR="00F67424" w:rsidRPr="00331A08">
        <w:rPr>
          <w:rFonts w:cs="Segoe UI"/>
          <w:szCs w:val="22"/>
          <w:lang w:val="id"/>
        </w:rPr>
        <w:t>Fabric Care</w:t>
      </w:r>
      <w:r>
        <w:rPr>
          <w:rFonts w:cs="Segoe UI"/>
          <w:szCs w:val="22"/>
          <w:lang w:val="id"/>
        </w:rPr>
        <w:t xml:space="preserve"> dan pertumbuhan positif di kategori </w:t>
      </w:r>
      <w:r w:rsidR="00331A08" w:rsidRPr="005B4BD1">
        <w:rPr>
          <w:rFonts w:cs="Segoe UI"/>
          <w:szCs w:val="22"/>
          <w:lang w:val="id"/>
        </w:rPr>
        <w:t>Fabric Finisher</w:t>
      </w:r>
      <w:r>
        <w:rPr>
          <w:rFonts w:cs="Segoe UI"/>
          <w:szCs w:val="22"/>
          <w:lang w:val="id"/>
        </w:rPr>
        <w:t xml:space="preserve">. Sebaliknya, kategori </w:t>
      </w:r>
      <w:r w:rsidR="00B72045" w:rsidRPr="00645532">
        <w:rPr>
          <w:rFonts w:cs="Segoe UI"/>
          <w:szCs w:val="22"/>
          <w:lang w:val="id"/>
        </w:rPr>
        <w:t>Fabric Cleaning</w:t>
      </w:r>
      <w:r>
        <w:rPr>
          <w:rFonts w:cs="Segoe UI"/>
          <w:szCs w:val="22"/>
          <w:lang w:val="id"/>
        </w:rPr>
        <w:t xml:space="preserve"> mencatatkan sedikit penurunan. Bisnis </w:t>
      </w:r>
      <w:r w:rsidR="0023132A" w:rsidRPr="00645532">
        <w:rPr>
          <w:rFonts w:cs="Segoe UI"/>
          <w:szCs w:val="22"/>
          <w:lang w:val="id"/>
        </w:rPr>
        <w:t>Home Care</w:t>
      </w:r>
      <w:r>
        <w:rPr>
          <w:rFonts w:cs="Segoe UI"/>
          <w:szCs w:val="22"/>
          <w:lang w:val="id"/>
        </w:rPr>
        <w:t xml:space="preserve"> mencatat pertumbuhan penjualan organik yang baik, terutama didorong oleh peningkatan dua </w:t>
      </w:r>
      <w:r>
        <w:rPr>
          <w:rFonts w:cs="Segoe UI"/>
          <w:szCs w:val="22"/>
          <w:lang w:val="id"/>
        </w:rPr>
        <w:lastRenderedPageBreak/>
        <w:t xml:space="preserve">digit dalam kategori </w:t>
      </w:r>
      <w:r w:rsidR="00645532" w:rsidRPr="005C6CED">
        <w:rPr>
          <w:rFonts w:cs="Segoe UI"/>
          <w:szCs w:val="22"/>
          <w:lang w:val="id"/>
        </w:rPr>
        <w:t>Hand Dishwashing</w:t>
      </w:r>
      <w:r>
        <w:rPr>
          <w:rFonts w:cs="Segoe UI"/>
          <w:szCs w:val="22"/>
          <w:lang w:val="id"/>
        </w:rPr>
        <w:t xml:space="preserve">. Lini bisnis </w:t>
      </w:r>
      <w:r w:rsidR="008C47AA" w:rsidRPr="005C6CED">
        <w:rPr>
          <w:rFonts w:cs="Segoe UI"/>
          <w:b/>
          <w:bCs/>
          <w:szCs w:val="22"/>
          <w:lang w:val="id"/>
        </w:rPr>
        <w:t>Hair</w:t>
      </w:r>
      <w:r w:rsidR="008C47AA">
        <w:rPr>
          <w:rFonts w:cs="Segoe UI"/>
          <w:szCs w:val="22"/>
          <w:lang w:val="id"/>
        </w:rPr>
        <w:t xml:space="preserve"> </w:t>
      </w:r>
      <w:r>
        <w:rPr>
          <w:rFonts w:cs="Segoe UI"/>
          <w:szCs w:val="22"/>
          <w:lang w:val="id"/>
        </w:rPr>
        <w:t xml:space="preserve">mencapai pertumbuhan penjualan organik yang sangat kuat sebesar 4,2 persen </w:t>
      </w:r>
      <w:r>
        <w:rPr>
          <w:rFonts w:cs="Segoe UI"/>
          <w:szCs w:val="18"/>
          <w:lang w:val="id"/>
        </w:rPr>
        <w:t xml:space="preserve">(Q2: +3,3 persen) </w:t>
      </w:r>
      <w:r>
        <w:rPr>
          <w:rFonts w:cs="Segoe UI"/>
          <w:szCs w:val="22"/>
          <w:lang w:val="id"/>
        </w:rPr>
        <w:t xml:space="preserve">dan oleh karena itu merupakan pendorong utama pertumbuhan di unit bisnis </w:t>
      </w:r>
      <w:r w:rsidR="005C6CED" w:rsidRPr="005C6CED">
        <w:rPr>
          <w:rFonts w:cs="Segoe UI"/>
          <w:szCs w:val="22"/>
          <w:lang w:val="id"/>
        </w:rPr>
        <w:t>Consumer Brands</w:t>
      </w:r>
      <w:r>
        <w:rPr>
          <w:rFonts w:cs="Segoe UI"/>
          <w:szCs w:val="22"/>
          <w:lang w:val="id"/>
        </w:rPr>
        <w:t xml:space="preserve">. Kinerja positif ini didukung oleh bisnis </w:t>
      </w:r>
      <w:r w:rsidR="00292E36" w:rsidRPr="00292E36">
        <w:rPr>
          <w:rFonts w:cs="Segoe UI"/>
          <w:szCs w:val="22"/>
          <w:lang w:val="id"/>
        </w:rPr>
        <w:t>Consumer</w:t>
      </w:r>
      <w:r>
        <w:rPr>
          <w:rFonts w:cs="Segoe UI"/>
          <w:szCs w:val="22"/>
          <w:lang w:val="id"/>
        </w:rPr>
        <w:t>, yang mencatat pertumbuhan penjualan organik yang kuat, dan bisnis Profe</w:t>
      </w:r>
      <w:r w:rsidR="00876A31">
        <w:rPr>
          <w:rFonts w:cs="Segoe UI"/>
          <w:szCs w:val="22"/>
          <w:lang w:val="id"/>
        </w:rPr>
        <w:t>s</w:t>
      </w:r>
      <w:r>
        <w:rPr>
          <w:rFonts w:cs="Segoe UI"/>
          <w:szCs w:val="22"/>
          <w:lang w:val="id"/>
        </w:rPr>
        <w:t xml:space="preserve">sional, yang mencatatkan peningkatan yang sangat pesat. Dalam bisnis </w:t>
      </w:r>
      <w:r w:rsidR="00292E36" w:rsidRPr="00292E36">
        <w:rPr>
          <w:rFonts w:cs="Segoe UI"/>
          <w:szCs w:val="22"/>
          <w:lang w:val="id"/>
        </w:rPr>
        <w:t>Consumer</w:t>
      </w:r>
      <w:r>
        <w:rPr>
          <w:rFonts w:cs="Segoe UI"/>
          <w:szCs w:val="22"/>
          <w:lang w:val="id"/>
        </w:rPr>
        <w:t xml:space="preserve">, semua kategori berkontribusi terhadap pertumbuhan, dengan lini </w:t>
      </w:r>
      <w:r w:rsidR="00931EF0" w:rsidRPr="007D3884">
        <w:rPr>
          <w:rFonts w:cs="Segoe UI"/>
          <w:szCs w:val="22"/>
          <w:lang w:val="id"/>
        </w:rPr>
        <w:t>Hair Colorants</w:t>
      </w:r>
      <w:r>
        <w:rPr>
          <w:rFonts w:cs="Segoe UI"/>
          <w:szCs w:val="22"/>
          <w:lang w:val="id"/>
        </w:rPr>
        <w:t xml:space="preserve"> dan </w:t>
      </w:r>
      <w:r w:rsidR="004A3B15" w:rsidRPr="007D3884">
        <w:rPr>
          <w:rFonts w:cs="Segoe UI"/>
          <w:szCs w:val="22"/>
          <w:lang w:val="id"/>
        </w:rPr>
        <w:t>Hair Styling</w:t>
      </w:r>
      <w:r>
        <w:rPr>
          <w:rFonts w:cs="Segoe UI"/>
          <w:szCs w:val="22"/>
          <w:lang w:val="id"/>
        </w:rPr>
        <w:t xml:space="preserve"> sebagai kontributor terbanyak. Sebaliknya, lini bisnis </w:t>
      </w:r>
      <w:r w:rsidR="007D3884" w:rsidRPr="007D3884">
        <w:rPr>
          <w:rFonts w:cs="Segoe UI"/>
          <w:b/>
          <w:bCs/>
          <w:szCs w:val="22"/>
          <w:lang w:val="id"/>
        </w:rPr>
        <w:t>Other Consumer</w:t>
      </w:r>
      <w:r w:rsidR="007D3884" w:rsidRPr="007D3884">
        <w:rPr>
          <w:rFonts w:cs="Segoe UI"/>
          <w:szCs w:val="22"/>
          <w:lang w:val="id"/>
        </w:rPr>
        <w:t xml:space="preserve"> </w:t>
      </w:r>
      <w:r w:rsidR="007D3884" w:rsidRPr="007D3884">
        <w:rPr>
          <w:rFonts w:cs="Segoe UI"/>
          <w:b/>
          <w:bCs/>
          <w:szCs w:val="22"/>
          <w:lang w:val="id"/>
        </w:rPr>
        <w:t>Businesses</w:t>
      </w:r>
      <w:r>
        <w:rPr>
          <w:rFonts w:cs="Segoe UI"/>
          <w:szCs w:val="22"/>
          <w:lang w:val="id"/>
        </w:rPr>
        <w:t xml:space="preserve"> mencatat perkembangan penjualan organik negatif sebesar -2,1 persen (Q2: -4,6 persen) pada semester pertama tahun ini, terutama karena perkembangan dalam bisnis</w:t>
      </w:r>
      <w:r w:rsidR="00342A9F">
        <w:rPr>
          <w:rFonts w:cs="Segoe UI"/>
          <w:szCs w:val="22"/>
          <w:lang w:val="id"/>
        </w:rPr>
        <w:t xml:space="preserve"> </w:t>
      </w:r>
      <w:r w:rsidR="00342A9F" w:rsidRPr="00342A9F">
        <w:rPr>
          <w:rFonts w:cs="Segoe UI"/>
          <w:szCs w:val="22"/>
          <w:lang w:val="id"/>
        </w:rPr>
        <w:t>Body Care</w:t>
      </w:r>
      <w:r w:rsidR="00342A9F">
        <w:rPr>
          <w:rFonts w:cs="Segoe UI"/>
          <w:szCs w:val="22"/>
          <w:lang w:val="id"/>
        </w:rPr>
        <w:t xml:space="preserve"> </w:t>
      </w:r>
      <w:r>
        <w:rPr>
          <w:rFonts w:cs="Segoe UI"/>
          <w:szCs w:val="22"/>
          <w:lang w:val="id"/>
        </w:rPr>
        <w:t>di kawasan Eropa. Namun, wilayah Amerika Utara mencatat pertumbuhan penjualan organik yang baik.</w:t>
      </w:r>
    </w:p>
    <w:p w14:paraId="0101AD53" w14:textId="77777777" w:rsidR="00A27073" w:rsidRPr="00903E17" w:rsidRDefault="00A27073" w:rsidP="00521B13">
      <w:pPr>
        <w:rPr>
          <w:rFonts w:cs="Segoe UI"/>
          <w:szCs w:val="22"/>
          <w:lang w:val="nb-NO"/>
        </w:rPr>
      </w:pPr>
      <w:bookmarkStart w:id="5" w:name="_Hlk190100714"/>
    </w:p>
    <w:p w14:paraId="2669D3B3" w14:textId="39BDE271" w:rsidR="005F2643" w:rsidRPr="00903E17" w:rsidRDefault="00A27073" w:rsidP="00A27073">
      <w:pPr>
        <w:rPr>
          <w:rFonts w:cs="Segoe UI"/>
          <w:szCs w:val="22"/>
          <w:lang w:val="nb-NO"/>
        </w:rPr>
      </w:pPr>
      <w:r>
        <w:rPr>
          <w:rFonts w:cs="Segoe UI"/>
          <w:b/>
          <w:bCs/>
          <w:szCs w:val="22"/>
          <w:lang w:val="id"/>
        </w:rPr>
        <w:t>Laba operasional yang disesuaikan</w:t>
      </w:r>
      <w:r>
        <w:rPr>
          <w:rFonts w:cs="Segoe UI"/>
          <w:szCs w:val="22"/>
          <w:lang w:val="id"/>
        </w:rPr>
        <w:t xml:space="preserve"> sebesar 724 juta euro dan oleh karena itu sedikit di bawah level tahun sebelumnya, terutama karena divestasi bisnis merek peritel di Amerika Utara pada April 2025 dan efek valuta asing negatif. Sebaliknya, </w:t>
      </w:r>
      <w:r>
        <w:rPr>
          <w:rFonts w:cs="Segoe UI"/>
          <w:b/>
          <w:bCs/>
          <w:szCs w:val="22"/>
          <w:lang w:val="id"/>
        </w:rPr>
        <w:t xml:space="preserve">laba atas penjualan yang disesuaikan </w:t>
      </w:r>
      <w:r>
        <w:rPr>
          <w:rFonts w:cs="Segoe UI"/>
          <w:szCs w:val="22"/>
          <w:lang w:val="id"/>
        </w:rPr>
        <w:t xml:space="preserve">tetap tidak berubah pada 15,3 persen dibandingkan dengan periode tahun sebelumnya. </w:t>
      </w:r>
      <w:bookmarkEnd w:id="5"/>
    </w:p>
    <w:p w14:paraId="45F7F611" w14:textId="6AC974FB" w:rsidR="00B05ECC" w:rsidRPr="00903E17" w:rsidRDefault="00B05ECC" w:rsidP="00B05ECC">
      <w:pPr>
        <w:rPr>
          <w:rFonts w:cs="Segoe UI"/>
          <w:szCs w:val="22"/>
          <w:lang w:val="nb-NO"/>
        </w:rPr>
      </w:pPr>
    </w:p>
    <w:p w14:paraId="2024FF95" w14:textId="222DDBFE" w:rsidR="00E21F5D" w:rsidRPr="00903E17" w:rsidRDefault="00A811D8" w:rsidP="00E21F5D">
      <w:pPr>
        <w:spacing w:after="120"/>
        <w:rPr>
          <w:rFonts w:cs="Segoe UI"/>
          <w:b/>
          <w:bCs/>
          <w:szCs w:val="22"/>
          <w:lang w:val="nb-NO"/>
        </w:rPr>
      </w:pPr>
      <w:r>
        <w:rPr>
          <w:rFonts w:cs="Segoe UI"/>
          <w:b/>
          <w:bCs/>
          <w:szCs w:val="22"/>
          <w:lang w:val="id"/>
        </w:rPr>
        <w:t>Keberhasilan pelaksanaan Strategi Pertumbuhan M&amp;A pada semester pertama tahun ini</w:t>
      </w:r>
    </w:p>
    <w:p w14:paraId="02BF1EFC" w14:textId="60897C2B" w:rsidR="005110D3" w:rsidRPr="00903E17" w:rsidRDefault="00A811D8" w:rsidP="00A811D8">
      <w:pPr>
        <w:autoSpaceDE w:val="0"/>
        <w:autoSpaceDN w:val="0"/>
        <w:adjustRightInd w:val="0"/>
        <w:rPr>
          <w:rFonts w:cs="Segoe UI"/>
          <w:bCs/>
          <w:szCs w:val="22"/>
          <w:lang w:val="nb-NO"/>
        </w:rPr>
      </w:pPr>
      <w:r>
        <w:rPr>
          <w:rFonts w:cs="Segoe UI"/>
          <w:szCs w:val="22"/>
          <w:lang w:val="id"/>
        </w:rPr>
        <w:t xml:space="preserve">Pada paruh pertama tahun 2026, Henkel juga membuat kemajuan signifikan dalam melaksanakan strategi pertumbuhan M&amp;A, yang merupakan bagian integral dari </w:t>
      </w:r>
      <w:r>
        <w:rPr>
          <w:rFonts w:cs="Segoe UI"/>
          <w:b/>
          <w:bCs/>
          <w:szCs w:val="22"/>
          <w:lang w:val="id"/>
        </w:rPr>
        <w:t>strategi</w:t>
      </w:r>
      <w:r>
        <w:rPr>
          <w:rFonts w:cs="Segoe UI"/>
          <w:szCs w:val="22"/>
          <w:lang w:val="id"/>
        </w:rPr>
        <w:t xml:space="preserve"> </w:t>
      </w:r>
      <w:r>
        <w:rPr>
          <w:rFonts w:cs="Segoe UI"/>
          <w:b/>
          <w:bCs/>
          <w:szCs w:val="22"/>
          <w:lang w:val="id"/>
        </w:rPr>
        <w:t>pertumbuhan</w:t>
      </w:r>
      <w:r>
        <w:rPr>
          <w:rFonts w:cs="Segoe UI"/>
          <w:szCs w:val="22"/>
          <w:lang w:val="id"/>
        </w:rPr>
        <w:t xml:space="preserve"> keseluruhan perusahaan, di kedua unit bisnis. Pada akuisisi yang baru-baru ini diumumkan, Henkel berinvestasi total 5 miliar euro dan memperluas bisnisnya dengan penjualan tahunan gabungan sekitar 1,6 miliar euro. Hingga saat ini, Henkel telah berhasil menyelesaikan empat dari lima transaksi: Wetherby Laroc dan ATP Adhesive Systems di unit bisnis </w:t>
      </w:r>
      <w:r w:rsidR="000C4AAD" w:rsidRPr="000C4AAD">
        <w:rPr>
          <w:rFonts w:cs="Segoe UI"/>
          <w:szCs w:val="22"/>
          <w:lang w:val="id"/>
        </w:rPr>
        <w:t>Adhesive Technlogies</w:t>
      </w:r>
      <w:r w:rsidRPr="000C4AAD">
        <w:rPr>
          <w:rFonts w:cs="Segoe UI"/>
          <w:szCs w:val="22"/>
          <w:lang w:val="id"/>
        </w:rPr>
        <w:t>,</w:t>
      </w:r>
      <w:r>
        <w:rPr>
          <w:rFonts w:cs="Segoe UI"/>
          <w:szCs w:val="22"/>
          <w:lang w:val="id"/>
        </w:rPr>
        <w:t xml:space="preserve"> serta Not Your Mother's</w:t>
      </w:r>
      <w:r w:rsidR="000C4AAD">
        <w:rPr>
          <w:rFonts w:cs="Segoe UI"/>
          <w:szCs w:val="22"/>
          <w:lang w:val="id"/>
        </w:rPr>
        <w:t>,</w:t>
      </w:r>
      <w:r>
        <w:rPr>
          <w:rFonts w:cs="Segoe UI"/>
          <w:szCs w:val="22"/>
          <w:lang w:val="id"/>
        </w:rPr>
        <w:t xml:space="preserve"> dan yang terbaru, OLAPLEX di unit bisnis</w:t>
      </w:r>
      <w:r w:rsidR="005F1DB9">
        <w:rPr>
          <w:rFonts w:cs="Segoe UI"/>
          <w:szCs w:val="22"/>
          <w:lang w:val="id"/>
        </w:rPr>
        <w:t xml:space="preserve"> Consumer Brands</w:t>
      </w:r>
      <w:r>
        <w:rPr>
          <w:rFonts w:cs="Segoe UI"/>
          <w:szCs w:val="22"/>
          <w:lang w:val="id"/>
        </w:rPr>
        <w:t>. Akuisisi Stahl Group dalam bisnis perekat diperkirakan akan dirampungkan pada paruh kedua tahun fiskal 2026.</w:t>
      </w:r>
    </w:p>
    <w:p w14:paraId="0F99C05C" w14:textId="77777777" w:rsidR="00E21F5D" w:rsidRPr="00903E17" w:rsidRDefault="00E21F5D" w:rsidP="008762E7">
      <w:pPr>
        <w:autoSpaceDE w:val="0"/>
        <w:autoSpaceDN w:val="0"/>
        <w:adjustRightInd w:val="0"/>
        <w:rPr>
          <w:rFonts w:cs="Segoe UI"/>
          <w:bCs/>
          <w:szCs w:val="22"/>
          <w:lang w:val="nb-NO"/>
        </w:rPr>
      </w:pPr>
    </w:p>
    <w:p w14:paraId="77AA3405" w14:textId="02DD2BC2" w:rsidR="00C76008" w:rsidRPr="00903E17" w:rsidRDefault="00C76008" w:rsidP="00C76008">
      <w:pPr>
        <w:autoSpaceDE w:val="0"/>
        <w:autoSpaceDN w:val="0"/>
        <w:adjustRightInd w:val="0"/>
        <w:rPr>
          <w:rFonts w:cs="Segoe UI"/>
          <w:bCs/>
          <w:szCs w:val="22"/>
          <w:lang w:val="nb-NO"/>
        </w:rPr>
      </w:pPr>
      <w:r>
        <w:rPr>
          <w:rFonts w:cs="Segoe UI"/>
          <w:szCs w:val="22"/>
          <w:lang w:val="id"/>
        </w:rPr>
        <w:t xml:space="preserve">Dengan akuisisi merek perawatan rambut premium </w:t>
      </w:r>
      <w:r>
        <w:rPr>
          <w:rFonts w:cs="Segoe UI"/>
          <w:b/>
          <w:bCs/>
          <w:szCs w:val="22"/>
          <w:lang w:val="id"/>
        </w:rPr>
        <w:t>OLAPLEX</w:t>
      </w:r>
      <w:r>
        <w:rPr>
          <w:rFonts w:cs="Segoe UI"/>
          <w:szCs w:val="22"/>
          <w:lang w:val="id"/>
        </w:rPr>
        <w:t xml:space="preserve">, yang berkontribusi sekitar 370 juta euro dalam penjualan tahunan, Henkel semakin memperkuat kehadiran globalnya di segmen perawatan rambut premium dan kini menjadi pemain nomor dua global dalam bisnis rambut profesional. Pasar perawatan rambut premium sangat menarik, dengan perkiraan laju pertumbuhan tahunan sebesar sekitar 5 persen dalam beberapa tahun ke depan. </w:t>
      </w:r>
      <w:r w:rsidRPr="00711304">
        <w:rPr>
          <w:rFonts w:cs="Segoe UI"/>
          <w:szCs w:val="22"/>
          <w:lang w:val="id"/>
        </w:rPr>
        <w:t>OLAPLEX</w:t>
      </w:r>
      <w:r>
        <w:rPr>
          <w:rFonts w:cs="Segoe UI"/>
          <w:szCs w:val="22"/>
          <w:lang w:val="id"/>
        </w:rPr>
        <w:t xml:space="preserve"> adalah merek perawatan rambut premium yang sudah mapan dengan portofolio produk berbasis sains dan berkinerja tinggi. Dengan menyelesaikan transaksi ini, selanjutnya Henkel akan lebih memperkuat kehadiran globalnya dalam lini</w:t>
      </w:r>
      <w:r w:rsidR="00FC156E">
        <w:rPr>
          <w:rFonts w:cs="Segoe UI"/>
          <w:szCs w:val="22"/>
          <w:lang w:val="id"/>
        </w:rPr>
        <w:t xml:space="preserve"> </w:t>
      </w:r>
      <w:r w:rsidR="00FC156E" w:rsidRPr="00335DA9">
        <w:rPr>
          <w:rFonts w:cs="Segoe UI"/>
          <w:bCs/>
          <w:szCs w:val="22"/>
          <w:lang w:val="id"/>
        </w:rPr>
        <w:t>Hair Care</w:t>
      </w:r>
      <w:r>
        <w:rPr>
          <w:rFonts w:cs="Segoe UI"/>
          <w:szCs w:val="22"/>
          <w:lang w:val="id"/>
        </w:rPr>
        <w:t xml:space="preserve">, </w:t>
      </w:r>
      <w:r w:rsidR="00711304">
        <w:rPr>
          <w:rFonts w:cs="Segoe UI"/>
          <w:szCs w:val="22"/>
          <w:lang w:val="id"/>
        </w:rPr>
        <w:t xml:space="preserve">yang merupakan </w:t>
      </w:r>
      <w:r>
        <w:rPr>
          <w:rFonts w:cs="Segoe UI"/>
          <w:szCs w:val="22"/>
          <w:lang w:val="id"/>
        </w:rPr>
        <w:t xml:space="preserve">kategori inti dalam bisnis </w:t>
      </w:r>
      <w:r w:rsidR="009D1763" w:rsidRPr="00335DA9">
        <w:rPr>
          <w:rFonts w:cs="Segoe UI"/>
          <w:bCs/>
          <w:szCs w:val="22"/>
          <w:lang w:val="id"/>
        </w:rPr>
        <w:t>Consumer Brands</w:t>
      </w:r>
      <w:r w:rsidR="00335DA9">
        <w:rPr>
          <w:rFonts w:cs="Segoe UI"/>
          <w:bCs/>
          <w:szCs w:val="22"/>
          <w:lang w:val="id"/>
        </w:rPr>
        <w:t>.</w:t>
      </w:r>
      <w:r w:rsidR="009D1763">
        <w:rPr>
          <w:rFonts w:cs="Segoe UI"/>
          <w:szCs w:val="22"/>
          <w:lang w:val="id"/>
        </w:rPr>
        <w:t xml:space="preserve"> </w:t>
      </w:r>
      <w:r>
        <w:rPr>
          <w:rFonts w:cs="Segoe UI"/>
          <w:szCs w:val="22"/>
          <w:lang w:val="id"/>
        </w:rPr>
        <w:t xml:space="preserve">Henkel yakin dapat menumbuhkan bisnis secara signifikan dengan memanfaatkan peluang penjualan silang serta memperkuat saluran ritel khusus dan </w:t>
      </w:r>
      <w:r>
        <w:rPr>
          <w:rFonts w:cs="Segoe UI"/>
          <w:szCs w:val="22"/>
          <w:lang w:val="id"/>
        </w:rPr>
        <w:lastRenderedPageBreak/>
        <w:t>salon rambut sebagai saluran distribusi. Selain itu, akuisisi ini menawarkan peluang inovasi dan teknologi yang menarik.</w:t>
      </w:r>
    </w:p>
    <w:p w14:paraId="62E961AE" w14:textId="77777777" w:rsidR="00C76008" w:rsidRPr="00903E17" w:rsidRDefault="00C76008" w:rsidP="00C76008">
      <w:pPr>
        <w:autoSpaceDE w:val="0"/>
        <w:autoSpaceDN w:val="0"/>
        <w:adjustRightInd w:val="0"/>
        <w:rPr>
          <w:rFonts w:cs="Segoe UI"/>
          <w:bCs/>
          <w:szCs w:val="22"/>
          <w:lang w:val="nb-NO"/>
        </w:rPr>
      </w:pPr>
    </w:p>
    <w:p w14:paraId="7B2072E3" w14:textId="55525947" w:rsidR="00C76008" w:rsidRPr="00144F1A" w:rsidRDefault="00C76008" w:rsidP="00C76008">
      <w:pPr>
        <w:autoSpaceDE w:val="0"/>
        <w:autoSpaceDN w:val="0"/>
        <w:adjustRightInd w:val="0"/>
        <w:rPr>
          <w:rFonts w:cs="Segoe UI"/>
          <w:bCs/>
          <w:szCs w:val="22"/>
          <w:lang w:val="id"/>
        </w:rPr>
      </w:pPr>
      <w:r>
        <w:rPr>
          <w:rFonts w:cs="Segoe UI"/>
          <w:szCs w:val="22"/>
          <w:lang w:val="id"/>
        </w:rPr>
        <w:t xml:space="preserve">Melalui akuisisi </w:t>
      </w:r>
      <w:r>
        <w:rPr>
          <w:rFonts w:cs="Segoe UI"/>
          <w:b/>
          <w:bCs/>
          <w:szCs w:val="22"/>
          <w:lang w:val="id"/>
        </w:rPr>
        <w:t>ATP Adhesive Systems</w:t>
      </w:r>
      <w:r>
        <w:rPr>
          <w:rFonts w:cs="Segoe UI"/>
          <w:szCs w:val="22"/>
          <w:lang w:val="id"/>
        </w:rPr>
        <w:t>, yang membukukan penjualan tahunan sekitar 270 juta euro, Henkel memperluas portofolionya di luar teknologi cairan dan membangun platform pertumbuhan baru untuk pita perekat khusus berbasis air berkinerja tinggi</w:t>
      </w:r>
      <w:r w:rsidR="00DD29E1">
        <w:rPr>
          <w:rFonts w:cs="Segoe UI"/>
          <w:szCs w:val="22"/>
          <w:lang w:val="id"/>
        </w:rPr>
        <w:t>, yang merupakan</w:t>
      </w:r>
      <w:r>
        <w:rPr>
          <w:rFonts w:cs="Segoe UI"/>
          <w:szCs w:val="22"/>
          <w:lang w:val="id"/>
        </w:rPr>
        <w:t xml:space="preserve"> pasar yang sangat menarik dengan laju pertumbuhan tahunannya diperkirakan sekitar 7 persen. Pita perekat khusus berbasis air menarik pangsa pasar sebagai alternatif yang lebih berkelanjutan untuk solusi berbasis pelarut. Produk ini dapat mengurangi emisi senyawa organik volatil (VOC) hingga 90 persen dan mengurangi jejak karbon hingga 60 persen. </w:t>
      </w:r>
      <w:r w:rsidR="00B805A9">
        <w:rPr>
          <w:rFonts w:cs="Segoe UI"/>
          <w:szCs w:val="22"/>
          <w:lang w:val="id"/>
        </w:rPr>
        <w:t>Sebagai contoh, p</w:t>
      </w:r>
      <w:r>
        <w:rPr>
          <w:rFonts w:cs="Segoe UI"/>
          <w:szCs w:val="22"/>
          <w:lang w:val="id"/>
        </w:rPr>
        <w:t>ita perekat khusus ATP</w:t>
      </w:r>
      <w:r w:rsidR="008B6977">
        <w:rPr>
          <w:rFonts w:cs="Segoe UI"/>
          <w:szCs w:val="22"/>
          <w:lang w:val="id"/>
        </w:rPr>
        <w:t xml:space="preserve"> </w:t>
      </w:r>
      <w:r>
        <w:rPr>
          <w:rFonts w:cs="Segoe UI"/>
          <w:szCs w:val="22"/>
          <w:lang w:val="id"/>
        </w:rPr>
        <w:t>digunakan di industri otomotif untuk sistem bantuan pengemudi tingkat lanjut. Akuisisi ini juga memperkuat kemampuan inovasi Henkel, menciptakan peluang penjualan silang yang menarik, dan semakin meningkatkan posisi Henkel di pasar untuk solusi perekat berkelanjutan.</w:t>
      </w:r>
    </w:p>
    <w:p w14:paraId="37C82585" w14:textId="77777777" w:rsidR="00754FF6" w:rsidRPr="00144F1A" w:rsidRDefault="00754FF6" w:rsidP="00CD223C">
      <w:pPr>
        <w:rPr>
          <w:rFonts w:cs="Segoe UI"/>
          <w:bCs/>
          <w:szCs w:val="22"/>
          <w:lang w:val="id"/>
        </w:rPr>
      </w:pPr>
    </w:p>
    <w:p w14:paraId="5FE9F64E" w14:textId="4BB3476E" w:rsidR="00CD223C" w:rsidRPr="00903E17" w:rsidRDefault="00C76008" w:rsidP="00CD223C">
      <w:pPr>
        <w:rPr>
          <w:rFonts w:cs="Segoe UI"/>
          <w:bCs/>
          <w:szCs w:val="22"/>
          <w:lang w:val="nb-NO"/>
        </w:rPr>
      </w:pPr>
      <w:r>
        <w:rPr>
          <w:rFonts w:cs="Segoe UI"/>
          <w:szCs w:val="22"/>
          <w:lang w:val="id"/>
        </w:rPr>
        <w:t>Henkel berharap akuisisi terkini akan memberikan kontribusi positif pertama terhadap penjualan dan pendapatan pada tahun fiskal saat ini. Pada tahun 2026, bisnis yang diakuisisi diperkirakan akan berkontribusi sekitar 700 juta euro dalam hal penjualan.</w:t>
      </w:r>
      <w:r>
        <w:rPr>
          <w:rStyle w:val="FootnoteReference"/>
          <w:rFonts w:cs="Segoe UI"/>
          <w:lang w:val="id"/>
        </w:rPr>
        <w:footnoteReference w:id="2"/>
      </w:r>
      <w:r>
        <w:rPr>
          <w:rFonts w:cs="Segoe UI"/>
          <w:szCs w:val="22"/>
          <w:lang w:val="id"/>
        </w:rPr>
        <w:t xml:space="preserve"> Ke depannya, kelima akuisisi ini diharapkan berkontribusi terhadap pertumbuhan penjualan di atas rata-rata dalam kisaran persentase digit menengah hingga tinggi, dengan penjualan gabungan diproyeksikan meningkat menjadi sekitar 2 miliar euro pada tahun 2030. Dari perspektif pendapatan, Henkel memperkirakan akuisisi ini akan berkontribusi setidaknya 10 persen terhadap pendapatan yang disesuaikan per saham preferen pada tahun 2030.</w:t>
      </w:r>
    </w:p>
    <w:p w14:paraId="4DFD3C6C" w14:textId="77777777" w:rsidR="00211BA0" w:rsidRPr="00903E17" w:rsidRDefault="00211BA0" w:rsidP="00C76008">
      <w:pPr>
        <w:rPr>
          <w:rFonts w:cs="Segoe UI"/>
          <w:bCs/>
          <w:szCs w:val="22"/>
          <w:lang w:val="nb-NO"/>
        </w:rPr>
      </w:pPr>
    </w:p>
    <w:p w14:paraId="2F2FD7C3" w14:textId="7DBF90E6" w:rsidR="00E83A6D" w:rsidRPr="00903E17" w:rsidRDefault="00E83A6D" w:rsidP="00E83A6D">
      <w:pPr>
        <w:spacing w:after="80"/>
        <w:ind w:right="-108"/>
        <w:jc w:val="left"/>
        <w:rPr>
          <w:rFonts w:asciiTheme="majorHAnsi" w:hAnsiTheme="majorHAnsi" w:cstheme="majorHAnsi"/>
          <w:b/>
          <w:szCs w:val="22"/>
          <w:lang w:val="nb-NO"/>
        </w:rPr>
      </w:pPr>
      <w:bookmarkStart w:id="6" w:name="_Hlk190182989"/>
      <w:r>
        <w:rPr>
          <w:rFonts w:asciiTheme="majorHAnsi" w:hAnsiTheme="majorHAnsi" w:cstheme="majorHAnsi"/>
          <w:b/>
          <w:bCs/>
          <w:szCs w:val="22"/>
          <w:lang w:val="id"/>
        </w:rPr>
        <w:t>Prospek untuk tahun fiskal 2026: Target pertumbuhan penjualan dinaikkan untuk</w:t>
      </w:r>
      <w:r w:rsidR="00CE08E5">
        <w:rPr>
          <w:rFonts w:asciiTheme="majorHAnsi" w:hAnsiTheme="majorHAnsi" w:cstheme="majorHAnsi"/>
          <w:b/>
          <w:bCs/>
          <w:szCs w:val="22"/>
          <w:lang w:val="id"/>
        </w:rPr>
        <w:t xml:space="preserve"> </w:t>
      </w:r>
      <w:r>
        <w:rPr>
          <w:rFonts w:asciiTheme="majorHAnsi" w:hAnsiTheme="majorHAnsi" w:cstheme="majorHAnsi"/>
          <w:b/>
          <w:bCs/>
          <w:szCs w:val="22"/>
          <w:lang w:val="id"/>
        </w:rPr>
        <w:t xml:space="preserve">tingkat Grup dan </w:t>
      </w:r>
      <w:r w:rsidR="0093409F" w:rsidRPr="0093409F">
        <w:rPr>
          <w:rFonts w:asciiTheme="majorHAnsi" w:hAnsiTheme="majorHAnsi" w:cstheme="majorHAnsi"/>
          <w:b/>
          <w:bCs/>
          <w:szCs w:val="22"/>
          <w:lang w:val="id"/>
        </w:rPr>
        <w:t>Adhesive Technologies</w:t>
      </w:r>
    </w:p>
    <w:p w14:paraId="3AFD25E5" w14:textId="25CFB962" w:rsidR="0061561D" w:rsidRPr="00903E17" w:rsidRDefault="008B00CA" w:rsidP="00E83A6D">
      <w:pPr>
        <w:rPr>
          <w:rFonts w:cs="Segoe UI"/>
          <w:szCs w:val="22"/>
          <w:lang w:val="nb-NO"/>
        </w:rPr>
      </w:pPr>
      <w:r>
        <w:rPr>
          <w:rFonts w:cs="Segoe UI"/>
          <w:szCs w:val="22"/>
          <w:lang w:val="id"/>
        </w:rPr>
        <w:t xml:space="preserve">Berdasarkan kinerja yang kuat pada semester pertama tahun ini, Henkel telah meningkatkan target pertumbuhan penjualan untuk Grup dan unit bisnis </w:t>
      </w:r>
      <w:r w:rsidR="00AE0AE7" w:rsidRPr="00AE0AE7">
        <w:rPr>
          <w:rFonts w:cs="Segoe UI"/>
          <w:szCs w:val="22"/>
          <w:lang w:val="id"/>
        </w:rPr>
        <w:t>Adhesive Technologies</w:t>
      </w:r>
      <w:r>
        <w:rPr>
          <w:rFonts w:cs="Segoe UI"/>
          <w:szCs w:val="22"/>
          <w:lang w:val="id"/>
        </w:rPr>
        <w:t>, sementara perkiraan untuk margin EBIT yang disesuaikan dan pertumbuhan EPS yang disesuaikan pada nilai tukar konstan tetap tidak berubah.</w:t>
      </w:r>
    </w:p>
    <w:p w14:paraId="4CF8E151" w14:textId="77777777" w:rsidR="0061561D" w:rsidRPr="00903E17" w:rsidRDefault="0061561D" w:rsidP="00E83A6D">
      <w:pPr>
        <w:rPr>
          <w:rFonts w:cs="Segoe UI"/>
          <w:szCs w:val="22"/>
          <w:lang w:val="nb-NO"/>
        </w:rPr>
      </w:pPr>
    </w:p>
    <w:p w14:paraId="13C33C91" w14:textId="2171C546" w:rsidR="00E83A6D" w:rsidRPr="00FF4A8F" w:rsidRDefault="00E83A6D" w:rsidP="00E83A6D">
      <w:pPr>
        <w:rPr>
          <w:rFonts w:cs="Segoe UI"/>
          <w:szCs w:val="22"/>
          <w:lang w:val="id"/>
        </w:rPr>
      </w:pPr>
      <w:r>
        <w:rPr>
          <w:rFonts w:cs="Segoe UI"/>
          <w:szCs w:val="22"/>
          <w:lang w:val="id"/>
        </w:rPr>
        <w:t xml:space="preserve">Untuk tahun ini, Henkel kini memperkirakan </w:t>
      </w:r>
      <w:r>
        <w:rPr>
          <w:rFonts w:cs="Segoe UI"/>
          <w:b/>
          <w:bCs/>
          <w:szCs w:val="22"/>
          <w:lang w:val="id"/>
        </w:rPr>
        <w:t>pertumbuhan penjualan organik</w:t>
      </w:r>
      <w:r>
        <w:rPr>
          <w:rFonts w:cs="Segoe UI"/>
          <w:szCs w:val="22"/>
          <w:lang w:val="id"/>
        </w:rPr>
        <w:t xml:space="preserve"> antara 1,5 dan 3,5 persen (sebelumnya: 1,0 dan 3,0 persen). Untuk unit bisnis</w:t>
      </w:r>
      <w:r w:rsidR="00244D34" w:rsidRPr="00FF4A8F">
        <w:rPr>
          <w:lang w:val="id"/>
        </w:rPr>
        <w:t xml:space="preserve"> </w:t>
      </w:r>
      <w:r w:rsidR="00244D34" w:rsidRPr="00244D34">
        <w:rPr>
          <w:rFonts w:cs="Segoe UI"/>
          <w:szCs w:val="22"/>
          <w:lang w:val="id"/>
        </w:rPr>
        <w:t>Adhesive Technologies</w:t>
      </w:r>
      <w:r>
        <w:rPr>
          <w:rFonts w:cs="Segoe UI"/>
          <w:szCs w:val="22"/>
          <w:lang w:val="id"/>
        </w:rPr>
        <w:t xml:space="preserve">, pertumbuhan penjualan organik kini diperkirakan antara 2,0 dan 4,0 persen (sebelumnya: 1,0 hingga 3,0 persen). Untuk </w:t>
      </w:r>
      <w:r w:rsidR="00FF4A8F" w:rsidRPr="00FF4A8F">
        <w:rPr>
          <w:rFonts w:cs="Segoe UI"/>
          <w:szCs w:val="22"/>
          <w:lang w:val="id"/>
        </w:rPr>
        <w:t>Consumer Brands</w:t>
      </w:r>
      <w:r>
        <w:rPr>
          <w:rFonts w:cs="Segoe UI"/>
          <w:szCs w:val="22"/>
          <w:lang w:val="id"/>
        </w:rPr>
        <w:t xml:space="preserve">, Henkel terus mengantisipasi peningkatan penjualan organik sebesar 0,5 hingga 2,5 persen. </w:t>
      </w:r>
    </w:p>
    <w:p w14:paraId="100C5C2D" w14:textId="77777777" w:rsidR="00E83A6D" w:rsidRPr="00FF4A8F" w:rsidRDefault="00E83A6D" w:rsidP="00E83A6D">
      <w:pPr>
        <w:rPr>
          <w:rFonts w:cs="Segoe UI"/>
          <w:szCs w:val="22"/>
          <w:lang w:val="id"/>
        </w:rPr>
      </w:pPr>
    </w:p>
    <w:p w14:paraId="43F73761" w14:textId="11E34164" w:rsidR="00E83A6D" w:rsidRPr="00903E17" w:rsidRDefault="00E83A6D" w:rsidP="00E83A6D">
      <w:pPr>
        <w:rPr>
          <w:rFonts w:cs="Segoe UI"/>
          <w:szCs w:val="22"/>
          <w:lang w:val="nb-NO"/>
        </w:rPr>
      </w:pPr>
      <w:r>
        <w:rPr>
          <w:rFonts w:cs="Segoe UI"/>
          <w:b/>
          <w:bCs/>
          <w:szCs w:val="22"/>
          <w:lang w:val="id"/>
        </w:rPr>
        <w:t>Laba atas penjualan yang disesuaikan</w:t>
      </w:r>
      <w:r>
        <w:rPr>
          <w:rFonts w:cs="Segoe UI"/>
          <w:szCs w:val="22"/>
          <w:lang w:val="id"/>
        </w:rPr>
        <w:t xml:space="preserve"> (margin EBIT yang disesuaikan) diperkirakan berada dalam kisaran 14,5 hingga 16,0 persen. Laba atas penjualan yang disesuaikan diperkirakan antara 16,5 dan 18,0 persen untuk </w:t>
      </w:r>
      <w:r w:rsidR="001026AF" w:rsidRPr="001026AF">
        <w:rPr>
          <w:rFonts w:cs="Segoe UI"/>
          <w:szCs w:val="22"/>
          <w:lang w:val="id"/>
        </w:rPr>
        <w:t>Adhesive Technologies</w:t>
      </w:r>
      <w:r>
        <w:rPr>
          <w:rFonts w:cs="Segoe UI"/>
          <w:szCs w:val="22"/>
          <w:lang w:val="id"/>
        </w:rPr>
        <w:t xml:space="preserve"> serta antara 14,0 dan 15,5 persen untuk </w:t>
      </w:r>
      <w:r w:rsidR="00E573F4" w:rsidRPr="00E573F4">
        <w:rPr>
          <w:rFonts w:cs="Segoe UI"/>
          <w:szCs w:val="22"/>
          <w:lang w:val="id"/>
        </w:rPr>
        <w:t>Consumer Brands</w:t>
      </w:r>
      <w:r>
        <w:rPr>
          <w:rFonts w:cs="Segoe UI"/>
          <w:szCs w:val="22"/>
          <w:lang w:val="id"/>
        </w:rPr>
        <w:t xml:space="preserve">. </w:t>
      </w:r>
    </w:p>
    <w:p w14:paraId="312FBE80" w14:textId="77777777" w:rsidR="00E83A6D" w:rsidRPr="00903E17" w:rsidRDefault="00E83A6D" w:rsidP="00E83A6D">
      <w:pPr>
        <w:rPr>
          <w:rFonts w:cs="Segoe UI"/>
          <w:szCs w:val="22"/>
          <w:lang w:val="nb-NO"/>
        </w:rPr>
      </w:pPr>
    </w:p>
    <w:p w14:paraId="5292E09C" w14:textId="2E12B8AB" w:rsidR="00E83A6D" w:rsidRPr="00903E17" w:rsidRDefault="00E83A6D" w:rsidP="00E83A6D">
      <w:pPr>
        <w:rPr>
          <w:rFonts w:cs="Segoe UI"/>
          <w:szCs w:val="22"/>
          <w:lang w:val="nb-NO"/>
        </w:rPr>
      </w:pPr>
      <w:r>
        <w:rPr>
          <w:rFonts w:cs="Segoe UI"/>
          <w:b/>
          <w:bCs/>
          <w:szCs w:val="22"/>
          <w:lang w:val="id"/>
        </w:rPr>
        <w:t xml:space="preserve">Laba per saham preferen </w:t>
      </w:r>
      <w:r>
        <w:rPr>
          <w:rFonts w:cs="Segoe UI"/>
          <w:szCs w:val="22"/>
          <w:lang w:val="id"/>
        </w:rPr>
        <w:t>(EPS) yang disesuaikan pada nilai tukar konstan diperkirakan akan meningkat dalam kisaran persentase satu digit rendah hingga tinggi.</w:t>
      </w:r>
    </w:p>
    <w:p w14:paraId="3E57D116" w14:textId="77777777" w:rsidR="00E83A6D" w:rsidRPr="00903E17" w:rsidRDefault="00E83A6D" w:rsidP="00E83A6D">
      <w:pPr>
        <w:rPr>
          <w:rFonts w:cs="Segoe UI"/>
          <w:szCs w:val="22"/>
          <w:lang w:val="nb-NO"/>
        </w:rPr>
      </w:pPr>
    </w:p>
    <w:p w14:paraId="108B3DB6" w14:textId="354B43C3" w:rsidR="00E83A6D" w:rsidRPr="00903E17" w:rsidRDefault="00E83A6D" w:rsidP="00E83A6D">
      <w:pPr>
        <w:rPr>
          <w:rFonts w:cs="Segoe UI"/>
          <w:szCs w:val="22"/>
          <w:lang w:val="id"/>
        </w:rPr>
      </w:pPr>
      <w:r>
        <w:rPr>
          <w:rFonts w:cs="Segoe UI"/>
          <w:szCs w:val="22"/>
          <w:lang w:val="id"/>
        </w:rPr>
        <w:t>"Kinerja bisnis yang sangat kuat pada paruh pertama tahun 2026, ditandai dengan pertumbuhan penjualan organik yang kuat dan peningkatan lebih lanjut pada margin dan pendapatan, menunjukkan bahwa transformasi Henkel telah membuahkan hasil. Kami akan terus mendorong transformasi ini untuk lebih memperkuat daya saing jangka panjang kami dan memosisikan perusahaan demi keberhasilan di masa mendatang. Kami tengah bertransformasi demi kesuksesan Henkel di masa mendatang, dan dengan strategi yang terarah, kini kami berada di jalur yang benar dalam mencapai pertumbuhan yang lebih menguntungkan," kata Carsten Knobel.</w:t>
      </w:r>
    </w:p>
    <w:bookmarkEnd w:id="6"/>
    <w:p w14:paraId="33E22388" w14:textId="77777777" w:rsidR="00B312F1" w:rsidRPr="00903E17" w:rsidRDefault="00B312F1">
      <w:pPr>
        <w:spacing w:line="240" w:lineRule="auto"/>
        <w:jc w:val="left"/>
        <w:rPr>
          <w:rFonts w:eastAsia="PMingLiU"/>
          <w:b/>
          <w:bCs/>
          <w:sz w:val="18"/>
          <w:lang w:val="id"/>
        </w:rPr>
      </w:pPr>
    </w:p>
    <w:p w14:paraId="5FD74239" w14:textId="77777777" w:rsidR="000F56C5" w:rsidRDefault="000F56C5" w:rsidP="00292C23">
      <w:pPr>
        <w:rPr>
          <w:b/>
          <w:bCs/>
          <w:sz w:val="18"/>
          <w:szCs w:val="18"/>
          <w:lang w:val="id"/>
        </w:rPr>
      </w:pPr>
    </w:p>
    <w:p w14:paraId="0C0849AB" w14:textId="77777777" w:rsidR="000F56C5" w:rsidRDefault="000F56C5" w:rsidP="00292C23">
      <w:pPr>
        <w:rPr>
          <w:b/>
          <w:bCs/>
          <w:sz w:val="18"/>
          <w:szCs w:val="18"/>
          <w:lang w:val="id"/>
        </w:rPr>
      </w:pPr>
    </w:p>
    <w:p w14:paraId="30077469" w14:textId="77777777" w:rsidR="000F56C5" w:rsidRDefault="000F56C5" w:rsidP="00292C23">
      <w:pPr>
        <w:rPr>
          <w:b/>
          <w:bCs/>
          <w:sz w:val="18"/>
          <w:szCs w:val="18"/>
          <w:lang w:val="id"/>
        </w:rPr>
      </w:pPr>
    </w:p>
    <w:p w14:paraId="7308E30C" w14:textId="77777777" w:rsidR="000F56C5" w:rsidRDefault="000F56C5" w:rsidP="00292C23">
      <w:pPr>
        <w:rPr>
          <w:b/>
          <w:bCs/>
          <w:sz w:val="18"/>
          <w:szCs w:val="18"/>
          <w:lang w:val="id"/>
        </w:rPr>
      </w:pPr>
    </w:p>
    <w:p w14:paraId="5E2296AA" w14:textId="77777777" w:rsidR="000F56C5" w:rsidRDefault="000F56C5" w:rsidP="00292C23">
      <w:pPr>
        <w:rPr>
          <w:b/>
          <w:bCs/>
          <w:sz w:val="18"/>
          <w:szCs w:val="18"/>
          <w:lang w:val="id"/>
        </w:rPr>
      </w:pPr>
    </w:p>
    <w:p w14:paraId="06CE6F29" w14:textId="77777777" w:rsidR="000F56C5" w:rsidRDefault="000F56C5" w:rsidP="00292C23">
      <w:pPr>
        <w:rPr>
          <w:b/>
          <w:bCs/>
          <w:sz w:val="18"/>
          <w:szCs w:val="18"/>
          <w:lang w:val="id"/>
        </w:rPr>
      </w:pPr>
    </w:p>
    <w:p w14:paraId="4D033915" w14:textId="77777777" w:rsidR="000F56C5" w:rsidRDefault="000F56C5" w:rsidP="00292C23">
      <w:pPr>
        <w:rPr>
          <w:b/>
          <w:bCs/>
          <w:sz w:val="18"/>
          <w:szCs w:val="18"/>
          <w:lang w:val="id"/>
        </w:rPr>
      </w:pPr>
    </w:p>
    <w:p w14:paraId="2EA779CD" w14:textId="77777777" w:rsidR="000F56C5" w:rsidRDefault="000F56C5" w:rsidP="00292C23">
      <w:pPr>
        <w:rPr>
          <w:b/>
          <w:bCs/>
          <w:sz w:val="18"/>
          <w:szCs w:val="18"/>
          <w:lang w:val="id"/>
        </w:rPr>
      </w:pPr>
    </w:p>
    <w:p w14:paraId="7EDED48F" w14:textId="77777777" w:rsidR="000F56C5" w:rsidRDefault="000F56C5" w:rsidP="00292C23">
      <w:pPr>
        <w:rPr>
          <w:b/>
          <w:bCs/>
          <w:sz w:val="18"/>
          <w:szCs w:val="18"/>
          <w:lang w:val="id"/>
        </w:rPr>
      </w:pPr>
    </w:p>
    <w:p w14:paraId="5C9AE859" w14:textId="77777777" w:rsidR="000F56C5" w:rsidRDefault="000F56C5" w:rsidP="00292C23">
      <w:pPr>
        <w:rPr>
          <w:b/>
          <w:bCs/>
          <w:sz w:val="18"/>
          <w:szCs w:val="18"/>
          <w:lang w:val="id"/>
        </w:rPr>
      </w:pPr>
    </w:p>
    <w:p w14:paraId="0270D838" w14:textId="77777777" w:rsidR="000F56C5" w:rsidRDefault="000F56C5" w:rsidP="00292C23">
      <w:pPr>
        <w:rPr>
          <w:b/>
          <w:bCs/>
          <w:sz w:val="18"/>
          <w:szCs w:val="18"/>
          <w:lang w:val="id"/>
        </w:rPr>
      </w:pPr>
    </w:p>
    <w:p w14:paraId="7628D343" w14:textId="77777777" w:rsidR="000F56C5" w:rsidRDefault="000F56C5" w:rsidP="00292C23">
      <w:pPr>
        <w:rPr>
          <w:b/>
          <w:bCs/>
          <w:sz w:val="18"/>
          <w:szCs w:val="18"/>
          <w:lang w:val="id"/>
        </w:rPr>
      </w:pPr>
    </w:p>
    <w:p w14:paraId="321F1248" w14:textId="77777777" w:rsidR="000F56C5" w:rsidRDefault="000F56C5" w:rsidP="00292C23">
      <w:pPr>
        <w:rPr>
          <w:b/>
          <w:bCs/>
          <w:sz w:val="18"/>
          <w:szCs w:val="18"/>
          <w:lang w:val="id"/>
        </w:rPr>
      </w:pPr>
    </w:p>
    <w:p w14:paraId="2D62848B" w14:textId="77777777" w:rsidR="000F56C5" w:rsidRDefault="000F56C5" w:rsidP="00292C23">
      <w:pPr>
        <w:rPr>
          <w:b/>
          <w:bCs/>
          <w:sz w:val="18"/>
          <w:szCs w:val="18"/>
          <w:lang w:val="id"/>
        </w:rPr>
      </w:pPr>
    </w:p>
    <w:p w14:paraId="4E1A6462" w14:textId="77777777" w:rsidR="000F56C5" w:rsidRDefault="000F56C5" w:rsidP="00292C23">
      <w:pPr>
        <w:rPr>
          <w:b/>
          <w:bCs/>
          <w:sz w:val="18"/>
          <w:szCs w:val="18"/>
          <w:lang w:val="id"/>
        </w:rPr>
      </w:pPr>
    </w:p>
    <w:p w14:paraId="73F8959E" w14:textId="77777777" w:rsidR="000F56C5" w:rsidRDefault="000F56C5" w:rsidP="00292C23">
      <w:pPr>
        <w:rPr>
          <w:b/>
          <w:bCs/>
          <w:sz w:val="18"/>
          <w:szCs w:val="18"/>
          <w:lang w:val="id"/>
        </w:rPr>
      </w:pPr>
    </w:p>
    <w:p w14:paraId="2795043B" w14:textId="77777777" w:rsidR="000F56C5" w:rsidRDefault="000F56C5" w:rsidP="00292C23">
      <w:pPr>
        <w:rPr>
          <w:b/>
          <w:bCs/>
          <w:sz w:val="18"/>
          <w:szCs w:val="18"/>
          <w:lang w:val="id"/>
        </w:rPr>
      </w:pPr>
    </w:p>
    <w:p w14:paraId="39F1511E" w14:textId="77777777" w:rsidR="000F56C5" w:rsidRDefault="000F56C5" w:rsidP="00292C23">
      <w:pPr>
        <w:rPr>
          <w:b/>
          <w:bCs/>
          <w:sz w:val="18"/>
          <w:szCs w:val="18"/>
          <w:lang w:val="id"/>
        </w:rPr>
      </w:pPr>
    </w:p>
    <w:p w14:paraId="1813E91F" w14:textId="77777777" w:rsidR="000F56C5" w:rsidRDefault="000F56C5" w:rsidP="00292C23">
      <w:pPr>
        <w:rPr>
          <w:b/>
          <w:bCs/>
          <w:sz w:val="18"/>
          <w:szCs w:val="18"/>
          <w:lang w:val="id"/>
        </w:rPr>
      </w:pPr>
    </w:p>
    <w:p w14:paraId="779FB123" w14:textId="77777777" w:rsidR="000F56C5" w:rsidRDefault="000F56C5" w:rsidP="00292C23">
      <w:pPr>
        <w:rPr>
          <w:b/>
          <w:bCs/>
          <w:sz w:val="18"/>
          <w:szCs w:val="18"/>
          <w:lang w:val="id"/>
        </w:rPr>
      </w:pPr>
    </w:p>
    <w:p w14:paraId="049B2493" w14:textId="77777777" w:rsidR="000F56C5" w:rsidRDefault="000F56C5" w:rsidP="00292C23">
      <w:pPr>
        <w:rPr>
          <w:b/>
          <w:bCs/>
          <w:sz w:val="18"/>
          <w:szCs w:val="18"/>
          <w:lang w:val="id"/>
        </w:rPr>
      </w:pPr>
    </w:p>
    <w:p w14:paraId="20A90C79" w14:textId="77777777" w:rsidR="000F56C5" w:rsidRDefault="000F56C5" w:rsidP="00292C23">
      <w:pPr>
        <w:rPr>
          <w:b/>
          <w:bCs/>
          <w:sz w:val="18"/>
          <w:szCs w:val="18"/>
          <w:lang w:val="id"/>
        </w:rPr>
      </w:pPr>
    </w:p>
    <w:p w14:paraId="74566983" w14:textId="77777777" w:rsidR="000F56C5" w:rsidRDefault="000F56C5" w:rsidP="00292C23">
      <w:pPr>
        <w:rPr>
          <w:b/>
          <w:bCs/>
          <w:sz w:val="18"/>
          <w:szCs w:val="18"/>
          <w:lang w:val="id"/>
        </w:rPr>
      </w:pPr>
    </w:p>
    <w:p w14:paraId="47BC51E8" w14:textId="77777777" w:rsidR="000F56C5" w:rsidRDefault="000F56C5" w:rsidP="00292C23">
      <w:pPr>
        <w:rPr>
          <w:b/>
          <w:bCs/>
          <w:sz w:val="18"/>
          <w:szCs w:val="18"/>
          <w:lang w:val="id"/>
        </w:rPr>
      </w:pPr>
    </w:p>
    <w:p w14:paraId="54442F69" w14:textId="77777777" w:rsidR="000F56C5" w:rsidRDefault="000F56C5" w:rsidP="00292C23">
      <w:pPr>
        <w:rPr>
          <w:b/>
          <w:bCs/>
          <w:sz w:val="18"/>
          <w:szCs w:val="18"/>
          <w:lang w:val="id"/>
        </w:rPr>
      </w:pPr>
    </w:p>
    <w:p w14:paraId="680187D5" w14:textId="1E9EFC5D" w:rsidR="00292C23" w:rsidRPr="00E80181" w:rsidRDefault="00292C23" w:rsidP="00292C23">
      <w:pPr>
        <w:rPr>
          <w:rFonts w:cs="Segoe UI"/>
          <w:b/>
          <w:bCs/>
          <w:szCs w:val="22"/>
          <w:lang w:val="nb-NO"/>
        </w:rPr>
      </w:pPr>
      <w:r>
        <w:rPr>
          <w:b/>
          <w:bCs/>
          <w:sz w:val="18"/>
          <w:szCs w:val="18"/>
          <w:lang w:val="id"/>
        </w:rPr>
        <w:lastRenderedPageBreak/>
        <w:t>Tentang Henkel</w:t>
      </w:r>
    </w:p>
    <w:p w14:paraId="1DC4E6EC" w14:textId="15622E80" w:rsidR="00292C23" w:rsidRPr="00144F1A" w:rsidRDefault="00292C23" w:rsidP="00292C23">
      <w:pPr>
        <w:rPr>
          <w:sz w:val="18"/>
          <w:lang w:val="id"/>
        </w:rPr>
      </w:pPr>
      <w:r>
        <w:rPr>
          <w:sz w:val="18"/>
          <w:lang w:val="id"/>
        </w:rPr>
        <w:t xml:space="preserve">Berkat merek, inovasi, dan teknologinya, Henkel memegang posisi pasar terkemuka di seluruh dunia dalam bisnis industri dan konsumen. Unit bisnis Teknologi Perekat adalah pemimpin global di pasar perekat, sealant, dan pelapis. Berkat Merek Konsumen, perusahaan memegang posisi terdepan terutama di bidang perawatan pakaian &amp; rumah serta rambut di banyak pasar dan kategori di seluruh dunia. Tiga merek terkuat perusahaan adalah Loctite, Persil, dan Schwarzkopf. Pada tahun fiskal 2025, Henkel melaporkan penjualan lebih dari 20,5 miliar euro dan menyesuaikan laba operasional sekitar 3,0 miliar euro. Saham preferen Henkel terdaftar di indeks saham Jerman DAX. Sejak dulu Henkel memegang teguh tradisi keberlanjutan, dan perusahaan memiliki strategi keberlanjutan yang jelas dengan target spesifik. Henkel didirikan pada tahun 1876 dan saat ini mempekerjakan tim yang beragam dengan sekitar 50.000 orang di seluruh dunia - disatukan oleh budaya perusahaan yang kuat, nilai-nilai bersama, dan tujuan bersama: "Menjadi pelopor demi kebaikan lintas generasi." Informasi selengkapnya di </w:t>
      </w:r>
      <w:hyperlink r:id="rId12" w:history="1">
        <w:r>
          <w:rPr>
            <w:color w:val="0000FF"/>
            <w:sz w:val="18"/>
            <w:szCs w:val="18"/>
            <w:u w:val="single"/>
            <w:lang w:val="id"/>
          </w:rPr>
          <w:t>www.henkel.com</w:t>
        </w:r>
      </w:hyperlink>
      <w:r>
        <w:rPr>
          <w:sz w:val="18"/>
          <w:lang w:val="id"/>
        </w:rPr>
        <w:t xml:space="preserve"> </w:t>
      </w:r>
    </w:p>
    <w:p w14:paraId="25DBBED5" w14:textId="77777777" w:rsidR="00292C23" w:rsidRPr="00144F1A" w:rsidRDefault="00292C23" w:rsidP="00292C23">
      <w:pPr>
        <w:rPr>
          <w:sz w:val="14"/>
          <w:szCs w:val="14"/>
          <w:lang w:val="id"/>
        </w:rPr>
      </w:pPr>
    </w:p>
    <w:p w14:paraId="532BFA22" w14:textId="0831AE8D" w:rsidR="00292C23" w:rsidRPr="00903E17" w:rsidRDefault="00292C23" w:rsidP="00292C23">
      <w:pPr>
        <w:spacing w:after="160" w:line="240" w:lineRule="auto"/>
        <w:jc w:val="left"/>
        <w:rPr>
          <w:sz w:val="14"/>
          <w:szCs w:val="14"/>
          <w:lang w:val="nb-NO"/>
        </w:rPr>
      </w:pPr>
      <w:r>
        <w:rPr>
          <w:sz w:val="14"/>
          <w:szCs w:val="14"/>
          <w:lang w:val="id"/>
        </w:rPr>
        <w:t>Dokumen ini berisi pernyataan yang merujuk pada perkembangan bisnis, kinerja keuangan, dan peristiwa atau perkembangan lain yang relevan bagi Henkel di masa mendatang yang mungkin merupakan pernyataan prospektif. Proyeksi yang terkait dengan masa depan ditandai dengan penggunaan kata-kata seperti mengharapkan, bermaksud, merencanakan, mengantisipasi, percaya, memperkirakan, dan istilah serupa. Pernyataan tersebut didasarkan pada estimasi dan asumsi saat ini yang dibuat oleh manajemen perusahaan Henkel AG &amp; Co. KGaA. Pernyataan ini tidak untuk dipahami, dengan cara apa pun, sebagai jaminan bahwa perkiraan tersebut akan akurat. Performa dan hasil di masa mendatang yang sebenarnya dicapai oleh Henkel AG &amp; Co. KGaA dan perusahaan afiliasinya bergantung pada sejumlah risiko serta ketidakpastian dan oleh karena itu dapat berbeda secara signifikan dari proyeksi yang disampaikan. Banyak dari faktor ini berada di luar kendali Henkel dan tidak dapat diperkirakan secara akurat sebelumnya, misalnya lingkungan ekonomi masa depan dan tindakan para pesaing serta pihak lain yang terlibat di pasar. Henkel tidak berencana atau berkewajiban akan memperbarui pernyataan prospektif tersebut.</w:t>
      </w:r>
    </w:p>
    <w:p w14:paraId="5927BD4C" w14:textId="77777777" w:rsidR="00292C23" w:rsidRPr="00903E17" w:rsidRDefault="00292C23" w:rsidP="00292C23">
      <w:pPr>
        <w:spacing w:after="160" w:line="240" w:lineRule="auto"/>
        <w:jc w:val="left"/>
        <w:rPr>
          <w:sz w:val="14"/>
          <w:szCs w:val="14"/>
          <w:lang w:val="id"/>
        </w:rPr>
      </w:pPr>
      <w:r>
        <w:rPr>
          <w:sz w:val="14"/>
          <w:szCs w:val="14"/>
          <w:lang w:val="id"/>
        </w:rPr>
        <w:t>Dokumen ini mencakup indikator keuangan tambahan yang tidak didefinisikan dengan jelas dalam kerangka kerja pelaporan keuangan yang berlaku dan yang merupakan atau mungkin merupakan pengukuran kinerja alternatif. Indikator keuangan tambahan ini tidak boleh dilihat secara terpisah atau sebagai alternatif untuk ukuran aset bersih dan posisi keuangan Henkel atau hasil operasi sebagaimana yang disajikan sesuai dengan kerangka pelaporan keuangan yang berlaku dalam Laporan Keuangan Konsolidasi. Perusahaan lain yang melaporkan atau menguraikan ukuran performa alternatif dengan judul serupa mungkin menghitungnya secara berbeda.</w:t>
      </w:r>
    </w:p>
    <w:p w14:paraId="6495E95E" w14:textId="77777777" w:rsidR="00292C23" w:rsidRPr="00903E17" w:rsidRDefault="00292C23" w:rsidP="00292C23">
      <w:pPr>
        <w:spacing w:after="160" w:line="240" w:lineRule="auto"/>
        <w:jc w:val="left"/>
        <w:rPr>
          <w:sz w:val="14"/>
          <w:szCs w:val="14"/>
          <w:lang w:val="id"/>
        </w:rPr>
      </w:pPr>
      <w:r>
        <w:rPr>
          <w:sz w:val="14"/>
          <w:szCs w:val="14"/>
          <w:lang w:val="id"/>
        </w:rPr>
        <w:t>Dokumen ini diterbitkan untuk keperluan informasi saja dan tidak dimaksudkan sebagai nasihat investasi atau tawaran untuk menjual, atau ajakan untuk membeli, sekuritas.</w:t>
      </w:r>
    </w:p>
    <w:p w14:paraId="6626B667" w14:textId="77777777" w:rsidR="00292C23" w:rsidRPr="00903E17" w:rsidRDefault="00292C23" w:rsidP="00292C23">
      <w:pPr>
        <w:tabs>
          <w:tab w:val="left" w:pos="1080"/>
          <w:tab w:val="left" w:pos="4500"/>
        </w:tabs>
        <w:spacing w:line="264" w:lineRule="auto"/>
        <w:rPr>
          <w:rFonts w:asciiTheme="majorHAnsi" w:eastAsia="PMingLiU" w:hAnsiTheme="majorHAnsi" w:cs="Calibri Light"/>
          <w:b/>
          <w:sz w:val="18"/>
          <w:szCs w:val="18"/>
          <w:lang w:val="id"/>
        </w:rPr>
      </w:pPr>
    </w:p>
    <w:p w14:paraId="671552F8" w14:textId="77777777" w:rsidR="00873812" w:rsidRPr="00903E17" w:rsidRDefault="00873812" w:rsidP="00873812">
      <w:pPr>
        <w:rPr>
          <w:rFonts w:cs="Calibri Light"/>
          <w:b/>
          <w:sz w:val="18"/>
          <w:szCs w:val="18"/>
          <w:lang w:val="id"/>
        </w:rPr>
      </w:pPr>
    </w:p>
    <w:p w14:paraId="6FAD726A" w14:textId="2DC48454" w:rsidR="00873812" w:rsidRPr="007E0ECE" w:rsidRDefault="00873812" w:rsidP="00873812">
      <w:pPr>
        <w:rPr>
          <w:rFonts w:cs="Calibri Light"/>
          <w:b/>
          <w:sz w:val="18"/>
          <w:szCs w:val="18"/>
        </w:rPr>
      </w:pPr>
      <w:r>
        <w:rPr>
          <w:rFonts w:cs="Calibri Light"/>
          <w:b/>
          <w:bCs/>
          <w:sz w:val="18"/>
          <w:szCs w:val="18"/>
          <w:lang w:val="id"/>
        </w:rPr>
        <w:t>Kontak</w:t>
      </w:r>
    </w:p>
    <w:p w14:paraId="6C0B352E" w14:textId="77777777" w:rsidR="00873812" w:rsidRPr="007E0ECE" w:rsidRDefault="00873812" w:rsidP="00873812">
      <w:pPr>
        <w:rPr>
          <w:rFonts w:cs="Calibri Light"/>
          <w:b/>
          <w:sz w:val="18"/>
          <w:szCs w:val="18"/>
        </w:rPr>
      </w:pPr>
    </w:p>
    <w:p w14:paraId="05041C7A" w14:textId="77777777" w:rsidR="00873812" w:rsidRPr="007E0ECE" w:rsidRDefault="00873812" w:rsidP="00873812">
      <w:pPr>
        <w:rPr>
          <w:rFonts w:cs="Calibri Light"/>
          <w:b/>
          <w:sz w:val="18"/>
          <w:szCs w:val="18"/>
        </w:rPr>
      </w:pPr>
      <w:r>
        <w:rPr>
          <w:rFonts w:cs="Calibri Light"/>
          <w:b/>
          <w:bCs/>
          <w:sz w:val="18"/>
          <w:szCs w:val="18"/>
          <w:lang w:val="id"/>
        </w:rPr>
        <w:t>Cheerio Chan</w:t>
      </w:r>
      <w:r>
        <w:rPr>
          <w:rFonts w:cs="Calibri Light"/>
          <w:sz w:val="18"/>
          <w:szCs w:val="18"/>
          <w:lang w:val="id"/>
        </w:rPr>
        <w:tab/>
      </w:r>
      <w:r>
        <w:rPr>
          <w:rFonts w:cs="Calibri Light"/>
          <w:sz w:val="18"/>
          <w:szCs w:val="18"/>
          <w:lang w:val="id"/>
        </w:rPr>
        <w:tab/>
      </w:r>
      <w:r>
        <w:rPr>
          <w:rFonts w:cs="Calibri Light"/>
          <w:sz w:val="18"/>
          <w:szCs w:val="18"/>
          <w:lang w:val="id"/>
        </w:rPr>
        <w:tab/>
      </w:r>
      <w:r>
        <w:rPr>
          <w:rFonts w:cs="Calibri Light"/>
          <w:sz w:val="18"/>
          <w:szCs w:val="18"/>
          <w:lang w:val="id"/>
        </w:rPr>
        <w:tab/>
      </w:r>
      <w:r>
        <w:rPr>
          <w:rFonts w:cs="Calibri Light"/>
          <w:sz w:val="18"/>
          <w:szCs w:val="18"/>
          <w:lang w:val="id"/>
        </w:rPr>
        <w:tab/>
      </w:r>
      <w:r>
        <w:rPr>
          <w:rFonts w:cs="Calibri Light"/>
          <w:sz w:val="18"/>
          <w:szCs w:val="18"/>
          <w:lang w:val="id"/>
        </w:rPr>
        <w:tab/>
      </w:r>
      <w:r>
        <w:rPr>
          <w:rFonts w:cs="Calibri Light"/>
          <w:sz w:val="18"/>
          <w:szCs w:val="18"/>
          <w:lang w:val="id"/>
        </w:rPr>
        <w:tab/>
      </w:r>
    </w:p>
    <w:p w14:paraId="09C5240E" w14:textId="77777777" w:rsidR="00873812" w:rsidRPr="007E0ECE" w:rsidRDefault="00873812" w:rsidP="00873812">
      <w:pPr>
        <w:rPr>
          <w:rFonts w:cs="Calibri Light"/>
          <w:bCs/>
          <w:sz w:val="18"/>
          <w:szCs w:val="18"/>
        </w:rPr>
      </w:pPr>
      <w:r>
        <w:rPr>
          <w:rFonts w:cs="Calibri Light"/>
          <w:sz w:val="18"/>
          <w:szCs w:val="18"/>
          <w:lang w:val="id"/>
        </w:rPr>
        <w:t>+65 8799 3216</w:t>
      </w:r>
      <w:r>
        <w:rPr>
          <w:rFonts w:cs="Calibri Light"/>
          <w:sz w:val="18"/>
          <w:szCs w:val="18"/>
          <w:lang w:val="id"/>
        </w:rPr>
        <w:tab/>
      </w:r>
      <w:r>
        <w:rPr>
          <w:rFonts w:cs="Calibri Light"/>
          <w:sz w:val="18"/>
          <w:szCs w:val="18"/>
          <w:lang w:val="id"/>
        </w:rPr>
        <w:tab/>
      </w:r>
      <w:r>
        <w:rPr>
          <w:rFonts w:cs="Calibri Light"/>
          <w:sz w:val="18"/>
          <w:szCs w:val="18"/>
          <w:lang w:val="id"/>
        </w:rPr>
        <w:tab/>
      </w:r>
      <w:r>
        <w:rPr>
          <w:rFonts w:cs="Calibri Light"/>
          <w:sz w:val="18"/>
          <w:szCs w:val="18"/>
          <w:lang w:val="id"/>
        </w:rPr>
        <w:tab/>
      </w:r>
      <w:r>
        <w:rPr>
          <w:rFonts w:cs="Calibri Light"/>
          <w:sz w:val="18"/>
          <w:szCs w:val="18"/>
          <w:lang w:val="id"/>
        </w:rPr>
        <w:tab/>
      </w:r>
      <w:r>
        <w:rPr>
          <w:rFonts w:cs="Calibri Light"/>
          <w:sz w:val="18"/>
          <w:szCs w:val="18"/>
          <w:lang w:val="id"/>
        </w:rPr>
        <w:tab/>
      </w:r>
      <w:r>
        <w:rPr>
          <w:rFonts w:cs="Calibri Light"/>
          <w:sz w:val="18"/>
          <w:szCs w:val="18"/>
          <w:lang w:val="id"/>
        </w:rPr>
        <w:tab/>
      </w:r>
    </w:p>
    <w:p w14:paraId="1A640CF5" w14:textId="33A9079A" w:rsidR="00144F1A" w:rsidRPr="000F56C5" w:rsidRDefault="00873812" w:rsidP="000F56C5">
      <w:pPr>
        <w:pStyle w:val="He01Flietext"/>
        <w:rPr>
          <w:rStyle w:val="Hyperlink"/>
          <w:color w:val="auto"/>
          <w:sz w:val="14"/>
          <w:szCs w:val="14"/>
          <w:u w:val="none"/>
        </w:rPr>
      </w:pPr>
      <w:r>
        <w:rPr>
          <w:rFonts w:eastAsia="Times New Roman" w:cs="Calibri Light"/>
          <w:szCs w:val="18"/>
          <w:lang w:val="id"/>
        </w:rPr>
        <w:t>cheerio.chan@henkel.com</w:t>
      </w:r>
    </w:p>
    <w:sectPr w:rsidR="00144F1A" w:rsidRPr="000F56C5" w:rsidSect="00C65957">
      <w:headerReference w:type="even" r:id="rId13"/>
      <w:footerReference w:type="default" r:id="rId14"/>
      <w:headerReference w:type="first" r:id="rId15"/>
      <w:footerReference w:type="first" r:id="rId16"/>
      <w:pgSz w:w="11907" w:h="16840" w:code="9"/>
      <w:pgMar w:top="1944" w:right="1411" w:bottom="1843" w:left="1411" w:header="1253" w:footer="9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12840" w14:textId="77777777" w:rsidR="007C73C5" w:rsidRDefault="007C73C5">
      <w:r>
        <w:separator/>
      </w:r>
    </w:p>
  </w:endnote>
  <w:endnote w:type="continuationSeparator" w:id="0">
    <w:p w14:paraId="7CF4A32F" w14:textId="77777777" w:rsidR="007C73C5" w:rsidRDefault="007C73C5">
      <w:r>
        <w:continuationSeparator/>
      </w:r>
    </w:p>
  </w:endnote>
  <w:endnote w:type="continuationNotice" w:id="1">
    <w:p w14:paraId="4077EF06" w14:textId="77777777" w:rsidR="007C73C5" w:rsidRDefault="007C73C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D10C9" w14:textId="374CEDE3" w:rsidR="00CF6F33" w:rsidRPr="00112A28" w:rsidRDefault="00112A28" w:rsidP="00112A28">
    <w:pPr>
      <w:pStyle w:val="Footer"/>
      <w:tabs>
        <w:tab w:val="clear" w:pos="7083"/>
        <w:tab w:val="clear" w:pos="8640"/>
        <w:tab w:val="right" w:pos="9071"/>
      </w:tabs>
      <w:jc w:val="both"/>
    </w:pPr>
    <w:r>
      <w:rPr>
        <w:bCs w:val="0"/>
        <w:lang w:val="id"/>
      </w:rPr>
      <w:t>Henkel AG &amp; Co. KGaA</w:t>
    </w:r>
    <w:r>
      <w:rPr>
        <w:bCs w:val="0"/>
        <w:lang w:val="id"/>
      </w:rPr>
      <w:tab/>
      <w:t xml:space="preserve">Halaman </w:t>
    </w:r>
    <w:r>
      <w:rPr>
        <w:bCs w:val="0"/>
        <w:lang w:val="id"/>
      </w:rPr>
      <w:fldChar w:fldCharType="begin"/>
    </w:r>
    <w:r>
      <w:rPr>
        <w:bCs w:val="0"/>
        <w:lang w:val="id"/>
      </w:rPr>
      <w:instrText xml:space="preserve"> PAGE  \* Arabic  \* MERGEFORMAT </w:instrText>
    </w:r>
    <w:r>
      <w:rPr>
        <w:bCs w:val="0"/>
        <w:lang w:val="id"/>
      </w:rPr>
      <w:fldChar w:fldCharType="separate"/>
    </w:r>
    <w:r>
      <w:rPr>
        <w:bCs w:val="0"/>
        <w:lang w:val="id"/>
      </w:rPr>
      <w:t>2</w:t>
    </w:r>
    <w:r>
      <w:rPr>
        <w:bCs w:val="0"/>
        <w:lang w:val="id"/>
      </w:rPr>
      <w:fldChar w:fldCharType="end"/>
    </w:r>
    <w:r>
      <w:rPr>
        <w:bCs w:val="0"/>
        <w:lang w:val="id"/>
      </w:rPr>
      <w:t>/</w:t>
    </w:r>
    <w:fldSimple w:instr="NUMPAGES  \* Arabic  \* MERGEFORMAT">
      <w:r>
        <w:rPr>
          <w:bCs w:val="0"/>
          <w:lang w:val="id"/>
        </w:rPr>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A058E" w14:textId="4A77F117" w:rsidR="00CF6F33" w:rsidRPr="00992A11" w:rsidRDefault="00C016CC" w:rsidP="00992A11">
    <w:pPr>
      <w:pStyle w:val="Footer"/>
    </w:pPr>
    <w:r>
      <w:rPr>
        <w:bCs w:val="0"/>
        <w:sz w:val="24"/>
        <w:lang w:val="id"/>
      </w:rPr>
      <mc:AlternateContent>
        <mc:Choice Requires="wps">
          <w:drawing>
            <wp:anchor distT="45720" distB="45720" distL="114300" distR="114300" simplePos="0" relativeHeight="251660290" behindDoc="0" locked="0" layoutInCell="1" allowOverlap="1" wp14:anchorId="7668DE83" wp14:editId="302D3BA8">
              <wp:simplePos x="0" y="0"/>
              <wp:positionH relativeFrom="margin">
                <wp:posOffset>0</wp:posOffset>
              </wp:positionH>
              <wp:positionV relativeFrom="paragraph">
                <wp:posOffset>45085</wp:posOffset>
              </wp:positionV>
              <wp:extent cx="5413973" cy="232834"/>
              <wp:effectExtent l="0" t="0" r="0" b="0"/>
              <wp:wrapNone/>
              <wp:docPr id="35485232" name="Textfeld 35485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3973" cy="2328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15F460" w14:textId="77777777" w:rsidR="00C016CC" w:rsidRPr="00CF56F5" w:rsidRDefault="00C016CC" w:rsidP="00C016CC">
                          <w:pPr>
                            <w:pStyle w:val="He04Funote"/>
                            <w:rPr>
                              <w:sz w:val="12"/>
                              <w:szCs w:val="12"/>
                            </w:rPr>
                          </w:pPr>
                          <w:r>
                            <w:rPr>
                              <w:sz w:val="12"/>
                              <w:szCs w:val="12"/>
                              <w:lang w:val="id"/>
                            </w:rPr>
                            <w:t>* Setelah disesuaikan dengan beban dan pemasukan tidak berulang, serta untuk pengeluaran restrukturisasi.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68DE83" id="_x0000_t202" coordsize="21600,21600" o:spt="202" path="m,l,21600r21600,l21600,xe">
              <v:stroke joinstyle="miter"/>
              <v:path gradientshapeok="t" o:connecttype="rect"/>
            </v:shapetype>
            <v:shape id="Textfeld 35485232" o:spid="_x0000_s1027" type="#_x0000_t202" style="position:absolute;left:0;text-align:left;margin-left:0;margin-top:3.55pt;width:426.3pt;height:18.35pt;z-index:25166029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" stroked="f">
              <v:textbox>
                <w:txbxContent>
                  <w:p w14:paraId="3815F460" w14:textId="77777777" w:rsidR="00C016CC" w:rsidRPr="00CF56F5" w:rsidRDefault="00C016CC" w:rsidP="00C016CC">
                    <w:pPr>
                      <w:pStyle w:val="He04Funote"/>
                      <w:rPr>
                        <w:sz w:val="12"/>
                        <w:szCs w:val="12"/>
                      </w:rPr>
                    </w:pPr>
                    <w:r>
                      <w:rPr>
                        <w:sz w:val="12"/>
                        <w:szCs w:val="12"/>
                        <w:lang w:val="id"/>
                      </w:rPr>
                      <w:t>* Setelah disesuaikan dengan beban dan pemasukan tidak berulang, serta untuk pengeluaran restrukturisasi.</w:t>
                    </w:r>
                  </w:p>
                </w:txbxContent>
              </v:textbox>
              <w10:wrap anchorx="margin"/>
            </v:shape>
          </w:pict>
        </mc:Fallback>
      </mc:AlternateContent>
    </w:r>
    <w:r>
      <w:rPr>
        <w:bCs w:val="0"/>
        <w:lang w:val="id"/>
      </w:rPr>
      <w:drawing>
        <wp:anchor distT="0" distB="0" distL="114300" distR="114300" simplePos="0" relativeHeight="251658242" behindDoc="0" locked="0" layoutInCell="1" allowOverlap="1" wp14:anchorId="134B6F6F" wp14:editId="687DE7DE">
          <wp:simplePos x="0" y="0"/>
          <wp:positionH relativeFrom="column">
            <wp:posOffset>0</wp:posOffset>
          </wp:positionH>
          <wp:positionV relativeFrom="paragraph">
            <wp:posOffset>-365833</wp:posOffset>
          </wp:positionV>
          <wp:extent cx="4967544" cy="407963"/>
          <wp:effectExtent l="0" t="0" r="5080" b="0"/>
          <wp:wrapNone/>
          <wp:docPr id="73404956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049568" name=""/>
                  <pic:cNvPicPr/>
                </pic:nvPicPr>
                <pic:blipFill>
                  <a:blip r:embed="rId1">
                    <a:extLst>
                      <a:ext uri="{28A0092B-C50C-407E-A947-70E740481C1C}">
                        <a14:useLocalDpi xmlns:a14="http://schemas.microsoft.com/office/drawing/2010/main" val="0"/>
                      </a:ext>
                    </a:extLst>
                  </a:blip>
                  <a:stretch>
                    <a:fillRect/>
                  </a:stretch>
                </pic:blipFill>
                <pic:spPr>
                  <a:xfrm>
                    <a:off x="0" y="0"/>
                    <a:ext cx="4967544" cy="407963"/>
                  </a:xfrm>
                  <a:prstGeom prst="rect">
                    <a:avLst/>
                  </a:prstGeom>
                </pic:spPr>
              </pic:pic>
            </a:graphicData>
          </a:graphic>
          <wp14:sizeRelH relativeFrom="page">
            <wp14:pctWidth>0</wp14:pctWidth>
          </wp14:sizeRelH>
          <wp14:sizeRelV relativeFrom="page">
            <wp14:pctHeight>0</wp14:pctHeight>
          </wp14:sizeRelV>
        </wp:anchor>
      </w:drawing>
    </w:r>
    <w:r>
      <w:rPr>
        <w:bCs w:val="0"/>
        <w:lang w:val="id"/>
      </w:rPr>
      <w:t xml:space="preserve">Halaman </w:t>
    </w:r>
    <w:r>
      <w:rPr>
        <w:bCs w:val="0"/>
        <w:lang w:val="id"/>
      </w:rPr>
      <w:fldChar w:fldCharType="begin"/>
    </w:r>
    <w:r>
      <w:rPr>
        <w:bCs w:val="0"/>
        <w:lang w:val="id"/>
      </w:rPr>
      <w:instrText xml:space="preserve"> PAGE  \* Arabic  \* MERGEFORMAT </w:instrText>
    </w:r>
    <w:r>
      <w:rPr>
        <w:bCs w:val="0"/>
        <w:lang w:val="id"/>
      </w:rPr>
      <w:fldChar w:fldCharType="separate"/>
    </w:r>
    <w:r>
      <w:rPr>
        <w:bCs w:val="0"/>
        <w:lang w:val="id"/>
      </w:rPr>
      <w:t>1</w:t>
    </w:r>
    <w:r>
      <w:rPr>
        <w:bCs w:val="0"/>
        <w:lang w:val="id"/>
      </w:rPr>
      <w:fldChar w:fldCharType="end"/>
    </w:r>
    <w:r>
      <w:rPr>
        <w:bCs w:val="0"/>
        <w:lang w:val="id"/>
      </w:rPr>
      <w:t>/</w:t>
    </w:r>
    <w:r>
      <w:rPr>
        <w:bCs w:val="0"/>
        <w:lang w:val="id"/>
      </w:rPr>
      <w:fldChar w:fldCharType="begin"/>
    </w:r>
    <w:r>
      <w:rPr>
        <w:bCs w:val="0"/>
        <w:lang w:val="id"/>
      </w:rPr>
      <w:instrText xml:space="preserve"> NUMPAGES  \* Arabic  \* MERGEFORMAT </w:instrText>
    </w:r>
    <w:r>
      <w:rPr>
        <w:bCs w:val="0"/>
        <w:lang w:val="id"/>
      </w:rPr>
      <w:fldChar w:fldCharType="separate"/>
    </w:r>
    <w:r>
      <w:rPr>
        <w:bCs w:val="0"/>
        <w:lang w:val="id"/>
      </w:rPr>
      <w:t>1</w:t>
    </w:r>
    <w:r>
      <w:rPr>
        <w:bCs w:val="0"/>
        <w:lang w:val="id"/>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5185B" w14:textId="77777777" w:rsidR="007C73C5" w:rsidRDefault="007C73C5">
      <w:r>
        <w:separator/>
      </w:r>
    </w:p>
  </w:footnote>
  <w:footnote w:type="continuationSeparator" w:id="0">
    <w:p w14:paraId="157AD722" w14:textId="77777777" w:rsidR="007C73C5" w:rsidRDefault="007C73C5">
      <w:r>
        <w:continuationSeparator/>
      </w:r>
    </w:p>
  </w:footnote>
  <w:footnote w:type="continuationNotice" w:id="1">
    <w:p w14:paraId="0AC27266" w14:textId="77777777" w:rsidR="007C73C5" w:rsidRDefault="007C73C5">
      <w:pPr>
        <w:spacing w:line="240" w:lineRule="auto"/>
      </w:pPr>
    </w:p>
  </w:footnote>
  <w:footnote w:id="2">
    <w:p w14:paraId="798A1A37" w14:textId="79A404DD" w:rsidR="00C76008" w:rsidRPr="00C76008" w:rsidRDefault="00C76008" w:rsidP="00C76008">
      <w:pPr>
        <w:pStyle w:val="FootnoteText"/>
        <w:rPr>
          <w:sz w:val="18"/>
          <w:szCs w:val="16"/>
        </w:rPr>
      </w:pPr>
      <w:r>
        <w:rPr>
          <w:rStyle w:val="FootnoteReference"/>
          <w:sz w:val="18"/>
          <w:szCs w:val="16"/>
          <w:lang w:val="id"/>
        </w:rPr>
        <w:footnoteRef/>
      </w:r>
      <w:r>
        <w:rPr>
          <w:sz w:val="18"/>
          <w:szCs w:val="16"/>
          <w:lang w:val="id"/>
        </w:rPr>
        <w:t xml:space="preserve"> Termasuk akuisisi Stahl Group, yang belum dirampungkan.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ACE39" w14:textId="77777777" w:rsidR="00112A28" w:rsidRDefault="00112A28" w:rsidP="00112A28">
    <w:pPr>
      <w:pStyle w:val="Header"/>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86010" w14:textId="05DAD93D" w:rsidR="00CF6F33" w:rsidRPr="00EB46D9" w:rsidRDefault="0059722C" w:rsidP="00EB46D9">
    <w:pPr>
      <w:pStyle w:val="Header"/>
    </w:pPr>
    <w:r>
      <w:rPr>
        <w:b w:val="0"/>
        <w:bCs w:val="0"/>
        <w:noProof/>
        <w:lang w:val="id"/>
      </w:rPr>
      <w:drawing>
        <wp:anchor distT="0" distB="0" distL="114300" distR="114300" simplePos="0" relativeHeight="251658241" behindDoc="0" locked="1" layoutInCell="1" allowOverlap="1" wp14:anchorId="5559ED3E" wp14:editId="20ECCE45">
          <wp:simplePos x="0" y="0"/>
          <wp:positionH relativeFrom="margin">
            <wp:posOffset>5036820</wp:posOffset>
          </wp:positionH>
          <wp:positionV relativeFrom="margin">
            <wp:posOffset>-1478915</wp:posOffset>
          </wp:positionV>
          <wp:extent cx="1051560" cy="603250"/>
          <wp:effectExtent l="0" t="0" r="0" b="6350"/>
          <wp:wrapNone/>
          <wp:docPr id="1653066876" name="Grafik 1653066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
                    <a:extLst>
                      <a:ext uri="{28A0092B-C50C-407E-A947-70E740481C1C}">
                        <a14:useLocalDpi xmlns:a14="http://schemas.microsoft.com/office/drawing/2010/main" val="0"/>
                      </a:ext>
                    </a:extLst>
                  </a:blip>
                  <a:srcRect l="4736" t="10539" r="5063" b="12550"/>
                  <a:stretch>
                    <a:fillRect/>
                  </a:stretch>
                </pic:blipFill>
                <pic:spPr bwMode="auto">
                  <a:xfrm>
                    <a:off x="0" y="0"/>
                    <a:ext cx="1051560" cy="603250"/>
                  </a:xfrm>
                  <a:prstGeom prst="rect">
                    <a:avLst/>
                  </a:prstGeom>
                  <a:noFill/>
                </pic:spPr>
              </pic:pic>
            </a:graphicData>
          </a:graphic>
          <wp14:sizeRelH relativeFrom="page">
            <wp14:pctWidth>0</wp14:pctWidth>
          </wp14:sizeRelH>
          <wp14:sizeRelV relativeFrom="page">
            <wp14:pctHeight>0</wp14:pctHeight>
          </wp14:sizeRelV>
        </wp:anchor>
      </w:drawing>
    </w:r>
    <w:r>
      <w:rPr>
        <w:b w:val="0"/>
        <w:bCs w:val="0"/>
        <w:noProof/>
        <w:lang w:val="id"/>
      </w:rPr>
      <mc:AlternateContent>
        <mc:Choice Requires="wpg">
          <w:drawing>
            <wp:anchor distT="0" distB="0" distL="114300" distR="114300" simplePos="0" relativeHeight="251658240" behindDoc="0" locked="0" layoutInCell="1" allowOverlap="1" wp14:anchorId="76D561A9" wp14:editId="7310849B">
              <wp:simplePos x="0" y="0"/>
              <wp:positionH relativeFrom="page">
                <wp:posOffset>180340</wp:posOffset>
              </wp:positionH>
              <wp:positionV relativeFrom="page">
                <wp:posOffset>3780790</wp:posOffset>
              </wp:positionV>
              <wp:extent cx="179705" cy="3780155"/>
              <wp:effectExtent l="0" t="0" r="1905" b="11430"/>
              <wp:wrapNone/>
              <wp:docPr id="2"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705" cy="3780155"/>
                        <a:chOff x="0" y="5954"/>
                        <a:chExt cx="283" cy="5953"/>
                      </a:xfrm>
                    </wpg:grpSpPr>
                    <wps:wsp>
                      <wps:cNvPr id="3" name="Line 17"/>
                      <wps:cNvCnPr>
                        <a:cxnSpLocks noChangeShapeType="1"/>
                      </wps:cNvCnPr>
                      <wps:spPr bwMode="auto">
                        <a:xfrm>
                          <a:off x="0" y="5954"/>
                          <a:ext cx="283"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E1000F"/>
                              </a:solidFill>
                              <a:round/>
                              <a:headEnd/>
                              <a:tailEnd/>
                            </a14:hiddenLine>
                          </a:ext>
                        </a:extLst>
                      </wps:spPr>
                      <wps:bodyPr/>
                    </wps:wsp>
                    <wps:wsp>
                      <wps:cNvPr id="4" name="Line 18"/>
                      <wps:cNvCnPr>
                        <a:cxnSpLocks noChangeShapeType="1"/>
                      </wps:cNvCnPr>
                      <wps:spPr bwMode="auto">
                        <a:xfrm>
                          <a:off x="0" y="8420"/>
                          <a:ext cx="283"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E1000F"/>
                              </a:solidFill>
                              <a:round/>
                              <a:headEnd/>
                              <a:tailEnd/>
                            </a14:hiddenLine>
                          </a:ext>
                        </a:extLst>
                      </wps:spPr>
                      <wps:bodyPr/>
                    </wps:wsp>
                    <wps:wsp>
                      <wps:cNvPr id="5" name="Line 19"/>
                      <wps:cNvCnPr>
                        <a:cxnSpLocks noChangeShapeType="1"/>
                      </wps:cNvCnPr>
                      <wps:spPr bwMode="auto">
                        <a:xfrm>
                          <a:off x="0" y="11907"/>
                          <a:ext cx="283"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E1000F"/>
                              </a:solidFill>
                              <a:round/>
                              <a:headEnd/>
                              <a:tailEnd/>
                            </a14:hiddenLine>
                          </a:ext>
                        </a:extLst>
                      </wps:spPr>
                      <wps:bodyPr/>
                    </wps:wsp>
                  </wpg:wgp>
                </a:graphicData>
              </a:graphic>
              <wp14:sizeRelH relativeFrom="page">
                <wp14:pctWidth>0</wp14:pctWidth>
              </wp14:sizeRelH>
              <wp14:sizeRelV relativeFrom="page">
                <wp14:pctHeight>0</wp14:pctHeight>
              </wp14:sizeRelV>
            </wp:anchor>
          </w:drawing>
        </mc:Choice>
        <mc:Fallback>
          <w:pict>
            <v:group w14:anchorId="5C8350C8" id="Group 16" o:spid="_x0000_s1026" style="position:absolute;margin-left:14.2pt;margin-top:297.7pt;width:14.15pt;height:297.65pt;z-index:251658240;mso-position-horizontal-relative:page;mso-position-vertical-relative:page" coordorigin=",5954" coordsize="283,5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">
              <v:line id="Line 17" o:spid="_x0000_s1027" style="position:absolute;visibility:visible;mso-wrap-style:square" from="0,5954" to="283,5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" stroked="f" strokecolor="#e1000f" strokeweight=".5pt"/>
              <v:line id="Line 18" o:spid="_x0000_s1028" style="position:absolute;visibility:visible;mso-wrap-style:square" from="0,8420" to="283,8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" stroked="f" strokecolor="#e1000f" strokeweight=".5pt"/>
              <v:line id="Line 19" o:spid="_x0000_s1029" style="position:absolute;visibility:visible;mso-wrap-style:square" from="0,11907" to="283,11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" stroked="f" strokecolor="#e1000f" strokeweight=".5pt"/>
              <w10:wrap anchorx="page" anchory="page"/>
            </v:group>
          </w:pict>
        </mc:Fallback>
      </mc:AlternateContent>
    </w:r>
    <w:r>
      <w:rPr>
        <w:noProof/>
        <w:lang w:val="id"/>
      </w:rPr>
      <w:t>Siaran</w:t>
    </w:r>
    <w:r>
      <w:rPr>
        <w:lang w:val="id"/>
      </w:rPr>
      <w:t xml:space="preserve"> </w:t>
    </w:r>
    <w:r>
      <w:rPr>
        <w:lang w:val="id"/>
      </w:rPr>
      <w:t>Pers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E1865"/>
    <w:multiLevelType w:val="hybridMultilevel"/>
    <w:tmpl w:val="4A063B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F4270"/>
    <w:multiLevelType w:val="hybridMultilevel"/>
    <w:tmpl w:val="12EC31FA"/>
    <w:lvl w:ilvl="0" w:tplc="785A8864">
      <w:start w:val="1"/>
      <w:numFmt w:val="bullet"/>
      <w:pStyle w:val="NumBullet"/>
      <w:lvlText w:val="•"/>
      <w:lvlJc w:val="left"/>
      <w:pPr>
        <w:tabs>
          <w:tab w:val="num" w:pos="567"/>
        </w:tabs>
        <w:ind w:left="567" w:hanging="567"/>
      </w:pPr>
      <w:rPr>
        <w:rFonts w:ascii="Times New Roman" w:hAnsi="Times New Roman" w:cs="Times New Roman" w:hint="default"/>
        <w:color w:val="E1000F"/>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10B585C"/>
    <w:multiLevelType w:val="hybridMultilevel"/>
    <w:tmpl w:val="70D4F3A4"/>
    <w:lvl w:ilvl="0" w:tplc="68061C8C">
      <w:start w:val="1"/>
      <w:numFmt w:val="bullet"/>
      <w:lvlText w:val=""/>
      <w:lvlJc w:val="left"/>
      <w:pPr>
        <w:ind w:left="1004" w:hanging="360"/>
      </w:pPr>
      <w:rPr>
        <w:rFonts w:ascii="Wingdings" w:hAnsi="Wingdings" w:hint="default"/>
        <w:sz w:val="24"/>
        <w:szCs w:val="24"/>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3" w15:restartNumberingAfterBreak="0">
    <w:nsid w:val="3F4B6752"/>
    <w:multiLevelType w:val="hybridMultilevel"/>
    <w:tmpl w:val="1DAEF754"/>
    <w:lvl w:ilvl="0" w:tplc="36002C28">
      <w:start w:val="1"/>
      <w:numFmt w:val="bullet"/>
      <w:lvlText w:val=""/>
      <w:lvlJc w:val="left"/>
      <w:pPr>
        <w:ind w:left="360" w:hanging="360"/>
      </w:pPr>
      <w:rPr>
        <w:rFonts w:ascii="Wingdings" w:hAnsi="Wingdings" w:hint="default"/>
        <w:color w:val="E1000F"/>
        <w:sz w:val="24"/>
        <w:szCs w:val="24"/>
      </w:rPr>
    </w:lvl>
    <w:lvl w:ilvl="1" w:tplc="645A6B9C">
      <w:numFmt w:val="bullet"/>
      <w:lvlText w:val="-"/>
      <w:lvlJc w:val="left"/>
      <w:pPr>
        <w:ind w:left="1080" w:hanging="360"/>
      </w:pPr>
      <w:rPr>
        <w:rFonts w:ascii="Arial" w:hAnsi="Arial" w:hint="default"/>
        <w:color w:val="FF0000"/>
      </w:rPr>
    </w:lvl>
    <w:lvl w:ilvl="2" w:tplc="04070005" w:tentative="1">
      <w:start w:val="1"/>
      <w:numFmt w:val="bullet"/>
      <w:lvlText w:val=""/>
      <w:lvlJc w:val="left"/>
      <w:pPr>
        <w:ind w:left="1800" w:hanging="360"/>
      </w:pPr>
      <w:rPr>
        <w:rFonts w:ascii="Wingdings" w:hAnsi="Wingdings" w:cs="Wingdings" w:hint="default"/>
      </w:rPr>
    </w:lvl>
    <w:lvl w:ilvl="3" w:tplc="04070001" w:tentative="1">
      <w:start w:val="1"/>
      <w:numFmt w:val="bullet"/>
      <w:lvlText w:val=""/>
      <w:lvlJc w:val="left"/>
      <w:pPr>
        <w:ind w:left="2520" w:hanging="360"/>
      </w:pPr>
      <w:rPr>
        <w:rFonts w:ascii="Symbol" w:hAnsi="Symbol" w:cs="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cs="Wingdings" w:hint="default"/>
      </w:rPr>
    </w:lvl>
    <w:lvl w:ilvl="6" w:tplc="04070001" w:tentative="1">
      <w:start w:val="1"/>
      <w:numFmt w:val="bullet"/>
      <w:lvlText w:val=""/>
      <w:lvlJc w:val="left"/>
      <w:pPr>
        <w:ind w:left="4680" w:hanging="360"/>
      </w:pPr>
      <w:rPr>
        <w:rFonts w:ascii="Symbol" w:hAnsi="Symbol" w:cs="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cs="Wingdings" w:hint="default"/>
      </w:rPr>
    </w:lvl>
  </w:abstractNum>
  <w:abstractNum w:abstractNumId="4" w15:restartNumberingAfterBreak="0">
    <w:nsid w:val="40C5131F"/>
    <w:multiLevelType w:val="hybridMultilevel"/>
    <w:tmpl w:val="8F8421BE"/>
    <w:lvl w:ilvl="0" w:tplc="04070005">
      <w:start w:val="1"/>
      <w:numFmt w:val="bullet"/>
      <w:lvlText w:val=""/>
      <w:lvlJc w:val="left"/>
      <w:pPr>
        <w:ind w:left="1004" w:hanging="360"/>
      </w:pPr>
      <w:rPr>
        <w:rFonts w:ascii="Wingdings" w:hAnsi="Wingdings"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5" w15:restartNumberingAfterBreak="0">
    <w:nsid w:val="549B0C97"/>
    <w:multiLevelType w:val="hybridMultilevel"/>
    <w:tmpl w:val="DCD2F366"/>
    <w:lvl w:ilvl="0" w:tplc="53A0857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6BB6FB3"/>
    <w:multiLevelType w:val="hybridMultilevel"/>
    <w:tmpl w:val="FD7E88F4"/>
    <w:lvl w:ilvl="0" w:tplc="A86EF76C">
      <w:start w:val="1"/>
      <w:numFmt w:val="bullet"/>
      <w:lvlText w:val=""/>
      <w:lvlJc w:val="left"/>
      <w:pPr>
        <w:ind w:left="720" w:hanging="360"/>
      </w:pPr>
      <w:rPr>
        <w:rFonts w:ascii="Wingdings" w:hAnsi="Wingdings" w:hint="default"/>
        <w:color w:val="E1000F"/>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A89532E"/>
    <w:multiLevelType w:val="hybridMultilevel"/>
    <w:tmpl w:val="357663A0"/>
    <w:lvl w:ilvl="0" w:tplc="5FB28F00">
      <w:start w:val="1"/>
      <w:numFmt w:val="bullet"/>
      <w:lvlText w:val=""/>
      <w:lvlJc w:val="left"/>
      <w:pPr>
        <w:ind w:left="786" w:hanging="360"/>
      </w:pPr>
      <w:rPr>
        <w:rFonts w:ascii="Wingdings" w:hAnsi="Wingdings" w:hint="default"/>
        <w:sz w:val="24"/>
        <w:szCs w:val="24"/>
      </w:rPr>
    </w:lvl>
    <w:lvl w:ilvl="1" w:tplc="04070005">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71322993">
    <w:abstractNumId w:val="1"/>
  </w:num>
  <w:num w:numId="2" w16cid:durableId="165293174">
    <w:abstractNumId w:val="0"/>
  </w:num>
  <w:num w:numId="3" w16cid:durableId="1508134485">
    <w:abstractNumId w:val="7"/>
  </w:num>
  <w:num w:numId="4" w16cid:durableId="1234970366">
    <w:abstractNumId w:val="4"/>
  </w:num>
  <w:num w:numId="5" w16cid:durableId="1008554684">
    <w:abstractNumId w:val="2"/>
  </w:num>
  <w:num w:numId="6" w16cid:durableId="933825870">
    <w:abstractNumId w:val="5"/>
  </w:num>
  <w:num w:numId="7" w16cid:durableId="912852597">
    <w:abstractNumId w:val="3"/>
  </w:num>
  <w:num w:numId="8" w16cid:durableId="16256985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WAFVersion" w:val="5.0"/>
  </w:docVars>
  <w:rsids>
    <w:rsidRoot w:val="0033451C"/>
    <w:rsid w:val="00000839"/>
    <w:rsid w:val="00002AA4"/>
    <w:rsid w:val="00005267"/>
    <w:rsid w:val="00005415"/>
    <w:rsid w:val="00006346"/>
    <w:rsid w:val="000069EB"/>
    <w:rsid w:val="00006A45"/>
    <w:rsid w:val="00007410"/>
    <w:rsid w:val="00011DDB"/>
    <w:rsid w:val="00013644"/>
    <w:rsid w:val="00014FC1"/>
    <w:rsid w:val="00016137"/>
    <w:rsid w:val="00017389"/>
    <w:rsid w:val="00020DC3"/>
    <w:rsid w:val="00021C67"/>
    <w:rsid w:val="00024147"/>
    <w:rsid w:val="00024483"/>
    <w:rsid w:val="000256A9"/>
    <w:rsid w:val="00026EEE"/>
    <w:rsid w:val="000301F0"/>
    <w:rsid w:val="00030557"/>
    <w:rsid w:val="00030701"/>
    <w:rsid w:val="00030F51"/>
    <w:rsid w:val="000311F4"/>
    <w:rsid w:val="000343EB"/>
    <w:rsid w:val="00035A84"/>
    <w:rsid w:val="0003650E"/>
    <w:rsid w:val="0003729D"/>
    <w:rsid w:val="00037396"/>
    <w:rsid w:val="000378F9"/>
    <w:rsid w:val="00037D04"/>
    <w:rsid w:val="00040816"/>
    <w:rsid w:val="00040CC9"/>
    <w:rsid w:val="00041F81"/>
    <w:rsid w:val="000425ED"/>
    <w:rsid w:val="00045A1D"/>
    <w:rsid w:val="00045CCB"/>
    <w:rsid w:val="000471D0"/>
    <w:rsid w:val="000510FC"/>
    <w:rsid w:val="00051555"/>
    <w:rsid w:val="000517E2"/>
    <w:rsid w:val="00051E86"/>
    <w:rsid w:val="00054AFE"/>
    <w:rsid w:val="0005544E"/>
    <w:rsid w:val="00055CE4"/>
    <w:rsid w:val="000575F9"/>
    <w:rsid w:val="000618FC"/>
    <w:rsid w:val="00062741"/>
    <w:rsid w:val="0006442E"/>
    <w:rsid w:val="00065466"/>
    <w:rsid w:val="000665F3"/>
    <w:rsid w:val="00066A9C"/>
    <w:rsid w:val="00067071"/>
    <w:rsid w:val="00067F67"/>
    <w:rsid w:val="00070652"/>
    <w:rsid w:val="00070757"/>
    <w:rsid w:val="00071284"/>
    <w:rsid w:val="0007275A"/>
    <w:rsid w:val="00073AED"/>
    <w:rsid w:val="000751A7"/>
    <w:rsid w:val="000759DC"/>
    <w:rsid w:val="0007746E"/>
    <w:rsid w:val="00077AF9"/>
    <w:rsid w:val="00080D10"/>
    <w:rsid w:val="00081241"/>
    <w:rsid w:val="00081692"/>
    <w:rsid w:val="000818B6"/>
    <w:rsid w:val="00081EF8"/>
    <w:rsid w:val="00082417"/>
    <w:rsid w:val="0008357F"/>
    <w:rsid w:val="00083A35"/>
    <w:rsid w:val="00083A61"/>
    <w:rsid w:val="00083DAB"/>
    <w:rsid w:val="0008406B"/>
    <w:rsid w:val="00084918"/>
    <w:rsid w:val="00085A1A"/>
    <w:rsid w:val="00090DB6"/>
    <w:rsid w:val="00090E73"/>
    <w:rsid w:val="00091F11"/>
    <w:rsid w:val="00092511"/>
    <w:rsid w:val="00093255"/>
    <w:rsid w:val="00094235"/>
    <w:rsid w:val="00096AD4"/>
    <w:rsid w:val="000979FE"/>
    <w:rsid w:val="000A0598"/>
    <w:rsid w:val="000A05E0"/>
    <w:rsid w:val="000A06FB"/>
    <w:rsid w:val="000A31D3"/>
    <w:rsid w:val="000A50CF"/>
    <w:rsid w:val="000A511E"/>
    <w:rsid w:val="000A64B3"/>
    <w:rsid w:val="000A6C25"/>
    <w:rsid w:val="000B005C"/>
    <w:rsid w:val="000B10DE"/>
    <w:rsid w:val="000B2E86"/>
    <w:rsid w:val="000B576C"/>
    <w:rsid w:val="000B5D2F"/>
    <w:rsid w:val="000B5E32"/>
    <w:rsid w:val="000B6244"/>
    <w:rsid w:val="000B695A"/>
    <w:rsid w:val="000B6EF1"/>
    <w:rsid w:val="000B72A8"/>
    <w:rsid w:val="000C0715"/>
    <w:rsid w:val="000C1254"/>
    <w:rsid w:val="000C210A"/>
    <w:rsid w:val="000C27E5"/>
    <w:rsid w:val="000C30D6"/>
    <w:rsid w:val="000C47D1"/>
    <w:rsid w:val="000C4AAD"/>
    <w:rsid w:val="000C50A1"/>
    <w:rsid w:val="000C56DD"/>
    <w:rsid w:val="000C63F4"/>
    <w:rsid w:val="000D11CB"/>
    <w:rsid w:val="000D14C4"/>
    <w:rsid w:val="000D1672"/>
    <w:rsid w:val="000D178A"/>
    <w:rsid w:val="000D18CE"/>
    <w:rsid w:val="000D40C6"/>
    <w:rsid w:val="000D6C67"/>
    <w:rsid w:val="000E0CAB"/>
    <w:rsid w:val="000E1B84"/>
    <w:rsid w:val="000E21E4"/>
    <w:rsid w:val="000E2F62"/>
    <w:rsid w:val="000E38ED"/>
    <w:rsid w:val="000E45C7"/>
    <w:rsid w:val="000E67D5"/>
    <w:rsid w:val="000E755E"/>
    <w:rsid w:val="000E7F24"/>
    <w:rsid w:val="000F03BE"/>
    <w:rsid w:val="000F10AC"/>
    <w:rsid w:val="000F1757"/>
    <w:rsid w:val="000F225B"/>
    <w:rsid w:val="000F333E"/>
    <w:rsid w:val="000F3949"/>
    <w:rsid w:val="000F41BC"/>
    <w:rsid w:val="000F48E9"/>
    <w:rsid w:val="000F4DAE"/>
    <w:rsid w:val="000F56C5"/>
    <w:rsid w:val="000F7ADB"/>
    <w:rsid w:val="000F7D43"/>
    <w:rsid w:val="000F7FAF"/>
    <w:rsid w:val="00100D8B"/>
    <w:rsid w:val="00102045"/>
    <w:rsid w:val="00102264"/>
    <w:rsid w:val="001026AF"/>
    <w:rsid w:val="00103537"/>
    <w:rsid w:val="0010421C"/>
    <w:rsid w:val="0010465B"/>
    <w:rsid w:val="001050D7"/>
    <w:rsid w:val="0010570F"/>
    <w:rsid w:val="00105975"/>
    <w:rsid w:val="00110090"/>
    <w:rsid w:val="00110407"/>
    <w:rsid w:val="0011116D"/>
    <w:rsid w:val="00111386"/>
    <w:rsid w:val="001118DF"/>
    <w:rsid w:val="00111F4D"/>
    <w:rsid w:val="001125B2"/>
    <w:rsid w:val="00112A28"/>
    <w:rsid w:val="00113571"/>
    <w:rsid w:val="00114DDF"/>
    <w:rsid w:val="00114FAA"/>
    <w:rsid w:val="00115230"/>
    <w:rsid w:val="00115AE1"/>
    <w:rsid w:val="00115B5F"/>
    <w:rsid w:val="001162B4"/>
    <w:rsid w:val="00116DF3"/>
    <w:rsid w:val="00122B90"/>
    <w:rsid w:val="00122CBC"/>
    <w:rsid w:val="0012414B"/>
    <w:rsid w:val="001244F8"/>
    <w:rsid w:val="001246AB"/>
    <w:rsid w:val="00124FA3"/>
    <w:rsid w:val="001255F8"/>
    <w:rsid w:val="00126AF1"/>
    <w:rsid w:val="00126C65"/>
    <w:rsid w:val="00126D4A"/>
    <w:rsid w:val="0012714C"/>
    <w:rsid w:val="001274FA"/>
    <w:rsid w:val="00131762"/>
    <w:rsid w:val="001318EB"/>
    <w:rsid w:val="00132DA9"/>
    <w:rsid w:val="0013305B"/>
    <w:rsid w:val="00133B99"/>
    <w:rsid w:val="0013569C"/>
    <w:rsid w:val="00135939"/>
    <w:rsid w:val="001369E3"/>
    <w:rsid w:val="001375DD"/>
    <w:rsid w:val="00142EFB"/>
    <w:rsid w:val="001438BF"/>
    <w:rsid w:val="001443BD"/>
    <w:rsid w:val="00144A87"/>
    <w:rsid w:val="00144F1A"/>
    <w:rsid w:val="00145B62"/>
    <w:rsid w:val="00146193"/>
    <w:rsid w:val="00147E09"/>
    <w:rsid w:val="001519D2"/>
    <w:rsid w:val="00151E26"/>
    <w:rsid w:val="00152022"/>
    <w:rsid w:val="00152026"/>
    <w:rsid w:val="00152392"/>
    <w:rsid w:val="00152A41"/>
    <w:rsid w:val="001544C3"/>
    <w:rsid w:val="00154D75"/>
    <w:rsid w:val="00156ED6"/>
    <w:rsid w:val="001577E9"/>
    <w:rsid w:val="00157A59"/>
    <w:rsid w:val="00157F37"/>
    <w:rsid w:val="0016138C"/>
    <w:rsid w:val="00162D60"/>
    <w:rsid w:val="001640D5"/>
    <w:rsid w:val="00164499"/>
    <w:rsid w:val="001653D7"/>
    <w:rsid w:val="001659FB"/>
    <w:rsid w:val="00171763"/>
    <w:rsid w:val="00171D3F"/>
    <w:rsid w:val="00172151"/>
    <w:rsid w:val="00172C99"/>
    <w:rsid w:val="001731CE"/>
    <w:rsid w:val="00173E0D"/>
    <w:rsid w:val="001742EE"/>
    <w:rsid w:val="00175C72"/>
    <w:rsid w:val="00177D1E"/>
    <w:rsid w:val="00180F93"/>
    <w:rsid w:val="00181B06"/>
    <w:rsid w:val="0018672E"/>
    <w:rsid w:val="001928FC"/>
    <w:rsid w:val="00193BD5"/>
    <w:rsid w:val="00194571"/>
    <w:rsid w:val="00196308"/>
    <w:rsid w:val="0019782F"/>
    <w:rsid w:val="00197E9B"/>
    <w:rsid w:val="001A1185"/>
    <w:rsid w:val="001A3D77"/>
    <w:rsid w:val="001A4A02"/>
    <w:rsid w:val="001B30F7"/>
    <w:rsid w:val="001B31F0"/>
    <w:rsid w:val="001B4862"/>
    <w:rsid w:val="001B5147"/>
    <w:rsid w:val="001B65FF"/>
    <w:rsid w:val="001B710A"/>
    <w:rsid w:val="001B771D"/>
    <w:rsid w:val="001B7C20"/>
    <w:rsid w:val="001C0890"/>
    <w:rsid w:val="001C0B32"/>
    <w:rsid w:val="001C2D66"/>
    <w:rsid w:val="001C36F7"/>
    <w:rsid w:val="001C43A5"/>
    <w:rsid w:val="001C4BE1"/>
    <w:rsid w:val="001C5338"/>
    <w:rsid w:val="001C5847"/>
    <w:rsid w:val="001C7F21"/>
    <w:rsid w:val="001D1497"/>
    <w:rsid w:val="001D5534"/>
    <w:rsid w:val="001D63D9"/>
    <w:rsid w:val="001D6F0E"/>
    <w:rsid w:val="001D7ADF"/>
    <w:rsid w:val="001E0F71"/>
    <w:rsid w:val="001E1575"/>
    <w:rsid w:val="001E160D"/>
    <w:rsid w:val="001E17FB"/>
    <w:rsid w:val="001E255E"/>
    <w:rsid w:val="001E2B9B"/>
    <w:rsid w:val="001E2C06"/>
    <w:rsid w:val="001E35BA"/>
    <w:rsid w:val="001E3A31"/>
    <w:rsid w:val="001E4393"/>
    <w:rsid w:val="001E4690"/>
    <w:rsid w:val="001E49D3"/>
    <w:rsid w:val="001E4CCB"/>
    <w:rsid w:val="001E51A6"/>
    <w:rsid w:val="001E6D05"/>
    <w:rsid w:val="001E73E8"/>
    <w:rsid w:val="001E7C28"/>
    <w:rsid w:val="001F0C14"/>
    <w:rsid w:val="001F0F3B"/>
    <w:rsid w:val="001F11A1"/>
    <w:rsid w:val="001F1AB5"/>
    <w:rsid w:val="001F1BDF"/>
    <w:rsid w:val="001F1D6D"/>
    <w:rsid w:val="001F20A0"/>
    <w:rsid w:val="001F35F8"/>
    <w:rsid w:val="001F39FC"/>
    <w:rsid w:val="001F3E04"/>
    <w:rsid w:val="001F4AC3"/>
    <w:rsid w:val="001F4CAC"/>
    <w:rsid w:val="001F52E0"/>
    <w:rsid w:val="001F590C"/>
    <w:rsid w:val="001F7110"/>
    <w:rsid w:val="001F7185"/>
    <w:rsid w:val="001F773D"/>
    <w:rsid w:val="001F7E96"/>
    <w:rsid w:val="002005F5"/>
    <w:rsid w:val="0020202E"/>
    <w:rsid w:val="00202284"/>
    <w:rsid w:val="0020528D"/>
    <w:rsid w:val="0020543B"/>
    <w:rsid w:val="00205A66"/>
    <w:rsid w:val="002063CF"/>
    <w:rsid w:val="00206613"/>
    <w:rsid w:val="0020756B"/>
    <w:rsid w:val="00207E75"/>
    <w:rsid w:val="00210D86"/>
    <w:rsid w:val="0021158F"/>
    <w:rsid w:val="00211BA0"/>
    <w:rsid w:val="00212488"/>
    <w:rsid w:val="002129A6"/>
    <w:rsid w:val="002151DB"/>
    <w:rsid w:val="00220628"/>
    <w:rsid w:val="00221A45"/>
    <w:rsid w:val="00221BA0"/>
    <w:rsid w:val="00224CB4"/>
    <w:rsid w:val="002260C7"/>
    <w:rsid w:val="002304D2"/>
    <w:rsid w:val="002310E3"/>
    <w:rsid w:val="0023132A"/>
    <w:rsid w:val="00232594"/>
    <w:rsid w:val="002338C1"/>
    <w:rsid w:val="00233D04"/>
    <w:rsid w:val="00234ABD"/>
    <w:rsid w:val="00236491"/>
    <w:rsid w:val="00236C3B"/>
    <w:rsid w:val="00236E2A"/>
    <w:rsid w:val="00237F62"/>
    <w:rsid w:val="00240D96"/>
    <w:rsid w:val="00241E10"/>
    <w:rsid w:val="00242C71"/>
    <w:rsid w:val="00244D34"/>
    <w:rsid w:val="0024586A"/>
    <w:rsid w:val="0024601F"/>
    <w:rsid w:val="002464E3"/>
    <w:rsid w:val="0024732C"/>
    <w:rsid w:val="002502E1"/>
    <w:rsid w:val="00250C98"/>
    <w:rsid w:val="00250F80"/>
    <w:rsid w:val="0025124F"/>
    <w:rsid w:val="002518A2"/>
    <w:rsid w:val="002528B3"/>
    <w:rsid w:val="00253854"/>
    <w:rsid w:val="0025551F"/>
    <w:rsid w:val="00255F8C"/>
    <w:rsid w:val="00256174"/>
    <w:rsid w:val="002566B2"/>
    <w:rsid w:val="002569B9"/>
    <w:rsid w:val="00256F0C"/>
    <w:rsid w:val="00257231"/>
    <w:rsid w:val="00260318"/>
    <w:rsid w:val="00261C23"/>
    <w:rsid w:val="00262C05"/>
    <w:rsid w:val="002715AF"/>
    <w:rsid w:val="002717F0"/>
    <w:rsid w:val="0027214F"/>
    <w:rsid w:val="0027301C"/>
    <w:rsid w:val="00273099"/>
    <w:rsid w:val="00281D14"/>
    <w:rsid w:val="00282C13"/>
    <w:rsid w:val="002833D8"/>
    <w:rsid w:val="002836D7"/>
    <w:rsid w:val="00284538"/>
    <w:rsid w:val="00285669"/>
    <w:rsid w:val="002858F6"/>
    <w:rsid w:val="00286BF6"/>
    <w:rsid w:val="00286D3E"/>
    <w:rsid w:val="002903B7"/>
    <w:rsid w:val="002919AD"/>
    <w:rsid w:val="00292C23"/>
    <w:rsid w:val="00292E36"/>
    <w:rsid w:val="00293E0F"/>
    <w:rsid w:val="00295E54"/>
    <w:rsid w:val="002962D7"/>
    <w:rsid w:val="00296C33"/>
    <w:rsid w:val="002A0D7B"/>
    <w:rsid w:val="002A0DF7"/>
    <w:rsid w:val="002A268C"/>
    <w:rsid w:val="002A2975"/>
    <w:rsid w:val="002A460D"/>
    <w:rsid w:val="002A505B"/>
    <w:rsid w:val="002A5EE9"/>
    <w:rsid w:val="002A60E0"/>
    <w:rsid w:val="002A69D0"/>
    <w:rsid w:val="002A72F8"/>
    <w:rsid w:val="002B1AA8"/>
    <w:rsid w:val="002B1E87"/>
    <w:rsid w:val="002B4583"/>
    <w:rsid w:val="002B687A"/>
    <w:rsid w:val="002C1344"/>
    <w:rsid w:val="002C252E"/>
    <w:rsid w:val="002C2F5C"/>
    <w:rsid w:val="002C3A2A"/>
    <w:rsid w:val="002C458A"/>
    <w:rsid w:val="002C529C"/>
    <w:rsid w:val="002C6093"/>
    <w:rsid w:val="002C6552"/>
    <w:rsid w:val="002C672A"/>
    <w:rsid w:val="002C6773"/>
    <w:rsid w:val="002C6F51"/>
    <w:rsid w:val="002C73EC"/>
    <w:rsid w:val="002D0FE0"/>
    <w:rsid w:val="002D269A"/>
    <w:rsid w:val="002D2A3D"/>
    <w:rsid w:val="002D3E72"/>
    <w:rsid w:val="002D3EAC"/>
    <w:rsid w:val="002D46A9"/>
    <w:rsid w:val="002D5D1D"/>
    <w:rsid w:val="002D6EFD"/>
    <w:rsid w:val="002D74CF"/>
    <w:rsid w:val="002D7B8C"/>
    <w:rsid w:val="002E0A45"/>
    <w:rsid w:val="002E0B17"/>
    <w:rsid w:val="002E26B4"/>
    <w:rsid w:val="002E31C0"/>
    <w:rsid w:val="002E3A73"/>
    <w:rsid w:val="002E4FFB"/>
    <w:rsid w:val="002E63A7"/>
    <w:rsid w:val="002E650E"/>
    <w:rsid w:val="002E6E2F"/>
    <w:rsid w:val="002E7DED"/>
    <w:rsid w:val="002F0334"/>
    <w:rsid w:val="002F2A7B"/>
    <w:rsid w:val="002F3E50"/>
    <w:rsid w:val="002F4AB2"/>
    <w:rsid w:val="002F4F67"/>
    <w:rsid w:val="002F5944"/>
    <w:rsid w:val="002F7BC2"/>
    <w:rsid w:val="002F7E11"/>
    <w:rsid w:val="003002BA"/>
    <w:rsid w:val="0030037C"/>
    <w:rsid w:val="003008B9"/>
    <w:rsid w:val="00302BC5"/>
    <w:rsid w:val="00304087"/>
    <w:rsid w:val="003053DC"/>
    <w:rsid w:val="003054B0"/>
    <w:rsid w:val="003057B1"/>
    <w:rsid w:val="003062AD"/>
    <w:rsid w:val="00310ACD"/>
    <w:rsid w:val="00312C23"/>
    <w:rsid w:val="0031379F"/>
    <w:rsid w:val="00313A9C"/>
    <w:rsid w:val="0031621E"/>
    <w:rsid w:val="00316A16"/>
    <w:rsid w:val="00316B30"/>
    <w:rsid w:val="00320228"/>
    <w:rsid w:val="00320372"/>
    <w:rsid w:val="00320A26"/>
    <w:rsid w:val="003212F3"/>
    <w:rsid w:val="00321344"/>
    <w:rsid w:val="00321622"/>
    <w:rsid w:val="00321788"/>
    <w:rsid w:val="003221D5"/>
    <w:rsid w:val="00323D57"/>
    <w:rsid w:val="00323FA3"/>
    <w:rsid w:val="00325064"/>
    <w:rsid w:val="00325EC9"/>
    <w:rsid w:val="00326735"/>
    <w:rsid w:val="003279C6"/>
    <w:rsid w:val="0032B295"/>
    <w:rsid w:val="00331A08"/>
    <w:rsid w:val="00331A3E"/>
    <w:rsid w:val="0033451C"/>
    <w:rsid w:val="00334724"/>
    <w:rsid w:val="00335660"/>
    <w:rsid w:val="00335DA9"/>
    <w:rsid w:val="00335FBD"/>
    <w:rsid w:val="0033649A"/>
    <w:rsid w:val="00336854"/>
    <w:rsid w:val="0033769B"/>
    <w:rsid w:val="00337A89"/>
    <w:rsid w:val="0034015C"/>
    <w:rsid w:val="00341409"/>
    <w:rsid w:val="00341CAE"/>
    <w:rsid w:val="00342A9F"/>
    <w:rsid w:val="003442F4"/>
    <w:rsid w:val="00344546"/>
    <w:rsid w:val="003455CF"/>
    <w:rsid w:val="0034716E"/>
    <w:rsid w:val="00350CB4"/>
    <w:rsid w:val="00353705"/>
    <w:rsid w:val="00355536"/>
    <w:rsid w:val="003562E8"/>
    <w:rsid w:val="00357F94"/>
    <w:rsid w:val="003614D7"/>
    <w:rsid w:val="0036357D"/>
    <w:rsid w:val="00363637"/>
    <w:rsid w:val="003649BC"/>
    <w:rsid w:val="00364F7E"/>
    <w:rsid w:val="00365BE1"/>
    <w:rsid w:val="00365E44"/>
    <w:rsid w:val="003662B1"/>
    <w:rsid w:val="003663FD"/>
    <w:rsid w:val="003667AD"/>
    <w:rsid w:val="00367AA1"/>
    <w:rsid w:val="00370A5B"/>
    <w:rsid w:val="00372497"/>
    <w:rsid w:val="00372E36"/>
    <w:rsid w:val="00373C15"/>
    <w:rsid w:val="00373D53"/>
    <w:rsid w:val="00375653"/>
    <w:rsid w:val="00375DFA"/>
    <w:rsid w:val="00375F7D"/>
    <w:rsid w:val="003767D3"/>
    <w:rsid w:val="00376EE9"/>
    <w:rsid w:val="00376FFC"/>
    <w:rsid w:val="00377CBB"/>
    <w:rsid w:val="00382CCB"/>
    <w:rsid w:val="00382DA3"/>
    <w:rsid w:val="00384F62"/>
    <w:rsid w:val="00385438"/>
    <w:rsid w:val="003858E5"/>
    <w:rsid w:val="003877B6"/>
    <w:rsid w:val="00391539"/>
    <w:rsid w:val="003921B7"/>
    <w:rsid w:val="00392D73"/>
    <w:rsid w:val="00393887"/>
    <w:rsid w:val="00393F1B"/>
    <w:rsid w:val="00394C6B"/>
    <w:rsid w:val="0039610B"/>
    <w:rsid w:val="00396442"/>
    <w:rsid w:val="003967E1"/>
    <w:rsid w:val="00397C2B"/>
    <w:rsid w:val="003A11DF"/>
    <w:rsid w:val="003A290F"/>
    <w:rsid w:val="003A4AAA"/>
    <w:rsid w:val="003A4B10"/>
    <w:rsid w:val="003A4E2E"/>
    <w:rsid w:val="003A4E62"/>
    <w:rsid w:val="003A5A6A"/>
    <w:rsid w:val="003A775E"/>
    <w:rsid w:val="003B02F2"/>
    <w:rsid w:val="003B0BD0"/>
    <w:rsid w:val="003B0CDD"/>
    <w:rsid w:val="003B1069"/>
    <w:rsid w:val="003B1F2E"/>
    <w:rsid w:val="003B38CC"/>
    <w:rsid w:val="003B390A"/>
    <w:rsid w:val="003B3D53"/>
    <w:rsid w:val="003B4E3A"/>
    <w:rsid w:val="003B60C3"/>
    <w:rsid w:val="003B6373"/>
    <w:rsid w:val="003B79E1"/>
    <w:rsid w:val="003C0E8C"/>
    <w:rsid w:val="003C15DE"/>
    <w:rsid w:val="003C2096"/>
    <w:rsid w:val="003C2889"/>
    <w:rsid w:val="003C2AB0"/>
    <w:rsid w:val="003C34C9"/>
    <w:rsid w:val="003C4EB2"/>
    <w:rsid w:val="003C5801"/>
    <w:rsid w:val="003C5E05"/>
    <w:rsid w:val="003C63D0"/>
    <w:rsid w:val="003C699D"/>
    <w:rsid w:val="003C7959"/>
    <w:rsid w:val="003D0055"/>
    <w:rsid w:val="003D3968"/>
    <w:rsid w:val="003D42AF"/>
    <w:rsid w:val="003D4899"/>
    <w:rsid w:val="003D4AD2"/>
    <w:rsid w:val="003D5E11"/>
    <w:rsid w:val="003D73C0"/>
    <w:rsid w:val="003E031D"/>
    <w:rsid w:val="003E0583"/>
    <w:rsid w:val="003E1833"/>
    <w:rsid w:val="003E4062"/>
    <w:rsid w:val="003E6DA3"/>
    <w:rsid w:val="003E7305"/>
    <w:rsid w:val="003F0C1C"/>
    <w:rsid w:val="003F1AF3"/>
    <w:rsid w:val="003F25E4"/>
    <w:rsid w:val="003F4804"/>
    <w:rsid w:val="003F4AAA"/>
    <w:rsid w:val="003F4D8D"/>
    <w:rsid w:val="003F4E93"/>
    <w:rsid w:val="003F5708"/>
    <w:rsid w:val="003F66A4"/>
    <w:rsid w:val="003F7B5B"/>
    <w:rsid w:val="00401508"/>
    <w:rsid w:val="00401688"/>
    <w:rsid w:val="004024D9"/>
    <w:rsid w:val="0040257E"/>
    <w:rsid w:val="0040386D"/>
    <w:rsid w:val="00404188"/>
    <w:rsid w:val="00406435"/>
    <w:rsid w:val="004065BA"/>
    <w:rsid w:val="004066F9"/>
    <w:rsid w:val="00406CBE"/>
    <w:rsid w:val="004073DC"/>
    <w:rsid w:val="004137C0"/>
    <w:rsid w:val="004138F3"/>
    <w:rsid w:val="00420F5B"/>
    <w:rsid w:val="00421F20"/>
    <w:rsid w:val="0042238F"/>
    <w:rsid w:val="00423B63"/>
    <w:rsid w:val="00427BEA"/>
    <w:rsid w:val="00430120"/>
    <w:rsid w:val="004313E7"/>
    <w:rsid w:val="00432542"/>
    <w:rsid w:val="004339B2"/>
    <w:rsid w:val="00437F32"/>
    <w:rsid w:val="00440E7A"/>
    <w:rsid w:val="004433D5"/>
    <w:rsid w:val="0044344E"/>
    <w:rsid w:val="004438C1"/>
    <w:rsid w:val="00444A70"/>
    <w:rsid w:val="0044763B"/>
    <w:rsid w:val="00452696"/>
    <w:rsid w:val="00452726"/>
    <w:rsid w:val="00453F32"/>
    <w:rsid w:val="00454DAA"/>
    <w:rsid w:val="0045535C"/>
    <w:rsid w:val="00456765"/>
    <w:rsid w:val="00456A53"/>
    <w:rsid w:val="00456F1E"/>
    <w:rsid w:val="0046213C"/>
    <w:rsid w:val="00462518"/>
    <w:rsid w:val="0046266D"/>
    <w:rsid w:val="004629B3"/>
    <w:rsid w:val="0046376E"/>
    <w:rsid w:val="00463B50"/>
    <w:rsid w:val="00464251"/>
    <w:rsid w:val="00464860"/>
    <w:rsid w:val="0046587C"/>
    <w:rsid w:val="0046690F"/>
    <w:rsid w:val="004677F8"/>
    <w:rsid w:val="00467CC0"/>
    <w:rsid w:val="00471116"/>
    <w:rsid w:val="00472FEC"/>
    <w:rsid w:val="00473A2A"/>
    <w:rsid w:val="00473B89"/>
    <w:rsid w:val="004747D0"/>
    <w:rsid w:val="00476830"/>
    <w:rsid w:val="004770F6"/>
    <w:rsid w:val="004812D2"/>
    <w:rsid w:val="00483B28"/>
    <w:rsid w:val="00484218"/>
    <w:rsid w:val="004858E1"/>
    <w:rsid w:val="00485EF2"/>
    <w:rsid w:val="004864A1"/>
    <w:rsid w:val="0048769E"/>
    <w:rsid w:val="00487A1F"/>
    <w:rsid w:val="00490A03"/>
    <w:rsid w:val="00490B0D"/>
    <w:rsid w:val="00490E5D"/>
    <w:rsid w:val="004928B7"/>
    <w:rsid w:val="00492B0A"/>
    <w:rsid w:val="00492D88"/>
    <w:rsid w:val="00493327"/>
    <w:rsid w:val="0049382E"/>
    <w:rsid w:val="0049391A"/>
    <w:rsid w:val="00494DBE"/>
    <w:rsid w:val="00495CE6"/>
    <w:rsid w:val="00497D5E"/>
    <w:rsid w:val="00497EB9"/>
    <w:rsid w:val="004A144D"/>
    <w:rsid w:val="004A1D27"/>
    <w:rsid w:val="004A2176"/>
    <w:rsid w:val="004A2703"/>
    <w:rsid w:val="004A323C"/>
    <w:rsid w:val="004A3B15"/>
    <w:rsid w:val="004A4D16"/>
    <w:rsid w:val="004B0801"/>
    <w:rsid w:val="004B1117"/>
    <w:rsid w:val="004B1A6B"/>
    <w:rsid w:val="004B1FC8"/>
    <w:rsid w:val="004B339A"/>
    <w:rsid w:val="004B39DA"/>
    <w:rsid w:val="004B54E8"/>
    <w:rsid w:val="004B7595"/>
    <w:rsid w:val="004B773C"/>
    <w:rsid w:val="004C0138"/>
    <w:rsid w:val="004C0686"/>
    <w:rsid w:val="004C12E8"/>
    <w:rsid w:val="004C130C"/>
    <w:rsid w:val="004C1389"/>
    <w:rsid w:val="004C1578"/>
    <w:rsid w:val="004C174B"/>
    <w:rsid w:val="004C33BA"/>
    <w:rsid w:val="004C47EA"/>
    <w:rsid w:val="004C4FEB"/>
    <w:rsid w:val="004C6570"/>
    <w:rsid w:val="004C678C"/>
    <w:rsid w:val="004C6B79"/>
    <w:rsid w:val="004C7345"/>
    <w:rsid w:val="004D059B"/>
    <w:rsid w:val="004D09F9"/>
    <w:rsid w:val="004D0E64"/>
    <w:rsid w:val="004D144F"/>
    <w:rsid w:val="004D1DBD"/>
    <w:rsid w:val="004D304E"/>
    <w:rsid w:val="004D4543"/>
    <w:rsid w:val="004D48A8"/>
    <w:rsid w:val="004D4CB6"/>
    <w:rsid w:val="004D4DCB"/>
    <w:rsid w:val="004E0907"/>
    <w:rsid w:val="004E20CF"/>
    <w:rsid w:val="004E2324"/>
    <w:rsid w:val="004E28C9"/>
    <w:rsid w:val="004E3341"/>
    <w:rsid w:val="004E3406"/>
    <w:rsid w:val="004E5124"/>
    <w:rsid w:val="004E7BE2"/>
    <w:rsid w:val="004E7E3A"/>
    <w:rsid w:val="004F10C1"/>
    <w:rsid w:val="004F1A34"/>
    <w:rsid w:val="004F1C5E"/>
    <w:rsid w:val="004F3032"/>
    <w:rsid w:val="004F3E47"/>
    <w:rsid w:val="004F4CC8"/>
    <w:rsid w:val="004F4F5A"/>
    <w:rsid w:val="004F51FF"/>
    <w:rsid w:val="004F5AD9"/>
    <w:rsid w:val="0050159C"/>
    <w:rsid w:val="005022B7"/>
    <w:rsid w:val="00502E62"/>
    <w:rsid w:val="005044C2"/>
    <w:rsid w:val="00506B8A"/>
    <w:rsid w:val="005110D3"/>
    <w:rsid w:val="00511161"/>
    <w:rsid w:val="00512222"/>
    <w:rsid w:val="0051413C"/>
    <w:rsid w:val="00515F4A"/>
    <w:rsid w:val="0051693C"/>
    <w:rsid w:val="005208CA"/>
    <w:rsid w:val="00520A65"/>
    <w:rsid w:val="005218B8"/>
    <w:rsid w:val="00521B13"/>
    <w:rsid w:val="0052212B"/>
    <w:rsid w:val="005221A8"/>
    <w:rsid w:val="005230C7"/>
    <w:rsid w:val="0052474F"/>
    <w:rsid w:val="0052625A"/>
    <w:rsid w:val="005266EA"/>
    <w:rsid w:val="00527072"/>
    <w:rsid w:val="005272FE"/>
    <w:rsid w:val="0053001D"/>
    <w:rsid w:val="00530E38"/>
    <w:rsid w:val="00533B0D"/>
    <w:rsid w:val="00534B46"/>
    <w:rsid w:val="00535018"/>
    <w:rsid w:val="005355DB"/>
    <w:rsid w:val="00535866"/>
    <w:rsid w:val="00536CBD"/>
    <w:rsid w:val="00537B25"/>
    <w:rsid w:val="00540358"/>
    <w:rsid w:val="00540A05"/>
    <w:rsid w:val="00540D47"/>
    <w:rsid w:val="00540E25"/>
    <w:rsid w:val="005428D7"/>
    <w:rsid w:val="00542D43"/>
    <w:rsid w:val="00545516"/>
    <w:rsid w:val="005463C3"/>
    <w:rsid w:val="005465A3"/>
    <w:rsid w:val="00547C7C"/>
    <w:rsid w:val="005506D5"/>
    <w:rsid w:val="00550864"/>
    <w:rsid w:val="00551D6C"/>
    <w:rsid w:val="00553580"/>
    <w:rsid w:val="005550A8"/>
    <w:rsid w:val="0055571E"/>
    <w:rsid w:val="005565E8"/>
    <w:rsid w:val="00556F67"/>
    <w:rsid w:val="00557849"/>
    <w:rsid w:val="00563009"/>
    <w:rsid w:val="005635B7"/>
    <w:rsid w:val="005652E8"/>
    <w:rsid w:val="0056772E"/>
    <w:rsid w:val="00567A17"/>
    <w:rsid w:val="005735E2"/>
    <w:rsid w:val="0057370A"/>
    <w:rsid w:val="0057384B"/>
    <w:rsid w:val="0057392C"/>
    <w:rsid w:val="0057446D"/>
    <w:rsid w:val="0057667C"/>
    <w:rsid w:val="00576BDA"/>
    <w:rsid w:val="00577DB4"/>
    <w:rsid w:val="005826DA"/>
    <w:rsid w:val="00582943"/>
    <w:rsid w:val="00582D0E"/>
    <w:rsid w:val="00582E09"/>
    <w:rsid w:val="005833F0"/>
    <w:rsid w:val="005835F4"/>
    <w:rsid w:val="00585A6D"/>
    <w:rsid w:val="00586280"/>
    <w:rsid w:val="00586584"/>
    <w:rsid w:val="005865FC"/>
    <w:rsid w:val="00586913"/>
    <w:rsid w:val="005869CE"/>
    <w:rsid w:val="00586CAF"/>
    <w:rsid w:val="005873E9"/>
    <w:rsid w:val="00587A90"/>
    <w:rsid w:val="00591180"/>
    <w:rsid w:val="00592E9F"/>
    <w:rsid w:val="00595286"/>
    <w:rsid w:val="0059722C"/>
    <w:rsid w:val="005977A6"/>
    <w:rsid w:val="00597D07"/>
    <w:rsid w:val="00597DD6"/>
    <w:rsid w:val="005A16E6"/>
    <w:rsid w:val="005A1746"/>
    <w:rsid w:val="005A30D7"/>
    <w:rsid w:val="005A3846"/>
    <w:rsid w:val="005A678F"/>
    <w:rsid w:val="005A7DE8"/>
    <w:rsid w:val="005A7E97"/>
    <w:rsid w:val="005B2CD2"/>
    <w:rsid w:val="005B4BD1"/>
    <w:rsid w:val="005B632A"/>
    <w:rsid w:val="005B6788"/>
    <w:rsid w:val="005B6A58"/>
    <w:rsid w:val="005C3559"/>
    <w:rsid w:val="005C4C2F"/>
    <w:rsid w:val="005C5A83"/>
    <w:rsid w:val="005C6CED"/>
    <w:rsid w:val="005C7112"/>
    <w:rsid w:val="005D0155"/>
    <w:rsid w:val="005D0561"/>
    <w:rsid w:val="005D0AD9"/>
    <w:rsid w:val="005D1A67"/>
    <w:rsid w:val="005D1F10"/>
    <w:rsid w:val="005D22F6"/>
    <w:rsid w:val="005D4647"/>
    <w:rsid w:val="005D4737"/>
    <w:rsid w:val="005D5EDE"/>
    <w:rsid w:val="005D6774"/>
    <w:rsid w:val="005D68AA"/>
    <w:rsid w:val="005D6BD1"/>
    <w:rsid w:val="005E060E"/>
    <w:rsid w:val="005E0C30"/>
    <w:rsid w:val="005E1DCB"/>
    <w:rsid w:val="005E2A31"/>
    <w:rsid w:val="005E33E0"/>
    <w:rsid w:val="005E3FBB"/>
    <w:rsid w:val="005E51FC"/>
    <w:rsid w:val="005E66B4"/>
    <w:rsid w:val="005E69D9"/>
    <w:rsid w:val="005E6CB1"/>
    <w:rsid w:val="005E7116"/>
    <w:rsid w:val="005E7971"/>
    <w:rsid w:val="005F17D1"/>
    <w:rsid w:val="005F1DB9"/>
    <w:rsid w:val="005F23BC"/>
    <w:rsid w:val="005F2643"/>
    <w:rsid w:val="005F27F4"/>
    <w:rsid w:val="005F297C"/>
    <w:rsid w:val="005F3239"/>
    <w:rsid w:val="005F39BF"/>
    <w:rsid w:val="005F566C"/>
    <w:rsid w:val="005F5D54"/>
    <w:rsid w:val="005F5F4D"/>
    <w:rsid w:val="005F6567"/>
    <w:rsid w:val="005F676D"/>
    <w:rsid w:val="005F6A21"/>
    <w:rsid w:val="005F6D24"/>
    <w:rsid w:val="005F750F"/>
    <w:rsid w:val="005F7A8A"/>
    <w:rsid w:val="00600998"/>
    <w:rsid w:val="00600ACF"/>
    <w:rsid w:val="006019EB"/>
    <w:rsid w:val="00601CC1"/>
    <w:rsid w:val="006022D0"/>
    <w:rsid w:val="00605DFE"/>
    <w:rsid w:val="00607094"/>
    <w:rsid w:val="00607256"/>
    <w:rsid w:val="00607621"/>
    <w:rsid w:val="0060790C"/>
    <w:rsid w:val="0060791E"/>
    <w:rsid w:val="00611B7B"/>
    <w:rsid w:val="00611F08"/>
    <w:rsid w:val="00611FB2"/>
    <w:rsid w:val="00613BF1"/>
    <w:rsid w:val="006144B1"/>
    <w:rsid w:val="0061561D"/>
    <w:rsid w:val="00615A5C"/>
    <w:rsid w:val="00616C7F"/>
    <w:rsid w:val="006177FF"/>
    <w:rsid w:val="0062077F"/>
    <w:rsid w:val="00621BC7"/>
    <w:rsid w:val="00622033"/>
    <w:rsid w:val="0062460B"/>
    <w:rsid w:val="00630644"/>
    <w:rsid w:val="00631EC5"/>
    <w:rsid w:val="006335F1"/>
    <w:rsid w:val="006336FD"/>
    <w:rsid w:val="00633B49"/>
    <w:rsid w:val="006345B6"/>
    <w:rsid w:val="006345CD"/>
    <w:rsid w:val="00635616"/>
    <w:rsid w:val="00635712"/>
    <w:rsid w:val="00635984"/>
    <w:rsid w:val="00635F41"/>
    <w:rsid w:val="006368FF"/>
    <w:rsid w:val="00636D95"/>
    <w:rsid w:val="006377D4"/>
    <w:rsid w:val="00640135"/>
    <w:rsid w:val="006402FF"/>
    <w:rsid w:val="0064107F"/>
    <w:rsid w:val="00643372"/>
    <w:rsid w:val="00643D8A"/>
    <w:rsid w:val="00645532"/>
    <w:rsid w:val="00645A5C"/>
    <w:rsid w:val="006460E5"/>
    <w:rsid w:val="006468F3"/>
    <w:rsid w:val="00647A78"/>
    <w:rsid w:val="00647AB9"/>
    <w:rsid w:val="00647C4B"/>
    <w:rsid w:val="006504AF"/>
    <w:rsid w:val="00650894"/>
    <w:rsid w:val="0065112B"/>
    <w:rsid w:val="00652091"/>
    <w:rsid w:val="00652229"/>
    <w:rsid w:val="00652793"/>
    <w:rsid w:val="006528DE"/>
    <w:rsid w:val="006541A1"/>
    <w:rsid w:val="00657789"/>
    <w:rsid w:val="00660320"/>
    <w:rsid w:val="0066187E"/>
    <w:rsid w:val="00662375"/>
    <w:rsid w:val="006626CA"/>
    <w:rsid w:val="00663487"/>
    <w:rsid w:val="006701CD"/>
    <w:rsid w:val="00672382"/>
    <w:rsid w:val="006733BB"/>
    <w:rsid w:val="0067607A"/>
    <w:rsid w:val="006763B5"/>
    <w:rsid w:val="00676E80"/>
    <w:rsid w:val="006775C2"/>
    <w:rsid w:val="00681257"/>
    <w:rsid w:val="00681C3E"/>
    <w:rsid w:val="00681D37"/>
    <w:rsid w:val="00682191"/>
    <w:rsid w:val="006822E9"/>
    <w:rsid w:val="00682643"/>
    <w:rsid w:val="00682EB9"/>
    <w:rsid w:val="00682F1E"/>
    <w:rsid w:val="0068378C"/>
    <w:rsid w:val="006839D3"/>
    <w:rsid w:val="0068441A"/>
    <w:rsid w:val="0068699A"/>
    <w:rsid w:val="00690B19"/>
    <w:rsid w:val="00691675"/>
    <w:rsid w:val="006938EE"/>
    <w:rsid w:val="00694195"/>
    <w:rsid w:val="0069650C"/>
    <w:rsid w:val="006A06BB"/>
    <w:rsid w:val="006A0A3C"/>
    <w:rsid w:val="006A1ED8"/>
    <w:rsid w:val="006A3D5B"/>
    <w:rsid w:val="006A442A"/>
    <w:rsid w:val="006A59E9"/>
    <w:rsid w:val="006A5AB1"/>
    <w:rsid w:val="006A6F2B"/>
    <w:rsid w:val="006A75B8"/>
    <w:rsid w:val="006A79F0"/>
    <w:rsid w:val="006B048F"/>
    <w:rsid w:val="006B359D"/>
    <w:rsid w:val="006B47EE"/>
    <w:rsid w:val="006B499F"/>
    <w:rsid w:val="006B54C6"/>
    <w:rsid w:val="006B617F"/>
    <w:rsid w:val="006B78E0"/>
    <w:rsid w:val="006C187E"/>
    <w:rsid w:val="006C1FB8"/>
    <w:rsid w:val="006C2BB0"/>
    <w:rsid w:val="006C33BE"/>
    <w:rsid w:val="006C4B3D"/>
    <w:rsid w:val="006C53D0"/>
    <w:rsid w:val="006C5B53"/>
    <w:rsid w:val="006C7E78"/>
    <w:rsid w:val="006D006A"/>
    <w:rsid w:val="006D064D"/>
    <w:rsid w:val="006D098F"/>
    <w:rsid w:val="006D127F"/>
    <w:rsid w:val="006D20E3"/>
    <w:rsid w:val="006D2218"/>
    <w:rsid w:val="006D33E1"/>
    <w:rsid w:val="006D4996"/>
    <w:rsid w:val="006D4D0C"/>
    <w:rsid w:val="006D510B"/>
    <w:rsid w:val="006D535B"/>
    <w:rsid w:val="006D54AB"/>
    <w:rsid w:val="006D58E5"/>
    <w:rsid w:val="006E1084"/>
    <w:rsid w:val="006E1097"/>
    <w:rsid w:val="006E10B2"/>
    <w:rsid w:val="006E1A70"/>
    <w:rsid w:val="006E1FA9"/>
    <w:rsid w:val="006E2D24"/>
    <w:rsid w:val="006E3006"/>
    <w:rsid w:val="006E3AFC"/>
    <w:rsid w:val="006E4458"/>
    <w:rsid w:val="006E4F02"/>
    <w:rsid w:val="006E5032"/>
    <w:rsid w:val="006E5BDA"/>
    <w:rsid w:val="006E7AC9"/>
    <w:rsid w:val="006F0FC7"/>
    <w:rsid w:val="006F39A9"/>
    <w:rsid w:val="006F3D9D"/>
    <w:rsid w:val="006F524E"/>
    <w:rsid w:val="006F5D57"/>
    <w:rsid w:val="006F643F"/>
    <w:rsid w:val="006F670F"/>
    <w:rsid w:val="006F77F3"/>
    <w:rsid w:val="0070063C"/>
    <w:rsid w:val="00700D69"/>
    <w:rsid w:val="0070243F"/>
    <w:rsid w:val="00702921"/>
    <w:rsid w:val="00703272"/>
    <w:rsid w:val="0070362C"/>
    <w:rsid w:val="00703652"/>
    <w:rsid w:val="00704020"/>
    <w:rsid w:val="00704044"/>
    <w:rsid w:val="00705B35"/>
    <w:rsid w:val="00705BBE"/>
    <w:rsid w:val="00706C6E"/>
    <w:rsid w:val="0070733C"/>
    <w:rsid w:val="007102D5"/>
    <w:rsid w:val="00710C5D"/>
    <w:rsid w:val="00711304"/>
    <w:rsid w:val="00712C06"/>
    <w:rsid w:val="0071348C"/>
    <w:rsid w:val="00717273"/>
    <w:rsid w:val="00720FD4"/>
    <w:rsid w:val="00721DFD"/>
    <w:rsid w:val="00721EEF"/>
    <w:rsid w:val="00722A02"/>
    <w:rsid w:val="00723A21"/>
    <w:rsid w:val="00723B91"/>
    <w:rsid w:val="00723C6D"/>
    <w:rsid w:val="00724550"/>
    <w:rsid w:val="00724AF2"/>
    <w:rsid w:val="00724E51"/>
    <w:rsid w:val="0072502E"/>
    <w:rsid w:val="00730624"/>
    <w:rsid w:val="0073096C"/>
    <w:rsid w:val="0073100D"/>
    <w:rsid w:val="00731368"/>
    <w:rsid w:val="00733429"/>
    <w:rsid w:val="00733A46"/>
    <w:rsid w:val="00733BB0"/>
    <w:rsid w:val="00735E2D"/>
    <w:rsid w:val="00736F2C"/>
    <w:rsid w:val="007371B2"/>
    <w:rsid w:val="00740F23"/>
    <w:rsid w:val="007419C8"/>
    <w:rsid w:val="00742398"/>
    <w:rsid w:val="007432A9"/>
    <w:rsid w:val="00745C0B"/>
    <w:rsid w:val="00746050"/>
    <w:rsid w:val="00746118"/>
    <w:rsid w:val="00746C7F"/>
    <w:rsid w:val="007507B5"/>
    <w:rsid w:val="0075091D"/>
    <w:rsid w:val="00750EC4"/>
    <w:rsid w:val="00751831"/>
    <w:rsid w:val="0075201B"/>
    <w:rsid w:val="00753A24"/>
    <w:rsid w:val="00754294"/>
    <w:rsid w:val="0075430D"/>
    <w:rsid w:val="00754FF6"/>
    <w:rsid w:val="0075779F"/>
    <w:rsid w:val="00757FC5"/>
    <w:rsid w:val="0076106F"/>
    <w:rsid w:val="00761D97"/>
    <w:rsid w:val="0076354B"/>
    <w:rsid w:val="00764668"/>
    <w:rsid w:val="00764D81"/>
    <w:rsid w:val="007658F3"/>
    <w:rsid w:val="00765D0E"/>
    <w:rsid w:val="00765E3B"/>
    <w:rsid w:val="00766EA2"/>
    <w:rsid w:val="00767034"/>
    <w:rsid w:val="00772188"/>
    <w:rsid w:val="0077222A"/>
    <w:rsid w:val="00773909"/>
    <w:rsid w:val="007740E2"/>
    <w:rsid w:val="0077433B"/>
    <w:rsid w:val="00774E1E"/>
    <w:rsid w:val="0077544E"/>
    <w:rsid w:val="00776743"/>
    <w:rsid w:val="00776D7F"/>
    <w:rsid w:val="00777F5C"/>
    <w:rsid w:val="007813D0"/>
    <w:rsid w:val="007845AC"/>
    <w:rsid w:val="00785993"/>
    <w:rsid w:val="00785A0D"/>
    <w:rsid w:val="007863BF"/>
    <w:rsid w:val="007866E2"/>
    <w:rsid w:val="00786BA3"/>
    <w:rsid w:val="00790862"/>
    <w:rsid w:val="00790993"/>
    <w:rsid w:val="0079202F"/>
    <w:rsid w:val="0079203E"/>
    <w:rsid w:val="007934C3"/>
    <w:rsid w:val="00793FDA"/>
    <w:rsid w:val="00794903"/>
    <w:rsid w:val="00795486"/>
    <w:rsid w:val="00795AF2"/>
    <w:rsid w:val="00795E4F"/>
    <w:rsid w:val="007A0287"/>
    <w:rsid w:val="007A09FC"/>
    <w:rsid w:val="007A2AAD"/>
    <w:rsid w:val="007A2FB6"/>
    <w:rsid w:val="007A3017"/>
    <w:rsid w:val="007A4432"/>
    <w:rsid w:val="007A59E9"/>
    <w:rsid w:val="007A784E"/>
    <w:rsid w:val="007A7E31"/>
    <w:rsid w:val="007B02A0"/>
    <w:rsid w:val="007B278C"/>
    <w:rsid w:val="007B2C2C"/>
    <w:rsid w:val="007B2DAD"/>
    <w:rsid w:val="007B3774"/>
    <w:rsid w:val="007B4939"/>
    <w:rsid w:val="007B499C"/>
    <w:rsid w:val="007B4D4B"/>
    <w:rsid w:val="007B58C6"/>
    <w:rsid w:val="007B76D8"/>
    <w:rsid w:val="007C0646"/>
    <w:rsid w:val="007C0ED6"/>
    <w:rsid w:val="007C1ACD"/>
    <w:rsid w:val="007C1E5E"/>
    <w:rsid w:val="007C1E9D"/>
    <w:rsid w:val="007C3AE3"/>
    <w:rsid w:val="007C6C51"/>
    <w:rsid w:val="007C73C5"/>
    <w:rsid w:val="007D0000"/>
    <w:rsid w:val="007D2A02"/>
    <w:rsid w:val="007D3884"/>
    <w:rsid w:val="007D39AD"/>
    <w:rsid w:val="007D5EA2"/>
    <w:rsid w:val="007D6144"/>
    <w:rsid w:val="007D617A"/>
    <w:rsid w:val="007D62A4"/>
    <w:rsid w:val="007D6CE5"/>
    <w:rsid w:val="007E0917"/>
    <w:rsid w:val="007E136B"/>
    <w:rsid w:val="007E1736"/>
    <w:rsid w:val="007E25DD"/>
    <w:rsid w:val="007E2887"/>
    <w:rsid w:val="007E3318"/>
    <w:rsid w:val="007E678C"/>
    <w:rsid w:val="007E6EA1"/>
    <w:rsid w:val="007F0F16"/>
    <w:rsid w:val="007F0F63"/>
    <w:rsid w:val="007F2B1E"/>
    <w:rsid w:val="007F4590"/>
    <w:rsid w:val="007F62B4"/>
    <w:rsid w:val="007F7C05"/>
    <w:rsid w:val="007F7DF9"/>
    <w:rsid w:val="00800FD6"/>
    <w:rsid w:val="00801517"/>
    <w:rsid w:val="008019C0"/>
    <w:rsid w:val="008028AF"/>
    <w:rsid w:val="008028DE"/>
    <w:rsid w:val="00804966"/>
    <w:rsid w:val="0080510A"/>
    <w:rsid w:val="0080596A"/>
    <w:rsid w:val="00805CBF"/>
    <w:rsid w:val="00807195"/>
    <w:rsid w:val="00810AC4"/>
    <w:rsid w:val="0081218E"/>
    <w:rsid w:val="0081228B"/>
    <w:rsid w:val="00813492"/>
    <w:rsid w:val="00814DE2"/>
    <w:rsid w:val="00815599"/>
    <w:rsid w:val="00815D34"/>
    <w:rsid w:val="008177EE"/>
    <w:rsid w:val="00817895"/>
    <w:rsid w:val="00817AE8"/>
    <w:rsid w:val="00817DE8"/>
    <w:rsid w:val="008229F5"/>
    <w:rsid w:val="00824293"/>
    <w:rsid w:val="008259DE"/>
    <w:rsid w:val="0082699A"/>
    <w:rsid w:val="00827F2A"/>
    <w:rsid w:val="00831A42"/>
    <w:rsid w:val="00832633"/>
    <w:rsid w:val="0083342C"/>
    <w:rsid w:val="00833869"/>
    <w:rsid w:val="00833CEB"/>
    <w:rsid w:val="0083662B"/>
    <w:rsid w:val="008372D2"/>
    <w:rsid w:val="008377BC"/>
    <w:rsid w:val="00841179"/>
    <w:rsid w:val="00841353"/>
    <w:rsid w:val="00844C17"/>
    <w:rsid w:val="008450BB"/>
    <w:rsid w:val="00846017"/>
    <w:rsid w:val="008464F2"/>
    <w:rsid w:val="00847726"/>
    <w:rsid w:val="00851033"/>
    <w:rsid w:val="00851A55"/>
    <w:rsid w:val="00851CB1"/>
    <w:rsid w:val="00852511"/>
    <w:rsid w:val="0085252F"/>
    <w:rsid w:val="008530DF"/>
    <w:rsid w:val="00853F57"/>
    <w:rsid w:val="00853FD6"/>
    <w:rsid w:val="00855F22"/>
    <w:rsid w:val="00855FD0"/>
    <w:rsid w:val="008564C4"/>
    <w:rsid w:val="0085658E"/>
    <w:rsid w:val="008568E6"/>
    <w:rsid w:val="00857408"/>
    <w:rsid w:val="008578A9"/>
    <w:rsid w:val="00860338"/>
    <w:rsid w:val="0086072A"/>
    <w:rsid w:val="0086088F"/>
    <w:rsid w:val="008614F1"/>
    <w:rsid w:val="008639B3"/>
    <w:rsid w:val="00863C1A"/>
    <w:rsid w:val="00863F9D"/>
    <w:rsid w:val="0086470F"/>
    <w:rsid w:val="00865882"/>
    <w:rsid w:val="00866CDD"/>
    <w:rsid w:val="00866D6F"/>
    <w:rsid w:val="0087082E"/>
    <w:rsid w:val="008712FE"/>
    <w:rsid w:val="0087142D"/>
    <w:rsid w:val="00872928"/>
    <w:rsid w:val="00872DA6"/>
    <w:rsid w:val="00873416"/>
    <w:rsid w:val="00873812"/>
    <w:rsid w:val="0087393A"/>
    <w:rsid w:val="00873956"/>
    <w:rsid w:val="0087538C"/>
    <w:rsid w:val="00875495"/>
    <w:rsid w:val="00875A71"/>
    <w:rsid w:val="00875CB0"/>
    <w:rsid w:val="008762E7"/>
    <w:rsid w:val="00876A31"/>
    <w:rsid w:val="008770CC"/>
    <w:rsid w:val="00877800"/>
    <w:rsid w:val="00877C32"/>
    <w:rsid w:val="00880580"/>
    <w:rsid w:val="0088094B"/>
    <w:rsid w:val="00880E72"/>
    <w:rsid w:val="0088176E"/>
    <w:rsid w:val="008825EE"/>
    <w:rsid w:val="00882DE4"/>
    <w:rsid w:val="0088313E"/>
    <w:rsid w:val="008849B2"/>
    <w:rsid w:val="0088596E"/>
    <w:rsid w:val="00885D26"/>
    <w:rsid w:val="00886C54"/>
    <w:rsid w:val="008870ED"/>
    <w:rsid w:val="008877FC"/>
    <w:rsid w:val="00891F56"/>
    <w:rsid w:val="00892132"/>
    <w:rsid w:val="008947FF"/>
    <w:rsid w:val="0089796A"/>
    <w:rsid w:val="0089799B"/>
    <w:rsid w:val="008979FA"/>
    <w:rsid w:val="008A058D"/>
    <w:rsid w:val="008A2375"/>
    <w:rsid w:val="008A54B6"/>
    <w:rsid w:val="008A7DEB"/>
    <w:rsid w:val="008B00CA"/>
    <w:rsid w:val="008B1B65"/>
    <w:rsid w:val="008B2185"/>
    <w:rsid w:val="008B3182"/>
    <w:rsid w:val="008B3557"/>
    <w:rsid w:val="008B39E0"/>
    <w:rsid w:val="008B4302"/>
    <w:rsid w:val="008B605A"/>
    <w:rsid w:val="008B6086"/>
    <w:rsid w:val="008B6977"/>
    <w:rsid w:val="008B760D"/>
    <w:rsid w:val="008C093B"/>
    <w:rsid w:val="008C0E76"/>
    <w:rsid w:val="008C2665"/>
    <w:rsid w:val="008C287D"/>
    <w:rsid w:val="008C39A3"/>
    <w:rsid w:val="008C47AA"/>
    <w:rsid w:val="008C6041"/>
    <w:rsid w:val="008C74E3"/>
    <w:rsid w:val="008D0936"/>
    <w:rsid w:val="008D403B"/>
    <w:rsid w:val="008D4707"/>
    <w:rsid w:val="008D6DD7"/>
    <w:rsid w:val="008D764F"/>
    <w:rsid w:val="008D76C5"/>
    <w:rsid w:val="008E0A04"/>
    <w:rsid w:val="008E0AFA"/>
    <w:rsid w:val="008E28BD"/>
    <w:rsid w:val="008E2C6D"/>
    <w:rsid w:val="008E4F56"/>
    <w:rsid w:val="008E6661"/>
    <w:rsid w:val="008E75D3"/>
    <w:rsid w:val="008F02E9"/>
    <w:rsid w:val="008F076A"/>
    <w:rsid w:val="008F0CE4"/>
    <w:rsid w:val="008F125E"/>
    <w:rsid w:val="008F1CC5"/>
    <w:rsid w:val="008F2444"/>
    <w:rsid w:val="008F2B54"/>
    <w:rsid w:val="008F2CC5"/>
    <w:rsid w:val="008F4C1E"/>
    <w:rsid w:val="008F4D2F"/>
    <w:rsid w:val="008F510A"/>
    <w:rsid w:val="008F55A2"/>
    <w:rsid w:val="00900235"/>
    <w:rsid w:val="00900D3C"/>
    <w:rsid w:val="00903E17"/>
    <w:rsid w:val="00904FAA"/>
    <w:rsid w:val="00906292"/>
    <w:rsid w:val="0091352F"/>
    <w:rsid w:val="0091405A"/>
    <w:rsid w:val="00914901"/>
    <w:rsid w:val="00914B5B"/>
    <w:rsid w:val="009152B8"/>
    <w:rsid w:val="00917162"/>
    <w:rsid w:val="009172B9"/>
    <w:rsid w:val="009178AA"/>
    <w:rsid w:val="00920430"/>
    <w:rsid w:val="00920544"/>
    <w:rsid w:val="00921C0C"/>
    <w:rsid w:val="00923001"/>
    <w:rsid w:val="0092358D"/>
    <w:rsid w:val="009238BF"/>
    <w:rsid w:val="009251CC"/>
    <w:rsid w:val="0092680D"/>
    <w:rsid w:val="0092714E"/>
    <w:rsid w:val="00927661"/>
    <w:rsid w:val="00931E24"/>
    <w:rsid w:val="00931EF0"/>
    <w:rsid w:val="009324F0"/>
    <w:rsid w:val="00933130"/>
    <w:rsid w:val="0093409F"/>
    <w:rsid w:val="0093478F"/>
    <w:rsid w:val="00936826"/>
    <w:rsid w:val="00940B3D"/>
    <w:rsid w:val="00942002"/>
    <w:rsid w:val="00942359"/>
    <w:rsid w:val="0094623A"/>
    <w:rsid w:val="00946FC5"/>
    <w:rsid w:val="00947885"/>
    <w:rsid w:val="009504AB"/>
    <w:rsid w:val="00951212"/>
    <w:rsid w:val="00951818"/>
    <w:rsid w:val="00952168"/>
    <w:rsid w:val="009527FE"/>
    <w:rsid w:val="009529B2"/>
    <w:rsid w:val="009535A6"/>
    <w:rsid w:val="009538D0"/>
    <w:rsid w:val="0095421F"/>
    <w:rsid w:val="009555CA"/>
    <w:rsid w:val="00955D69"/>
    <w:rsid w:val="00957D2C"/>
    <w:rsid w:val="00960319"/>
    <w:rsid w:val="00960539"/>
    <w:rsid w:val="009605B1"/>
    <w:rsid w:val="00960CBC"/>
    <w:rsid w:val="00962591"/>
    <w:rsid w:val="00962AD4"/>
    <w:rsid w:val="00963A06"/>
    <w:rsid w:val="00965192"/>
    <w:rsid w:val="00967DD4"/>
    <w:rsid w:val="009700B1"/>
    <w:rsid w:val="00970ECF"/>
    <w:rsid w:val="00971261"/>
    <w:rsid w:val="00971D12"/>
    <w:rsid w:val="00971FD4"/>
    <w:rsid w:val="009722CB"/>
    <w:rsid w:val="009739A0"/>
    <w:rsid w:val="00974EE4"/>
    <w:rsid w:val="00974F84"/>
    <w:rsid w:val="00975D5B"/>
    <w:rsid w:val="00976216"/>
    <w:rsid w:val="009767C7"/>
    <w:rsid w:val="00977D30"/>
    <w:rsid w:val="00980E69"/>
    <w:rsid w:val="0098334C"/>
    <w:rsid w:val="00984643"/>
    <w:rsid w:val="0098576C"/>
    <w:rsid w:val="0098579A"/>
    <w:rsid w:val="00991475"/>
    <w:rsid w:val="009918DD"/>
    <w:rsid w:val="0099195A"/>
    <w:rsid w:val="00991BD2"/>
    <w:rsid w:val="00992407"/>
    <w:rsid w:val="00992A11"/>
    <w:rsid w:val="00994681"/>
    <w:rsid w:val="0099486A"/>
    <w:rsid w:val="00994EFB"/>
    <w:rsid w:val="009954D8"/>
    <w:rsid w:val="00997239"/>
    <w:rsid w:val="009A0B33"/>
    <w:rsid w:val="009A0E26"/>
    <w:rsid w:val="009A16EC"/>
    <w:rsid w:val="009A22C2"/>
    <w:rsid w:val="009A743E"/>
    <w:rsid w:val="009A79B8"/>
    <w:rsid w:val="009A7CF6"/>
    <w:rsid w:val="009A7F82"/>
    <w:rsid w:val="009B10F6"/>
    <w:rsid w:val="009B11ED"/>
    <w:rsid w:val="009B1B55"/>
    <w:rsid w:val="009B29B7"/>
    <w:rsid w:val="009B2D03"/>
    <w:rsid w:val="009B3199"/>
    <w:rsid w:val="009B3B37"/>
    <w:rsid w:val="009B63F4"/>
    <w:rsid w:val="009B7D1F"/>
    <w:rsid w:val="009C088E"/>
    <w:rsid w:val="009C17DC"/>
    <w:rsid w:val="009C292D"/>
    <w:rsid w:val="009C37AB"/>
    <w:rsid w:val="009C3FCE"/>
    <w:rsid w:val="009C4C7A"/>
    <w:rsid w:val="009C4D35"/>
    <w:rsid w:val="009C5E51"/>
    <w:rsid w:val="009C6158"/>
    <w:rsid w:val="009C75A2"/>
    <w:rsid w:val="009C7B68"/>
    <w:rsid w:val="009D1522"/>
    <w:rsid w:val="009D1763"/>
    <w:rsid w:val="009D296E"/>
    <w:rsid w:val="009D51F0"/>
    <w:rsid w:val="009D61DC"/>
    <w:rsid w:val="009D7252"/>
    <w:rsid w:val="009D7652"/>
    <w:rsid w:val="009E1FF6"/>
    <w:rsid w:val="009E3800"/>
    <w:rsid w:val="009E3CAF"/>
    <w:rsid w:val="009E3E5E"/>
    <w:rsid w:val="009E3F48"/>
    <w:rsid w:val="009E53A5"/>
    <w:rsid w:val="009E5EB4"/>
    <w:rsid w:val="009E7B37"/>
    <w:rsid w:val="009E7BCC"/>
    <w:rsid w:val="009F4451"/>
    <w:rsid w:val="009F563C"/>
    <w:rsid w:val="009F610E"/>
    <w:rsid w:val="00A00DA9"/>
    <w:rsid w:val="00A00F7E"/>
    <w:rsid w:val="00A044D6"/>
    <w:rsid w:val="00A04ADB"/>
    <w:rsid w:val="00A04D8F"/>
    <w:rsid w:val="00A04F89"/>
    <w:rsid w:val="00A05F11"/>
    <w:rsid w:val="00A11E0F"/>
    <w:rsid w:val="00A12378"/>
    <w:rsid w:val="00A141E9"/>
    <w:rsid w:val="00A148CB"/>
    <w:rsid w:val="00A15B6B"/>
    <w:rsid w:val="00A15D78"/>
    <w:rsid w:val="00A15EBE"/>
    <w:rsid w:val="00A17F5B"/>
    <w:rsid w:val="00A216E5"/>
    <w:rsid w:val="00A24617"/>
    <w:rsid w:val="00A25165"/>
    <w:rsid w:val="00A25F5B"/>
    <w:rsid w:val="00A26744"/>
    <w:rsid w:val="00A26CB6"/>
    <w:rsid w:val="00A27073"/>
    <w:rsid w:val="00A2751B"/>
    <w:rsid w:val="00A30A00"/>
    <w:rsid w:val="00A316D9"/>
    <w:rsid w:val="00A32F82"/>
    <w:rsid w:val="00A32F8B"/>
    <w:rsid w:val="00A34F9F"/>
    <w:rsid w:val="00A36481"/>
    <w:rsid w:val="00A36675"/>
    <w:rsid w:val="00A3756F"/>
    <w:rsid w:val="00A37BF5"/>
    <w:rsid w:val="00A42D6F"/>
    <w:rsid w:val="00A43870"/>
    <w:rsid w:val="00A4474B"/>
    <w:rsid w:val="00A45A62"/>
    <w:rsid w:val="00A462DC"/>
    <w:rsid w:val="00A4657C"/>
    <w:rsid w:val="00A51DB8"/>
    <w:rsid w:val="00A52E0B"/>
    <w:rsid w:val="00A52FA1"/>
    <w:rsid w:val="00A540B0"/>
    <w:rsid w:val="00A54AC5"/>
    <w:rsid w:val="00A54C2A"/>
    <w:rsid w:val="00A54D12"/>
    <w:rsid w:val="00A55DC3"/>
    <w:rsid w:val="00A56D41"/>
    <w:rsid w:val="00A56DEC"/>
    <w:rsid w:val="00A60529"/>
    <w:rsid w:val="00A60899"/>
    <w:rsid w:val="00A608D3"/>
    <w:rsid w:val="00A60F91"/>
    <w:rsid w:val="00A61353"/>
    <w:rsid w:val="00A61481"/>
    <w:rsid w:val="00A616F1"/>
    <w:rsid w:val="00A61A48"/>
    <w:rsid w:val="00A629D6"/>
    <w:rsid w:val="00A63035"/>
    <w:rsid w:val="00A637C9"/>
    <w:rsid w:val="00A66DB1"/>
    <w:rsid w:val="00A67A92"/>
    <w:rsid w:val="00A67D8B"/>
    <w:rsid w:val="00A70DC6"/>
    <w:rsid w:val="00A7315C"/>
    <w:rsid w:val="00A7420B"/>
    <w:rsid w:val="00A743B1"/>
    <w:rsid w:val="00A74FDC"/>
    <w:rsid w:val="00A77192"/>
    <w:rsid w:val="00A8089F"/>
    <w:rsid w:val="00A811D8"/>
    <w:rsid w:val="00A81C0A"/>
    <w:rsid w:val="00A820BE"/>
    <w:rsid w:val="00A842D5"/>
    <w:rsid w:val="00A87870"/>
    <w:rsid w:val="00A903F3"/>
    <w:rsid w:val="00A90F18"/>
    <w:rsid w:val="00A90FFB"/>
    <w:rsid w:val="00A9149D"/>
    <w:rsid w:val="00A91A70"/>
    <w:rsid w:val="00A92FCD"/>
    <w:rsid w:val="00A9302F"/>
    <w:rsid w:val="00A957F6"/>
    <w:rsid w:val="00A959CF"/>
    <w:rsid w:val="00A9635E"/>
    <w:rsid w:val="00A97316"/>
    <w:rsid w:val="00A97BD8"/>
    <w:rsid w:val="00AA010B"/>
    <w:rsid w:val="00AA0D54"/>
    <w:rsid w:val="00AA1B85"/>
    <w:rsid w:val="00AA3290"/>
    <w:rsid w:val="00AA46F0"/>
    <w:rsid w:val="00AA6481"/>
    <w:rsid w:val="00AA7270"/>
    <w:rsid w:val="00AB08B8"/>
    <w:rsid w:val="00AB0C08"/>
    <w:rsid w:val="00AB12AC"/>
    <w:rsid w:val="00AB1CB6"/>
    <w:rsid w:val="00AB1D9A"/>
    <w:rsid w:val="00AB4A1F"/>
    <w:rsid w:val="00AB5C61"/>
    <w:rsid w:val="00AB7EAC"/>
    <w:rsid w:val="00AC02F8"/>
    <w:rsid w:val="00AC22DB"/>
    <w:rsid w:val="00AC304D"/>
    <w:rsid w:val="00AC3204"/>
    <w:rsid w:val="00AC3540"/>
    <w:rsid w:val="00AC3D15"/>
    <w:rsid w:val="00AC5055"/>
    <w:rsid w:val="00AC5315"/>
    <w:rsid w:val="00AC7623"/>
    <w:rsid w:val="00AC7D60"/>
    <w:rsid w:val="00AD0A8D"/>
    <w:rsid w:val="00AD0C22"/>
    <w:rsid w:val="00AD1AD7"/>
    <w:rsid w:val="00AD1AE2"/>
    <w:rsid w:val="00AD3290"/>
    <w:rsid w:val="00AD442C"/>
    <w:rsid w:val="00AD44FE"/>
    <w:rsid w:val="00AD5A37"/>
    <w:rsid w:val="00AD6B50"/>
    <w:rsid w:val="00AE05A4"/>
    <w:rsid w:val="00AE0AE7"/>
    <w:rsid w:val="00AE177E"/>
    <w:rsid w:val="00AE25FC"/>
    <w:rsid w:val="00AE380A"/>
    <w:rsid w:val="00AE400C"/>
    <w:rsid w:val="00AE49F1"/>
    <w:rsid w:val="00AE4A1C"/>
    <w:rsid w:val="00AE4B7A"/>
    <w:rsid w:val="00AE5532"/>
    <w:rsid w:val="00AE58C4"/>
    <w:rsid w:val="00AE74D8"/>
    <w:rsid w:val="00AF0B6F"/>
    <w:rsid w:val="00AF0F75"/>
    <w:rsid w:val="00AF1D69"/>
    <w:rsid w:val="00AF23A8"/>
    <w:rsid w:val="00AF30D0"/>
    <w:rsid w:val="00AF41FA"/>
    <w:rsid w:val="00AF4720"/>
    <w:rsid w:val="00AF4796"/>
    <w:rsid w:val="00AF71EB"/>
    <w:rsid w:val="00AF73E4"/>
    <w:rsid w:val="00B00988"/>
    <w:rsid w:val="00B01405"/>
    <w:rsid w:val="00B027BA"/>
    <w:rsid w:val="00B052E8"/>
    <w:rsid w:val="00B05CCA"/>
    <w:rsid w:val="00B05ECC"/>
    <w:rsid w:val="00B06DC3"/>
    <w:rsid w:val="00B07F73"/>
    <w:rsid w:val="00B100C9"/>
    <w:rsid w:val="00B11099"/>
    <w:rsid w:val="00B1114C"/>
    <w:rsid w:val="00B116B7"/>
    <w:rsid w:val="00B14271"/>
    <w:rsid w:val="00B1445C"/>
    <w:rsid w:val="00B16270"/>
    <w:rsid w:val="00B20182"/>
    <w:rsid w:val="00B20E4B"/>
    <w:rsid w:val="00B22578"/>
    <w:rsid w:val="00B2292F"/>
    <w:rsid w:val="00B23C16"/>
    <w:rsid w:val="00B23C52"/>
    <w:rsid w:val="00B24E86"/>
    <w:rsid w:val="00B259E1"/>
    <w:rsid w:val="00B2685D"/>
    <w:rsid w:val="00B26D1E"/>
    <w:rsid w:val="00B26EE8"/>
    <w:rsid w:val="00B30351"/>
    <w:rsid w:val="00B312F1"/>
    <w:rsid w:val="00B33837"/>
    <w:rsid w:val="00B33C2A"/>
    <w:rsid w:val="00B349F7"/>
    <w:rsid w:val="00B34A14"/>
    <w:rsid w:val="00B35967"/>
    <w:rsid w:val="00B35CBA"/>
    <w:rsid w:val="00B363D9"/>
    <w:rsid w:val="00B416D1"/>
    <w:rsid w:val="00B422EC"/>
    <w:rsid w:val="00B44875"/>
    <w:rsid w:val="00B44C07"/>
    <w:rsid w:val="00B46320"/>
    <w:rsid w:val="00B4657A"/>
    <w:rsid w:val="00B47F0A"/>
    <w:rsid w:val="00B50B6B"/>
    <w:rsid w:val="00B51D75"/>
    <w:rsid w:val="00B54329"/>
    <w:rsid w:val="00B54885"/>
    <w:rsid w:val="00B54BFF"/>
    <w:rsid w:val="00B554C9"/>
    <w:rsid w:val="00B56AD9"/>
    <w:rsid w:val="00B5714F"/>
    <w:rsid w:val="00B57158"/>
    <w:rsid w:val="00B5778D"/>
    <w:rsid w:val="00B60827"/>
    <w:rsid w:val="00B61117"/>
    <w:rsid w:val="00B614C0"/>
    <w:rsid w:val="00B61EBB"/>
    <w:rsid w:val="00B634AB"/>
    <w:rsid w:val="00B63624"/>
    <w:rsid w:val="00B671E3"/>
    <w:rsid w:val="00B7037B"/>
    <w:rsid w:val="00B719F6"/>
    <w:rsid w:val="00B72045"/>
    <w:rsid w:val="00B726D4"/>
    <w:rsid w:val="00B72969"/>
    <w:rsid w:val="00B73A2D"/>
    <w:rsid w:val="00B758FD"/>
    <w:rsid w:val="00B76807"/>
    <w:rsid w:val="00B769E6"/>
    <w:rsid w:val="00B77D24"/>
    <w:rsid w:val="00B805A9"/>
    <w:rsid w:val="00B8214F"/>
    <w:rsid w:val="00B82B43"/>
    <w:rsid w:val="00B82B48"/>
    <w:rsid w:val="00B84956"/>
    <w:rsid w:val="00B84F2C"/>
    <w:rsid w:val="00B85133"/>
    <w:rsid w:val="00B8643A"/>
    <w:rsid w:val="00B86A4F"/>
    <w:rsid w:val="00B873D9"/>
    <w:rsid w:val="00B91786"/>
    <w:rsid w:val="00B93035"/>
    <w:rsid w:val="00B93D17"/>
    <w:rsid w:val="00B940EB"/>
    <w:rsid w:val="00B9431C"/>
    <w:rsid w:val="00B95798"/>
    <w:rsid w:val="00B958E8"/>
    <w:rsid w:val="00B97E4A"/>
    <w:rsid w:val="00BA09B2"/>
    <w:rsid w:val="00BA0F35"/>
    <w:rsid w:val="00BA397D"/>
    <w:rsid w:val="00BA465D"/>
    <w:rsid w:val="00BA52C0"/>
    <w:rsid w:val="00BA5B46"/>
    <w:rsid w:val="00BA621C"/>
    <w:rsid w:val="00BA63D4"/>
    <w:rsid w:val="00BB2D73"/>
    <w:rsid w:val="00BB400D"/>
    <w:rsid w:val="00BB4503"/>
    <w:rsid w:val="00BB45BA"/>
    <w:rsid w:val="00BB48B2"/>
    <w:rsid w:val="00BB4A3A"/>
    <w:rsid w:val="00BB5D0B"/>
    <w:rsid w:val="00BB629C"/>
    <w:rsid w:val="00BC0995"/>
    <w:rsid w:val="00BC1761"/>
    <w:rsid w:val="00BC19ED"/>
    <w:rsid w:val="00BC25A8"/>
    <w:rsid w:val="00BC513A"/>
    <w:rsid w:val="00BC585F"/>
    <w:rsid w:val="00BC6C56"/>
    <w:rsid w:val="00BC6DE2"/>
    <w:rsid w:val="00BC6E62"/>
    <w:rsid w:val="00BC782A"/>
    <w:rsid w:val="00BD010D"/>
    <w:rsid w:val="00BD013A"/>
    <w:rsid w:val="00BD2510"/>
    <w:rsid w:val="00BD3A53"/>
    <w:rsid w:val="00BD4640"/>
    <w:rsid w:val="00BD4ECD"/>
    <w:rsid w:val="00BD5A19"/>
    <w:rsid w:val="00BD6539"/>
    <w:rsid w:val="00BD656A"/>
    <w:rsid w:val="00BD6D1B"/>
    <w:rsid w:val="00BE2403"/>
    <w:rsid w:val="00BE2D0A"/>
    <w:rsid w:val="00BE47D4"/>
    <w:rsid w:val="00BE536C"/>
    <w:rsid w:val="00BE66DB"/>
    <w:rsid w:val="00BE793A"/>
    <w:rsid w:val="00BE7A0B"/>
    <w:rsid w:val="00BF114D"/>
    <w:rsid w:val="00BF1B93"/>
    <w:rsid w:val="00BF2B82"/>
    <w:rsid w:val="00BF2CEB"/>
    <w:rsid w:val="00BF432A"/>
    <w:rsid w:val="00BF66DA"/>
    <w:rsid w:val="00BF6E82"/>
    <w:rsid w:val="00C016CC"/>
    <w:rsid w:val="00C0361D"/>
    <w:rsid w:val="00C041A4"/>
    <w:rsid w:val="00C060C7"/>
    <w:rsid w:val="00C06DCC"/>
    <w:rsid w:val="00C07F92"/>
    <w:rsid w:val="00C10EA4"/>
    <w:rsid w:val="00C111D8"/>
    <w:rsid w:val="00C11D25"/>
    <w:rsid w:val="00C13217"/>
    <w:rsid w:val="00C15BEC"/>
    <w:rsid w:val="00C15DB5"/>
    <w:rsid w:val="00C16FAB"/>
    <w:rsid w:val="00C208E2"/>
    <w:rsid w:val="00C213CF"/>
    <w:rsid w:val="00C21874"/>
    <w:rsid w:val="00C21897"/>
    <w:rsid w:val="00C2288E"/>
    <w:rsid w:val="00C22B54"/>
    <w:rsid w:val="00C22CEA"/>
    <w:rsid w:val="00C22F1F"/>
    <w:rsid w:val="00C24279"/>
    <w:rsid w:val="00C249E3"/>
    <w:rsid w:val="00C24C17"/>
    <w:rsid w:val="00C26CB5"/>
    <w:rsid w:val="00C27C4A"/>
    <w:rsid w:val="00C31595"/>
    <w:rsid w:val="00C31B25"/>
    <w:rsid w:val="00C3309D"/>
    <w:rsid w:val="00C3411D"/>
    <w:rsid w:val="00C34357"/>
    <w:rsid w:val="00C34829"/>
    <w:rsid w:val="00C356CE"/>
    <w:rsid w:val="00C363B8"/>
    <w:rsid w:val="00C3758F"/>
    <w:rsid w:val="00C40B88"/>
    <w:rsid w:val="00C43DDD"/>
    <w:rsid w:val="00C44489"/>
    <w:rsid w:val="00C44FC2"/>
    <w:rsid w:val="00C47D87"/>
    <w:rsid w:val="00C47FCD"/>
    <w:rsid w:val="00C50FA6"/>
    <w:rsid w:val="00C51DE1"/>
    <w:rsid w:val="00C533EA"/>
    <w:rsid w:val="00C53430"/>
    <w:rsid w:val="00C5376E"/>
    <w:rsid w:val="00C549AA"/>
    <w:rsid w:val="00C554C1"/>
    <w:rsid w:val="00C558F2"/>
    <w:rsid w:val="00C55AEE"/>
    <w:rsid w:val="00C5701B"/>
    <w:rsid w:val="00C6069A"/>
    <w:rsid w:val="00C61501"/>
    <w:rsid w:val="00C61BDC"/>
    <w:rsid w:val="00C64D40"/>
    <w:rsid w:val="00C65957"/>
    <w:rsid w:val="00C66065"/>
    <w:rsid w:val="00C66218"/>
    <w:rsid w:val="00C677C9"/>
    <w:rsid w:val="00C70B76"/>
    <w:rsid w:val="00C70DBC"/>
    <w:rsid w:val="00C70FB7"/>
    <w:rsid w:val="00C71E80"/>
    <w:rsid w:val="00C75DCE"/>
    <w:rsid w:val="00C76008"/>
    <w:rsid w:val="00C7750A"/>
    <w:rsid w:val="00C808A6"/>
    <w:rsid w:val="00C83BA4"/>
    <w:rsid w:val="00C84AC6"/>
    <w:rsid w:val="00C855DB"/>
    <w:rsid w:val="00C855F3"/>
    <w:rsid w:val="00C86270"/>
    <w:rsid w:val="00C87338"/>
    <w:rsid w:val="00C90C20"/>
    <w:rsid w:val="00C9109C"/>
    <w:rsid w:val="00C9362C"/>
    <w:rsid w:val="00C948CF"/>
    <w:rsid w:val="00C95798"/>
    <w:rsid w:val="00C95A74"/>
    <w:rsid w:val="00C962BE"/>
    <w:rsid w:val="00C96FD6"/>
    <w:rsid w:val="00C97091"/>
    <w:rsid w:val="00C97260"/>
    <w:rsid w:val="00C97391"/>
    <w:rsid w:val="00CA14A5"/>
    <w:rsid w:val="00CA14DA"/>
    <w:rsid w:val="00CA1AB8"/>
    <w:rsid w:val="00CA2001"/>
    <w:rsid w:val="00CA2B10"/>
    <w:rsid w:val="00CA3F11"/>
    <w:rsid w:val="00CA5256"/>
    <w:rsid w:val="00CA5564"/>
    <w:rsid w:val="00CB078E"/>
    <w:rsid w:val="00CB3782"/>
    <w:rsid w:val="00CB4D20"/>
    <w:rsid w:val="00CB5B6C"/>
    <w:rsid w:val="00CB60EF"/>
    <w:rsid w:val="00CB74E3"/>
    <w:rsid w:val="00CC052E"/>
    <w:rsid w:val="00CC06E5"/>
    <w:rsid w:val="00CC0B14"/>
    <w:rsid w:val="00CC5B9C"/>
    <w:rsid w:val="00CC7C09"/>
    <w:rsid w:val="00CD02DF"/>
    <w:rsid w:val="00CD10A5"/>
    <w:rsid w:val="00CD16BE"/>
    <w:rsid w:val="00CD179F"/>
    <w:rsid w:val="00CD1F32"/>
    <w:rsid w:val="00CD223C"/>
    <w:rsid w:val="00CD2268"/>
    <w:rsid w:val="00CD4616"/>
    <w:rsid w:val="00CD50DC"/>
    <w:rsid w:val="00CD56AF"/>
    <w:rsid w:val="00CD5FFA"/>
    <w:rsid w:val="00CD608B"/>
    <w:rsid w:val="00CD61BB"/>
    <w:rsid w:val="00CE08E5"/>
    <w:rsid w:val="00CE32F0"/>
    <w:rsid w:val="00CE33D5"/>
    <w:rsid w:val="00CE4712"/>
    <w:rsid w:val="00CE6073"/>
    <w:rsid w:val="00CE62AC"/>
    <w:rsid w:val="00CE761C"/>
    <w:rsid w:val="00CF2B65"/>
    <w:rsid w:val="00CF5D37"/>
    <w:rsid w:val="00CF6353"/>
    <w:rsid w:val="00CF6ACA"/>
    <w:rsid w:val="00CF6F33"/>
    <w:rsid w:val="00D02248"/>
    <w:rsid w:val="00D04429"/>
    <w:rsid w:val="00D04B47"/>
    <w:rsid w:val="00D04E37"/>
    <w:rsid w:val="00D063B8"/>
    <w:rsid w:val="00D06825"/>
    <w:rsid w:val="00D0702E"/>
    <w:rsid w:val="00D07467"/>
    <w:rsid w:val="00D076E6"/>
    <w:rsid w:val="00D1044F"/>
    <w:rsid w:val="00D106BD"/>
    <w:rsid w:val="00D13DBA"/>
    <w:rsid w:val="00D14E64"/>
    <w:rsid w:val="00D17185"/>
    <w:rsid w:val="00D17852"/>
    <w:rsid w:val="00D17D02"/>
    <w:rsid w:val="00D17E3B"/>
    <w:rsid w:val="00D22A9A"/>
    <w:rsid w:val="00D2306F"/>
    <w:rsid w:val="00D23C09"/>
    <w:rsid w:val="00D23CED"/>
    <w:rsid w:val="00D241D1"/>
    <w:rsid w:val="00D24BD2"/>
    <w:rsid w:val="00D24F2C"/>
    <w:rsid w:val="00D254F7"/>
    <w:rsid w:val="00D2573D"/>
    <w:rsid w:val="00D260A2"/>
    <w:rsid w:val="00D27EC0"/>
    <w:rsid w:val="00D30CC6"/>
    <w:rsid w:val="00D30DA4"/>
    <w:rsid w:val="00D31722"/>
    <w:rsid w:val="00D3260C"/>
    <w:rsid w:val="00D3391A"/>
    <w:rsid w:val="00D33DB5"/>
    <w:rsid w:val="00D34995"/>
    <w:rsid w:val="00D35790"/>
    <w:rsid w:val="00D359FC"/>
    <w:rsid w:val="00D41276"/>
    <w:rsid w:val="00D41971"/>
    <w:rsid w:val="00D42542"/>
    <w:rsid w:val="00D442D5"/>
    <w:rsid w:val="00D45043"/>
    <w:rsid w:val="00D46CCF"/>
    <w:rsid w:val="00D51576"/>
    <w:rsid w:val="00D519AF"/>
    <w:rsid w:val="00D532A9"/>
    <w:rsid w:val="00D5437A"/>
    <w:rsid w:val="00D5611E"/>
    <w:rsid w:val="00D5653B"/>
    <w:rsid w:val="00D56C30"/>
    <w:rsid w:val="00D5726D"/>
    <w:rsid w:val="00D572AC"/>
    <w:rsid w:val="00D6071F"/>
    <w:rsid w:val="00D6087E"/>
    <w:rsid w:val="00D61D6E"/>
    <w:rsid w:val="00D62580"/>
    <w:rsid w:val="00D62EF1"/>
    <w:rsid w:val="00D6309D"/>
    <w:rsid w:val="00D644CA"/>
    <w:rsid w:val="00D64961"/>
    <w:rsid w:val="00D64EA0"/>
    <w:rsid w:val="00D66FC2"/>
    <w:rsid w:val="00D7044E"/>
    <w:rsid w:val="00D704A8"/>
    <w:rsid w:val="00D76C7E"/>
    <w:rsid w:val="00D771DE"/>
    <w:rsid w:val="00D7776D"/>
    <w:rsid w:val="00D77ADC"/>
    <w:rsid w:val="00D81AEF"/>
    <w:rsid w:val="00D82A42"/>
    <w:rsid w:val="00D834F1"/>
    <w:rsid w:val="00D83609"/>
    <w:rsid w:val="00D83AA6"/>
    <w:rsid w:val="00D85C0D"/>
    <w:rsid w:val="00D866CB"/>
    <w:rsid w:val="00D86909"/>
    <w:rsid w:val="00D87A9A"/>
    <w:rsid w:val="00D87E39"/>
    <w:rsid w:val="00D90625"/>
    <w:rsid w:val="00D909F8"/>
    <w:rsid w:val="00D9152C"/>
    <w:rsid w:val="00D92179"/>
    <w:rsid w:val="00D922C6"/>
    <w:rsid w:val="00D9293F"/>
    <w:rsid w:val="00D92C6A"/>
    <w:rsid w:val="00D92DE7"/>
    <w:rsid w:val="00D93598"/>
    <w:rsid w:val="00D93B82"/>
    <w:rsid w:val="00D93FDD"/>
    <w:rsid w:val="00D94253"/>
    <w:rsid w:val="00D942F8"/>
    <w:rsid w:val="00D96FA9"/>
    <w:rsid w:val="00D97A5B"/>
    <w:rsid w:val="00D97AF7"/>
    <w:rsid w:val="00D97D9B"/>
    <w:rsid w:val="00DA1655"/>
    <w:rsid w:val="00DA1E18"/>
    <w:rsid w:val="00DA2009"/>
    <w:rsid w:val="00DA3F5E"/>
    <w:rsid w:val="00DA585A"/>
    <w:rsid w:val="00DA6DF7"/>
    <w:rsid w:val="00DA7741"/>
    <w:rsid w:val="00DA7769"/>
    <w:rsid w:val="00DB01C3"/>
    <w:rsid w:val="00DB05B1"/>
    <w:rsid w:val="00DB2594"/>
    <w:rsid w:val="00DB2823"/>
    <w:rsid w:val="00DB2D74"/>
    <w:rsid w:val="00DB3786"/>
    <w:rsid w:val="00DB59E8"/>
    <w:rsid w:val="00DB5A79"/>
    <w:rsid w:val="00DB638B"/>
    <w:rsid w:val="00DC2465"/>
    <w:rsid w:val="00DC34C4"/>
    <w:rsid w:val="00DC4BCA"/>
    <w:rsid w:val="00DC5E2C"/>
    <w:rsid w:val="00DC7D48"/>
    <w:rsid w:val="00DD0253"/>
    <w:rsid w:val="00DD145A"/>
    <w:rsid w:val="00DD29E1"/>
    <w:rsid w:val="00DD512E"/>
    <w:rsid w:val="00DD5EC8"/>
    <w:rsid w:val="00DD5FF5"/>
    <w:rsid w:val="00DD61D4"/>
    <w:rsid w:val="00DD7BEC"/>
    <w:rsid w:val="00DE083E"/>
    <w:rsid w:val="00DE0C22"/>
    <w:rsid w:val="00DE1177"/>
    <w:rsid w:val="00DE2CEA"/>
    <w:rsid w:val="00DE3CFE"/>
    <w:rsid w:val="00DE4DB3"/>
    <w:rsid w:val="00DE4F86"/>
    <w:rsid w:val="00DE5576"/>
    <w:rsid w:val="00DE567C"/>
    <w:rsid w:val="00DE6154"/>
    <w:rsid w:val="00DE634D"/>
    <w:rsid w:val="00DE6A3C"/>
    <w:rsid w:val="00DE74F4"/>
    <w:rsid w:val="00DE7C8B"/>
    <w:rsid w:val="00DE7F97"/>
    <w:rsid w:val="00DF0AAF"/>
    <w:rsid w:val="00DF1010"/>
    <w:rsid w:val="00DF2244"/>
    <w:rsid w:val="00DF334D"/>
    <w:rsid w:val="00DF53D9"/>
    <w:rsid w:val="00DF5AEA"/>
    <w:rsid w:val="00DF5D49"/>
    <w:rsid w:val="00DF63F6"/>
    <w:rsid w:val="00DF7992"/>
    <w:rsid w:val="00DF7BD0"/>
    <w:rsid w:val="00E00C8E"/>
    <w:rsid w:val="00E0219D"/>
    <w:rsid w:val="00E0276A"/>
    <w:rsid w:val="00E0374B"/>
    <w:rsid w:val="00E0392F"/>
    <w:rsid w:val="00E0632F"/>
    <w:rsid w:val="00E06C36"/>
    <w:rsid w:val="00E071A9"/>
    <w:rsid w:val="00E07D26"/>
    <w:rsid w:val="00E10047"/>
    <w:rsid w:val="00E10B28"/>
    <w:rsid w:val="00E117FD"/>
    <w:rsid w:val="00E13747"/>
    <w:rsid w:val="00E14758"/>
    <w:rsid w:val="00E16BDE"/>
    <w:rsid w:val="00E21088"/>
    <w:rsid w:val="00E21F5D"/>
    <w:rsid w:val="00E22587"/>
    <w:rsid w:val="00E22B1C"/>
    <w:rsid w:val="00E23C5E"/>
    <w:rsid w:val="00E23E29"/>
    <w:rsid w:val="00E24632"/>
    <w:rsid w:val="00E24A05"/>
    <w:rsid w:val="00E25155"/>
    <w:rsid w:val="00E25AEA"/>
    <w:rsid w:val="00E27C2C"/>
    <w:rsid w:val="00E30D26"/>
    <w:rsid w:val="00E30DEF"/>
    <w:rsid w:val="00E30ED2"/>
    <w:rsid w:val="00E31276"/>
    <w:rsid w:val="00E3155D"/>
    <w:rsid w:val="00E32102"/>
    <w:rsid w:val="00E34666"/>
    <w:rsid w:val="00E349A2"/>
    <w:rsid w:val="00E36A66"/>
    <w:rsid w:val="00E37F70"/>
    <w:rsid w:val="00E41377"/>
    <w:rsid w:val="00E41985"/>
    <w:rsid w:val="00E42B89"/>
    <w:rsid w:val="00E430B8"/>
    <w:rsid w:val="00E446C1"/>
    <w:rsid w:val="00E46BCD"/>
    <w:rsid w:val="00E51CCC"/>
    <w:rsid w:val="00E52079"/>
    <w:rsid w:val="00E52FC7"/>
    <w:rsid w:val="00E545D7"/>
    <w:rsid w:val="00E547FE"/>
    <w:rsid w:val="00E54960"/>
    <w:rsid w:val="00E55447"/>
    <w:rsid w:val="00E55927"/>
    <w:rsid w:val="00E5669C"/>
    <w:rsid w:val="00E570D4"/>
    <w:rsid w:val="00E573F4"/>
    <w:rsid w:val="00E57483"/>
    <w:rsid w:val="00E60ECA"/>
    <w:rsid w:val="00E613AB"/>
    <w:rsid w:val="00E637B6"/>
    <w:rsid w:val="00E6487C"/>
    <w:rsid w:val="00E654A9"/>
    <w:rsid w:val="00E658DC"/>
    <w:rsid w:val="00E663B6"/>
    <w:rsid w:val="00E66B13"/>
    <w:rsid w:val="00E66BBE"/>
    <w:rsid w:val="00E6780D"/>
    <w:rsid w:val="00E71DFE"/>
    <w:rsid w:val="00E728D3"/>
    <w:rsid w:val="00E72BDE"/>
    <w:rsid w:val="00E73083"/>
    <w:rsid w:val="00E758B9"/>
    <w:rsid w:val="00E76025"/>
    <w:rsid w:val="00E76B45"/>
    <w:rsid w:val="00E77C00"/>
    <w:rsid w:val="00E80181"/>
    <w:rsid w:val="00E810D3"/>
    <w:rsid w:val="00E812A3"/>
    <w:rsid w:val="00E82FE5"/>
    <w:rsid w:val="00E83724"/>
    <w:rsid w:val="00E83A6D"/>
    <w:rsid w:val="00E84236"/>
    <w:rsid w:val="00E84C02"/>
    <w:rsid w:val="00E85569"/>
    <w:rsid w:val="00E856AF"/>
    <w:rsid w:val="00E859D9"/>
    <w:rsid w:val="00E8607C"/>
    <w:rsid w:val="00E86B83"/>
    <w:rsid w:val="00E86D6E"/>
    <w:rsid w:val="00E878FB"/>
    <w:rsid w:val="00E87976"/>
    <w:rsid w:val="00E87C64"/>
    <w:rsid w:val="00E912E1"/>
    <w:rsid w:val="00E919C3"/>
    <w:rsid w:val="00E92278"/>
    <w:rsid w:val="00E93A01"/>
    <w:rsid w:val="00E93F8E"/>
    <w:rsid w:val="00E93FF8"/>
    <w:rsid w:val="00E948D8"/>
    <w:rsid w:val="00E94EB6"/>
    <w:rsid w:val="00E94F16"/>
    <w:rsid w:val="00E950CA"/>
    <w:rsid w:val="00E95CA8"/>
    <w:rsid w:val="00E96643"/>
    <w:rsid w:val="00E96CE0"/>
    <w:rsid w:val="00E96EAF"/>
    <w:rsid w:val="00E97448"/>
    <w:rsid w:val="00EA044C"/>
    <w:rsid w:val="00EA1752"/>
    <w:rsid w:val="00EA1911"/>
    <w:rsid w:val="00EA1D90"/>
    <w:rsid w:val="00EA371E"/>
    <w:rsid w:val="00EA539B"/>
    <w:rsid w:val="00EA5996"/>
    <w:rsid w:val="00EA5A89"/>
    <w:rsid w:val="00EA5BDB"/>
    <w:rsid w:val="00EA63FA"/>
    <w:rsid w:val="00EA7720"/>
    <w:rsid w:val="00EB0A73"/>
    <w:rsid w:val="00EB0B55"/>
    <w:rsid w:val="00EB254F"/>
    <w:rsid w:val="00EB3A98"/>
    <w:rsid w:val="00EB46D9"/>
    <w:rsid w:val="00EB6EF6"/>
    <w:rsid w:val="00EC0199"/>
    <w:rsid w:val="00EC0E64"/>
    <w:rsid w:val="00EC142D"/>
    <w:rsid w:val="00EC1E16"/>
    <w:rsid w:val="00EC2DD1"/>
    <w:rsid w:val="00EC4A19"/>
    <w:rsid w:val="00EC4BA5"/>
    <w:rsid w:val="00EC52DA"/>
    <w:rsid w:val="00EC6F28"/>
    <w:rsid w:val="00EC7220"/>
    <w:rsid w:val="00ED0024"/>
    <w:rsid w:val="00ED0EA0"/>
    <w:rsid w:val="00ED0F85"/>
    <w:rsid w:val="00ED1B01"/>
    <w:rsid w:val="00ED2B5C"/>
    <w:rsid w:val="00ED3269"/>
    <w:rsid w:val="00ED3A18"/>
    <w:rsid w:val="00ED3AB7"/>
    <w:rsid w:val="00ED3C57"/>
    <w:rsid w:val="00EE1A8C"/>
    <w:rsid w:val="00EE3FED"/>
    <w:rsid w:val="00EE4643"/>
    <w:rsid w:val="00EE529F"/>
    <w:rsid w:val="00EE65B6"/>
    <w:rsid w:val="00EE7C86"/>
    <w:rsid w:val="00EF1330"/>
    <w:rsid w:val="00EF15FF"/>
    <w:rsid w:val="00EF2D80"/>
    <w:rsid w:val="00EF31D8"/>
    <w:rsid w:val="00EF55E6"/>
    <w:rsid w:val="00EF5707"/>
    <w:rsid w:val="00EF588D"/>
    <w:rsid w:val="00EF66B1"/>
    <w:rsid w:val="00EF67D3"/>
    <w:rsid w:val="00EF6F1F"/>
    <w:rsid w:val="00EF70EC"/>
    <w:rsid w:val="00EF7111"/>
    <w:rsid w:val="00EF7833"/>
    <w:rsid w:val="00EF7D1A"/>
    <w:rsid w:val="00F02350"/>
    <w:rsid w:val="00F02759"/>
    <w:rsid w:val="00F03B49"/>
    <w:rsid w:val="00F042E4"/>
    <w:rsid w:val="00F0448F"/>
    <w:rsid w:val="00F0716C"/>
    <w:rsid w:val="00F105AE"/>
    <w:rsid w:val="00F108A8"/>
    <w:rsid w:val="00F131E4"/>
    <w:rsid w:val="00F13319"/>
    <w:rsid w:val="00F14353"/>
    <w:rsid w:val="00F1567C"/>
    <w:rsid w:val="00F1628B"/>
    <w:rsid w:val="00F16990"/>
    <w:rsid w:val="00F22E81"/>
    <w:rsid w:val="00F250ED"/>
    <w:rsid w:val="00F26F5F"/>
    <w:rsid w:val="00F270E9"/>
    <w:rsid w:val="00F27440"/>
    <w:rsid w:val="00F275C0"/>
    <w:rsid w:val="00F3011D"/>
    <w:rsid w:val="00F30443"/>
    <w:rsid w:val="00F3048B"/>
    <w:rsid w:val="00F317B5"/>
    <w:rsid w:val="00F33348"/>
    <w:rsid w:val="00F346B6"/>
    <w:rsid w:val="00F34AB1"/>
    <w:rsid w:val="00F36145"/>
    <w:rsid w:val="00F36227"/>
    <w:rsid w:val="00F37BDD"/>
    <w:rsid w:val="00F40716"/>
    <w:rsid w:val="00F41503"/>
    <w:rsid w:val="00F417D4"/>
    <w:rsid w:val="00F41D5C"/>
    <w:rsid w:val="00F432CF"/>
    <w:rsid w:val="00F437FD"/>
    <w:rsid w:val="00F43B69"/>
    <w:rsid w:val="00F4479A"/>
    <w:rsid w:val="00F44D82"/>
    <w:rsid w:val="00F45589"/>
    <w:rsid w:val="00F460F3"/>
    <w:rsid w:val="00F46207"/>
    <w:rsid w:val="00F466C8"/>
    <w:rsid w:val="00F46706"/>
    <w:rsid w:val="00F469A9"/>
    <w:rsid w:val="00F46B50"/>
    <w:rsid w:val="00F47C20"/>
    <w:rsid w:val="00F50B46"/>
    <w:rsid w:val="00F50D1F"/>
    <w:rsid w:val="00F51545"/>
    <w:rsid w:val="00F521DE"/>
    <w:rsid w:val="00F52654"/>
    <w:rsid w:val="00F541D4"/>
    <w:rsid w:val="00F553CE"/>
    <w:rsid w:val="00F56043"/>
    <w:rsid w:val="00F5664E"/>
    <w:rsid w:val="00F56BD8"/>
    <w:rsid w:val="00F56E86"/>
    <w:rsid w:val="00F56FA9"/>
    <w:rsid w:val="00F6171A"/>
    <w:rsid w:val="00F619BA"/>
    <w:rsid w:val="00F62306"/>
    <w:rsid w:val="00F6351F"/>
    <w:rsid w:val="00F635FC"/>
    <w:rsid w:val="00F636EE"/>
    <w:rsid w:val="00F63D03"/>
    <w:rsid w:val="00F64EFA"/>
    <w:rsid w:val="00F65E2F"/>
    <w:rsid w:val="00F67385"/>
    <w:rsid w:val="00F67424"/>
    <w:rsid w:val="00F67DF1"/>
    <w:rsid w:val="00F7054E"/>
    <w:rsid w:val="00F70E9F"/>
    <w:rsid w:val="00F7137C"/>
    <w:rsid w:val="00F72A09"/>
    <w:rsid w:val="00F74E67"/>
    <w:rsid w:val="00F76734"/>
    <w:rsid w:val="00F76814"/>
    <w:rsid w:val="00F77A5F"/>
    <w:rsid w:val="00F8309B"/>
    <w:rsid w:val="00F833C9"/>
    <w:rsid w:val="00F836C8"/>
    <w:rsid w:val="00F85198"/>
    <w:rsid w:val="00F90064"/>
    <w:rsid w:val="00F90BF7"/>
    <w:rsid w:val="00F94217"/>
    <w:rsid w:val="00F9586C"/>
    <w:rsid w:val="00F96AFD"/>
    <w:rsid w:val="00F96F4C"/>
    <w:rsid w:val="00FA07F4"/>
    <w:rsid w:val="00FA1398"/>
    <w:rsid w:val="00FA1515"/>
    <w:rsid w:val="00FA2053"/>
    <w:rsid w:val="00FA2E19"/>
    <w:rsid w:val="00FA397B"/>
    <w:rsid w:val="00FA3BE7"/>
    <w:rsid w:val="00FA4373"/>
    <w:rsid w:val="00FA4BA0"/>
    <w:rsid w:val="00FA697F"/>
    <w:rsid w:val="00FA6F4C"/>
    <w:rsid w:val="00FA7354"/>
    <w:rsid w:val="00FB0147"/>
    <w:rsid w:val="00FB0C8D"/>
    <w:rsid w:val="00FB0F92"/>
    <w:rsid w:val="00FB2FB3"/>
    <w:rsid w:val="00FB3846"/>
    <w:rsid w:val="00FB398A"/>
    <w:rsid w:val="00FB4BF5"/>
    <w:rsid w:val="00FB5059"/>
    <w:rsid w:val="00FB5521"/>
    <w:rsid w:val="00FB610D"/>
    <w:rsid w:val="00FB626E"/>
    <w:rsid w:val="00FB6CA8"/>
    <w:rsid w:val="00FC156E"/>
    <w:rsid w:val="00FC1E4C"/>
    <w:rsid w:val="00FC4477"/>
    <w:rsid w:val="00FC46FB"/>
    <w:rsid w:val="00FC4DD1"/>
    <w:rsid w:val="00FC5541"/>
    <w:rsid w:val="00FC7B66"/>
    <w:rsid w:val="00FD0D94"/>
    <w:rsid w:val="00FD106C"/>
    <w:rsid w:val="00FD1E33"/>
    <w:rsid w:val="00FD2BD3"/>
    <w:rsid w:val="00FD2DE3"/>
    <w:rsid w:val="00FD3DEF"/>
    <w:rsid w:val="00FD4CCA"/>
    <w:rsid w:val="00FD58B1"/>
    <w:rsid w:val="00FE00EA"/>
    <w:rsid w:val="00FE04BA"/>
    <w:rsid w:val="00FE234B"/>
    <w:rsid w:val="00FE2A9E"/>
    <w:rsid w:val="00FE34B3"/>
    <w:rsid w:val="00FE46B7"/>
    <w:rsid w:val="00FE4CEC"/>
    <w:rsid w:val="00FE683A"/>
    <w:rsid w:val="00FF0420"/>
    <w:rsid w:val="00FF41B8"/>
    <w:rsid w:val="00FF47C1"/>
    <w:rsid w:val="00FF4A8F"/>
    <w:rsid w:val="00FF4F5A"/>
    <w:rsid w:val="00FF5237"/>
    <w:rsid w:val="00FF5629"/>
    <w:rsid w:val="00FF5B79"/>
    <w:rsid w:val="00FF689D"/>
    <w:rsid w:val="06763376"/>
    <w:rsid w:val="06D79157"/>
    <w:rsid w:val="0DD79F36"/>
    <w:rsid w:val="11E43BAB"/>
    <w:rsid w:val="121534C5"/>
    <w:rsid w:val="161E678D"/>
    <w:rsid w:val="19090967"/>
    <w:rsid w:val="1B3C24C5"/>
    <w:rsid w:val="210B7837"/>
    <w:rsid w:val="23B4E6BE"/>
    <w:rsid w:val="24F18C83"/>
    <w:rsid w:val="25653D02"/>
    <w:rsid w:val="27AA7305"/>
    <w:rsid w:val="3310C0BE"/>
    <w:rsid w:val="38EF0D05"/>
    <w:rsid w:val="39A07357"/>
    <w:rsid w:val="42088138"/>
    <w:rsid w:val="511D528A"/>
    <w:rsid w:val="588ADAF6"/>
    <w:rsid w:val="5CE173DD"/>
    <w:rsid w:val="66EB6E8A"/>
    <w:rsid w:val="69981A89"/>
    <w:rsid w:val="7629CDD5"/>
    <w:rsid w:val="772E53B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B409AA"/>
  <w15:chartTrackingRefBased/>
  <w15:docId w15:val="{D8A9B98D-733D-4FF4-9BF4-D50BB21B0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Times New Roman" w:hAnsi="Segoe UI" w:cs="Times New Roman"/>
        <w:sz w:val="18"/>
        <w:szCs w:val="24"/>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HTML Preformatted" w:semiHidden="1" w:unhideWhenUsed="1"/>
    <w:lsdException w:name="HTML Samp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1" w:qFormat="1"/>
    <w:lsdException w:name="Medium Shading 2 Accent 1" w:uiPriority="60"/>
    <w:lsdException w:name="Medium List 1 Accent 1" w:uiPriority="61"/>
    <w:lsdException w:name="Revision" w:semiHidden="1" w:uiPriority="62" w:unhideWhenUsed="1"/>
    <w:lsdException w:name="List Paragraph" w:uiPriority="1"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99"/>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2975"/>
    <w:pPr>
      <w:spacing w:line="276" w:lineRule="auto"/>
      <w:jc w:val="both"/>
    </w:pPr>
    <w:rPr>
      <w:sz w:val="22"/>
    </w:rPr>
  </w:style>
  <w:style w:type="paragraph" w:styleId="Heading1">
    <w:name w:val="heading 1"/>
    <w:basedOn w:val="Normal"/>
    <w:next w:val="Normal"/>
    <w:link w:val="Heading1Char"/>
    <w:uiPriority w:val="99"/>
    <w:qFormat/>
    <w:rsid w:val="00097261"/>
    <w:pPr>
      <w:keepNext/>
      <w:spacing w:line="420" w:lineRule="atLeast"/>
      <w:outlineLvl w:val="0"/>
    </w:pPr>
    <w:rPr>
      <w:rFonts w:cs="Arial"/>
      <w:b/>
      <w:bCs/>
      <w:kern w:val="32"/>
      <w:sz w:val="36"/>
      <w:szCs w:val="32"/>
    </w:rPr>
  </w:style>
  <w:style w:type="paragraph" w:styleId="Heading2">
    <w:name w:val="heading 2"/>
    <w:basedOn w:val="Normal"/>
    <w:next w:val="Normal"/>
    <w:qFormat/>
    <w:rsid w:val="003F46B0"/>
    <w:pPr>
      <w:keepNext/>
      <w:outlineLvl w:val="1"/>
    </w:pPr>
    <w:rPr>
      <w:rFonts w:cs="Arial"/>
      <w:bCs/>
      <w:iCs/>
      <w:color w:val="E1000F"/>
      <w:szCs w:val="28"/>
    </w:rPr>
  </w:style>
  <w:style w:type="paragraph" w:styleId="Heading3">
    <w:name w:val="heading 3"/>
    <w:basedOn w:val="Heading2"/>
    <w:next w:val="Normal"/>
    <w:qFormat/>
    <w:rsid w:val="006F1596"/>
    <w:pPr>
      <w:outlineLvl w:val="2"/>
    </w:pPr>
    <w:rPr>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3758F"/>
    <w:pPr>
      <w:tabs>
        <w:tab w:val="left" w:pos="2607"/>
        <w:tab w:val="center" w:pos="4320"/>
        <w:tab w:val="right" w:pos="9356"/>
      </w:tabs>
      <w:spacing w:before="1440" w:line="100" w:lineRule="atLeast"/>
      <w:jc w:val="right"/>
    </w:pPr>
    <w:rPr>
      <w:rFonts w:cs="Segoe UI"/>
      <w:b/>
      <w:bCs/>
      <w:color w:val="3E3C3C"/>
      <w:sz w:val="40"/>
      <w:szCs w:val="40"/>
    </w:rPr>
  </w:style>
  <w:style w:type="paragraph" w:styleId="Footer">
    <w:name w:val="footer"/>
    <w:basedOn w:val="Normal"/>
    <w:link w:val="FooterChar"/>
    <w:uiPriority w:val="99"/>
    <w:rsid w:val="00992A11"/>
    <w:pPr>
      <w:tabs>
        <w:tab w:val="right" w:pos="7083"/>
        <w:tab w:val="right" w:pos="8640"/>
      </w:tabs>
      <w:spacing w:line="180" w:lineRule="atLeast"/>
      <w:jc w:val="right"/>
    </w:pPr>
    <w:rPr>
      <w:bCs/>
      <w:noProof/>
      <w:sz w:val="12"/>
    </w:rPr>
  </w:style>
  <w:style w:type="paragraph" w:customStyle="1" w:styleId="Intro">
    <w:name w:val="Intro"/>
    <w:basedOn w:val="Normal"/>
    <w:rsid w:val="006F1596"/>
    <w:pPr>
      <w:spacing w:after="300"/>
    </w:pPr>
    <w:rPr>
      <w:color w:val="415055"/>
      <w:sz w:val="24"/>
    </w:rPr>
  </w:style>
  <w:style w:type="paragraph" w:customStyle="1" w:styleId="NumBullet">
    <w:name w:val="Num_Bullet"/>
    <w:basedOn w:val="Normal"/>
    <w:rsid w:val="00576BC8"/>
    <w:pPr>
      <w:numPr>
        <w:numId w:val="1"/>
      </w:numPr>
      <w:tabs>
        <w:tab w:val="clear" w:pos="567"/>
        <w:tab w:val="left" w:pos="357"/>
      </w:tabs>
      <w:ind w:left="357" w:hanging="357"/>
    </w:pPr>
  </w:style>
  <w:style w:type="paragraph" w:customStyle="1" w:styleId="Page1Name">
    <w:name w:val="Page1_Name"/>
    <w:basedOn w:val="Normal"/>
    <w:rsid w:val="004F237B"/>
    <w:pPr>
      <w:spacing w:after="420" w:line="360" w:lineRule="atLeast"/>
    </w:pPr>
    <w:rPr>
      <w:b/>
      <w:sz w:val="30"/>
    </w:rPr>
  </w:style>
  <w:style w:type="paragraph" w:customStyle="1" w:styleId="Page1Title">
    <w:name w:val="Page1_Title"/>
    <w:basedOn w:val="Normal"/>
    <w:rsid w:val="004F237B"/>
    <w:pPr>
      <w:spacing w:line="228" w:lineRule="auto"/>
    </w:pPr>
    <w:rPr>
      <w:color w:val="E1000F"/>
      <w:sz w:val="90"/>
    </w:rPr>
  </w:style>
  <w:style w:type="paragraph" w:customStyle="1" w:styleId="Page1Author">
    <w:name w:val="Page1_Author"/>
    <w:basedOn w:val="Page1Name"/>
    <w:rsid w:val="004F237B"/>
    <w:pPr>
      <w:spacing w:before="240" w:after="0"/>
    </w:pPr>
    <w:rPr>
      <w:b w:val="0"/>
      <w:bCs/>
    </w:rPr>
  </w:style>
  <w:style w:type="table" w:styleId="TableGrid">
    <w:name w:val="Table Grid"/>
    <w:basedOn w:val="TableNormal"/>
    <w:rsid w:val="004F237B"/>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
    <w:name w:val="Info"/>
    <w:basedOn w:val="Normal"/>
    <w:link w:val="InfoZchn"/>
    <w:rsid w:val="00EE59A4"/>
    <w:pPr>
      <w:spacing w:line="240" w:lineRule="atLeast"/>
    </w:pPr>
    <w:rPr>
      <w:sz w:val="13"/>
    </w:rPr>
  </w:style>
  <w:style w:type="character" w:customStyle="1" w:styleId="InfoZchn">
    <w:name w:val="Info Zchn"/>
    <w:link w:val="Info"/>
    <w:rsid w:val="003F6218"/>
    <w:rPr>
      <w:rFonts w:ascii="Arial" w:hAnsi="Arial"/>
      <w:sz w:val="13"/>
      <w:szCs w:val="24"/>
      <w:lang w:val="de-DE" w:eastAsia="en-US" w:bidi="ar-SA"/>
    </w:rPr>
  </w:style>
  <w:style w:type="paragraph" w:customStyle="1" w:styleId="Standard12pt">
    <w:name w:val="Standard_12pt"/>
    <w:basedOn w:val="Normal"/>
    <w:rsid w:val="0048435F"/>
    <w:pPr>
      <w:spacing w:line="300" w:lineRule="atLeast"/>
    </w:pPr>
    <w:rPr>
      <w:sz w:val="24"/>
    </w:rPr>
  </w:style>
  <w:style w:type="character" w:customStyle="1" w:styleId="Heading1Char">
    <w:name w:val="Heading 1 Char"/>
    <w:link w:val="Heading1"/>
    <w:uiPriority w:val="99"/>
    <w:locked/>
    <w:rsid w:val="00B422EC"/>
    <w:rPr>
      <w:rFonts w:ascii="Arial" w:hAnsi="Arial" w:cs="Arial"/>
      <w:b/>
      <w:bCs/>
      <w:kern w:val="32"/>
      <w:sz w:val="36"/>
      <w:szCs w:val="32"/>
      <w:lang w:val="de-DE"/>
    </w:rPr>
  </w:style>
  <w:style w:type="character" w:styleId="Hyperlink">
    <w:name w:val="Hyperlink"/>
    <w:rsid w:val="00336854"/>
    <w:rPr>
      <w:rFonts w:ascii="Segoe UI" w:hAnsi="Segoe UI"/>
      <w:color w:val="0000FF"/>
      <w:sz w:val="18"/>
      <w:szCs w:val="18"/>
      <w:u w:val="single"/>
    </w:rPr>
  </w:style>
  <w:style w:type="paragraph" w:customStyle="1" w:styleId="MittleresRaster1-Akzent21">
    <w:name w:val="Mittleres Raster 1 - Akzent 21"/>
    <w:basedOn w:val="Normal"/>
    <w:uiPriority w:val="34"/>
    <w:qFormat/>
    <w:rsid w:val="00B422EC"/>
    <w:pPr>
      <w:ind w:left="720"/>
    </w:pPr>
  </w:style>
  <w:style w:type="paragraph" w:styleId="BalloonText">
    <w:name w:val="Balloon Text"/>
    <w:basedOn w:val="Normal"/>
    <w:link w:val="BalloonTextChar"/>
    <w:rsid w:val="00336854"/>
    <w:pPr>
      <w:spacing w:line="240" w:lineRule="auto"/>
    </w:pPr>
    <w:rPr>
      <w:sz w:val="18"/>
      <w:szCs w:val="18"/>
    </w:rPr>
  </w:style>
  <w:style w:type="character" w:customStyle="1" w:styleId="BalloonTextChar">
    <w:name w:val="Balloon Text Char"/>
    <w:link w:val="BalloonText"/>
    <w:rsid w:val="00336854"/>
    <w:rPr>
      <w:rFonts w:ascii="Segoe UI" w:hAnsi="Segoe UI"/>
      <w:sz w:val="18"/>
      <w:szCs w:val="18"/>
      <w:lang w:val="de-DE"/>
    </w:rPr>
  </w:style>
  <w:style w:type="paragraph" w:customStyle="1" w:styleId="MittlereListe2-Akzent21">
    <w:name w:val="Mittlere Liste 2 - Akzent 21"/>
    <w:hidden/>
    <w:uiPriority w:val="99"/>
    <w:semiHidden/>
    <w:rsid w:val="002E0B17"/>
    <w:rPr>
      <w:rFonts w:ascii="Arial" w:hAnsi="Arial"/>
      <w:lang w:val="de-DE"/>
    </w:rPr>
  </w:style>
  <w:style w:type="character" w:customStyle="1" w:styleId="FooterChar">
    <w:name w:val="Footer Char"/>
    <w:link w:val="Footer"/>
    <w:uiPriority w:val="99"/>
    <w:rsid w:val="00992A11"/>
    <w:rPr>
      <w:rFonts w:ascii="Segoe UI" w:hAnsi="Segoe UI"/>
      <w:bCs/>
      <w:noProof/>
      <w:sz w:val="12"/>
      <w:szCs w:val="24"/>
      <w:lang w:val="de-DE"/>
    </w:rPr>
  </w:style>
  <w:style w:type="character" w:styleId="UnresolvedMention">
    <w:name w:val="Unresolved Mention"/>
    <w:uiPriority w:val="99"/>
    <w:semiHidden/>
    <w:unhideWhenUsed/>
    <w:rsid w:val="000C210A"/>
    <w:rPr>
      <w:color w:val="605E5C"/>
      <w:shd w:val="clear" w:color="auto" w:fill="E1DFDD"/>
    </w:rPr>
  </w:style>
  <w:style w:type="paragraph" w:customStyle="1" w:styleId="Style12ptJustifiedLinespacing15lines">
    <w:name w:val="Style 12 pt Justified Line spacing:  1.5 lines"/>
    <w:basedOn w:val="Normal"/>
    <w:rsid w:val="00974F84"/>
    <w:rPr>
      <w:szCs w:val="20"/>
    </w:rPr>
  </w:style>
  <w:style w:type="paragraph" w:customStyle="1" w:styleId="Style12ptJustifiedLinespacing15lines1">
    <w:name w:val="Style 12 pt Justified Line spacing:  1.5 lines1"/>
    <w:basedOn w:val="Normal"/>
    <w:rsid w:val="00974F84"/>
    <w:pPr>
      <w:spacing w:before="120"/>
    </w:pPr>
    <w:rPr>
      <w:szCs w:val="20"/>
    </w:rPr>
  </w:style>
  <w:style w:type="character" w:customStyle="1" w:styleId="Headline">
    <w:name w:val="Headline"/>
    <w:basedOn w:val="DefaultParagraphFont"/>
    <w:rsid w:val="00A3756F"/>
    <w:rPr>
      <w:b/>
      <w:bCs/>
      <w:sz w:val="32"/>
    </w:rPr>
  </w:style>
  <w:style w:type="paragraph" w:customStyle="1" w:styleId="MonthDayYear">
    <w:name w:val="Month Day Year"/>
    <w:basedOn w:val="Normal"/>
    <w:rsid w:val="00643D8A"/>
    <w:pPr>
      <w:spacing w:before="120"/>
      <w:ind w:right="-1"/>
      <w:jc w:val="right"/>
    </w:pPr>
    <w:rPr>
      <w:szCs w:val="20"/>
    </w:rPr>
  </w:style>
  <w:style w:type="paragraph" w:customStyle="1" w:styleId="Topline">
    <w:name w:val="Topline"/>
    <w:basedOn w:val="Normal"/>
    <w:qFormat/>
    <w:rsid w:val="00472FEC"/>
    <w:pPr>
      <w:spacing w:before="560" w:after="560"/>
    </w:pPr>
    <w:rPr>
      <w:rFonts w:cs="Segoe UI"/>
      <w:szCs w:val="22"/>
    </w:rPr>
  </w:style>
  <w:style w:type="character" w:customStyle="1" w:styleId="AboutandContactBody">
    <w:name w:val="About and Contact Body"/>
    <w:basedOn w:val="DefaultParagraphFont"/>
    <w:rsid w:val="00336854"/>
    <w:rPr>
      <w:rFonts w:ascii="Segoe UI" w:hAnsi="Segoe UI"/>
      <w:sz w:val="18"/>
    </w:rPr>
  </w:style>
  <w:style w:type="character" w:customStyle="1" w:styleId="AboutandContactHeadline">
    <w:name w:val="About and Contact Headline"/>
    <w:basedOn w:val="DefaultParagraphFont"/>
    <w:rsid w:val="00336854"/>
    <w:rPr>
      <w:rFonts w:ascii="Segoe UI" w:hAnsi="Segoe UI"/>
      <w:b/>
      <w:bCs/>
      <w:sz w:val="18"/>
    </w:rPr>
  </w:style>
  <w:style w:type="paragraph" w:styleId="ListParagraph">
    <w:name w:val="List Paragraph"/>
    <w:basedOn w:val="Normal"/>
    <w:uiPriority w:val="1"/>
    <w:qFormat/>
    <w:rsid w:val="00635616"/>
    <w:pPr>
      <w:ind w:left="720"/>
      <w:contextualSpacing/>
    </w:pPr>
  </w:style>
  <w:style w:type="character" w:styleId="CommentReference">
    <w:name w:val="annotation reference"/>
    <w:rsid w:val="00846017"/>
    <w:rPr>
      <w:sz w:val="16"/>
      <w:szCs w:val="16"/>
    </w:rPr>
  </w:style>
  <w:style w:type="paragraph" w:styleId="CommentText">
    <w:name w:val="annotation text"/>
    <w:basedOn w:val="Normal"/>
    <w:link w:val="CommentTextChar"/>
    <w:rsid w:val="00846017"/>
    <w:pPr>
      <w:spacing w:line="260" w:lineRule="atLeast"/>
      <w:jc w:val="left"/>
    </w:pPr>
    <w:rPr>
      <w:rFonts w:ascii="Arial" w:hAnsi="Arial"/>
      <w:sz w:val="20"/>
      <w:szCs w:val="20"/>
      <w:lang w:val="de-DE"/>
    </w:rPr>
  </w:style>
  <w:style w:type="character" w:customStyle="1" w:styleId="CommentTextChar">
    <w:name w:val="Comment Text Char"/>
    <w:basedOn w:val="DefaultParagraphFont"/>
    <w:link w:val="CommentText"/>
    <w:rsid w:val="00846017"/>
    <w:rPr>
      <w:rFonts w:ascii="Arial" w:hAnsi="Arial"/>
      <w:sz w:val="20"/>
      <w:szCs w:val="20"/>
      <w:lang w:val="de-DE"/>
    </w:rPr>
  </w:style>
  <w:style w:type="paragraph" w:styleId="CommentSubject">
    <w:name w:val="annotation subject"/>
    <w:basedOn w:val="CommentText"/>
    <w:next w:val="CommentText"/>
    <w:link w:val="CommentSubjectChar"/>
    <w:rsid w:val="0020528D"/>
    <w:pPr>
      <w:spacing w:line="240" w:lineRule="auto"/>
      <w:jc w:val="both"/>
    </w:pPr>
    <w:rPr>
      <w:rFonts w:ascii="Segoe UI" w:hAnsi="Segoe UI"/>
      <w:b/>
      <w:bCs/>
      <w:lang w:val="en-US"/>
    </w:rPr>
  </w:style>
  <w:style w:type="character" w:customStyle="1" w:styleId="CommentSubjectChar">
    <w:name w:val="Comment Subject Char"/>
    <w:basedOn w:val="CommentTextChar"/>
    <w:link w:val="CommentSubject"/>
    <w:rsid w:val="0020528D"/>
    <w:rPr>
      <w:rFonts w:ascii="Arial" w:hAnsi="Arial"/>
      <w:b/>
      <w:bCs/>
      <w:sz w:val="20"/>
      <w:szCs w:val="20"/>
      <w:lang w:val="de-DE"/>
    </w:rPr>
  </w:style>
  <w:style w:type="paragraph" w:styleId="Revision">
    <w:name w:val="Revision"/>
    <w:hidden/>
    <w:uiPriority w:val="62"/>
    <w:unhideWhenUsed/>
    <w:rsid w:val="006E2D24"/>
    <w:rPr>
      <w:sz w:val="22"/>
    </w:rPr>
  </w:style>
  <w:style w:type="paragraph" w:customStyle="1" w:styleId="He04Funote">
    <w:name w:val="_He_04_Fußnote"/>
    <w:next w:val="Normal"/>
    <w:qFormat/>
    <w:rsid w:val="00A90F18"/>
    <w:pPr>
      <w:tabs>
        <w:tab w:val="left" w:pos="85"/>
      </w:tabs>
      <w:spacing w:line="256" w:lineRule="auto"/>
      <w:ind w:left="85" w:hanging="85"/>
    </w:pPr>
    <w:rPr>
      <w:rFonts w:eastAsiaTheme="minorHAnsi" w:cstheme="minorBidi"/>
      <w:sz w:val="15"/>
      <w:szCs w:val="22"/>
      <w:lang w:val="de-DE"/>
      <w14:numForm w14:val="lining"/>
    </w:rPr>
  </w:style>
  <w:style w:type="character" w:styleId="FootnoteReference">
    <w:name w:val="footnote reference"/>
    <w:basedOn w:val="DefaultParagraphFont"/>
    <w:uiPriority w:val="99"/>
    <w:unhideWhenUsed/>
    <w:rsid w:val="00A90F18"/>
    <w:rPr>
      <w:vertAlign w:val="superscript"/>
    </w:rPr>
  </w:style>
  <w:style w:type="paragraph" w:customStyle="1" w:styleId="He05Fett">
    <w:name w:val="_He_05_Fett"/>
    <w:next w:val="Normal"/>
    <w:link w:val="He05FettZchn"/>
    <w:qFormat/>
    <w:rsid w:val="00A92FCD"/>
    <w:pPr>
      <w:spacing w:after="160" w:line="259" w:lineRule="auto"/>
    </w:pPr>
    <w:rPr>
      <w:rFonts w:eastAsiaTheme="minorHAnsi" w:cstheme="minorBidi"/>
      <w:b/>
      <w:szCs w:val="22"/>
      <w:lang w:val="de-DE"/>
    </w:rPr>
  </w:style>
  <w:style w:type="character" w:customStyle="1" w:styleId="He05FettZchn">
    <w:name w:val="_He_05_Fett Zchn"/>
    <w:basedOn w:val="DefaultParagraphFont"/>
    <w:link w:val="He05Fett"/>
    <w:rsid w:val="00A92FCD"/>
    <w:rPr>
      <w:rFonts w:eastAsiaTheme="minorHAnsi" w:cstheme="minorBidi"/>
      <w:b/>
      <w:szCs w:val="22"/>
      <w:lang w:val="de-DE"/>
    </w:rPr>
  </w:style>
  <w:style w:type="paragraph" w:customStyle="1" w:styleId="He01Flietext">
    <w:name w:val="_He_01_Fließtext"/>
    <w:qFormat/>
    <w:rsid w:val="00FE683A"/>
    <w:pPr>
      <w:tabs>
        <w:tab w:val="left" w:pos="284"/>
      </w:tabs>
      <w:spacing w:after="160" w:line="259" w:lineRule="auto"/>
      <w:jc w:val="both"/>
    </w:pPr>
    <w:rPr>
      <w:rFonts w:eastAsiaTheme="minorHAnsi" w:cstheme="minorBidi"/>
      <w:szCs w:val="22"/>
      <w:lang w:val="de-DE"/>
    </w:rPr>
  </w:style>
  <w:style w:type="paragraph" w:styleId="NormalWeb">
    <w:name w:val="Normal (Web)"/>
    <w:basedOn w:val="Normal"/>
    <w:uiPriority w:val="99"/>
    <w:unhideWhenUsed/>
    <w:rsid w:val="002566B2"/>
    <w:pPr>
      <w:spacing w:before="100" w:beforeAutospacing="1" w:after="100" w:afterAutospacing="1" w:line="240" w:lineRule="auto"/>
      <w:jc w:val="left"/>
    </w:pPr>
    <w:rPr>
      <w:rFonts w:ascii="Times New Roman" w:hAnsi="Times New Roman"/>
      <w:sz w:val="24"/>
      <w:lang w:val="de-DE" w:eastAsia="de-DE"/>
    </w:rPr>
  </w:style>
  <w:style w:type="paragraph" w:styleId="FootnoteText">
    <w:name w:val="footnote text"/>
    <w:basedOn w:val="Normal"/>
    <w:link w:val="FootnoteTextChar"/>
    <w:uiPriority w:val="99"/>
    <w:unhideWhenUsed/>
    <w:rsid w:val="00C76008"/>
    <w:pPr>
      <w:spacing w:line="240" w:lineRule="auto"/>
      <w:jc w:val="left"/>
    </w:pPr>
    <w:rPr>
      <w:rFonts w:eastAsiaTheme="minorHAnsi" w:cstheme="minorBidi"/>
      <w:szCs w:val="20"/>
      <w:lang w:val="de-DE"/>
    </w:rPr>
  </w:style>
  <w:style w:type="character" w:customStyle="1" w:styleId="FootnoteTextChar">
    <w:name w:val="Footnote Text Char"/>
    <w:basedOn w:val="DefaultParagraphFont"/>
    <w:link w:val="FootnoteText"/>
    <w:uiPriority w:val="99"/>
    <w:rsid w:val="00C76008"/>
    <w:rPr>
      <w:rFonts w:eastAsiaTheme="minorHAnsi" w:cstheme="minorBidi"/>
      <w:sz w:val="22"/>
      <w:szCs w:val="2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768271">
      <w:bodyDiv w:val="1"/>
      <w:marLeft w:val="0"/>
      <w:marRight w:val="0"/>
      <w:marTop w:val="0"/>
      <w:marBottom w:val="0"/>
      <w:divBdr>
        <w:top w:val="none" w:sz="0" w:space="0" w:color="auto"/>
        <w:left w:val="none" w:sz="0" w:space="0" w:color="auto"/>
        <w:bottom w:val="none" w:sz="0" w:space="0" w:color="auto"/>
        <w:right w:val="none" w:sz="0" w:space="0" w:color="auto"/>
      </w:divBdr>
    </w:div>
    <w:div w:id="215901274">
      <w:bodyDiv w:val="1"/>
      <w:marLeft w:val="0"/>
      <w:marRight w:val="0"/>
      <w:marTop w:val="0"/>
      <w:marBottom w:val="0"/>
      <w:divBdr>
        <w:top w:val="none" w:sz="0" w:space="0" w:color="auto"/>
        <w:left w:val="none" w:sz="0" w:space="0" w:color="auto"/>
        <w:bottom w:val="none" w:sz="0" w:space="0" w:color="auto"/>
        <w:right w:val="none" w:sz="0" w:space="0" w:color="auto"/>
      </w:divBdr>
    </w:div>
    <w:div w:id="331758879">
      <w:bodyDiv w:val="1"/>
      <w:marLeft w:val="0"/>
      <w:marRight w:val="0"/>
      <w:marTop w:val="0"/>
      <w:marBottom w:val="0"/>
      <w:divBdr>
        <w:top w:val="none" w:sz="0" w:space="0" w:color="auto"/>
        <w:left w:val="none" w:sz="0" w:space="0" w:color="auto"/>
        <w:bottom w:val="none" w:sz="0" w:space="0" w:color="auto"/>
        <w:right w:val="none" w:sz="0" w:space="0" w:color="auto"/>
      </w:divBdr>
    </w:div>
    <w:div w:id="545877286">
      <w:bodyDiv w:val="1"/>
      <w:marLeft w:val="0"/>
      <w:marRight w:val="0"/>
      <w:marTop w:val="0"/>
      <w:marBottom w:val="0"/>
      <w:divBdr>
        <w:top w:val="none" w:sz="0" w:space="0" w:color="auto"/>
        <w:left w:val="none" w:sz="0" w:space="0" w:color="auto"/>
        <w:bottom w:val="none" w:sz="0" w:space="0" w:color="auto"/>
        <w:right w:val="none" w:sz="0" w:space="0" w:color="auto"/>
      </w:divBdr>
    </w:div>
    <w:div w:id="830367474">
      <w:bodyDiv w:val="1"/>
      <w:marLeft w:val="0"/>
      <w:marRight w:val="0"/>
      <w:marTop w:val="0"/>
      <w:marBottom w:val="0"/>
      <w:divBdr>
        <w:top w:val="none" w:sz="0" w:space="0" w:color="auto"/>
        <w:left w:val="none" w:sz="0" w:space="0" w:color="auto"/>
        <w:bottom w:val="none" w:sz="0" w:space="0" w:color="auto"/>
        <w:right w:val="none" w:sz="0" w:space="0" w:color="auto"/>
      </w:divBdr>
    </w:div>
    <w:div w:id="1303580746">
      <w:bodyDiv w:val="1"/>
      <w:marLeft w:val="0"/>
      <w:marRight w:val="0"/>
      <w:marTop w:val="0"/>
      <w:marBottom w:val="0"/>
      <w:divBdr>
        <w:top w:val="none" w:sz="0" w:space="0" w:color="auto"/>
        <w:left w:val="none" w:sz="0" w:space="0" w:color="auto"/>
        <w:bottom w:val="none" w:sz="0" w:space="0" w:color="auto"/>
        <w:right w:val="none" w:sz="0" w:space="0" w:color="auto"/>
      </w:divBdr>
    </w:div>
    <w:div w:id="1370689247">
      <w:bodyDiv w:val="1"/>
      <w:marLeft w:val="0"/>
      <w:marRight w:val="0"/>
      <w:marTop w:val="0"/>
      <w:marBottom w:val="0"/>
      <w:divBdr>
        <w:top w:val="none" w:sz="0" w:space="0" w:color="auto"/>
        <w:left w:val="none" w:sz="0" w:space="0" w:color="auto"/>
        <w:bottom w:val="none" w:sz="0" w:space="0" w:color="auto"/>
        <w:right w:val="none" w:sz="0" w:space="0" w:color="auto"/>
      </w:divBdr>
    </w:div>
    <w:div w:id="1374620896">
      <w:bodyDiv w:val="1"/>
      <w:marLeft w:val="0"/>
      <w:marRight w:val="0"/>
      <w:marTop w:val="0"/>
      <w:marBottom w:val="0"/>
      <w:divBdr>
        <w:top w:val="none" w:sz="0" w:space="0" w:color="auto"/>
        <w:left w:val="none" w:sz="0" w:space="0" w:color="auto"/>
        <w:bottom w:val="none" w:sz="0" w:space="0" w:color="auto"/>
        <w:right w:val="none" w:sz="0" w:space="0" w:color="auto"/>
      </w:divBdr>
    </w:div>
    <w:div w:id="1483084704">
      <w:bodyDiv w:val="1"/>
      <w:marLeft w:val="0"/>
      <w:marRight w:val="0"/>
      <w:marTop w:val="0"/>
      <w:marBottom w:val="0"/>
      <w:divBdr>
        <w:top w:val="none" w:sz="0" w:space="0" w:color="auto"/>
        <w:left w:val="none" w:sz="0" w:space="0" w:color="auto"/>
        <w:bottom w:val="none" w:sz="0" w:space="0" w:color="auto"/>
        <w:right w:val="none" w:sz="0" w:space="0" w:color="auto"/>
      </w:divBdr>
    </w:div>
    <w:div w:id="1546261199">
      <w:bodyDiv w:val="1"/>
      <w:marLeft w:val="0"/>
      <w:marRight w:val="0"/>
      <w:marTop w:val="0"/>
      <w:marBottom w:val="0"/>
      <w:divBdr>
        <w:top w:val="none" w:sz="0" w:space="0" w:color="auto"/>
        <w:left w:val="none" w:sz="0" w:space="0" w:color="auto"/>
        <w:bottom w:val="none" w:sz="0" w:space="0" w:color="auto"/>
        <w:right w:val="none" w:sz="0" w:space="0" w:color="auto"/>
      </w:divBdr>
    </w:div>
    <w:div w:id="1641376655">
      <w:bodyDiv w:val="1"/>
      <w:marLeft w:val="0"/>
      <w:marRight w:val="0"/>
      <w:marTop w:val="0"/>
      <w:marBottom w:val="0"/>
      <w:divBdr>
        <w:top w:val="none" w:sz="0" w:space="0" w:color="auto"/>
        <w:left w:val="none" w:sz="0" w:space="0" w:color="auto"/>
        <w:bottom w:val="none" w:sz="0" w:space="0" w:color="auto"/>
        <w:right w:val="none" w:sz="0" w:space="0" w:color="auto"/>
      </w:divBdr>
    </w:div>
    <w:div w:id="2013604992">
      <w:bodyDiv w:val="1"/>
      <w:marLeft w:val="0"/>
      <w:marRight w:val="0"/>
      <w:marTop w:val="0"/>
      <w:marBottom w:val="0"/>
      <w:divBdr>
        <w:top w:val="none" w:sz="0" w:space="0" w:color="auto"/>
        <w:left w:val="none" w:sz="0" w:space="0" w:color="auto"/>
        <w:bottom w:val="none" w:sz="0" w:space="0" w:color="auto"/>
        <w:right w:val="none" w:sz="0" w:space="0" w:color="auto"/>
      </w:divBdr>
      <w:divsChild>
        <w:div w:id="237326346">
          <w:marLeft w:val="0"/>
          <w:marRight w:val="0"/>
          <w:marTop w:val="0"/>
          <w:marBottom w:val="0"/>
          <w:divBdr>
            <w:top w:val="none" w:sz="0" w:space="0" w:color="auto"/>
            <w:left w:val="none" w:sz="0" w:space="0" w:color="auto"/>
            <w:bottom w:val="none" w:sz="0" w:space="0" w:color="auto"/>
            <w:right w:val="none" w:sz="0" w:space="0" w:color="auto"/>
          </w:divBdr>
        </w:div>
        <w:div w:id="331104911">
          <w:marLeft w:val="0"/>
          <w:marRight w:val="0"/>
          <w:marTop w:val="0"/>
          <w:marBottom w:val="0"/>
          <w:divBdr>
            <w:top w:val="none" w:sz="0" w:space="0" w:color="auto"/>
            <w:left w:val="none" w:sz="0" w:space="0" w:color="auto"/>
            <w:bottom w:val="none" w:sz="0" w:space="0" w:color="auto"/>
            <w:right w:val="none" w:sz="0" w:space="0" w:color="auto"/>
          </w:divBdr>
        </w:div>
        <w:div w:id="430466892">
          <w:marLeft w:val="0"/>
          <w:marRight w:val="0"/>
          <w:marTop w:val="0"/>
          <w:marBottom w:val="0"/>
          <w:divBdr>
            <w:top w:val="none" w:sz="0" w:space="0" w:color="auto"/>
            <w:left w:val="none" w:sz="0" w:space="0" w:color="auto"/>
            <w:bottom w:val="none" w:sz="0" w:space="0" w:color="auto"/>
            <w:right w:val="none" w:sz="0" w:space="0" w:color="auto"/>
          </w:divBdr>
        </w:div>
        <w:div w:id="881399477">
          <w:marLeft w:val="0"/>
          <w:marRight w:val="0"/>
          <w:marTop w:val="0"/>
          <w:marBottom w:val="0"/>
          <w:divBdr>
            <w:top w:val="none" w:sz="0" w:space="0" w:color="auto"/>
            <w:left w:val="none" w:sz="0" w:space="0" w:color="auto"/>
            <w:bottom w:val="none" w:sz="0" w:space="0" w:color="auto"/>
            <w:right w:val="none" w:sz="0" w:space="0" w:color="auto"/>
          </w:divBdr>
        </w:div>
        <w:div w:id="1927032988">
          <w:marLeft w:val="0"/>
          <w:marRight w:val="0"/>
          <w:marTop w:val="0"/>
          <w:marBottom w:val="0"/>
          <w:divBdr>
            <w:top w:val="none" w:sz="0" w:space="0" w:color="auto"/>
            <w:left w:val="none" w:sz="0" w:space="0" w:color="auto"/>
            <w:bottom w:val="none" w:sz="0" w:space="0" w:color="auto"/>
            <w:right w:val="none" w:sz="0" w:space="0" w:color="auto"/>
          </w:divBdr>
        </w:div>
        <w:div w:id="20090892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henkel.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rohng\AppData\Local\Temp\Temp1_Completed.zip\Completed\segoe-Henkel-press-release-template-2020-english.dotx" TargetMode="External"/></Relationships>
</file>

<file path=word/theme/theme1.xml><?xml version="1.0" encoding="utf-8"?>
<a:theme xmlns:a="http://schemas.openxmlformats.org/drawingml/2006/main" name="Henkel Theme">
  <a:themeElements>
    <a:clrScheme name="Custom 4">
      <a:dk1>
        <a:srgbClr val="000000"/>
      </a:dk1>
      <a:lt1>
        <a:srgbClr val="FFFFFF"/>
      </a:lt1>
      <a:dk2>
        <a:srgbClr val="E1000F"/>
      </a:dk2>
      <a:lt2>
        <a:srgbClr val="E6E7E7"/>
      </a:lt2>
      <a:accent1>
        <a:srgbClr val="5F6973"/>
      </a:accent1>
      <a:accent2>
        <a:srgbClr val="AFB4B9"/>
      </a:accent2>
      <a:accent3>
        <a:srgbClr val="00AA75"/>
      </a:accent3>
      <a:accent4>
        <a:srgbClr val="004C79"/>
      </a:accent4>
      <a:accent5>
        <a:srgbClr val="9A141B"/>
      </a:accent5>
      <a:accent6>
        <a:srgbClr val="FFDB23"/>
      </a:accent6>
      <a:hlink>
        <a:srgbClr val="0563C1"/>
      </a:hlink>
      <a:folHlink>
        <a:srgbClr val="954F72"/>
      </a:folHlink>
    </a:clrScheme>
    <a:fontScheme name="Henkel Template">
      <a:majorFont>
        <a:latin typeface="Segoe UI"/>
        <a:ea typeface=""/>
        <a:cs typeface=""/>
      </a:majorFont>
      <a:minorFont>
        <a:latin typeface="Segoe U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solidFill>
          <a:srgbClr val="ED1C24"/>
        </a:solidFill>
        <a:ln>
          <a:noFill/>
        </a:ln>
        <a:extLst>
          <a:ext uri="{91240B29-F687-4F45-9708-019B960494DF}">
            <a14:hiddenLine xmlns:a14="http://schemas.microsoft.com/office/drawing/2010/main" w="9525">
              <a:solidFill>
                <a:srgbClr val="000000"/>
              </a:solidFill>
              <a:round/>
              <a:headEnd/>
              <a:tailEnd/>
            </a14:hiddenLine>
          </a:ext>
        </a:extLst>
      </a:spPr>
      <a:bodyPr rot="0" vert="horz" wrap="square" lIns="91440" tIns="45720" rIns="91440" bIns="45720" anchor="t" anchorCtr="0" upright="1">
        <a:noAutofit/>
      </a:bodyPr>
      <a:lstStyle/>
    </a:spDef>
    <a:lnDef>
      <a:spPr bwMode="auto">
        <a:xfrm>
          <a:off x="0" y="0"/>
          <a:ext cx="1" cy="1"/>
        </a:xfrm>
        <a:custGeom>
          <a:avLst/>
          <a:gdLst/>
          <a:ahLst/>
          <a:cxnLst/>
          <a:rect l="0" t="0" r="0" b="0"/>
          <a:pathLst/>
        </a:custGeom>
        <a:solidFill>
          <a:schemeClr val="bg1"/>
        </a:solidFill>
        <a:ln w="9525" cap="flat" cmpd="sng" algn="ctr">
          <a:solidFill>
            <a:schemeClr val="tx1"/>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chemeClr val="bg2"/>
                </a:outerShdw>
              </a:effectLst>
            </a14:hiddenEffects>
          </a:ext>
        </a:extLst>
      </a:spPr>
      <a:bodyPr vert="horz" wrap="none" lIns="90000" tIns="46800" rIns="90000" bIns="46800" numCol="1" anchor="ctr" anchorCtr="0" compatLnSpc="1">
        <a:prstTxWarp prst="textNoShape">
          <a:avLst/>
        </a:prstTxWarp>
      </a:bodyPr>
      <a:lstStyle>
        <a:defPPr marL="0" marR="0" indent="0" algn="ctr" defTabSz="914400" rtl="0" eaLnBrk="1" fontAlgn="base" latinLnBrk="0" hangingPunct="1">
          <a:lnSpc>
            <a:spcPct val="105000"/>
          </a:lnSpc>
          <a:spcBef>
            <a:spcPct val="0"/>
          </a:spcBef>
          <a:spcAft>
            <a:spcPct val="0"/>
          </a:spcAft>
          <a:buClr>
            <a:schemeClr val="tx2"/>
          </a:buClr>
          <a:buSzPct val="120000"/>
          <a:buFontTx/>
          <a:buNone/>
          <a:tabLst/>
          <a:defRPr kumimoji="0" lang="de-DE" sz="2000" b="0" i="0" u="none" strike="noStrike" cap="none" normalizeH="0" baseline="0" smtClean="0">
            <a:ln>
              <a:noFill/>
            </a:ln>
            <a:solidFill>
              <a:schemeClr val="tx1"/>
            </a:solidFill>
            <a:effectLst/>
            <a:latin typeface="Arial" charset="0"/>
            <a:cs typeface="Arial" charset="0"/>
          </a:defRPr>
        </a:defPPr>
      </a:lstStyle>
    </a:lnDef>
  </a:objectDefaults>
  <a:extraClrSchemeLst>
    <a:extraClrScheme>
      <a:clrScheme name="Standarddesign 1">
        <a:dk1>
          <a:srgbClr val="000000"/>
        </a:dk1>
        <a:lt1>
          <a:srgbClr val="FFFFFF"/>
        </a:lt1>
        <a:dk2>
          <a:srgbClr val="E1000F"/>
        </a:dk2>
        <a:lt2>
          <a:srgbClr val="CDD2D2"/>
        </a:lt2>
        <a:accent1>
          <a:srgbClr val="AFB4B9"/>
        </a:accent1>
        <a:accent2>
          <a:srgbClr val="828C96"/>
        </a:accent2>
        <a:accent3>
          <a:srgbClr val="FFFFFF"/>
        </a:accent3>
        <a:accent4>
          <a:srgbClr val="000000"/>
        </a:accent4>
        <a:accent5>
          <a:srgbClr val="D4D6D9"/>
        </a:accent5>
        <a:accent6>
          <a:srgbClr val="757E87"/>
        </a:accent6>
        <a:hlink>
          <a:srgbClr val="5F6973"/>
        </a:hlink>
        <a:folHlink>
          <a:srgbClr val="0078C8"/>
        </a:folHlink>
      </a:clrScheme>
      <a:clrMap bg1="lt1" tx1="dk1" bg2="lt2" tx2="dk2" accent1="accent1" accent2="accent2" accent3="accent3" accent4="accent4" accent5="accent5" accent6="accent6" hlink="hlink" folHlink="folHlink"/>
    </a:extraClrScheme>
  </a:extraClrSchemeLst>
  <a:custClrLst>
    <a:custClr name="Henkel Red">
      <a:srgbClr val="E1000F"/>
    </a:custClr>
    <a:custClr name="White">
      <a:srgbClr val="FFFFFF"/>
    </a:custClr>
    <a:custClr name="Black">
      <a:srgbClr val="000000"/>
    </a:custClr>
    <a:custClr name="Grey 1">
      <a:srgbClr val="5F6973"/>
    </a:custClr>
    <a:custClr name="Grey 2">
      <a:srgbClr val="AFB4B9"/>
    </a:custClr>
    <a:custClr name="Grey 3">
      <a:srgbClr val="E6E7E7"/>
    </a:custClr>
    <a:custClr name="Green">
      <a:srgbClr val="00AA75"/>
    </a:custClr>
    <a:custClr name="Blue">
      <a:srgbClr val="004C79"/>
    </a:custClr>
    <a:custClr name="Accent Dark Red">
      <a:srgbClr val="9A141B"/>
    </a:custClr>
    <a:custClr name="Accent Yellow 1">
      <a:srgbClr val="FFDB23"/>
    </a:custClr>
    <a:custClr name="Accent Yellow 2">
      <a:srgbClr val="FCF092"/>
    </a:custClr>
    <a:custClr name="Accent Green">
      <a:srgbClr val="A7DC92"/>
    </a:custClr>
    <a:custClr name="Accent Blue 1">
      <a:srgbClr val="55CAD3"/>
    </a:custClr>
    <a:custClr name="Accent Blue 2">
      <a:srgbClr val="0078C8"/>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f406d6b-70e0-427c-b08d-4edfc77771aa" xsi:nil="true"/>
    <lcf76f155ced4ddcb4097134ff3c332f xmlns="487aa4a8-6e08-4624-a126-3644f60fbb35">
      <Terms xmlns="http://schemas.microsoft.com/office/infopath/2007/PartnerControls"/>
    </lcf76f155ced4ddcb4097134ff3c332f>
    <Datum xmlns="487aa4a8-6e08-4624-a126-3644f60fbb35" xsi:nil="true"/>
  </documentManagement>
</p:properties>
</file>

<file path=customXml/item2.xml><?xml version="1.0" encoding="utf-8"?>
<?mso-contentType ?>
<SharedContentType xmlns="Microsoft.SharePoint.Taxonomy.ContentTypeSync" SourceId="72f792e8-4dad-42c1-ad63-44982727bf4d" ContentTypeId="0x01" PreviousValue="fals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E3C925157EE074095811C87522C7BC7" ma:contentTypeVersion="22" ma:contentTypeDescription="Create a new document." ma:contentTypeScope="" ma:versionID="74ca59087a68a0460257cfd765d09988">
  <xsd:schema xmlns:xsd="http://www.w3.org/2001/XMLSchema" xmlns:xs="http://www.w3.org/2001/XMLSchema" xmlns:p="http://schemas.microsoft.com/office/2006/metadata/properties" xmlns:ns2="487aa4a8-6e08-4624-a126-3644f60fbb35" xmlns:ns3="cec4b484-d643-4c02-a873-288aa5369532" xmlns:ns4="ef406d6b-70e0-427c-b08d-4edfc77771aa" targetNamespace="http://schemas.microsoft.com/office/2006/metadata/properties" ma:root="true" ma:fieldsID="8033796c042ced27f4b2ab1bf1ebc10c" ns2:_="" ns3:_="" ns4:_="">
    <xsd:import namespace="487aa4a8-6e08-4624-a126-3644f60fbb35"/>
    <xsd:import namespace="cec4b484-d643-4c02-a873-288aa5369532"/>
    <xsd:import namespace="ef406d6b-70e0-427c-b08d-4edfc77771a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Datum"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aa4a8-6e08-4624-a126-3644f60fbb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Datum" ma:index="20" nillable="true" ma:displayName="Datum" ma:format="DateOnly" ma:internalName="Datum">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2f792e8-4dad-42c1-ad63-44982727bf4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c4b484-d643-4c02-a873-288aa536953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f406d6b-70e0-427c-b08d-4edfc77771aa"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6099daea-b67b-4b58-9130-be82b407cc11}" ma:internalName="TaxCatchAll" ma:showField="CatchAllData" ma:web="cec4b484-d643-4c02-a873-288aa53695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245D12-BDB4-413F-ABB3-2AF0CF323A38}">
  <ds:schemaRefs>
    <ds:schemaRef ds:uri="http://schemas.microsoft.com/office/2006/metadata/properties"/>
    <ds:schemaRef ds:uri="http://schemas.microsoft.com/office/infopath/2007/PartnerControls"/>
    <ds:schemaRef ds:uri="ef406d6b-70e0-427c-b08d-4edfc77771aa"/>
    <ds:schemaRef ds:uri="487aa4a8-6e08-4624-a126-3644f60fbb35"/>
  </ds:schemaRefs>
</ds:datastoreItem>
</file>

<file path=customXml/itemProps2.xml><?xml version="1.0" encoding="utf-8"?>
<ds:datastoreItem xmlns:ds="http://schemas.openxmlformats.org/officeDocument/2006/customXml" ds:itemID="{70E590B4-7A0D-4F62-ACD8-2A023F14A264}">
  <ds:schemaRefs>
    <ds:schemaRef ds:uri="Microsoft.SharePoint.Taxonomy.ContentTypeSync"/>
  </ds:schemaRefs>
</ds:datastoreItem>
</file>

<file path=customXml/itemProps3.xml><?xml version="1.0" encoding="utf-8"?>
<ds:datastoreItem xmlns:ds="http://schemas.openxmlformats.org/officeDocument/2006/customXml" ds:itemID="{E5F5E823-FD9A-4CF5-8C4B-A2151B3E8DB5}">
  <ds:schemaRefs>
    <ds:schemaRef ds:uri="http://schemas.openxmlformats.org/officeDocument/2006/bibliography"/>
  </ds:schemaRefs>
</ds:datastoreItem>
</file>

<file path=customXml/itemProps4.xml><?xml version="1.0" encoding="utf-8"?>
<ds:datastoreItem xmlns:ds="http://schemas.openxmlformats.org/officeDocument/2006/customXml" ds:itemID="{13AA53AF-ABE2-4687-80CC-AE0B9CFC52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aa4a8-6e08-4624-a126-3644f60fbb35"/>
    <ds:schemaRef ds:uri="cec4b484-d643-4c02-a873-288aa5369532"/>
    <ds:schemaRef ds:uri="ef406d6b-70e0-427c-b08d-4edfc77771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C226D13-73FC-4A7A-93C2-AC11939BB4A9}">
  <ds:schemaRefs>
    <ds:schemaRef ds:uri="http://schemas.microsoft.com/sharepoint/v3/contenttype/forms"/>
  </ds:schemaRefs>
</ds:datastoreItem>
</file>

<file path=docMetadata/LabelInfo.xml><?xml version="1.0" encoding="utf-8"?>
<clbl:labelList xmlns:clbl="http://schemas.microsoft.com/office/2020/mipLabelMetadata">
  <clbl:label id="{e8701075-0d9e-4ea1-991d-5a0d110a5d29}" enabled="0" method="" siteId="{e8701075-0d9e-4ea1-991d-5a0d110a5d29}" removed="1"/>
</clbl:labelList>
</file>

<file path=docProps/app.xml><?xml version="1.0" encoding="utf-8"?>
<Properties xmlns="http://schemas.openxmlformats.org/officeDocument/2006/extended-properties" xmlns:vt="http://schemas.openxmlformats.org/officeDocument/2006/docPropsVTypes">
  <Template>segoe-Henkel-press-release-template-2020-english.dotx</Template>
  <TotalTime>0</TotalTime>
  <Pages>8</Pages>
  <Words>2917</Words>
  <Characters>16627</Characters>
  <Application>Microsoft Office Word</Application>
  <DocSecurity>0</DocSecurity>
  <Lines>138</Lines>
  <Paragraphs>39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Pressemitteilung</vt:lpstr>
      <vt:lpstr>Pressemitteilung</vt:lpstr>
    </vt:vector>
  </TitlesOfParts>
  <Company>Henkel AG &amp; Co. KGaA</Company>
  <LinksUpToDate>false</LinksUpToDate>
  <CharactersWithSpaces>19505</CharactersWithSpaces>
  <SharedDoc>false</SharedDoc>
  <HLinks>
    <vt:vector size="66" baseType="variant">
      <vt:variant>
        <vt:i4>6946937</vt:i4>
      </vt:variant>
      <vt:variant>
        <vt:i4>30</vt:i4>
      </vt:variant>
      <vt:variant>
        <vt:i4>0</vt:i4>
      </vt:variant>
      <vt:variant>
        <vt:i4>5</vt:i4>
      </vt:variant>
      <vt:variant>
        <vt:lpwstr>http://www.henkel.de/ir</vt:lpwstr>
      </vt:variant>
      <vt:variant>
        <vt:lpwstr/>
      </vt:variant>
      <vt:variant>
        <vt:i4>6619256</vt:i4>
      </vt:variant>
      <vt:variant>
        <vt:i4>27</vt:i4>
      </vt:variant>
      <vt:variant>
        <vt:i4>0</vt:i4>
      </vt:variant>
      <vt:variant>
        <vt:i4>5</vt:i4>
      </vt:variant>
      <vt:variant>
        <vt:lpwstr>http://www.henkel.de/presse</vt:lpwstr>
      </vt:variant>
      <vt:variant>
        <vt:lpwstr/>
      </vt:variant>
      <vt:variant>
        <vt:i4>2228305</vt:i4>
      </vt:variant>
      <vt:variant>
        <vt:i4>24</vt:i4>
      </vt:variant>
      <vt:variant>
        <vt:i4>0</vt:i4>
      </vt:variant>
      <vt:variant>
        <vt:i4>5</vt:i4>
      </vt:variant>
      <vt:variant>
        <vt:lpwstr>mailto:linda.gehring@henkel.com</vt:lpwstr>
      </vt:variant>
      <vt:variant>
        <vt:lpwstr/>
      </vt:variant>
      <vt:variant>
        <vt:i4>7208970</vt:i4>
      </vt:variant>
      <vt:variant>
        <vt:i4>21</vt:i4>
      </vt:variant>
      <vt:variant>
        <vt:i4>0</vt:i4>
      </vt:variant>
      <vt:variant>
        <vt:i4>5</vt:i4>
      </vt:variant>
      <vt:variant>
        <vt:lpwstr>mailto:dennis.starke@henkel.com</vt:lpwstr>
      </vt:variant>
      <vt:variant>
        <vt:lpwstr/>
      </vt:variant>
      <vt:variant>
        <vt:i4>2687054</vt:i4>
      </vt:variant>
      <vt:variant>
        <vt:i4>18</vt:i4>
      </vt:variant>
      <vt:variant>
        <vt:i4>0</vt:i4>
      </vt:variant>
      <vt:variant>
        <vt:i4>5</vt:i4>
      </vt:variant>
      <vt:variant>
        <vt:lpwstr>mailto:hanna.philipps@henkel.com</vt:lpwstr>
      </vt:variant>
      <vt:variant>
        <vt:lpwstr/>
      </vt:variant>
      <vt:variant>
        <vt:i4>1835116</vt:i4>
      </vt:variant>
      <vt:variant>
        <vt:i4>15</vt:i4>
      </vt:variant>
      <vt:variant>
        <vt:i4>0</vt:i4>
      </vt:variant>
      <vt:variant>
        <vt:i4>5</vt:i4>
      </vt:variant>
      <vt:variant>
        <vt:lpwstr>mailto:jennifer.ott@henkel.com</vt:lpwstr>
      </vt:variant>
      <vt:variant>
        <vt:lpwstr/>
      </vt:variant>
      <vt:variant>
        <vt:i4>7667735</vt:i4>
      </vt:variant>
      <vt:variant>
        <vt:i4>12</vt:i4>
      </vt:variant>
      <vt:variant>
        <vt:i4>0</vt:i4>
      </vt:variant>
      <vt:variant>
        <vt:i4>5</vt:i4>
      </vt:variant>
      <vt:variant>
        <vt:lpwstr>mailto:wulf.klueppelholz@henkel.com</vt:lpwstr>
      </vt:variant>
      <vt:variant>
        <vt:lpwstr/>
      </vt:variant>
      <vt:variant>
        <vt:i4>7602201</vt:i4>
      </vt:variant>
      <vt:variant>
        <vt:i4>9</vt:i4>
      </vt:variant>
      <vt:variant>
        <vt:i4>0</vt:i4>
      </vt:variant>
      <vt:variant>
        <vt:i4>5</vt:i4>
      </vt:variant>
      <vt:variant>
        <vt:lpwstr>mailto:manuel.boesing@henkel.com</vt:lpwstr>
      </vt:variant>
      <vt:variant>
        <vt:lpwstr/>
      </vt:variant>
      <vt:variant>
        <vt:i4>119</vt:i4>
      </vt:variant>
      <vt:variant>
        <vt:i4>6</vt:i4>
      </vt:variant>
      <vt:variant>
        <vt:i4>0</vt:i4>
      </vt:variant>
      <vt:variant>
        <vt:i4>5</vt:i4>
      </vt:variant>
      <vt:variant>
        <vt:lpwstr>mailto:lars.witteck@henkel.com</vt:lpwstr>
      </vt:variant>
      <vt:variant>
        <vt:lpwstr/>
      </vt:variant>
      <vt:variant>
        <vt:i4>786533</vt:i4>
      </vt:variant>
      <vt:variant>
        <vt:i4>3</vt:i4>
      </vt:variant>
      <vt:variant>
        <vt:i4>0</vt:i4>
      </vt:variant>
      <vt:variant>
        <vt:i4>5</vt:i4>
      </vt:variant>
      <vt:variant>
        <vt:lpwstr>mailto:lars.korinth@henkel.com</vt:lpwstr>
      </vt:variant>
      <vt:variant>
        <vt:lpwstr/>
      </vt:variant>
      <vt:variant>
        <vt:i4>196694</vt:i4>
      </vt:variant>
      <vt:variant>
        <vt:i4>0</vt:i4>
      </vt:variant>
      <vt:variant>
        <vt:i4>0</vt:i4>
      </vt:variant>
      <vt:variant>
        <vt:i4>5</vt:i4>
      </vt:variant>
      <vt:variant>
        <vt:lpwstr>http://www.henkel.de/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dc:title>
  <dc:subject/>
  <dc:creator>Henkel</dc:creator>
  <cp:keywords/>
  <dc:description/>
  <cp:lastModifiedBy>Esther Rim</cp:lastModifiedBy>
  <cp:revision>67</cp:revision>
  <cp:lastPrinted>2026-02-11T08:17:00Z</cp:lastPrinted>
  <dcterms:created xsi:type="dcterms:W3CDTF">2026-08-13T03:11:00Z</dcterms:created>
  <dcterms:modified xsi:type="dcterms:W3CDTF">2026-08-14T03:39:00Z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0x0101004E3C925157EE074095811C87522C7BC7</vt:lpwstr>
  </property>
  <property fmtid="{D5CDD505-2E9C-101B-9397-08002B2CF9AE}" pid="3" name="MediaServiceImageTags">
    <vt:lpwstr/>
  </property>
</Properties>
</file>