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24ED" w14:textId="1B5283C7" w:rsidR="005742B4" w:rsidRPr="00A110E3" w:rsidRDefault="006E6826">
      <w:pPr>
        <w:pStyle w:val="MonthDayYear"/>
        <w:rPr>
          <w:lang w:val="cs-CZ"/>
        </w:rPr>
      </w:pPr>
      <w:r>
        <w:rPr>
          <w:lang w:val="cs-CZ"/>
        </w:rPr>
        <w:t>6</w:t>
      </w:r>
      <w:r w:rsidR="004D74B9" w:rsidRPr="00A110E3">
        <w:rPr>
          <w:lang w:val="cs-CZ"/>
        </w:rPr>
        <w:t xml:space="preserve">. </w:t>
      </w:r>
      <w:r w:rsidRPr="00D12F5C">
        <w:rPr>
          <w:lang w:val="cs-CZ"/>
        </w:rPr>
        <w:t xml:space="preserve">srpna </w:t>
      </w:r>
      <w:r w:rsidR="007D354B" w:rsidRPr="00A110E3">
        <w:rPr>
          <w:lang w:val="cs-CZ"/>
        </w:rPr>
        <w:t>202</w:t>
      </w:r>
      <w:r w:rsidR="004F526F">
        <w:rPr>
          <w:lang w:val="cs-CZ"/>
        </w:rPr>
        <w:t>6</w:t>
      </w:r>
    </w:p>
    <w:p w14:paraId="7D2E142F" w14:textId="323DE7CE" w:rsidR="0003352D" w:rsidRPr="00D25927" w:rsidRDefault="00D25927" w:rsidP="0003352D">
      <w:pPr>
        <w:pStyle w:val="Topline"/>
        <w:rPr>
          <w:lang w:val="cs-CZ"/>
        </w:rPr>
      </w:pPr>
      <w:bookmarkStart w:id="0" w:name="_Hlk190695874"/>
      <w:r w:rsidRPr="00D25927">
        <w:rPr>
          <w:lang w:val="cs-CZ"/>
        </w:rPr>
        <w:t xml:space="preserve">Společnost </w:t>
      </w:r>
      <w:proofErr w:type="spellStart"/>
      <w:r w:rsidRPr="00D25927">
        <w:rPr>
          <w:lang w:val="cs-CZ"/>
        </w:rPr>
        <w:t>Henkel</w:t>
      </w:r>
      <w:proofErr w:type="spellEnd"/>
      <w:r w:rsidRPr="00D25927">
        <w:rPr>
          <w:lang w:val="cs-CZ"/>
        </w:rPr>
        <w:t xml:space="preserve"> posiluje svou růstovou strategii investicemi do značek, inovací i fúzí a akvizic</w:t>
      </w:r>
      <w:bookmarkEnd w:id="0"/>
    </w:p>
    <w:p w14:paraId="6BC95365" w14:textId="628214C5" w:rsidR="0003352D" w:rsidRPr="008B56CA" w:rsidRDefault="008B56CA" w:rsidP="0003352D">
      <w:pPr>
        <w:rPr>
          <w:rStyle w:val="Headline"/>
          <w:lang w:val="cs-CZ"/>
        </w:rPr>
      </w:pPr>
      <w:r w:rsidRPr="008B56CA">
        <w:rPr>
          <w:b/>
          <w:bCs/>
          <w:sz w:val="32"/>
          <w:szCs w:val="32"/>
          <w:lang w:val="cs-CZ"/>
        </w:rPr>
        <w:t xml:space="preserve">Společnost </w:t>
      </w:r>
      <w:proofErr w:type="spellStart"/>
      <w:r w:rsidRPr="008B56CA">
        <w:rPr>
          <w:b/>
          <w:bCs/>
          <w:sz w:val="32"/>
          <w:szCs w:val="32"/>
          <w:lang w:val="cs-CZ"/>
        </w:rPr>
        <w:t>Henkel</w:t>
      </w:r>
      <w:proofErr w:type="spellEnd"/>
      <w:r w:rsidRPr="008B56CA">
        <w:rPr>
          <w:b/>
          <w:bCs/>
          <w:sz w:val="32"/>
          <w:szCs w:val="32"/>
          <w:lang w:val="cs-CZ"/>
        </w:rPr>
        <w:t xml:space="preserve"> zaznamenala v prvním pololetí silný růst tržeb i zisku a zvýšila finanční výhled na rok 2026</w:t>
      </w:r>
    </w:p>
    <w:p w14:paraId="25914181" w14:textId="77777777" w:rsidR="0003352D" w:rsidRPr="00B71239" w:rsidRDefault="0003352D" w:rsidP="0003352D">
      <w:pPr>
        <w:rPr>
          <w:lang w:val="sk-SK"/>
        </w:rPr>
      </w:pPr>
    </w:p>
    <w:p w14:paraId="71FCAEB3" w14:textId="77777777" w:rsidR="008B0F72" w:rsidRPr="008B0F72" w:rsidRDefault="008B0F72" w:rsidP="008B0F72">
      <w:pPr>
        <w:numPr>
          <w:ilvl w:val="0"/>
          <w:numId w:val="7"/>
        </w:numPr>
        <w:jc w:val="left"/>
        <w:rPr>
          <w:b/>
          <w:bCs/>
          <w:lang w:val="cs-CZ"/>
        </w:rPr>
      </w:pPr>
      <w:bookmarkStart w:id="1" w:name="_Hlk43712519"/>
      <w:r w:rsidRPr="008B0F72">
        <w:rPr>
          <w:b/>
          <w:bCs/>
          <w:lang w:val="cs-CZ"/>
        </w:rPr>
        <w:t>T</w:t>
      </w:r>
      <w:bookmarkStart w:id="2" w:name="_Hlk64363173"/>
      <w:bookmarkEnd w:id="1"/>
      <w:r w:rsidRPr="008B0F72">
        <w:rPr>
          <w:b/>
          <w:bCs/>
          <w:lang w:val="cs-CZ"/>
        </w:rPr>
        <w:t>ržby skupiny v prvním pololetí vykázaly silný organický růst o 3,2 procenta a dosáhly 10,3 miliardy eur;</w:t>
      </w:r>
    </w:p>
    <w:p w14:paraId="05C6FBE6" w14:textId="77777777" w:rsidR="008B0F72" w:rsidRPr="008B0F72" w:rsidRDefault="008B0F72" w:rsidP="008B0F72">
      <w:pPr>
        <w:numPr>
          <w:ilvl w:val="0"/>
          <w:numId w:val="7"/>
        </w:num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Silný růst podpořily pozitivní cenové i objemové trendy napříč obchodními divizemi;</w:t>
      </w:r>
    </w:p>
    <w:p w14:paraId="3DBA50BD" w14:textId="77777777" w:rsidR="008B0F72" w:rsidRPr="008B0F72" w:rsidRDefault="008B0F72" w:rsidP="008B0F72">
      <w:pPr>
        <w:numPr>
          <w:ilvl w:val="0"/>
          <w:numId w:val="7"/>
        </w:num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Provozní zisk (EBIT)* vzrostl na 1 620 milionů eur (+0,3 procenta);</w:t>
      </w:r>
    </w:p>
    <w:p w14:paraId="2FB8469E" w14:textId="77777777" w:rsidR="008B0F72" w:rsidRPr="008B0F72" w:rsidRDefault="008B0F72" w:rsidP="008B0F72">
      <w:pPr>
        <w:numPr>
          <w:ilvl w:val="0"/>
          <w:numId w:val="7"/>
        </w:num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Silná marže EBIT* na úrovni 15,7 procenta (+10 bazických bodů), podpořená oběma obchodními divizemi – což potvrzuje odolnost a výkonnost podnikání;</w:t>
      </w:r>
    </w:p>
    <w:p w14:paraId="4B79DAB6" w14:textId="77777777" w:rsidR="008B0F72" w:rsidRPr="008B0F72" w:rsidRDefault="008B0F72" w:rsidP="008B0F72">
      <w:pPr>
        <w:numPr>
          <w:ilvl w:val="0"/>
          <w:numId w:val="7"/>
        </w:num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Zisk na prioritní akcii (EPS)* vzrostl na 2,86 eura, což představuje nárůst o 7,1 procenta při konstantních směnných kurzech;</w:t>
      </w:r>
    </w:p>
    <w:p w14:paraId="1CC8649E" w14:textId="77777777" w:rsidR="008B0F72" w:rsidRPr="008B0F72" w:rsidRDefault="008B0F72" w:rsidP="008B0F72">
      <w:pPr>
        <w:numPr>
          <w:ilvl w:val="0"/>
          <w:numId w:val="7"/>
        </w:num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Úspěšná realizace strategie růstu prostřednictvím fúzí a akvizic (M&amp;A) v prvním pololetí, s prvními pozitivními příspěvky k tržbám a zisku v roce 2026</w:t>
      </w:r>
      <w:bookmarkEnd w:id="2"/>
      <w:r w:rsidRPr="008B0F72">
        <w:rPr>
          <w:b/>
          <w:bCs/>
          <w:lang w:val="cs-CZ"/>
        </w:rPr>
        <w:t>;</w:t>
      </w:r>
    </w:p>
    <w:p w14:paraId="4EC8B579" w14:textId="77777777" w:rsidR="008B0F72" w:rsidRPr="008B0F72" w:rsidRDefault="008B0F72" w:rsidP="008B0F72">
      <w:pPr>
        <w:numPr>
          <w:ilvl w:val="0"/>
          <w:numId w:val="7"/>
        </w:num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 xml:space="preserve">Výhled na fiskální rok 2026: Očekávání zvýšena na úrovni skupiny i pro divizi </w:t>
      </w:r>
      <w:proofErr w:type="spellStart"/>
      <w:r w:rsidRPr="008B0F72">
        <w:rPr>
          <w:b/>
          <w:bCs/>
          <w:lang w:val="cs-CZ"/>
        </w:rPr>
        <w:t>Adhesive</w:t>
      </w:r>
      <w:proofErr w:type="spellEnd"/>
      <w:r w:rsidRPr="008B0F72">
        <w:rPr>
          <w:b/>
          <w:bCs/>
          <w:lang w:val="cs-CZ"/>
        </w:rPr>
        <w:t xml:space="preserve"> Technologies</w:t>
      </w:r>
    </w:p>
    <w:p w14:paraId="04E6C604" w14:textId="77777777" w:rsidR="008B0F72" w:rsidRPr="008B0F72" w:rsidRDefault="008B0F72" w:rsidP="008B0F72">
      <w:pPr>
        <w:numPr>
          <w:ilvl w:val="1"/>
          <w:numId w:val="7"/>
        </w:numPr>
        <w:jc w:val="left"/>
        <w:rPr>
          <w:lang w:val="cs-CZ"/>
        </w:rPr>
      </w:pPr>
      <w:r w:rsidRPr="008B0F72">
        <w:rPr>
          <w:lang w:val="cs-CZ"/>
        </w:rPr>
        <w:t>Organický růst tržeb: 1,5 až 3,5 procenta (dříve: 1,0 až 3,0 procenta);</w:t>
      </w:r>
    </w:p>
    <w:p w14:paraId="24473FE0" w14:textId="77777777" w:rsidR="008B0F72" w:rsidRPr="008B0F72" w:rsidRDefault="008B0F72" w:rsidP="008B0F72">
      <w:pPr>
        <w:numPr>
          <w:ilvl w:val="1"/>
          <w:numId w:val="7"/>
        </w:numPr>
        <w:jc w:val="left"/>
        <w:rPr>
          <w:lang w:val="cs-CZ"/>
        </w:rPr>
      </w:pPr>
      <w:r w:rsidRPr="008B0F72">
        <w:rPr>
          <w:lang w:val="cs-CZ"/>
        </w:rPr>
        <w:t>Upravená rentabilita tržeb: 14,5 až 16,0 procenta;</w:t>
      </w:r>
    </w:p>
    <w:p w14:paraId="5C6A4599" w14:textId="77777777" w:rsidR="008B0F72" w:rsidRPr="008B0F72" w:rsidRDefault="008B0F72" w:rsidP="008B0F72">
      <w:pPr>
        <w:numPr>
          <w:ilvl w:val="1"/>
          <w:numId w:val="7"/>
        </w:numPr>
        <w:jc w:val="left"/>
        <w:rPr>
          <w:lang w:val="cs-CZ"/>
        </w:rPr>
      </w:pPr>
      <w:r w:rsidRPr="008B0F72">
        <w:rPr>
          <w:lang w:val="cs-CZ"/>
        </w:rPr>
        <w:t>Upravený zisk na prioritní akcii (EPS): očekává se nárůst v rozmezí nízkých až vyšších jednociferných čísel (při konstantních směnných kurzech);</w:t>
      </w:r>
    </w:p>
    <w:p w14:paraId="73FCD486" w14:textId="77777777" w:rsidR="008B0F72" w:rsidRPr="008B0F72" w:rsidRDefault="008B0F72" w:rsidP="008B0F72">
      <w:pPr>
        <w:jc w:val="left"/>
        <w:rPr>
          <w:b/>
          <w:bCs/>
          <w:lang w:val="cs-CZ"/>
        </w:rPr>
      </w:pPr>
    </w:p>
    <w:p w14:paraId="4571FFA2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Düsseldorf –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dosáhla v prvním pololetí roku 2026 silného organického růstu tržeb a velmi dobrých výsledků navzdory přetrvávajícímu mimořádně náročnému ekonomickému prostředí. </w:t>
      </w:r>
      <w:r w:rsidRPr="008B0F72">
        <w:rPr>
          <w:i/>
          <w:iCs/>
          <w:lang w:val="cs-CZ"/>
        </w:rPr>
        <w:t xml:space="preserve">„Organický růst tržeb byl opět podpořen oběma obchodními divizemi, z nichž každá zaznamenala pozitivní vývoj cen i objemů. V divizi </w:t>
      </w:r>
      <w:proofErr w:type="spellStart"/>
      <w:r w:rsidRPr="008B0F72">
        <w:rPr>
          <w:i/>
          <w:iCs/>
          <w:lang w:val="cs-CZ"/>
        </w:rPr>
        <w:t>Adhesive</w:t>
      </w:r>
      <w:proofErr w:type="spellEnd"/>
      <w:r w:rsidRPr="008B0F72">
        <w:rPr>
          <w:i/>
          <w:iCs/>
          <w:lang w:val="cs-CZ"/>
        </w:rPr>
        <w:t xml:space="preserve"> Technologies přispěla ke zvýšení tržeb a ziskovosti také důsledná a rychlá realizace cenových opatření, která kompenzovala tlak rostoucích cen surovin,“</w:t>
      </w:r>
      <w:r w:rsidRPr="008B0F72">
        <w:rPr>
          <w:lang w:val="cs-CZ"/>
        </w:rPr>
        <w:t xml:space="preserve"> uvedl předseda představenstva </w:t>
      </w:r>
      <w:r w:rsidRPr="008B0F72">
        <w:rPr>
          <w:lang w:val="cs-CZ"/>
        </w:rPr>
        <w:lastRenderedPageBreak/>
        <w:t xml:space="preserve">společnosti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Carsten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Knobel</w:t>
      </w:r>
      <w:proofErr w:type="spellEnd"/>
      <w:r w:rsidRPr="008B0F72">
        <w:rPr>
          <w:lang w:val="cs-CZ"/>
        </w:rPr>
        <w:t xml:space="preserve">. </w:t>
      </w:r>
      <w:r w:rsidRPr="008B0F72">
        <w:rPr>
          <w:i/>
          <w:iCs/>
          <w:lang w:val="cs-CZ"/>
        </w:rPr>
        <w:t xml:space="preserve">„V rámci divize </w:t>
      </w:r>
      <w:proofErr w:type="spellStart"/>
      <w:r w:rsidRPr="008B0F72">
        <w:rPr>
          <w:i/>
          <w:iCs/>
          <w:lang w:val="cs-CZ"/>
        </w:rPr>
        <w:t>Consumer</w:t>
      </w:r>
      <w:proofErr w:type="spellEnd"/>
      <w:r w:rsidRPr="008B0F72">
        <w:rPr>
          <w:i/>
          <w:iCs/>
          <w:lang w:val="cs-CZ"/>
        </w:rPr>
        <w:t xml:space="preserve"> </w:t>
      </w:r>
      <w:proofErr w:type="spellStart"/>
      <w:r w:rsidRPr="008B0F72">
        <w:rPr>
          <w:i/>
          <w:iCs/>
          <w:lang w:val="cs-CZ"/>
        </w:rPr>
        <w:t>Brands</w:t>
      </w:r>
      <w:proofErr w:type="spellEnd"/>
      <w:r w:rsidRPr="008B0F72">
        <w:rPr>
          <w:i/>
          <w:iCs/>
          <w:lang w:val="cs-CZ"/>
        </w:rPr>
        <w:t xml:space="preserve"> pokračoval segment vlasové kosmetiky ve velmi silném růstu a segment pracích prostředků se vrátil k růstu.“</w:t>
      </w:r>
    </w:p>
    <w:p w14:paraId="4168B382" w14:textId="77777777" w:rsidR="008B0F72" w:rsidRPr="008B0F72" w:rsidRDefault="008B0F72" w:rsidP="008B0F72">
      <w:pPr>
        <w:jc w:val="left"/>
        <w:rPr>
          <w:lang w:val="cs-CZ"/>
        </w:rPr>
      </w:pPr>
    </w:p>
    <w:p w14:paraId="68BB4AE8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i/>
          <w:iCs/>
          <w:lang w:val="cs-CZ"/>
        </w:rPr>
        <w:t xml:space="preserve">„Naši strategii důsledně realizujeme s jasným zaměřením na smysluplný růst a naše výsledky potvrzují úspěch tohoto přístupu. V prvním pololetí jsme dosáhli celkově velmi silných obchodních výsledků a zároveň jsme výrazně investovali do naší budoucnosti, včetně našich značek, technologií a inovací. Kromě toho jsme výrazně zrychlili aktivity v oblasti fúzí a akvizic (M&amp;A). Uzavřeli jsme dohodu o pěti akvizicích v celkové hodnotě přibližně 5 miliard eur, které podstatně posílí obě naše obchodní divize. Čtyři z těchto akvizic již byly dokončeny. V následujících letech očekáváme, že získané společnosti budou dosahovat nadprůměrného růstu ve středním až vyšším jednociferném procentním pásmu a k ročním tržbám přinesou další 2 miliardy eur. „Jedná se o další důležitý krok v rámci udržitelného naplňování naší růstové agendy,“ </w:t>
      </w:r>
      <w:r w:rsidRPr="008B0F72">
        <w:rPr>
          <w:lang w:val="cs-CZ"/>
        </w:rPr>
        <w:t xml:space="preserve">pokračoval předseda představenstva společnosti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Carsten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Knobel</w:t>
      </w:r>
      <w:proofErr w:type="spellEnd"/>
      <w:r w:rsidRPr="008B0F72">
        <w:rPr>
          <w:lang w:val="cs-CZ"/>
        </w:rPr>
        <w:t>.</w:t>
      </w:r>
    </w:p>
    <w:p w14:paraId="74358776" w14:textId="77777777" w:rsidR="008B0F72" w:rsidRPr="008B0F72" w:rsidRDefault="008B0F72" w:rsidP="008B0F72">
      <w:pPr>
        <w:jc w:val="left"/>
        <w:rPr>
          <w:lang w:val="cs-CZ"/>
        </w:rPr>
      </w:pPr>
    </w:p>
    <w:p w14:paraId="449AAA42" w14:textId="77777777" w:rsidR="008B0F72" w:rsidRPr="00DA22C8" w:rsidRDefault="008B0F72" w:rsidP="008B0F72">
      <w:pPr>
        <w:jc w:val="left"/>
        <w:rPr>
          <w:i/>
          <w:iCs/>
          <w:lang w:val="cs-CZ"/>
        </w:rPr>
      </w:pPr>
      <w:r w:rsidRPr="00DA22C8">
        <w:rPr>
          <w:i/>
          <w:iCs/>
          <w:lang w:val="cs-CZ"/>
        </w:rPr>
        <w:t xml:space="preserve">„Na základě našich silných výsledků v prvním pololetí jsme zvýšili svá očekávání ohledně vývoje tržeb, a to jak na úrovni skupiny, tak v obchodní divizi </w:t>
      </w:r>
      <w:proofErr w:type="spellStart"/>
      <w:r w:rsidRPr="00DA22C8">
        <w:rPr>
          <w:i/>
          <w:iCs/>
          <w:lang w:val="cs-CZ"/>
        </w:rPr>
        <w:t>Adhesive</w:t>
      </w:r>
      <w:proofErr w:type="spellEnd"/>
      <w:r w:rsidRPr="00DA22C8">
        <w:rPr>
          <w:i/>
          <w:iCs/>
          <w:lang w:val="cs-CZ"/>
        </w:rPr>
        <w:t xml:space="preserve"> Technologies. Na úrovni skupiny nyní očekáváme organický růst tržeb v rozmezí 1,5 až 3,5 procenta, oproti předchozímu odhadu 1 až 3 procenta. V divizi </w:t>
      </w:r>
      <w:proofErr w:type="spellStart"/>
      <w:r w:rsidRPr="00DA22C8">
        <w:rPr>
          <w:i/>
          <w:iCs/>
          <w:lang w:val="cs-CZ"/>
        </w:rPr>
        <w:t>Adhesive</w:t>
      </w:r>
      <w:proofErr w:type="spellEnd"/>
      <w:r w:rsidRPr="00DA22C8">
        <w:rPr>
          <w:i/>
          <w:iCs/>
          <w:lang w:val="cs-CZ"/>
        </w:rPr>
        <w:t xml:space="preserve"> Technologies jsme zvýšili očekávání organického růstu tržeb z 1 až 3 procent na 2 až 4 procenta. Společnost </w:t>
      </w:r>
      <w:proofErr w:type="spellStart"/>
      <w:r w:rsidRPr="00DA22C8">
        <w:rPr>
          <w:i/>
          <w:iCs/>
          <w:lang w:val="cs-CZ"/>
        </w:rPr>
        <w:t>Henkel</w:t>
      </w:r>
      <w:proofErr w:type="spellEnd"/>
      <w:r w:rsidRPr="00DA22C8">
        <w:rPr>
          <w:i/>
          <w:iCs/>
          <w:lang w:val="cs-CZ"/>
        </w:rPr>
        <w:t xml:space="preserve"> tak podle nás i nadále pevně směřuje k udržitelnému a ziskovému růstu.“</w:t>
      </w:r>
    </w:p>
    <w:p w14:paraId="7C82917F" w14:textId="77777777" w:rsidR="008B0F72" w:rsidRPr="008B0F72" w:rsidRDefault="008B0F72" w:rsidP="008B0F72">
      <w:pPr>
        <w:jc w:val="left"/>
        <w:rPr>
          <w:b/>
          <w:bCs/>
          <w:lang w:val="cs-CZ"/>
        </w:rPr>
      </w:pPr>
    </w:p>
    <w:p w14:paraId="3814A814" w14:textId="77777777" w:rsidR="008B0F72" w:rsidRPr="008B0F72" w:rsidRDefault="008B0F72" w:rsidP="008B0F72">
      <w:p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Tržby a zisk na úrovni skupiny v prvním pololetí roku 2026</w:t>
      </w:r>
    </w:p>
    <w:p w14:paraId="0B80D352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dosáhla v prvním pololetí roku 2026 </w:t>
      </w:r>
      <w:r w:rsidRPr="008B0F72">
        <w:rPr>
          <w:b/>
          <w:bCs/>
          <w:lang w:val="cs-CZ"/>
        </w:rPr>
        <w:t xml:space="preserve">tržeb na úrovni skupiny </w:t>
      </w:r>
      <w:r w:rsidRPr="008B0F72">
        <w:rPr>
          <w:lang w:val="cs-CZ"/>
        </w:rPr>
        <w:t>ve výši 10 348 milionů eur, což představuje nominální pokles o 0,5 procenta (2. čtvrtletí: 5 396 milionů eur, +4,6 procenta). Měnové vlivy snížily tržby o 3,9 procenta (2. čtvrtletí: –2,6 procenta). Akvizice a </w:t>
      </w:r>
      <w:proofErr w:type="spellStart"/>
      <w:r w:rsidRPr="008B0F72">
        <w:rPr>
          <w:lang w:val="cs-CZ"/>
        </w:rPr>
        <w:t>divestice</w:t>
      </w:r>
      <w:proofErr w:type="spellEnd"/>
      <w:r w:rsidRPr="008B0F72">
        <w:rPr>
          <w:lang w:val="cs-CZ"/>
        </w:rPr>
        <w:t xml:space="preserve"> měly mírně pozitivní vliv na tržby ve výši 0,2 procenta (2. čtvrtletí: +2,5 procenta). Zatímco prodej maloobchodních značek v Severní Americe v dubnu 2025 měl negativní dopad, akvizice, které obě obchodní divize dokončily v první polovině roku 2026 – zejména ATP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Systems a Not </w:t>
      </w:r>
      <w:proofErr w:type="spellStart"/>
      <w:r w:rsidRPr="008B0F72">
        <w:rPr>
          <w:lang w:val="cs-CZ"/>
        </w:rPr>
        <w:t>Your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Mother’s</w:t>
      </w:r>
      <w:proofErr w:type="spellEnd"/>
      <w:r w:rsidRPr="008B0F72">
        <w:rPr>
          <w:lang w:val="cs-CZ"/>
        </w:rPr>
        <w:t xml:space="preserve"> – přispěly k vývoji tržeb pozitivně. V organickém vyjádření, tedy po očištění o vlivy směnných kurzů a vlivy akvizic a </w:t>
      </w:r>
      <w:proofErr w:type="spellStart"/>
      <w:r w:rsidRPr="008B0F72">
        <w:rPr>
          <w:lang w:val="cs-CZ"/>
        </w:rPr>
        <w:t>divestic</w:t>
      </w:r>
      <w:proofErr w:type="spellEnd"/>
      <w:r w:rsidRPr="008B0F72">
        <w:rPr>
          <w:lang w:val="cs-CZ"/>
        </w:rPr>
        <w:t xml:space="preserve">, zaznamenala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silný růst tržeb o 3,2 procenta (2. čtvrtletí: +4,7 procenta).</w:t>
      </w:r>
    </w:p>
    <w:p w14:paraId="6837B246" w14:textId="77777777" w:rsidR="008B0F72" w:rsidRPr="008B0F72" w:rsidRDefault="008B0F72" w:rsidP="008B0F72">
      <w:pPr>
        <w:jc w:val="left"/>
        <w:rPr>
          <w:lang w:val="cs-CZ"/>
        </w:rPr>
      </w:pPr>
    </w:p>
    <w:p w14:paraId="3BBF1E31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Obchodní divize </w:t>
      </w:r>
      <w:proofErr w:type="spellStart"/>
      <w:r w:rsidRPr="008B0F72">
        <w:rPr>
          <w:b/>
          <w:bCs/>
          <w:lang w:val="cs-CZ"/>
        </w:rPr>
        <w:t>Adhesive</w:t>
      </w:r>
      <w:proofErr w:type="spellEnd"/>
      <w:r w:rsidRPr="008B0F72">
        <w:rPr>
          <w:b/>
          <w:bCs/>
          <w:lang w:val="cs-CZ"/>
        </w:rPr>
        <w:t xml:space="preserve"> Technologies </w:t>
      </w:r>
      <w:r w:rsidRPr="008B0F72">
        <w:rPr>
          <w:lang w:val="cs-CZ"/>
        </w:rPr>
        <w:t xml:space="preserve">dosáhla v prvním pololetí roku 2026 velmi silného organického růstu tržeb ve výši 4,5 procenta (2. čtvrtletí: +7,4 procenta), přičemž hlavním zdrojem růstu byl segment mobility a elektronického průmyslu. Obchodní divize </w:t>
      </w:r>
      <w:proofErr w:type="spellStart"/>
      <w:r w:rsidRPr="008B0F72">
        <w:rPr>
          <w:b/>
          <w:bCs/>
          <w:lang w:val="cs-CZ"/>
        </w:rPr>
        <w:t>Consumer</w:t>
      </w:r>
      <w:proofErr w:type="spellEnd"/>
      <w:r w:rsidRPr="008B0F72">
        <w:rPr>
          <w:b/>
          <w:bCs/>
          <w:lang w:val="cs-CZ"/>
        </w:rPr>
        <w:t xml:space="preserve"> </w:t>
      </w:r>
      <w:proofErr w:type="spellStart"/>
      <w:r w:rsidRPr="008B0F72">
        <w:rPr>
          <w:b/>
          <w:bCs/>
          <w:lang w:val="cs-CZ"/>
        </w:rPr>
        <w:t>Brands</w:t>
      </w:r>
      <w:proofErr w:type="spellEnd"/>
      <w:r w:rsidRPr="008B0F72">
        <w:rPr>
          <w:b/>
          <w:bCs/>
          <w:lang w:val="cs-CZ"/>
        </w:rPr>
        <w:t xml:space="preserve"> </w:t>
      </w:r>
      <w:r w:rsidRPr="008B0F72">
        <w:rPr>
          <w:lang w:val="cs-CZ"/>
        </w:rPr>
        <w:t xml:space="preserve">rovněž zaznamenala pozitivní vývoj, když dosáhla dobrého organického růstu tržeb </w:t>
      </w:r>
      <w:r w:rsidRPr="008B0F72">
        <w:rPr>
          <w:lang w:val="cs-CZ"/>
        </w:rPr>
        <w:lastRenderedPageBreak/>
        <w:t>ve výši 1,7 procenta (2. čtvrtletí: +1,6 procenta), k čemuž přispěl zejména velmi silný růst v kategorii vlasové kosmetiky.</w:t>
      </w:r>
    </w:p>
    <w:p w14:paraId="2DF613D2" w14:textId="77777777" w:rsidR="008B0F72" w:rsidRPr="008B0F72" w:rsidRDefault="008B0F72" w:rsidP="008B0F72">
      <w:pPr>
        <w:jc w:val="left"/>
        <w:rPr>
          <w:lang w:val="cs-CZ"/>
        </w:rPr>
      </w:pPr>
    </w:p>
    <w:p w14:paraId="546326D8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Evropa </w:t>
      </w:r>
      <w:r w:rsidRPr="008B0F72">
        <w:rPr>
          <w:lang w:val="cs-CZ"/>
        </w:rPr>
        <w:t xml:space="preserve">zaznamenala v prvním pololetí roku 2026 negativní organický vývoj tržeb o -1,5 procenta (2.  čtvrtletí: +0,4 procenta), zatímco </w:t>
      </w:r>
      <w:r w:rsidRPr="008B0F72">
        <w:rPr>
          <w:b/>
          <w:bCs/>
          <w:lang w:val="cs-CZ"/>
        </w:rPr>
        <w:t xml:space="preserve">severoamerický </w:t>
      </w:r>
      <w:r w:rsidRPr="008B0F72">
        <w:rPr>
          <w:lang w:val="cs-CZ"/>
        </w:rPr>
        <w:t xml:space="preserve">trh vykázal kladný organický růst tržeb ve výši 2,4 procenta (2. čtvrtletí: +3,9 procenta). V regionu </w:t>
      </w:r>
      <w:r w:rsidRPr="008B0F72">
        <w:rPr>
          <w:b/>
          <w:bCs/>
          <w:lang w:val="cs-CZ"/>
        </w:rPr>
        <w:t xml:space="preserve">IMEA (Indie, Střední východ, Afrika) </w:t>
      </w:r>
      <w:r w:rsidRPr="008B0F72">
        <w:rPr>
          <w:lang w:val="cs-CZ"/>
        </w:rPr>
        <w:t>a v </w:t>
      </w:r>
      <w:r w:rsidRPr="008B0F72">
        <w:rPr>
          <w:b/>
          <w:bCs/>
          <w:lang w:val="cs-CZ"/>
        </w:rPr>
        <w:t xml:space="preserve">asijsko-pacifickém </w:t>
      </w:r>
      <w:r w:rsidRPr="008B0F72">
        <w:rPr>
          <w:lang w:val="cs-CZ"/>
        </w:rPr>
        <w:t xml:space="preserve">regionu dosáhla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dvouciferného organického růstu tržeb o 14,9 procenta (2. čtvrtletí: +17,4 procenta), respektive 10,3 procenta (2. čtvrtletí: +10,3 procenta). </w:t>
      </w:r>
      <w:r w:rsidRPr="008B0F72">
        <w:rPr>
          <w:b/>
          <w:bCs/>
          <w:lang w:val="cs-CZ"/>
        </w:rPr>
        <w:t xml:space="preserve">Latinská Amerika </w:t>
      </w:r>
      <w:r w:rsidRPr="008B0F72">
        <w:rPr>
          <w:lang w:val="cs-CZ"/>
        </w:rPr>
        <w:t xml:space="preserve">naopak zaznamenala </w:t>
      </w:r>
      <w:r w:rsidRPr="008B0F72">
        <w:rPr>
          <w:b/>
          <w:bCs/>
          <w:lang w:val="cs-CZ"/>
        </w:rPr>
        <w:t xml:space="preserve">mírně negativní organický vývoj tržeb </w:t>
      </w:r>
      <w:r w:rsidRPr="008B0F72">
        <w:rPr>
          <w:lang w:val="cs-CZ"/>
        </w:rPr>
        <w:t>na úrovni -1,3 procenta (2. čtvrtletí: +0,5 procenta).</w:t>
      </w:r>
    </w:p>
    <w:p w14:paraId="7AD61836" w14:textId="77777777" w:rsidR="008B0F72" w:rsidRPr="008B0F72" w:rsidRDefault="008B0F72" w:rsidP="008B0F72">
      <w:pPr>
        <w:jc w:val="left"/>
        <w:rPr>
          <w:lang w:val="cs-CZ"/>
        </w:rPr>
      </w:pPr>
    </w:p>
    <w:p w14:paraId="026BD777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Upravený provozní zisk (upravený EBIT) </w:t>
      </w:r>
      <w:r w:rsidRPr="008B0F72">
        <w:rPr>
          <w:lang w:val="cs-CZ"/>
        </w:rPr>
        <w:t>dosáhl 1 620 milionů eur, což představuje mírný růst oproti loňské hodnotě 1 614 milionů eur.</w:t>
      </w:r>
    </w:p>
    <w:p w14:paraId="7E35AFD7" w14:textId="77777777" w:rsidR="008B0F72" w:rsidRPr="008B0F72" w:rsidRDefault="008B0F72" w:rsidP="008B0F72">
      <w:pPr>
        <w:jc w:val="left"/>
        <w:rPr>
          <w:b/>
          <w:bCs/>
          <w:lang w:val="cs-CZ"/>
        </w:rPr>
      </w:pPr>
    </w:p>
    <w:p w14:paraId="6CA7D37A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Upravená rentabilita tržeb (upravená marže EBIT) </w:t>
      </w:r>
      <w:r w:rsidRPr="008B0F72">
        <w:rPr>
          <w:lang w:val="cs-CZ"/>
        </w:rPr>
        <w:t>na úrovni skupiny rovněž vzrostla a dosáhla 15,7 procenta (předchozí rok: 15,5 procenta).</w:t>
      </w:r>
    </w:p>
    <w:p w14:paraId="7D68D059" w14:textId="77777777" w:rsidR="008B0F72" w:rsidRPr="008B0F72" w:rsidRDefault="008B0F72" w:rsidP="008B0F72">
      <w:pPr>
        <w:jc w:val="left"/>
        <w:rPr>
          <w:lang w:val="cs-CZ"/>
        </w:rPr>
      </w:pPr>
    </w:p>
    <w:p w14:paraId="390DEF3A" w14:textId="77777777" w:rsidR="008B0F72" w:rsidRPr="008B0F72" w:rsidRDefault="008B0F72" w:rsidP="008B0F72">
      <w:pPr>
        <w:jc w:val="left"/>
        <w:rPr>
          <w:lang w:val="cs-CZ"/>
        </w:rPr>
      </w:pPr>
      <w:bookmarkStart w:id="3" w:name="_Hlk190081485"/>
      <w:r w:rsidRPr="008B0F72">
        <w:rPr>
          <w:b/>
          <w:bCs/>
          <w:lang w:val="cs-CZ"/>
        </w:rPr>
        <w:t xml:space="preserve">Upravený zisk na prioritní akcii (EPS) </w:t>
      </w:r>
      <w:r w:rsidRPr="008B0F72">
        <w:rPr>
          <w:lang w:val="cs-CZ"/>
        </w:rPr>
        <w:t>vzrostl o 1,8 procenta na 2,86 eura (předchozí rok: 2,81 eura). Při konstantních směnných kurzech se upravený zisk na prioritní akcii zvýšil o 7,1 procenta.</w:t>
      </w:r>
      <w:bookmarkEnd w:id="3"/>
    </w:p>
    <w:p w14:paraId="669F5883" w14:textId="77777777" w:rsidR="008B0F72" w:rsidRPr="008B0F72" w:rsidRDefault="008B0F72" w:rsidP="008B0F72">
      <w:pPr>
        <w:jc w:val="left"/>
        <w:rPr>
          <w:b/>
          <w:bCs/>
          <w:lang w:val="cs-CZ"/>
        </w:rPr>
      </w:pPr>
    </w:p>
    <w:p w14:paraId="0A138EA2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Čistý pracovní kapitál </w:t>
      </w:r>
      <w:r w:rsidRPr="008B0F72">
        <w:rPr>
          <w:lang w:val="cs-CZ"/>
        </w:rPr>
        <w:t>vyjádřený jako podíl na tržbách se ve druhém čtvrtletí ve srovnání se stejným obdobím předchozího roku zvýšil ze 6,0 procenta na 7,0 procenta, k čemuž částečně přispěly akvizice.</w:t>
      </w:r>
    </w:p>
    <w:p w14:paraId="2B5385B0" w14:textId="77777777" w:rsidR="008B0F72" w:rsidRPr="008B0F72" w:rsidRDefault="008B0F72" w:rsidP="008B0F72">
      <w:pPr>
        <w:jc w:val="left"/>
        <w:rPr>
          <w:lang w:val="cs-CZ"/>
        </w:rPr>
      </w:pPr>
    </w:p>
    <w:p w14:paraId="3E3C8A8D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Volný peněžní tok </w:t>
      </w:r>
      <w:r w:rsidRPr="008B0F72">
        <w:rPr>
          <w:lang w:val="cs-CZ"/>
        </w:rPr>
        <w:t>vzrostl na 612 milionů eur (první pololetí 2025: 485 milionů eur), a to zejména díky vyššímu peněžnímu toku z provozní činnosti.</w:t>
      </w:r>
    </w:p>
    <w:p w14:paraId="339C265B" w14:textId="77777777" w:rsidR="008B0F72" w:rsidRPr="008B0F72" w:rsidRDefault="008B0F72" w:rsidP="008B0F72">
      <w:pPr>
        <w:jc w:val="left"/>
        <w:rPr>
          <w:lang w:val="cs-CZ"/>
        </w:rPr>
      </w:pPr>
    </w:p>
    <w:p w14:paraId="08783074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Čistá finanční pozice </w:t>
      </w:r>
      <w:r w:rsidRPr="008B0F72">
        <w:rPr>
          <w:lang w:val="cs-CZ"/>
        </w:rPr>
        <w:t>k 30. červnu 2026 činila –1 855 milionů eur (31. prosince 2025: 109 milionů eur), což odráží zejména peněžní výdaje související s nedávno dokončenými akvizicemi a programem zpětného odkupu akcií.</w:t>
      </w:r>
    </w:p>
    <w:p w14:paraId="05E778E2" w14:textId="77777777" w:rsidR="008B0F72" w:rsidRPr="008B0F72" w:rsidRDefault="008B0F72" w:rsidP="008B0F72">
      <w:pPr>
        <w:jc w:val="left"/>
        <w:rPr>
          <w:lang w:val="cs-CZ"/>
        </w:rPr>
      </w:pPr>
    </w:p>
    <w:p w14:paraId="1C15260F" w14:textId="77777777" w:rsidR="008B0F72" w:rsidRPr="008B0F72" w:rsidRDefault="008B0F72" w:rsidP="008B0F72">
      <w:p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Výsledky obchodních divizí v prvním pololetí roku 2026</w:t>
      </w:r>
    </w:p>
    <w:p w14:paraId="7261CA83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Tržby </w:t>
      </w:r>
      <w:r w:rsidRPr="008B0F72">
        <w:rPr>
          <w:lang w:val="cs-CZ"/>
        </w:rPr>
        <w:t xml:space="preserve">obchodní divize </w:t>
      </w:r>
      <w:proofErr w:type="spellStart"/>
      <w:r w:rsidRPr="008B0F72">
        <w:rPr>
          <w:b/>
          <w:bCs/>
          <w:lang w:val="cs-CZ"/>
        </w:rPr>
        <w:t>Adhesive</w:t>
      </w:r>
      <w:proofErr w:type="spellEnd"/>
      <w:r w:rsidRPr="008B0F72">
        <w:rPr>
          <w:b/>
          <w:bCs/>
          <w:lang w:val="cs-CZ"/>
        </w:rPr>
        <w:t xml:space="preserve"> Technologies </w:t>
      </w:r>
      <w:r w:rsidRPr="008B0F72">
        <w:rPr>
          <w:lang w:val="cs-CZ"/>
        </w:rPr>
        <w:t>se v prvním pololetí roku 2026 nominálně zvýšily o 2,2 procenta na 5 534 milionů eur (2. čtvrtletí: 2 908 milionů eur, +7,6 procenta). V </w:t>
      </w:r>
      <w:r w:rsidRPr="008B0F72">
        <w:rPr>
          <w:b/>
          <w:bCs/>
          <w:lang w:val="cs-CZ"/>
        </w:rPr>
        <w:t xml:space="preserve">organickém </w:t>
      </w:r>
      <w:r w:rsidRPr="008B0F72">
        <w:rPr>
          <w:lang w:val="cs-CZ"/>
        </w:rPr>
        <w:t xml:space="preserve">vyjádření dosáhla divize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Technologies velmi silného růstu tržeb ve </w:t>
      </w:r>
      <w:r w:rsidRPr="008B0F72">
        <w:rPr>
          <w:lang w:val="cs-CZ"/>
        </w:rPr>
        <w:lastRenderedPageBreak/>
        <w:t>výši 4,5 procenta (2. čtvrtletí: +7,4 procenta). K tomuto růstu přispěl pozitivní vývoj cen i objemu.</w:t>
      </w:r>
    </w:p>
    <w:p w14:paraId="2CA30538" w14:textId="77777777" w:rsidR="008B0F72" w:rsidRPr="008B0F72" w:rsidRDefault="008B0F72" w:rsidP="008B0F72">
      <w:pPr>
        <w:jc w:val="left"/>
        <w:rPr>
          <w:lang w:val="cs-CZ"/>
        </w:rPr>
      </w:pPr>
    </w:p>
    <w:p w14:paraId="050BF21D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Obchodní divize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Technologies zaznamenala v prvním pololetí organický růst tržeb napříč segmenty, přičemž hlavním zdrojem celkového růstu byl zejména výrazný organický růst tržeb o 7,8 procenta v segmentu </w:t>
      </w:r>
      <w:r w:rsidRPr="008B0F72">
        <w:rPr>
          <w:b/>
          <w:bCs/>
          <w:lang w:val="cs-CZ"/>
        </w:rPr>
        <w:t xml:space="preserve">mobility a elektronického průmyslu </w:t>
      </w:r>
      <w:r w:rsidRPr="008B0F72">
        <w:rPr>
          <w:lang w:val="cs-CZ"/>
        </w:rPr>
        <w:t xml:space="preserve">(2. čtvrtletí: +8,8 procenta). Tento vývoj podpořil dvouciferný organický růst tržeb v kategorii elektroniky a výrazný organický růst tržeb v kategorii průmyslu. Naproti tomu automobilový průmysl v souhrnu za první pololetí poklesl, avšak ve druhém čtvrtletí již vykázal zlepšení s dobrým organickým růstem tržeb. Segment </w:t>
      </w:r>
      <w:r w:rsidRPr="008B0F72">
        <w:rPr>
          <w:b/>
          <w:bCs/>
          <w:lang w:val="cs-CZ"/>
        </w:rPr>
        <w:t xml:space="preserve">obalů a spotřebního zboží </w:t>
      </w:r>
      <w:r w:rsidRPr="008B0F72">
        <w:rPr>
          <w:lang w:val="cs-CZ"/>
        </w:rPr>
        <w:t xml:space="preserve">dosáhl velmi silného organického růstu tržeb na úrovni 4,7 procenta, a to díky silnému růstu v kategorii obalových materiálů a velmi výraznému organickému růstu tržeb v kategorii spotřebního zboží (2. čtvrtletí: +9,1 procenta). Tento vývoj byl podpořen také předzásobováním ze strany zákazníků v reakci na geopolitickou nejistotu. V segmentu produktů pro </w:t>
      </w:r>
      <w:r w:rsidRPr="008B0F72">
        <w:rPr>
          <w:b/>
          <w:bCs/>
          <w:lang w:val="cs-CZ"/>
        </w:rPr>
        <w:t xml:space="preserve">řemeslníky, stavebnictví a profesionály </w:t>
      </w:r>
      <w:r w:rsidRPr="008B0F72">
        <w:rPr>
          <w:lang w:val="cs-CZ"/>
        </w:rPr>
        <w:t xml:space="preserve">vykázala obchodní divize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Technologies organický růst tržeb ve výši 1,0 procenta (2. čtvrtletí: +4,4 procenta). K růstu nejvíce přispěl silný organický růst tržeb v kategorii obecné výroby a údržby, zatímco kategorie spotřebního zboží a stavebnictví zaznamenaly mírně negativní organický vývoj tržeb.</w:t>
      </w:r>
    </w:p>
    <w:p w14:paraId="365401ED" w14:textId="77777777" w:rsidR="008B0F72" w:rsidRPr="008B0F72" w:rsidRDefault="008B0F72" w:rsidP="008B0F72">
      <w:pPr>
        <w:jc w:val="left"/>
        <w:rPr>
          <w:lang w:val="cs-CZ"/>
        </w:rPr>
      </w:pPr>
      <w:bookmarkStart w:id="4" w:name="_Hlk190097207"/>
    </w:p>
    <w:p w14:paraId="4FDAAE33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Upravený provozní zisk </w:t>
      </w:r>
      <w:r w:rsidRPr="008B0F72">
        <w:rPr>
          <w:lang w:val="cs-CZ"/>
        </w:rPr>
        <w:t xml:space="preserve">se i přes negativní vlivy směnných kurzů udržel nad úrovní loňského roku a dosáhl 982 milionů eur. </w:t>
      </w:r>
      <w:r w:rsidRPr="008B0F72">
        <w:rPr>
          <w:b/>
          <w:bCs/>
          <w:lang w:val="cs-CZ"/>
        </w:rPr>
        <w:t xml:space="preserve">Upravená rentabilita tržeb </w:t>
      </w:r>
      <w:r w:rsidRPr="008B0F72">
        <w:rPr>
          <w:lang w:val="cs-CZ"/>
        </w:rPr>
        <w:t>vzrostla na 17,7 procenta oproti 17,2 procenta ve stejném období loňského roku. K tomuto vývoji přispěly úspory z rozsahu vyplývající z růstu objemu a struktury portfolia.</w:t>
      </w:r>
    </w:p>
    <w:bookmarkEnd w:id="4"/>
    <w:p w14:paraId="1359B0D9" w14:textId="77777777" w:rsidR="008B0F72" w:rsidRPr="008B0F72" w:rsidRDefault="008B0F72" w:rsidP="008B0F72">
      <w:pPr>
        <w:jc w:val="left"/>
        <w:rPr>
          <w:lang w:val="cs-CZ"/>
        </w:rPr>
      </w:pPr>
    </w:p>
    <w:p w14:paraId="72E231E5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Obchodní divize </w:t>
      </w:r>
      <w:proofErr w:type="spellStart"/>
      <w:r w:rsidRPr="008B0F72">
        <w:rPr>
          <w:b/>
          <w:bCs/>
          <w:lang w:val="cs-CZ"/>
        </w:rPr>
        <w:t>Consumer</w:t>
      </w:r>
      <w:proofErr w:type="spellEnd"/>
      <w:r w:rsidRPr="008B0F72">
        <w:rPr>
          <w:b/>
          <w:bCs/>
          <w:lang w:val="cs-CZ"/>
        </w:rPr>
        <w:t xml:space="preserve"> </w:t>
      </w:r>
      <w:proofErr w:type="spellStart"/>
      <w:r w:rsidRPr="008B0F72">
        <w:rPr>
          <w:b/>
          <w:bCs/>
          <w:lang w:val="cs-CZ"/>
        </w:rPr>
        <w:t>Brands</w:t>
      </w:r>
      <w:proofErr w:type="spellEnd"/>
      <w:r w:rsidRPr="008B0F72">
        <w:rPr>
          <w:b/>
          <w:bCs/>
          <w:lang w:val="cs-CZ"/>
        </w:rPr>
        <w:t xml:space="preserve"> </w:t>
      </w:r>
      <w:r w:rsidRPr="008B0F72">
        <w:rPr>
          <w:lang w:val="cs-CZ"/>
        </w:rPr>
        <w:t xml:space="preserve">dosáhla v prvním pololetí roku 2026 </w:t>
      </w:r>
      <w:r w:rsidRPr="008B0F72">
        <w:rPr>
          <w:b/>
          <w:bCs/>
          <w:lang w:val="cs-CZ"/>
        </w:rPr>
        <w:t>tržeb</w:t>
      </w:r>
      <w:r w:rsidRPr="008B0F72">
        <w:rPr>
          <w:lang w:val="cs-CZ"/>
        </w:rPr>
        <w:t xml:space="preserve"> ve výši 4 733 milionů eur, což představuje nominální pokles o 3,5 procenta ve srovnání se stejným obdobím loňského roku (2. čtvrtletí: 2 448 milionů eur, +1,1 procenta). V </w:t>
      </w:r>
      <w:r w:rsidRPr="008B0F72">
        <w:rPr>
          <w:b/>
          <w:bCs/>
          <w:lang w:val="cs-CZ"/>
        </w:rPr>
        <w:t xml:space="preserve">organickém </w:t>
      </w:r>
      <w:r w:rsidRPr="008B0F72">
        <w:rPr>
          <w:lang w:val="cs-CZ"/>
        </w:rPr>
        <w:t>vyjádření se tržby zvýšily o 1,7 procenta (2. čtvrtletí: +1,6 procenta), přičemž divize zaznamenala ve srovnání s prvním pololetím roku 2025 pozitivní vývoj jak cen, tak objemu.</w:t>
      </w:r>
    </w:p>
    <w:p w14:paraId="6AA11FD1" w14:textId="77777777" w:rsidR="008B0F72" w:rsidRPr="008B0F72" w:rsidRDefault="008B0F72" w:rsidP="008B0F72">
      <w:pPr>
        <w:jc w:val="left"/>
        <w:rPr>
          <w:lang w:val="cs-CZ"/>
        </w:rPr>
      </w:pPr>
    </w:p>
    <w:p w14:paraId="424E780E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V prvním pololetí zaznamenal segment </w:t>
      </w:r>
      <w:r w:rsidRPr="008B0F72">
        <w:rPr>
          <w:b/>
          <w:bCs/>
          <w:lang w:val="cs-CZ"/>
        </w:rPr>
        <w:t xml:space="preserve">pracích a čisticích prostředků pro domácnost </w:t>
      </w:r>
      <w:r w:rsidRPr="008B0F72">
        <w:rPr>
          <w:lang w:val="cs-CZ"/>
        </w:rPr>
        <w:t xml:space="preserve">organický růst tržeb o 0,7 procenta (2. čtvrtletí: +1,3 procenta). Segment pracích prostředků dosáhl organického růstu, k čemuž přispěl výrazný růst tržeb u produktů pro péči o prádlo a růst v kategorii aviváží. Naopak kategorie pracích prostředků zaznamenala mírný pokles. Segment čisticích prostředků pro domácnost vykázal dobrý organický růst tržeb, zejména díky dvoucifernému růstu v kategorii prostředků na ruční mytí nádobí. Kategorie </w:t>
      </w:r>
      <w:r w:rsidRPr="008B0F72">
        <w:rPr>
          <w:b/>
          <w:bCs/>
          <w:lang w:val="cs-CZ"/>
        </w:rPr>
        <w:t xml:space="preserve">vlasových přípravků a kosmetiky </w:t>
      </w:r>
      <w:r w:rsidRPr="008B0F72">
        <w:rPr>
          <w:lang w:val="cs-CZ"/>
        </w:rPr>
        <w:t xml:space="preserve">dosáhla velmi silného organického růstu tržeb na úrovni 4,2 procenta (2. čtvrtletí: +3,3 procenta) a byla hlavním motorem růstu celé obchodní divize </w:t>
      </w:r>
      <w:proofErr w:type="spellStart"/>
      <w:r w:rsidRPr="008B0F72">
        <w:rPr>
          <w:lang w:val="cs-CZ"/>
        </w:rPr>
        <w:t>Consumer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lastRenderedPageBreak/>
        <w:t>Brands</w:t>
      </w:r>
      <w:proofErr w:type="spellEnd"/>
      <w:r w:rsidRPr="008B0F72">
        <w:rPr>
          <w:lang w:val="cs-CZ"/>
        </w:rPr>
        <w:t xml:space="preserve">. Tento pozitivní vývoj podpořily jak produkty pro spotřebitele, které zaznamenaly silný organický růst, tak i produkty pro profesionály, které dosáhly velmi výrazného růstu. U produktů pro spotřebitele k růstu přispěly všechny kategorie, přičemž nejvýraznější podíl měly barvy na vlasy a stylingové přípravky. Segment </w:t>
      </w:r>
      <w:r w:rsidRPr="008B0F72">
        <w:rPr>
          <w:b/>
          <w:bCs/>
          <w:lang w:val="cs-CZ"/>
        </w:rPr>
        <w:t xml:space="preserve">ostatního spotřebního zboží </w:t>
      </w:r>
      <w:r w:rsidRPr="008B0F72">
        <w:rPr>
          <w:lang w:val="cs-CZ"/>
        </w:rPr>
        <w:t>naopak zaznamenal v prvním pololetí negativní organický vývoj tržeb o 2,1 procenta (2. čtvrtletí: –4,6 procenta), což bylo způsobeno zejména vývojem v kategorii tělové kosmetiky v evropském regionu. Region Severní Ameriky však vykázal dobrý organický růst tržeb.</w:t>
      </w:r>
    </w:p>
    <w:p w14:paraId="576096D6" w14:textId="77777777" w:rsidR="008B0F72" w:rsidRPr="008B0F72" w:rsidRDefault="008B0F72" w:rsidP="008B0F72">
      <w:pPr>
        <w:jc w:val="left"/>
        <w:rPr>
          <w:lang w:val="cs-CZ"/>
        </w:rPr>
      </w:pPr>
      <w:bookmarkStart w:id="5" w:name="_Hlk190100714"/>
      <w:bookmarkEnd w:id="5"/>
    </w:p>
    <w:p w14:paraId="2F878335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Upravený pracovní zisk </w:t>
      </w:r>
      <w:r w:rsidRPr="008B0F72">
        <w:rPr>
          <w:lang w:val="cs-CZ"/>
        </w:rPr>
        <w:t xml:space="preserve">dosáhl 724 milionů eur a byl tak mírně pod loňskou úrovní, což souviselo zejména s prodejem maloobchodních aktivit v Severní Americe v dubnu 2025 a negativními kurzovými vlivy. </w:t>
      </w:r>
      <w:r w:rsidRPr="008B0F72">
        <w:rPr>
          <w:b/>
          <w:bCs/>
          <w:lang w:val="cs-CZ"/>
        </w:rPr>
        <w:t xml:space="preserve">Upravená rentabilita tržeb </w:t>
      </w:r>
      <w:r w:rsidRPr="008B0F72">
        <w:rPr>
          <w:lang w:val="cs-CZ"/>
        </w:rPr>
        <w:t>však ve srovnání se stejným obdobím loňského roku zůstala beze změny na 15,3 procenta.</w:t>
      </w:r>
    </w:p>
    <w:p w14:paraId="7CC15E91" w14:textId="77777777" w:rsidR="008B0F72" w:rsidRPr="008B0F72" w:rsidRDefault="008B0F72" w:rsidP="008B0F72">
      <w:pPr>
        <w:jc w:val="left"/>
        <w:rPr>
          <w:lang w:val="cs-CZ"/>
        </w:rPr>
      </w:pPr>
    </w:p>
    <w:p w14:paraId="2155EA79" w14:textId="77777777" w:rsidR="008B0F72" w:rsidRPr="008B0F72" w:rsidRDefault="008B0F72" w:rsidP="008B0F72">
      <w:pPr>
        <w:jc w:val="left"/>
        <w:rPr>
          <w:b/>
          <w:bCs/>
          <w:lang w:val="cs-CZ"/>
        </w:rPr>
      </w:pPr>
      <w:r w:rsidRPr="008B0F72">
        <w:rPr>
          <w:b/>
          <w:bCs/>
          <w:lang w:val="cs-CZ"/>
        </w:rPr>
        <w:t>Úspěšná realizace akviziční růstové strategie v prvním pololetí</w:t>
      </w:r>
    </w:p>
    <w:p w14:paraId="7810D8EE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V prvním pololetí roku 2026 dosáhla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významného pokroku v realizaci své akviziční růstové strategie, která je klíčovou součástí celkové </w:t>
      </w:r>
      <w:r w:rsidRPr="008B0F72">
        <w:rPr>
          <w:b/>
          <w:bCs/>
          <w:lang w:val="cs-CZ"/>
        </w:rPr>
        <w:t xml:space="preserve">růstové strategie </w:t>
      </w:r>
      <w:r w:rsidRPr="008B0F72">
        <w:rPr>
          <w:lang w:val="cs-CZ"/>
        </w:rPr>
        <w:t xml:space="preserve">společnosti napříč oběma obchodními divizemi. Díky nedávno oznámeným akvizicím investuje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celkem 5 miliard eur a rozšiřuje své podnikání o kombinované roční tržby ve výši přibližně 1,6 miliardy eur. Společnost dosud úspěšně dokončila čtyři z pěti transakcí: </w:t>
      </w:r>
      <w:proofErr w:type="spellStart"/>
      <w:r w:rsidRPr="008B0F72">
        <w:rPr>
          <w:lang w:val="cs-CZ"/>
        </w:rPr>
        <w:t>Wetherby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Laroc</w:t>
      </w:r>
      <w:proofErr w:type="spellEnd"/>
      <w:r w:rsidRPr="008B0F72">
        <w:rPr>
          <w:lang w:val="cs-CZ"/>
        </w:rPr>
        <w:t xml:space="preserve"> a ATP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Systems v obchodní divizi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Technologies, stejně jako Not </w:t>
      </w:r>
      <w:proofErr w:type="spellStart"/>
      <w:r w:rsidRPr="008B0F72">
        <w:rPr>
          <w:lang w:val="cs-CZ"/>
        </w:rPr>
        <w:t>Your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Mother’s</w:t>
      </w:r>
      <w:proofErr w:type="spellEnd"/>
      <w:r w:rsidRPr="008B0F72">
        <w:rPr>
          <w:lang w:val="cs-CZ"/>
        </w:rPr>
        <w:t xml:space="preserve"> a nejnověji OLAPLEX v obchodní divizi </w:t>
      </w:r>
      <w:proofErr w:type="spellStart"/>
      <w:r w:rsidRPr="008B0F72">
        <w:rPr>
          <w:lang w:val="cs-CZ"/>
        </w:rPr>
        <w:t>Consumer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Brands</w:t>
      </w:r>
      <w:proofErr w:type="spellEnd"/>
      <w:r w:rsidRPr="008B0F72">
        <w:rPr>
          <w:lang w:val="cs-CZ"/>
        </w:rPr>
        <w:t>. Očekává se, že akvizice společnosti Stahl Group v oblasti lepidel bude dokončena ve druhé polovině fiskálního roku 2026.</w:t>
      </w:r>
    </w:p>
    <w:p w14:paraId="395F0C69" w14:textId="77777777" w:rsidR="008B0F72" w:rsidRPr="008B0F72" w:rsidRDefault="008B0F72" w:rsidP="008B0F72">
      <w:pPr>
        <w:jc w:val="left"/>
        <w:rPr>
          <w:lang w:val="cs-CZ"/>
        </w:rPr>
      </w:pPr>
    </w:p>
    <w:p w14:paraId="0E6BEBFE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Akvizicí prémiové značky vlasové péče </w:t>
      </w:r>
      <w:r w:rsidRPr="008B0F72">
        <w:rPr>
          <w:b/>
          <w:bCs/>
          <w:lang w:val="cs-CZ"/>
        </w:rPr>
        <w:t>OLAPLEX</w:t>
      </w:r>
      <w:r w:rsidRPr="008B0F72">
        <w:rPr>
          <w:lang w:val="cs-CZ"/>
        </w:rPr>
        <w:t xml:space="preserve">, která k ročním tržbám přispívá přibližně 370 miliony eur,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dále posiluje svou globální přítomnost v segmentu prémiové vlasové péče a stává se celosvětovou dvojkou v oblasti profesionální vlasové péče. Trh s prémiovou vlasovou kosmetikou je mimořádně atraktivní a v následujících letech se očekává složené roční tempo růstu kolem 5 procent. OLAPLEX je zavedená prémiová značka vlasové péče s portfoliem vědecky podložených, vysoce účinných produktů. Dokončením této transakce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dále upevňuje svou globální pozici v kategorii produktů pro péči o vlasy, která je klíčovou kategorií v rámci obchodní divize </w:t>
      </w:r>
      <w:proofErr w:type="spellStart"/>
      <w:r w:rsidRPr="008B0F72">
        <w:rPr>
          <w:lang w:val="cs-CZ"/>
        </w:rPr>
        <w:t>Consumer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Brands</w:t>
      </w:r>
      <w:proofErr w:type="spellEnd"/>
      <w:r w:rsidRPr="008B0F72">
        <w:rPr>
          <w:lang w:val="cs-CZ"/>
        </w:rPr>
        <w:t>. Společnost je přesvědčena, že dokáže toto podnikání výrazně rozšířit využitím příležitostí křížového prodeje a posílením specializovaného maloobchodu i kadeřnických salonů jako distribučních kanálů. Kromě toho akvizice přináší atraktivní příležitosti v oblasti inovací a technologií.</w:t>
      </w:r>
    </w:p>
    <w:p w14:paraId="5D492C90" w14:textId="77777777" w:rsidR="008B0F72" w:rsidRPr="008B0F72" w:rsidRDefault="008B0F72" w:rsidP="008B0F72">
      <w:pPr>
        <w:jc w:val="left"/>
        <w:rPr>
          <w:lang w:val="cs-CZ"/>
        </w:rPr>
      </w:pPr>
    </w:p>
    <w:p w14:paraId="5B3F807B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Prostřednictvím akvizice společnosti </w:t>
      </w:r>
      <w:r w:rsidRPr="008B0F72">
        <w:rPr>
          <w:b/>
          <w:bCs/>
          <w:lang w:val="cs-CZ"/>
        </w:rPr>
        <w:t xml:space="preserve">ATP </w:t>
      </w:r>
      <w:proofErr w:type="spellStart"/>
      <w:r w:rsidRPr="008B0F72">
        <w:rPr>
          <w:b/>
          <w:bCs/>
          <w:lang w:val="cs-CZ"/>
        </w:rPr>
        <w:t>Adhesive</w:t>
      </w:r>
      <w:proofErr w:type="spellEnd"/>
      <w:r w:rsidRPr="008B0F72">
        <w:rPr>
          <w:b/>
          <w:bCs/>
          <w:lang w:val="cs-CZ"/>
        </w:rPr>
        <w:t xml:space="preserve"> Systems</w:t>
      </w:r>
      <w:r w:rsidRPr="008B0F72">
        <w:rPr>
          <w:lang w:val="cs-CZ"/>
        </w:rPr>
        <w:t xml:space="preserve">, která dosahuje ročních tržeb přibližně 270 milionů eur, rozšiřuje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své portfolio nad rámec technologií </w:t>
      </w:r>
      <w:r w:rsidRPr="008B0F72">
        <w:rPr>
          <w:lang w:val="cs-CZ"/>
        </w:rPr>
        <w:lastRenderedPageBreak/>
        <w:t xml:space="preserve">tekutých lepidel a buduje novou růstovou platformu v oblasti vysoce výkonných speciálních lepicích pásek na vodní bázi. Jedná se o mimořádně atraktivní trh, u kterého se očekává roční tempo růstu kolem 7 procent. Speciální pásky na vodní bázi získávají podíl na trhu jako udržitelnější alternativa k řešením na bázi rozpouštědel. Dokážou snížit emise těkavých organických sloučenin (VOC) až o 90 procent a uhlíkovou stopu až o 60 procent. Speciální pásky ATP se používají například v automobilovém průmyslu v pokročilých asistenčních systémech řidiče. Tato akvizice zároveň posiluje inovační kapacity společnosti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>, vytváří atraktivní příležitosti pro křížový prodej a dále upevňuje pozici společnosti na trhu udržitelných lepicích řešení.</w:t>
      </w:r>
    </w:p>
    <w:p w14:paraId="2E30C54D" w14:textId="77777777" w:rsidR="008B0F72" w:rsidRPr="008B0F72" w:rsidRDefault="008B0F72" w:rsidP="008B0F72">
      <w:pPr>
        <w:jc w:val="left"/>
        <w:rPr>
          <w:lang w:val="cs-CZ"/>
        </w:rPr>
      </w:pPr>
    </w:p>
    <w:p w14:paraId="200DF3EA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očekává, že nedávné akvizice v aktuálním fiskálním roce poprvé pozitivně přispějí k tržbám i zisku. V roce 2026 by získané podniky měly přispět k tržbám přibližně 700 miliony eur</w:t>
      </w:r>
      <w:r w:rsidRPr="008B0F72">
        <w:rPr>
          <w:vertAlign w:val="superscript"/>
          <w:lang w:val="cs-CZ"/>
        </w:rPr>
        <w:footnoteReference w:id="2"/>
      </w:r>
      <w:r w:rsidRPr="008B0F72">
        <w:rPr>
          <w:lang w:val="cs-CZ"/>
        </w:rPr>
        <w:t xml:space="preserve"> . Do budoucna se předpokládá, že všech pět akvizic poroste nadprůměrným tempem ve středním až vyšším jednociferném procentním pásmu, přičemž jejich kombinované tržby by měly do roku 2030 vzrůst na přibližně 2 miliardy eur. Z hlediska ziskovosti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očekává, že akvizice do roku 2030 přispějí minimálně 10 procenty k upravenému zisku na prioritní akcii.</w:t>
      </w:r>
    </w:p>
    <w:p w14:paraId="525322C9" w14:textId="77777777" w:rsidR="008B0F72" w:rsidRPr="008B0F72" w:rsidRDefault="008B0F72" w:rsidP="008B0F72">
      <w:pPr>
        <w:jc w:val="left"/>
        <w:rPr>
          <w:lang w:val="cs-CZ"/>
        </w:rPr>
      </w:pPr>
    </w:p>
    <w:p w14:paraId="5A6A5D7F" w14:textId="77777777" w:rsidR="008B0F72" w:rsidRPr="008B0F72" w:rsidRDefault="008B0F72" w:rsidP="008B0F72">
      <w:pPr>
        <w:jc w:val="left"/>
        <w:rPr>
          <w:lang w:val="cs-CZ"/>
        </w:rPr>
      </w:pPr>
    </w:p>
    <w:p w14:paraId="3D91C13B" w14:textId="77777777" w:rsidR="008B0F72" w:rsidRPr="008B0F72" w:rsidRDefault="008B0F72" w:rsidP="008B0F72">
      <w:pPr>
        <w:jc w:val="left"/>
        <w:rPr>
          <w:b/>
          <w:bCs/>
          <w:lang w:val="cs-CZ"/>
        </w:rPr>
      </w:pPr>
      <w:bookmarkStart w:id="6" w:name="_Hlk190182989"/>
      <w:r w:rsidRPr="008B0F72">
        <w:rPr>
          <w:b/>
          <w:bCs/>
          <w:lang w:val="cs-CZ"/>
        </w:rPr>
        <w:t xml:space="preserve">Výhled na fiskální rok 2026: Očekávání zvýšena na úrovni skupiny i pro divizi </w:t>
      </w:r>
      <w:proofErr w:type="spellStart"/>
      <w:r w:rsidRPr="008B0F72">
        <w:rPr>
          <w:b/>
          <w:bCs/>
          <w:lang w:val="cs-CZ"/>
        </w:rPr>
        <w:t>Adhesive</w:t>
      </w:r>
      <w:proofErr w:type="spellEnd"/>
      <w:r w:rsidRPr="008B0F72">
        <w:rPr>
          <w:b/>
          <w:bCs/>
          <w:lang w:val="cs-CZ"/>
        </w:rPr>
        <w:t xml:space="preserve"> Technologies</w:t>
      </w:r>
    </w:p>
    <w:p w14:paraId="1BAEC416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Na základě silných výsledků v prvním pololetí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zvýšila svá očekávání ohledně vývoje tržeb, a to jak na úrovni skupiny, tak i v obchodní divizi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Technologies. Očekávání ohledně upravené marže EBIT a růstu upraveného zisku na prioritní akcii při konstantních směnných kurzech zůstávají beze změny.</w:t>
      </w:r>
    </w:p>
    <w:p w14:paraId="1AA536B1" w14:textId="77777777" w:rsidR="008B0F72" w:rsidRPr="008B0F72" w:rsidRDefault="008B0F72" w:rsidP="008B0F72">
      <w:pPr>
        <w:jc w:val="left"/>
        <w:rPr>
          <w:lang w:val="cs-CZ"/>
        </w:rPr>
      </w:pPr>
    </w:p>
    <w:p w14:paraId="4F2FEEB4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lang w:val="cs-CZ"/>
        </w:rPr>
        <w:t xml:space="preserve">Společnost nyní v letošním roce očekává </w:t>
      </w:r>
      <w:r w:rsidRPr="008B0F72">
        <w:rPr>
          <w:b/>
          <w:bCs/>
          <w:lang w:val="cs-CZ"/>
        </w:rPr>
        <w:t xml:space="preserve">organický růst tržeb </w:t>
      </w:r>
      <w:r w:rsidRPr="008B0F72">
        <w:rPr>
          <w:lang w:val="cs-CZ"/>
        </w:rPr>
        <w:t xml:space="preserve">v rozmezí 1,5 až 3,5 procenta (dříve: 1,0 až 3,0 procenta). Pro obchodní divizi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Technologies se v současné době předpokládá organický růst tržeb v rozmezí 2,0 až 4,0 procenta (dříve: 1,0 až 3,0 procenta). U divize </w:t>
      </w:r>
      <w:proofErr w:type="spellStart"/>
      <w:r w:rsidRPr="008B0F72">
        <w:rPr>
          <w:lang w:val="cs-CZ"/>
        </w:rPr>
        <w:t>Consumer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Brands</w:t>
      </w:r>
      <w:proofErr w:type="spellEnd"/>
      <w:r w:rsidRPr="008B0F72">
        <w:rPr>
          <w:lang w:val="cs-CZ"/>
        </w:rPr>
        <w:t xml:space="preserve"> počítá společnost </w:t>
      </w:r>
      <w:proofErr w:type="spellStart"/>
      <w:r w:rsidRPr="008B0F72">
        <w:rPr>
          <w:lang w:val="cs-CZ"/>
        </w:rPr>
        <w:t>Henkel</w:t>
      </w:r>
      <w:proofErr w:type="spellEnd"/>
      <w:r w:rsidRPr="008B0F72">
        <w:rPr>
          <w:lang w:val="cs-CZ"/>
        </w:rPr>
        <w:t xml:space="preserve"> i nadále s organickým růstem tržeb v rozmezí 0,5 až 2,5 procenta.</w:t>
      </w:r>
    </w:p>
    <w:p w14:paraId="7CE55763" w14:textId="77777777" w:rsidR="008B0F72" w:rsidRPr="008B0F72" w:rsidRDefault="008B0F72" w:rsidP="008B0F72">
      <w:pPr>
        <w:jc w:val="left"/>
        <w:rPr>
          <w:lang w:val="cs-CZ"/>
        </w:rPr>
      </w:pPr>
    </w:p>
    <w:p w14:paraId="055675AB" w14:textId="77777777" w:rsidR="008B0F72" w:rsidRPr="008B0F72" w:rsidRDefault="008B0F72" w:rsidP="008B0F72">
      <w:pPr>
        <w:jc w:val="left"/>
        <w:rPr>
          <w:lang w:val="cs-CZ"/>
        </w:rPr>
      </w:pPr>
    </w:p>
    <w:p w14:paraId="60ECC89B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Upravená rentabilita tržeb </w:t>
      </w:r>
      <w:r w:rsidRPr="008B0F72">
        <w:rPr>
          <w:lang w:val="cs-CZ"/>
        </w:rPr>
        <w:t xml:space="preserve">(upravená marže EBIT) by se měla pohybovat v rozmezí 14,5 až 16,0 procenta. Pro obchodní divizi </w:t>
      </w:r>
      <w:proofErr w:type="spellStart"/>
      <w:r w:rsidRPr="008B0F72">
        <w:rPr>
          <w:lang w:val="cs-CZ"/>
        </w:rPr>
        <w:t>Adhesive</w:t>
      </w:r>
      <w:proofErr w:type="spellEnd"/>
      <w:r w:rsidRPr="008B0F72">
        <w:rPr>
          <w:lang w:val="cs-CZ"/>
        </w:rPr>
        <w:t xml:space="preserve"> Technologies se předpokládá upravená </w:t>
      </w:r>
      <w:r w:rsidRPr="008B0F72">
        <w:rPr>
          <w:lang w:val="cs-CZ"/>
        </w:rPr>
        <w:lastRenderedPageBreak/>
        <w:t xml:space="preserve">rentabilita tržeb v rozmezí 16,5 až 18,0 procenta a pro divizi </w:t>
      </w:r>
      <w:proofErr w:type="spellStart"/>
      <w:r w:rsidRPr="008B0F72">
        <w:rPr>
          <w:lang w:val="cs-CZ"/>
        </w:rPr>
        <w:t>Consumer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Brands</w:t>
      </w:r>
      <w:proofErr w:type="spellEnd"/>
      <w:r w:rsidRPr="008B0F72">
        <w:rPr>
          <w:lang w:val="cs-CZ"/>
        </w:rPr>
        <w:t xml:space="preserve"> v rozmezí 14,0 až 15,5 procenta.</w:t>
      </w:r>
    </w:p>
    <w:p w14:paraId="76D8D7F1" w14:textId="77777777" w:rsidR="008B0F72" w:rsidRPr="008B0F72" w:rsidRDefault="008B0F72" w:rsidP="008B0F72">
      <w:pPr>
        <w:jc w:val="left"/>
        <w:rPr>
          <w:lang w:val="cs-CZ"/>
        </w:rPr>
      </w:pPr>
    </w:p>
    <w:p w14:paraId="77E13F7E" w14:textId="77777777" w:rsidR="008B0F72" w:rsidRPr="008B0F72" w:rsidRDefault="008B0F72" w:rsidP="008B0F72">
      <w:pPr>
        <w:jc w:val="left"/>
        <w:rPr>
          <w:lang w:val="cs-CZ"/>
        </w:rPr>
      </w:pPr>
      <w:r w:rsidRPr="008B0F72">
        <w:rPr>
          <w:b/>
          <w:bCs/>
          <w:lang w:val="cs-CZ"/>
        </w:rPr>
        <w:t xml:space="preserve">Upravený zisk na prioritní akcii </w:t>
      </w:r>
      <w:r w:rsidRPr="008B0F72">
        <w:rPr>
          <w:lang w:val="cs-CZ"/>
        </w:rPr>
        <w:t>(EPS) při konstantních směnných kurzech by měl vzrůst v nízkém až vyšším jednociferném procentním pásmu.</w:t>
      </w:r>
    </w:p>
    <w:bookmarkEnd w:id="6"/>
    <w:p w14:paraId="174DCA39" w14:textId="77777777" w:rsidR="008B0F72" w:rsidRPr="008B0F72" w:rsidRDefault="008B0F72" w:rsidP="008B0F72">
      <w:pPr>
        <w:jc w:val="left"/>
        <w:rPr>
          <w:lang w:val="cs-CZ"/>
        </w:rPr>
      </w:pPr>
    </w:p>
    <w:p w14:paraId="54C7E2E7" w14:textId="773F6F27" w:rsidR="00613F5D" w:rsidRPr="008B0F72" w:rsidRDefault="008B0F72" w:rsidP="006325A8">
      <w:pPr>
        <w:jc w:val="left"/>
        <w:rPr>
          <w:rStyle w:val="Headline"/>
          <w:b w:val="0"/>
          <w:bCs w:val="0"/>
          <w:sz w:val="22"/>
          <w:szCs w:val="22"/>
          <w:lang w:val="cs-CZ"/>
        </w:rPr>
      </w:pPr>
      <w:r w:rsidRPr="00BC4B88">
        <w:rPr>
          <w:i/>
          <w:iCs/>
          <w:lang w:val="cs-CZ"/>
        </w:rPr>
        <w:t xml:space="preserve">„Mimořádně silné výsledky v prvním pololetí roku 2026, charakterizované výrazným organickým růstem tržeb a dalším zlepšením marže i zisku, dokazují, že transformace společnosti </w:t>
      </w:r>
      <w:proofErr w:type="spellStart"/>
      <w:r w:rsidRPr="00BC4B88">
        <w:rPr>
          <w:i/>
          <w:iCs/>
          <w:lang w:val="cs-CZ"/>
        </w:rPr>
        <w:t>Henkel</w:t>
      </w:r>
      <w:proofErr w:type="spellEnd"/>
      <w:r w:rsidRPr="00BC4B88">
        <w:rPr>
          <w:i/>
          <w:iCs/>
          <w:lang w:val="cs-CZ"/>
        </w:rPr>
        <w:t xml:space="preserve"> přináší výsledky. V tomto procesu budeme pokračovat, abychom dále posílili svou dlouhodobou konkurenceschopnost a připravili společnost na budoucí úspěch. Transformujeme společnost </w:t>
      </w:r>
      <w:proofErr w:type="spellStart"/>
      <w:r w:rsidRPr="00BC4B88">
        <w:rPr>
          <w:i/>
          <w:iCs/>
          <w:lang w:val="cs-CZ"/>
        </w:rPr>
        <w:t>Henkel</w:t>
      </w:r>
      <w:proofErr w:type="spellEnd"/>
      <w:r w:rsidRPr="00BC4B88">
        <w:rPr>
          <w:i/>
          <w:iCs/>
          <w:lang w:val="cs-CZ"/>
        </w:rPr>
        <w:t xml:space="preserve"> pro úspěšnou budoucnost a díky jasné strategii jsme pevně na cestě k dalšímu růstu zisku,“</w:t>
      </w:r>
      <w:r w:rsidRPr="008B0F72">
        <w:rPr>
          <w:lang w:val="cs-CZ"/>
        </w:rPr>
        <w:t xml:space="preserve"> uvedl </w:t>
      </w:r>
      <w:proofErr w:type="spellStart"/>
      <w:r w:rsidRPr="008B0F72">
        <w:rPr>
          <w:lang w:val="cs-CZ"/>
        </w:rPr>
        <w:t>Carsten</w:t>
      </w:r>
      <w:proofErr w:type="spellEnd"/>
      <w:r w:rsidRPr="008B0F72">
        <w:rPr>
          <w:lang w:val="cs-CZ"/>
        </w:rPr>
        <w:t xml:space="preserve"> </w:t>
      </w:r>
      <w:proofErr w:type="spellStart"/>
      <w:r w:rsidRPr="008B0F72">
        <w:rPr>
          <w:lang w:val="cs-CZ"/>
        </w:rPr>
        <w:t>Knobel</w:t>
      </w:r>
      <w:proofErr w:type="spellEnd"/>
      <w:r w:rsidRPr="008B0F72">
        <w:rPr>
          <w:lang w:val="cs-CZ"/>
        </w:rPr>
        <w:t>.</w:t>
      </w:r>
    </w:p>
    <w:p w14:paraId="7178C33E" w14:textId="77777777" w:rsidR="00F75919" w:rsidRDefault="00F75919" w:rsidP="002F7A23">
      <w:pPr>
        <w:rPr>
          <w:rStyle w:val="Headline"/>
          <w:lang w:val="sk-SK"/>
        </w:rPr>
      </w:pPr>
    </w:p>
    <w:p w14:paraId="7DD4D096" w14:textId="77777777" w:rsidR="00F75919" w:rsidRDefault="00F75919" w:rsidP="002F7A23">
      <w:pPr>
        <w:rPr>
          <w:rStyle w:val="Headline"/>
          <w:lang w:val="sk-SK"/>
        </w:rPr>
      </w:pPr>
    </w:p>
    <w:p w14:paraId="76CCC920" w14:textId="40E72074" w:rsidR="005D6168" w:rsidRPr="005D6168" w:rsidRDefault="005D6168" w:rsidP="002F7A23">
      <w:pPr>
        <w:rPr>
          <w:b/>
          <w:bCs/>
          <w:sz w:val="18"/>
          <w:szCs w:val="18"/>
          <w:lang w:val="cs-CZ" w:bidi="bo-CN"/>
        </w:rPr>
      </w:pPr>
      <w:r w:rsidRPr="005D6168">
        <w:rPr>
          <w:b/>
          <w:bCs/>
          <w:sz w:val="18"/>
          <w:szCs w:val="18"/>
          <w:lang w:val="cs-CZ" w:bidi="bo-CN"/>
        </w:rPr>
        <w:t xml:space="preserve">O společnosti </w:t>
      </w:r>
      <w:proofErr w:type="spellStart"/>
      <w:r w:rsidRPr="005D6168">
        <w:rPr>
          <w:b/>
          <w:bCs/>
          <w:sz w:val="18"/>
          <w:szCs w:val="18"/>
          <w:lang w:val="cs-CZ" w:bidi="bo-CN"/>
        </w:rPr>
        <w:t>Henkel</w:t>
      </w:r>
      <w:proofErr w:type="spellEnd"/>
    </w:p>
    <w:p w14:paraId="412A7FD0" w14:textId="68D74FE1" w:rsidR="00052FBA" w:rsidRDefault="00052FBA" w:rsidP="002F7A23">
      <w:pPr>
        <w:rPr>
          <w:sz w:val="18"/>
          <w:szCs w:val="18"/>
          <w:lang w:val="cs-CZ" w:bidi="bo-CN"/>
        </w:rPr>
      </w:pPr>
      <w:r w:rsidRPr="00052FBA">
        <w:rPr>
          <w:sz w:val="18"/>
          <w:szCs w:val="18"/>
          <w:lang w:val="cs-CZ" w:bidi="bo-CN"/>
        </w:rPr>
        <w:t xml:space="preserve">Společnost </w:t>
      </w:r>
      <w:proofErr w:type="spellStart"/>
      <w:r w:rsidRPr="00052FBA">
        <w:rPr>
          <w:sz w:val="18"/>
          <w:szCs w:val="18"/>
          <w:lang w:val="cs-CZ" w:bidi="bo-CN"/>
        </w:rPr>
        <w:t>Henkel</w:t>
      </w:r>
      <w:proofErr w:type="spellEnd"/>
      <w:r w:rsidRPr="00052FBA">
        <w:rPr>
          <w:sz w:val="18"/>
          <w:szCs w:val="18"/>
          <w:lang w:val="cs-CZ" w:bidi="bo-CN"/>
        </w:rPr>
        <w:t xml:space="preserve"> se svými značkami, inovacemi a technologiemi zaujímá vedoucí pozice na světových trzích v průmyslovém i spotřebitelském segmentu. Divize </w:t>
      </w:r>
      <w:proofErr w:type="spellStart"/>
      <w:r w:rsidRPr="00052FBA">
        <w:rPr>
          <w:sz w:val="18"/>
          <w:szCs w:val="18"/>
          <w:lang w:val="cs-CZ" w:bidi="bo-CN"/>
        </w:rPr>
        <w:t>Adhesive</w:t>
      </w:r>
      <w:proofErr w:type="spellEnd"/>
      <w:r w:rsidRPr="00052FBA">
        <w:rPr>
          <w:sz w:val="18"/>
          <w:szCs w:val="18"/>
          <w:lang w:val="cs-CZ" w:bidi="bo-CN"/>
        </w:rPr>
        <w:t xml:space="preserve"> Technologies je globálním lídrem na trhu lepidel, tmelů a povrchových úprav. Prostřednictvím divize </w:t>
      </w:r>
      <w:proofErr w:type="spellStart"/>
      <w:r w:rsidRPr="00052FBA">
        <w:rPr>
          <w:sz w:val="18"/>
          <w:szCs w:val="18"/>
          <w:lang w:val="cs-CZ" w:bidi="bo-CN"/>
        </w:rPr>
        <w:t>Consumer</w:t>
      </w:r>
      <w:proofErr w:type="spellEnd"/>
      <w:r w:rsidRPr="00052FBA">
        <w:rPr>
          <w:sz w:val="18"/>
          <w:szCs w:val="18"/>
          <w:lang w:val="cs-CZ" w:bidi="bo-CN"/>
        </w:rPr>
        <w:t xml:space="preserve"> </w:t>
      </w:r>
      <w:proofErr w:type="spellStart"/>
      <w:r w:rsidRPr="00052FBA">
        <w:rPr>
          <w:sz w:val="18"/>
          <w:szCs w:val="18"/>
          <w:lang w:val="cs-CZ" w:bidi="bo-CN"/>
        </w:rPr>
        <w:t>Brands</w:t>
      </w:r>
      <w:proofErr w:type="spellEnd"/>
      <w:r w:rsidRPr="00052FBA">
        <w:rPr>
          <w:sz w:val="18"/>
          <w:szCs w:val="18"/>
          <w:lang w:val="cs-CZ" w:bidi="bo-CN"/>
        </w:rPr>
        <w:t xml:space="preserve"> společnost zaujímá vedoucí pozice zejména v oblastech pracích a čisticích prostředků pro domácnost a vlasové kosmetiky na mnoha trzích a v různých kategoriích po celém světě. Tři nejsilnější značky společnosti jsou </w:t>
      </w:r>
      <w:proofErr w:type="spellStart"/>
      <w:r w:rsidRPr="00052FBA">
        <w:rPr>
          <w:sz w:val="18"/>
          <w:szCs w:val="18"/>
          <w:lang w:val="cs-CZ" w:bidi="bo-CN"/>
        </w:rPr>
        <w:t>Loctite</w:t>
      </w:r>
      <w:proofErr w:type="spellEnd"/>
      <w:r w:rsidRPr="00052FBA">
        <w:rPr>
          <w:sz w:val="18"/>
          <w:szCs w:val="18"/>
          <w:lang w:val="cs-CZ" w:bidi="bo-CN"/>
        </w:rPr>
        <w:t xml:space="preserve">, </w:t>
      </w:r>
      <w:proofErr w:type="spellStart"/>
      <w:r w:rsidRPr="00052FBA">
        <w:rPr>
          <w:sz w:val="18"/>
          <w:szCs w:val="18"/>
          <w:lang w:val="cs-CZ" w:bidi="bo-CN"/>
        </w:rPr>
        <w:t>Persil</w:t>
      </w:r>
      <w:proofErr w:type="spellEnd"/>
      <w:r w:rsidRPr="00052FBA">
        <w:rPr>
          <w:sz w:val="18"/>
          <w:szCs w:val="18"/>
          <w:lang w:val="cs-CZ" w:bidi="bo-CN"/>
        </w:rPr>
        <w:t xml:space="preserve"> a </w:t>
      </w:r>
      <w:proofErr w:type="spellStart"/>
      <w:r w:rsidRPr="00052FBA">
        <w:rPr>
          <w:sz w:val="18"/>
          <w:szCs w:val="18"/>
          <w:lang w:val="cs-CZ" w:bidi="bo-CN"/>
        </w:rPr>
        <w:t>Schwarzkopf</w:t>
      </w:r>
      <w:proofErr w:type="spellEnd"/>
      <w:r w:rsidRPr="00052FBA">
        <w:rPr>
          <w:sz w:val="18"/>
          <w:szCs w:val="18"/>
          <w:lang w:val="cs-CZ" w:bidi="bo-CN"/>
        </w:rPr>
        <w:t xml:space="preserve">. V hospodářském roce 2025 společnost </w:t>
      </w:r>
      <w:proofErr w:type="spellStart"/>
      <w:r w:rsidRPr="00052FBA">
        <w:rPr>
          <w:sz w:val="18"/>
          <w:szCs w:val="18"/>
          <w:lang w:val="cs-CZ" w:bidi="bo-CN"/>
        </w:rPr>
        <w:t>Henkel</w:t>
      </w:r>
      <w:proofErr w:type="spellEnd"/>
      <w:r w:rsidRPr="00052FBA">
        <w:rPr>
          <w:sz w:val="18"/>
          <w:szCs w:val="18"/>
          <w:lang w:val="cs-CZ" w:bidi="bo-CN"/>
        </w:rPr>
        <w:t xml:space="preserve"> vykázala tržby ve výši přibližně 20,5 miliardy eur a upravený provozní zisk přibližně 3,0 miliardy eur. Prioritní akcie společnosti </w:t>
      </w:r>
      <w:proofErr w:type="spellStart"/>
      <w:r w:rsidRPr="00052FBA">
        <w:rPr>
          <w:sz w:val="18"/>
          <w:szCs w:val="18"/>
          <w:lang w:val="cs-CZ" w:bidi="bo-CN"/>
        </w:rPr>
        <w:t>Henkel</w:t>
      </w:r>
      <w:proofErr w:type="spellEnd"/>
      <w:r w:rsidRPr="00052FBA">
        <w:rPr>
          <w:sz w:val="18"/>
          <w:szCs w:val="18"/>
          <w:lang w:val="cs-CZ" w:bidi="bo-CN"/>
        </w:rPr>
        <w:t xml:space="preserve"> jsou kótovány v německém akciovém indexu DAX. Udržitelnost má ve společnosti </w:t>
      </w:r>
      <w:proofErr w:type="spellStart"/>
      <w:r w:rsidRPr="00052FBA">
        <w:rPr>
          <w:sz w:val="18"/>
          <w:szCs w:val="18"/>
          <w:lang w:val="cs-CZ" w:bidi="bo-CN"/>
        </w:rPr>
        <w:t>Henkel</w:t>
      </w:r>
      <w:proofErr w:type="spellEnd"/>
      <w:r w:rsidRPr="00052FBA">
        <w:rPr>
          <w:sz w:val="18"/>
          <w:szCs w:val="18"/>
          <w:lang w:val="cs-CZ" w:bidi="bo-CN"/>
        </w:rPr>
        <w:t xml:space="preserve"> dlouhou tradici a firma má jasně definovanou strategii udržitelnosti s konkrétními cíli. Společnost </w:t>
      </w:r>
      <w:proofErr w:type="spellStart"/>
      <w:r w:rsidRPr="00052FBA">
        <w:rPr>
          <w:sz w:val="18"/>
          <w:szCs w:val="18"/>
          <w:lang w:val="cs-CZ" w:bidi="bo-CN"/>
        </w:rPr>
        <w:t>Henkel</w:t>
      </w:r>
      <w:proofErr w:type="spellEnd"/>
      <w:r w:rsidRPr="00052FBA">
        <w:rPr>
          <w:sz w:val="18"/>
          <w:szCs w:val="18"/>
          <w:lang w:val="cs-CZ" w:bidi="bo-CN"/>
        </w:rPr>
        <w:t xml:space="preserve"> byla založena v roce 1876 a dnes zaměstnává rozmanitý tým přibližně </w:t>
      </w:r>
      <w:r w:rsidR="00F7761D">
        <w:rPr>
          <w:sz w:val="18"/>
          <w:szCs w:val="18"/>
          <w:lang w:val="cs-CZ" w:bidi="bo-CN"/>
        </w:rPr>
        <w:t>50</w:t>
      </w:r>
      <w:r w:rsidRPr="00052FBA">
        <w:rPr>
          <w:sz w:val="18"/>
          <w:szCs w:val="18"/>
          <w:lang w:val="cs-CZ" w:bidi="bo-CN"/>
        </w:rPr>
        <w:t xml:space="preserve"> 000 lidí po celém světě – spojených silnou firemní kulturou, společnými hodnotami a společným posláním: „Průkopníci srdcem pro dobro budoucích generací.“ </w:t>
      </w:r>
      <w:proofErr w:type="spellStart"/>
      <w:r w:rsidRPr="00052FBA">
        <w:rPr>
          <w:sz w:val="18"/>
          <w:szCs w:val="18"/>
          <w:lang w:val="pl-PL" w:bidi="bo-CN"/>
        </w:rPr>
        <w:t>Více</w:t>
      </w:r>
      <w:proofErr w:type="spellEnd"/>
      <w:r w:rsidRPr="00052FBA">
        <w:rPr>
          <w:sz w:val="18"/>
          <w:szCs w:val="18"/>
          <w:lang w:val="pl-PL" w:bidi="bo-CN"/>
        </w:rPr>
        <w:t xml:space="preserve"> </w:t>
      </w:r>
      <w:proofErr w:type="spellStart"/>
      <w:r w:rsidRPr="00052FBA">
        <w:rPr>
          <w:sz w:val="18"/>
          <w:szCs w:val="18"/>
          <w:lang w:val="pl-PL" w:bidi="bo-CN"/>
        </w:rPr>
        <w:t>informací</w:t>
      </w:r>
      <w:proofErr w:type="spellEnd"/>
      <w:r w:rsidRPr="00052FBA">
        <w:rPr>
          <w:sz w:val="18"/>
          <w:szCs w:val="18"/>
          <w:lang w:val="pl-PL" w:bidi="bo-CN"/>
        </w:rPr>
        <w:t xml:space="preserve"> </w:t>
      </w:r>
      <w:proofErr w:type="spellStart"/>
      <w:r w:rsidRPr="00052FBA">
        <w:rPr>
          <w:sz w:val="18"/>
          <w:szCs w:val="18"/>
          <w:lang w:val="pl-PL" w:bidi="bo-CN"/>
        </w:rPr>
        <w:t>naleznete</w:t>
      </w:r>
      <w:proofErr w:type="spellEnd"/>
      <w:r w:rsidRPr="00052FBA">
        <w:rPr>
          <w:sz w:val="18"/>
          <w:szCs w:val="18"/>
          <w:lang w:val="pl-PL" w:bidi="bo-CN"/>
        </w:rPr>
        <w:t xml:space="preserve"> na </w:t>
      </w:r>
      <w:hyperlink r:id="rId10" w:tgtFrame="_new" w:history="1">
        <w:r w:rsidRPr="00052FBA">
          <w:rPr>
            <w:rStyle w:val="Hypertextovprepojenie"/>
            <w:sz w:val="18"/>
            <w:szCs w:val="18"/>
            <w:lang w:val="pl-PL" w:bidi="bo-CN"/>
          </w:rPr>
          <w:t>www.henkel.com</w:t>
        </w:r>
      </w:hyperlink>
      <w:r w:rsidRPr="00052FBA">
        <w:rPr>
          <w:sz w:val="18"/>
          <w:szCs w:val="18"/>
          <w:lang w:val="pl-PL" w:bidi="bo-CN"/>
        </w:rPr>
        <w:t>.</w:t>
      </w:r>
    </w:p>
    <w:p w14:paraId="4F4668BC" w14:textId="77777777" w:rsidR="005D6168" w:rsidRPr="00B71239" w:rsidRDefault="005D6168" w:rsidP="002F7A23">
      <w:pPr>
        <w:rPr>
          <w:rFonts w:asciiTheme="majorHAnsi" w:hAnsiTheme="majorHAnsi" w:cstheme="majorHAnsi"/>
          <w:sz w:val="18"/>
          <w:szCs w:val="18"/>
          <w:lang w:val="sk-SK"/>
        </w:rPr>
      </w:pPr>
    </w:p>
    <w:p w14:paraId="5010685E" w14:textId="77777777" w:rsidR="003B16A3" w:rsidRPr="00A110E3" w:rsidRDefault="003B16A3" w:rsidP="001815FA">
      <w:pPr>
        <w:tabs>
          <w:tab w:val="left" w:pos="8222"/>
        </w:tabs>
        <w:rPr>
          <w:sz w:val="18"/>
          <w:szCs w:val="18"/>
          <w:lang w:val="cs-CZ"/>
        </w:rPr>
      </w:pPr>
    </w:p>
    <w:p w14:paraId="1466B3D3" w14:textId="77777777" w:rsidR="00A110E3" w:rsidRPr="00A110E3" w:rsidRDefault="00A110E3" w:rsidP="00A110E3">
      <w:pPr>
        <w:rPr>
          <w:rStyle w:val="AboutandContactHeadline"/>
          <w:lang w:val="cs-CZ"/>
        </w:rPr>
      </w:pPr>
      <w:r w:rsidRPr="00A110E3">
        <w:rPr>
          <w:rStyle w:val="AboutandContactHeadline"/>
          <w:lang w:val="cs-CZ"/>
        </w:rPr>
        <w:t xml:space="preserve">Kontakt  </w:t>
      </w:r>
    </w:p>
    <w:p w14:paraId="430D742D" w14:textId="77777777" w:rsidR="00A110E3" w:rsidRPr="00A110E3" w:rsidRDefault="00A110E3" w:rsidP="00A110E3">
      <w:pPr>
        <w:rPr>
          <w:rStyle w:val="AboutandContactHeadline"/>
          <w:b w:val="0"/>
          <w:bCs w:val="0"/>
          <w:lang w:val="cs-CZ"/>
        </w:rPr>
      </w:pPr>
      <w:r w:rsidRPr="00A110E3">
        <w:rPr>
          <w:rStyle w:val="AboutandContactHeadline"/>
          <w:b w:val="0"/>
          <w:bCs w:val="0"/>
          <w:lang w:val="cs-CZ"/>
        </w:rPr>
        <w:t xml:space="preserve">Zuzana </w:t>
      </w:r>
      <w:proofErr w:type="spellStart"/>
      <w:r w:rsidRPr="00A110E3">
        <w:rPr>
          <w:rStyle w:val="AboutandContactHeadline"/>
          <w:b w:val="0"/>
          <w:bCs w:val="0"/>
          <w:lang w:val="cs-CZ"/>
        </w:rPr>
        <w:t>Kaňuchová</w:t>
      </w:r>
      <w:proofErr w:type="spellEnd"/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</w:p>
    <w:p w14:paraId="762EC9F8" w14:textId="53C06A30" w:rsidR="00A110E3" w:rsidRDefault="00A110E3" w:rsidP="00A110E3">
      <w:pPr>
        <w:rPr>
          <w:rStyle w:val="AboutandContactHeadline"/>
          <w:b w:val="0"/>
          <w:bCs w:val="0"/>
          <w:lang w:val="cs-CZ"/>
        </w:rPr>
      </w:pPr>
      <w:r w:rsidRPr="00A110E3">
        <w:rPr>
          <w:rStyle w:val="AboutandContactHeadline"/>
          <w:b w:val="0"/>
          <w:bCs w:val="0"/>
          <w:lang w:val="cs-CZ"/>
        </w:rPr>
        <w:t>Ředitelka korporátní komunikace</w:t>
      </w:r>
      <w:r w:rsidR="00AF0067">
        <w:rPr>
          <w:rStyle w:val="AboutandContactHeadline"/>
          <w:b w:val="0"/>
          <w:bCs w:val="0"/>
          <w:lang w:val="cs-CZ"/>
        </w:rPr>
        <w:t xml:space="preserve"> CEE</w:t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</w:p>
    <w:p w14:paraId="7C07374F" w14:textId="77777777" w:rsidR="00A110E3" w:rsidRPr="00A110E3" w:rsidRDefault="00A110E3" w:rsidP="00A110E3">
      <w:pPr>
        <w:rPr>
          <w:rStyle w:val="AboutandContactHeadline"/>
          <w:b w:val="0"/>
          <w:bCs w:val="0"/>
          <w:lang w:val="cs-CZ"/>
        </w:rPr>
      </w:pPr>
    </w:p>
    <w:p w14:paraId="3BE1DA98" w14:textId="20CF90E9" w:rsidR="00A110E3" w:rsidRPr="00A110E3" w:rsidRDefault="00A110E3" w:rsidP="00A110E3">
      <w:pPr>
        <w:rPr>
          <w:rStyle w:val="AboutandContactHeadline"/>
          <w:b w:val="0"/>
          <w:bCs w:val="0"/>
          <w:lang w:val="cs-CZ"/>
        </w:rPr>
      </w:pPr>
      <w:r w:rsidRPr="00A110E3">
        <w:rPr>
          <w:rStyle w:val="AboutandContactHeadline"/>
          <w:b w:val="0"/>
          <w:bCs w:val="0"/>
          <w:lang w:val="cs-CZ"/>
        </w:rPr>
        <w:t>Telef</w:t>
      </w:r>
      <w:r w:rsidR="00A070EE">
        <w:rPr>
          <w:rStyle w:val="AboutandContactHeadline"/>
          <w:b w:val="0"/>
          <w:bCs w:val="0"/>
          <w:lang w:val="cs-CZ"/>
        </w:rPr>
        <w:t>o</w:t>
      </w:r>
      <w:r w:rsidRPr="00A110E3">
        <w:rPr>
          <w:rStyle w:val="AboutandContactHeadline"/>
          <w:b w:val="0"/>
          <w:bCs w:val="0"/>
          <w:lang w:val="cs-CZ"/>
        </w:rPr>
        <w:t>n: +421 917 160 597</w:t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  <w:r w:rsidRPr="00A110E3">
        <w:rPr>
          <w:rStyle w:val="AboutandContactHeadline"/>
          <w:b w:val="0"/>
          <w:bCs w:val="0"/>
          <w:lang w:val="cs-CZ"/>
        </w:rPr>
        <w:tab/>
      </w:r>
    </w:p>
    <w:p w14:paraId="628BCDA9" w14:textId="7ECC954A" w:rsidR="00A110E3" w:rsidRPr="00A110E3" w:rsidRDefault="00A110E3" w:rsidP="00A110E3">
      <w:pPr>
        <w:rPr>
          <w:rStyle w:val="AboutandContactHeadline"/>
          <w:b w:val="0"/>
          <w:bCs w:val="0"/>
          <w:lang w:val="cs-CZ"/>
        </w:rPr>
      </w:pPr>
      <w:r w:rsidRPr="00A110E3">
        <w:rPr>
          <w:rStyle w:val="AboutandContactHeadline"/>
          <w:b w:val="0"/>
          <w:bCs w:val="0"/>
          <w:lang w:val="cs-CZ"/>
        </w:rPr>
        <w:t>E-mail:</w:t>
      </w:r>
      <w:r>
        <w:rPr>
          <w:rStyle w:val="AboutandContactHeadline"/>
          <w:b w:val="0"/>
          <w:bCs w:val="0"/>
          <w:lang w:val="cs-CZ"/>
        </w:rPr>
        <w:t xml:space="preserve"> </w:t>
      </w:r>
      <w:hyperlink r:id="rId11" w:history="1">
        <w:r w:rsidRPr="005B6D31">
          <w:rPr>
            <w:rStyle w:val="Hypertextovprepojenie"/>
            <w:sz w:val="18"/>
            <w:szCs w:val="18"/>
            <w:lang w:val="cs-CZ"/>
          </w:rPr>
          <w:t>zuzana.kanuchova@henkel.com</w:t>
        </w:r>
      </w:hyperlink>
    </w:p>
    <w:p w14:paraId="51AA2505" w14:textId="39C6A2F7" w:rsidR="005742B4" w:rsidRPr="00A110E3" w:rsidRDefault="005742B4" w:rsidP="00A110E3">
      <w:pPr>
        <w:rPr>
          <w:lang w:val="cs-CZ"/>
        </w:rPr>
      </w:pPr>
    </w:p>
    <w:sectPr w:rsidR="005742B4" w:rsidRPr="00A110E3">
      <w:footerReference w:type="default" r:id="rId12"/>
      <w:headerReference w:type="first" r:id="rId13"/>
      <w:footerReference w:type="first" r:id="rId14"/>
      <w:pgSz w:w="11900" w:h="16840"/>
      <w:pgMar w:top="1944" w:right="1411" w:bottom="1987" w:left="1411" w:header="1253" w:footer="9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AFAF0" w14:textId="77777777" w:rsidR="00CF2494" w:rsidRDefault="00CF2494">
      <w:pPr>
        <w:spacing w:line="240" w:lineRule="auto"/>
      </w:pPr>
      <w:r>
        <w:separator/>
      </w:r>
    </w:p>
  </w:endnote>
  <w:endnote w:type="continuationSeparator" w:id="0">
    <w:p w14:paraId="424D0FFC" w14:textId="77777777" w:rsidR="00CF2494" w:rsidRDefault="00CF2494">
      <w:pPr>
        <w:spacing w:line="240" w:lineRule="auto"/>
      </w:pPr>
      <w:r>
        <w:continuationSeparator/>
      </w:r>
    </w:p>
  </w:endnote>
  <w:endnote w:type="continuationNotice" w:id="1">
    <w:p w14:paraId="24AB08C4" w14:textId="77777777" w:rsidR="00CF2494" w:rsidRDefault="00CF24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2507" w14:textId="67D7FC71" w:rsidR="005742B4" w:rsidRDefault="007D354B">
    <w:pPr>
      <w:pStyle w:val="Pta"/>
      <w:tabs>
        <w:tab w:val="clear" w:pos="7083"/>
        <w:tab w:val="clear" w:pos="8640"/>
        <w:tab w:val="right" w:pos="9058"/>
      </w:tabs>
      <w:jc w:val="both"/>
    </w:pPr>
    <w:r>
      <w:rPr>
        <w:lang w:val="da-DK"/>
      </w:rPr>
      <w:t>Henkel AG &amp; Co. KGaA</w:t>
    </w:r>
    <w:r>
      <w:rPr>
        <w:lang w:val="da-DK"/>
      </w:rP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31201">
      <w:rPr>
        <w:noProof/>
      </w:rPr>
      <w:t>2</w:t>
    </w:r>
    <w:r>
      <w:fldChar w:fldCharType="end"/>
    </w:r>
    <w:r>
      <w:t>/</w:t>
    </w:r>
    <w:r w:rsidR="00031201">
      <w:fldChar w:fldCharType="begin"/>
    </w:r>
    <w:r w:rsidR="00031201">
      <w:instrText xml:space="preserve"> NUMPAGES </w:instrText>
    </w:r>
    <w:r w:rsidR="00031201">
      <w:fldChar w:fldCharType="separate"/>
    </w:r>
    <w:r w:rsidR="00031201">
      <w:rPr>
        <w:noProof/>
      </w:rPr>
      <w:t>2</w:t>
    </w:r>
    <w:r w:rsidR="0003120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2509" w14:textId="4149466C" w:rsidR="005742B4" w:rsidRDefault="004D74B9">
    <w:pPr>
      <w:pStyle w:val="Pta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B270117" wp14:editId="34EE21FB">
          <wp:simplePos x="0" y="0"/>
          <wp:positionH relativeFrom="margin">
            <wp:posOffset>-274320</wp:posOffset>
          </wp:positionH>
          <wp:positionV relativeFrom="paragraph">
            <wp:posOffset>-406400</wp:posOffset>
          </wp:positionV>
          <wp:extent cx="6212205" cy="387350"/>
          <wp:effectExtent l="0" t="0" r="0" b="0"/>
          <wp:wrapTight wrapText="bothSides">
            <wp:wrapPolygon edited="0">
              <wp:start x="0" y="0"/>
              <wp:lineTo x="0" y="20184"/>
              <wp:lineTo x="21527" y="20184"/>
              <wp:lineTo x="21527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2205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Strana</w:t>
    </w:r>
    <w:r w:rsidR="007D354B">
      <w:rPr>
        <w:lang w:val="da-DK"/>
      </w:rPr>
      <w:t xml:space="preserve"> </w:t>
    </w:r>
    <w:r w:rsidR="007D354B">
      <w:fldChar w:fldCharType="begin"/>
    </w:r>
    <w:r w:rsidR="007D354B">
      <w:instrText xml:space="preserve"> PAGE </w:instrText>
    </w:r>
    <w:r w:rsidR="007D354B">
      <w:fldChar w:fldCharType="separate"/>
    </w:r>
    <w:r w:rsidR="00031201">
      <w:rPr>
        <w:noProof/>
      </w:rPr>
      <w:t>1</w:t>
    </w:r>
    <w:r w:rsidR="007D354B">
      <w:fldChar w:fldCharType="end"/>
    </w:r>
    <w:r w:rsidR="007D354B">
      <w:t>/</w:t>
    </w:r>
    <w:r w:rsidR="00031201">
      <w:fldChar w:fldCharType="begin"/>
    </w:r>
    <w:r w:rsidR="00031201">
      <w:instrText xml:space="preserve"> NUMPAGES </w:instrText>
    </w:r>
    <w:r w:rsidR="00031201">
      <w:fldChar w:fldCharType="separate"/>
    </w:r>
    <w:r w:rsidR="00031201">
      <w:rPr>
        <w:noProof/>
      </w:rPr>
      <w:t>1</w:t>
    </w:r>
    <w:r w:rsidR="0003120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BF51F" w14:textId="77777777" w:rsidR="00CF2494" w:rsidRDefault="00CF2494">
      <w:pPr>
        <w:spacing w:line="240" w:lineRule="auto"/>
      </w:pPr>
      <w:r>
        <w:separator/>
      </w:r>
    </w:p>
  </w:footnote>
  <w:footnote w:type="continuationSeparator" w:id="0">
    <w:p w14:paraId="06C22031" w14:textId="77777777" w:rsidR="00CF2494" w:rsidRDefault="00CF2494">
      <w:pPr>
        <w:spacing w:line="240" w:lineRule="auto"/>
      </w:pPr>
      <w:r>
        <w:continuationSeparator/>
      </w:r>
    </w:p>
  </w:footnote>
  <w:footnote w:type="continuationNotice" w:id="1">
    <w:p w14:paraId="6938098B" w14:textId="77777777" w:rsidR="00CF2494" w:rsidRDefault="00CF2494">
      <w:pPr>
        <w:spacing w:line="240" w:lineRule="auto"/>
      </w:pPr>
    </w:p>
  </w:footnote>
  <w:footnote w:id="2">
    <w:p w14:paraId="0C1A9B62" w14:textId="77777777" w:rsidR="008B0F72" w:rsidRDefault="008B0F72" w:rsidP="008B0F72">
      <w:pPr>
        <w:pStyle w:val="Textpoznmkypodiarou"/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Včetně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akvizice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skupiny</w:t>
      </w:r>
      <w:proofErr w:type="spellEnd"/>
      <w:r>
        <w:rPr>
          <w:sz w:val="18"/>
          <w:szCs w:val="18"/>
        </w:rPr>
        <w:t xml:space="preserve"> Stahl Group, </w:t>
      </w:r>
      <w:proofErr w:type="spellStart"/>
      <w:r>
        <w:rPr>
          <w:sz w:val="18"/>
          <w:szCs w:val="18"/>
        </w:rPr>
        <w:t>která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dosud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nebyla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dokončena</w:t>
      </w:r>
      <w:proofErr w:type="spellEnd"/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2508" w14:textId="56475F99" w:rsidR="005742B4" w:rsidRPr="00251645" w:rsidRDefault="007D354B">
    <w:pPr>
      <w:pStyle w:val="Hlavika"/>
      <w:tabs>
        <w:tab w:val="clear" w:pos="9356"/>
        <w:tab w:val="right" w:pos="9058"/>
      </w:tabs>
      <w:rPr>
        <w:lang w:val="cs-CZ"/>
      </w:rPr>
    </w:pPr>
    <w:r w:rsidRPr="00251645">
      <w:rPr>
        <w:noProof/>
        <w:lang w:val="cs-CZ"/>
      </w:rPr>
      <w:drawing>
        <wp:anchor distT="152400" distB="152400" distL="152400" distR="152400" simplePos="0" relativeHeight="251658240" behindDoc="1" locked="0" layoutInCell="1" allowOverlap="1" wp14:anchorId="51AA250A" wp14:editId="4F3A163F">
          <wp:simplePos x="0" y="0"/>
          <wp:positionH relativeFrom="page">
            <wp:posOffset>5572760</wp:posOffset>
          </wp:positionH>
          <wp:positionV relativeFrom="page">
            <wp:posOffset>892175</wp:posOffset>
          </wp:positionV>
          <wp:extent cx="1051560" cy="603250"/>
          <wp:effectExtent l="0" t="0" r="0" b="0"/>
          <wp:wrapNone/>
          <wp:docPr id="1073741825" name="officeArt object" descr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6" descr="Picture 26"/>
                  <pic:cNvPicPr>
                    <a:picLocks noChangeAspect="1"/>
                  </pic:cNvPicPr>
                </pic:nvPicPr>
                <pic:blipFill>
                  <a:blip r:embed="rId1"/>
                  <a:srcRect l="4736" t="10539" r="5063" b="12549"/>
                  <a:stretch>
                    <a:fillRect/>
                  </a:stretch>
                </pic:blipFill>
                <pic:spPr>
                  <a:xfrm>
                    <a:off x="0" y="0"/>
                    <a:ext cx="1051560" cy="6032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9283E" w:rsidRPr="00251645">
      <w:rPr>
        <w:noProof/>
        <w:lang w:val="cs-CZ"/>
      </w:rPr>
      <w:t>Tisková</w:t>
    </w:r>
    <w:r w:rsidRPr="00251645">
      <w:rPr>
        <w:lang w:val="cs-CZ"/>
      </w:rPr>
      <w:t xml:space="preserve"> </w:t>
    </w:r>
    <w:r w:rsidR="0069283E" w:rsidRPr="00251645">
      <w:rPr>
        <w:lang w:val="cs-CZ"/>
      </w:rPr>
      <w:t>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2CC5"/>
    <w:multiLevelType w:val="hybridMultilevel"/>
    <w:tmpl w:val="5B2E87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5CB4"/>
    <w:multiLevelType w:val="hybridMultilevel"/>
    <w:tmpl w:val="3AD68A08"/>
    <w:lvl w:ilvl="0" w:tplc="2384E69A">
      <w:numFmt w:val="bullet"/>
      <w:lvlText w:val="•"/>
      <w:lvlJc w:val="left"/>
      <w:pPr>
        <w:ind w:left="720" w:hanging="360"/>
      </w:pPr>
      <w:rPr>
        <w:rFonts w:ascii="Segoe UI" w:eastAsia="Segoe UI" w:hAnsi="Segoe UI" w:cs="Segoe U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14A29"/>
    <w:multiLevelType w:val="hybridMultilevel"/>
    <w:tmpl w:val="0368E5DE"/>
    <w:numStyleLink w:val="Importovantl1"/>
  </w:abstractNum>
  <w:abstractNum w:abstractNumId="3" w15:restartNumberingAfterBreak="0">
    <w:nsid w:val="453B34B0"/>
    <w:multiLevelType w:val="hybridMultilevel"/>
    <w:tmpl w:val="0368E5DE"/>
    <w:styleLink w:val="Importovantl1"/>
    <w:lvl w:ilvl="0" w:tplc="1542D0E0">
      <w:start w:val="1"/>
      <w:numFmt w:val="bullet"/>
      <w:lvlText w:val="▪"/>
      <w:lvlJc w:val="left"/>
      <w:pPr>
        <w:ind w:left="3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E1000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AF5CD468">
      <w:start w:val="1"/>
      <w:numFmt w:val="bullet"/>
      <w:lvlText w:val="-"/>
      <w:lvlJc w:val="left"/>
      <w:pPr>
        <w:ind w:left="70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2" w:tplc="58C610E0">
      <w:start w:val="1"/>
      <w:numFmt w:val="bullet"/>
      <w:lvlText w:val="▪"/>
      <w:lvlJc w:val="left"/>
      <w:pPr>
        <w:tabs>
          <w:tab w:val="left" w:pos="702"/>
        </w:tabs>
        <w:ind w:left="142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3" w:tplc="C696038C">
      <w:start w:val="1"/>
      <w:numFmt w:val="bullet"/>
      <w:lvlText w:val="•"/>
      <w:lvlJc w:val="left"/>
      <w:pPr>
        <w:tabs>
          <w:tab w:val="left" w:pos="702"/>
        </w:tabs>
        <w:ind w:left="214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4" w:tplc="6BA4CEEE">
      <w:start w:val="1"/>
      <w:numFmt w:val="bullet"/>
      <w:lvlText w:val="o"/>
      <w:lvlJc w:val="left"/>
      <w:pPr>
        <w:tabs>
          <w:tab w:val="left" w:pos="702"/>
        </w:tabs>
        <w:ind w:left="286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5" w:tplc="3D543E58">
      <w:start w:val="1"/>
      <w:numFmt w:val="bullet"/>
      <w:lvlText w:val="▪"/>
      <w:lvlJc w:val="left"/>
      <w:pPr>
        <w:tabs>
          <w:tab w:val="left" w:pos="702"/>
        </w:tabs>
        <w:ind w:left="358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6" w:tplc="16D8DE24">
      <w:start w:val="1"/>
      <w:numFmt w:val="bullet"/>
      <w:lvlText w:val="•"/>
      <w:lvlJc w:val="left"/>
      <w:pPr>
        <w:tabs>
          <w:tab w:val="left" w:pos="702"/>
        </w:tabs>
        <w:ind w:left="430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7" w:tplc="CE368492">
      <w:start w:val="1"/>
      <w:numFmt w:val="bullet"/>
      <w:lvlText w:val="o"/>
      <w:lvlJc w:val="left"/>
      <w:pPr>
        <w:tabs>
          <w:tab w:val="left" w:pos="702"/>
        </w:tabs>
        <w:ind w:left="502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8" w:tplc="6C54697A">
      <w:start w:val="1"/>
      <w:numFmt w:val="bullet"/>
      <w:lvlText w:val="▪"/>
      <w:lvlJc w:val="left"/>
      <w:pPr>
        <w:tabs>
          <w:tab w:val="left" w:pos="702"/>
        </w:tabs>
        <w:ind w:left="5742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B8E75C5"/>
    <w:multiLevelType w:val="hybridMultilevel"/>
    <w:tmpl w:val="30F823B6"/>
    <w:lvl w:ilvl="0" w:tplc="2384E69A">
      <w:numFmt w:val="bullet"/>
      <w:lvlText w:val="•"/>
      <w:lvlJc w:val="left"/>
      <w:pPr>
        <w:ind w:left="720" w:hanging="360"/>
      </w:pPr>
      <w:rPr>
        <w:rFonts w:ascii="Segoe UI" w:eastAsia="Segoe UI" w:hAnsi="Segoe UI" w:cs="Segoe U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F185D"/>
    <w:multiLevelType w:val="hybridMultilevel"/>
    <w:tmpl w:val="A300C804"/>
    <w:lvl w:ilvl="0" w:tplc="2384E69A">
      <w:numFmt w:val="bullet"/>
      <w:lvlText w:val="•"/>
      <w:lvlJc w:val="left"/>
      <w:pPr>
        <w:ind w:left="720" w:hanging="360"/>
      </w:pPr>
      <w:rPr>
        <w:rFonts w:ascii="Segoe UI" w:eastAsia="Segoe UI" w:hAnsi="Segoe UI" w:cs="Segoe U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70C2D"/>
    <w:multiLevelType w:val="hybridMultilevel"/>
    <w:tmpl w:val="7D326A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74775">
    <w:abstractNumId w:val="6"/>
  </w:num>
  <w:num w:numId="2" w16cid:durableId="1933321731">
    <w:abstractNumId w:val="0"/>
  </w:num>
  <w:num w:numId="3" w16cid:durableId="1658875628">
    <w:abstractNumId w:val="1"/>
  </w:num>
  <w:num w:numId="4" w16cid:durableId="649406992">
    <w:abstractNumId w:val="5"/>
  </w:num>
  <w:num w:numId="5" w16cid:durableId="1575124407">
    <w:abstractNumId w:val="4"/>
  </w:num>
  <w:num w:numId="6" w16cid:durableId="266233705">
    <w:abstractNumId w:val="3"/>
  </w:num>
  <w:num w:numId="7" w16cid:durableId="1934052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B4"/>
    <w:rsid w:val="00027474"/>
    <w:rsid w:val="00031201"/>
    <w:rsid w:val="0003352D"/>
    <w:rsid w:val="0004226C"/>
    <w:rsid w:val="000424BC"/>
    <w:rsid w:val="00052FBA"/>
    <w:rsid w:val="00057BCB"/>
    <w:rsid w:val="000824CC"/>
    <w:rsid w:val="000C27F2"/>
    <w:rsid w:val="000C2EDF"/>
    <w:rsid w:val="000C68C2"/>
    <w:rsid w:val="000C708A"/>
    <w:rsid w:val="001127CC"/>
    <w:rsid w:val="001166FA"/>
    <w:rsid w:val="001210EA"/>
    <w:rsid w:val="001633A4"/>
    <w:rsid w:val="001810B6"/>
    <w:rsid w:val="001815FA"/>
    <w:rsid w:val="001837B6"/>
    <w:rsid w:val="001C2600"/>
    <w:rsid w:val="002056C6"/>
    <w:rsid w:val="002267FB"/>
    <w:rsid w:val="0024668B"/>
    <w:rsid w:val="00251645"/>
    <w:rsid w:val="002570B7"/>
    <w:rsid w:val="002606AC"/>
    <w:rsid w:val="00262DEE"/>
    <w:rsid w:val="002632F8"/>
    <w:rsid w:val="00284F28"/>
    <w:rsid w:val="00292775"/>
    <w:rsid w:val="002971C7"/>
    <w:rsid w:val="002B374E"/>
    <w:rsid w:val="002C7B7A"/>
    <w:rsid w:val="002D16D1"/>
    <w:rsid w:val="002D2EB4"/>
    <w:rsid w:val="002E2580"/>
    <w:rsid w:val="002E6F4F"/>
    <w:rsid w:val="002F40A5"/>
    <w:rsid w:val="002F7A23"/>
    <w:rsid w:val="00302C24"/>
    <w:rsid w:val="0031251D"/>
    <w:rsid w:val="00380FD9"/>
    <w:rsid w:val="003B16A3"/>
    <w:rsid w:val="003B176A"/>
    <w:rsid w:val="003F0A3E"/>
    <w:rsid w:val="00401E7C"/>
    <w:rsid w:val="004234CC"/>
    <w:rsid w:val="004436A5"/>
    <w:rsid w:val="00444954"/>
    <w:rsid w:val="0044732E"/>
    <w:rsid w:val="00452BD0"/>
    <w:rsid w:val="00475F5B"/>
    <w:rsid w:val="004860A9"/>
    <w:rsid w:val="004867EE"/>
    <w:rsid w:val="0049634D"/>
    <w:rsid w:val="004A51B7"/>
    <w:rsid w:val="004D3C26"/>
    <w:rsid w:val="004D74B9"/>
    <w:rsid w:val="004E0C3C"/>
    <w:rsid w:val="004F526F"/>
    <w:rsid w:val="00510511"/>
    <w:rsid w:val="00530DB3"/>
    <w:rsid w:val="00547AEC"/>
    <w:rsid w:val="005548CC"/>
    <w:rsid w:val="00562E09"/>
    <w:rsid w:val="005742B4"/>
    <w:rsid w:val="00576D32"/>
    <w:rsid w:val="005B6D31"/>
    <w:rsid w:val="005D14CA"/>
    <w:rsid w:val="005D6168"/>
    <w:rsid w:val="005D7314"/>
    <w:rsid w:val="00613A30"/>
    <w:rsid w:val="00613F5D"/>
    <w:rsid w:val="006325A8"/>
    <w:rsid w:val="006628C7"/>
    <w:rsid w:val="00671D41"/>
    <w:rsid w:val="00685597"/>
    <w:rsid w:val="0069283E"/>
    <w:rsid w:val="006B2F83"/>
    <w:rsid w:val="006E6826"/>
    <w:rsid w:val="00703800"/>
    <w:rsid w:val="007120A4"/>
    <w:rsid w:val="007374D9"/>
    <w:rsid w:val="00751DC7"/>
    <w:rsid w:val="00752E89"/>
    <w:rsid w:val="00756362"/>
    <w:rsid w:val="00766B15"/>
    <w:rsid w:val="00785EB6"/>
    <w:rsid w:val="007B081B"/>
    <w:rsid w:val="007B51A1"/>
    <w:rsid w:val="007B5526"/>
    <w:rsid w:val="007C2E65"/>
    <w:rsid w:val="007D354B"/>
    <w:rsid w:val="007E04AF"/>
    <w:rsid w:val="007E2C18"/>
    <w:rsid w:val="007E7322"/>
    <w:rsid w:val="007F0E27"/>
    <w:rsid w:val="008113B1"/>
    <w:rsid w:val="0081285E"/>
    <w:rsid w:val="008213CE"/>
    <w:rsid w:val="00826F3B"/>
    <w:rsid w:val="00855268"/>
    <w:rsid w:val="008615FA"/>
    <w:rsid w:val="008645B0"/>
    <w:rsid w:val="00894159"/>
    <w:rsid w:val="00894ACA"/>
    <w:rsid w:val="008A000B"/>
    <w:rsid w:val="008B0F72"/>
    <w:rsid w:val="008B56CA"/>
    <w:rsid w:val="008C1B92"/>
    <w:rsid w:val="008E58B1"/>
    <w:rsid w:val="00923F3E"/>
    <w:rsid w:val="009724C8"/>
    <w:rsid w:val="0097379C"/>
    <w:rsid w:val="00983543"/>
    <w:rsid w:val="009838CB"/>
    <w:rsid w:val="00983FDF"/>
    <w:rsid w:val="0098750B"/>
    <w:rsid w:val="0099764C"/>
    <w:rsid w:val="009A3DB0"/>
    <w:rsid w:val="009D6F6D"/>
    <w:rsid w:val="009D7E04"/>
    <w:rsid w:val="00A070EE"/>
    <w:rsid w:val="00A07BEE"/>
    <w:rsid w:val="00A110E3"/>
    <w:rsid w:val="00A22F73"/>
    <w:rsid w:val="00A61100"/>
    <w:rsid w:val="00A823E6"/>
    <w:rsid w:val="00A8423C"/>
    <w:rsid w:val="00AB4F3A"/>
    <w:rsid w:val="00AD21A6"/>
    <w:rsid w:val="00AF0067"/>
    <w:rsid w:val="00B01C48"/>
    <w:rsid w:val="00B215A2"/>
    <w:rsid w:val="00B32931"/>
    <w:rsid w:val="00B36A15"/>
    <w:rsid w:val="00B92287"/>
    <w:rsid w:val="00BB0120"/>
    <w:rsid w:val="00BB5AB9"/>
    <w:rsid w:val="00BC2EAA"/>
    <w:rsid w:val="00BC4B88"/>
    <w:rsid w:val="00BE5B94"/>
    <w:rsid w:val="00BF73A6"/>
    <w:rsid w:val="00C041CE"/>
    <w:rsid w:val="00C10CB4"/>
    <w:rsid w:val="00C14D8D"/>
    <w:rsid w:val="00C23AAF"/>
    <w:rsid w:val="00C55F5A"/>
    <w:rsid w:val="00C56DDC"/>
    <w:rsid w:val="00C65781"/>
    <w:rsid w:val="00C930A3"/>
    <w:rsid w:val="00C93B8C"/>
    <w:rsid w:val="00CA5EA5"/>
    <w:rsid w:val="00CC371B"/>
    <w:rsid w:val="00CC4B03"/>
    <w:rsid w:val="00CF2494"/>
    <w:rsid w:val="00D25927"/>
    <w:rsid w:val="00D30341"/>
    <w:rsid w:val="00D35B34"/>
    <w:rsid w:val="00D50214"/>
    <w:rsid w:val="00D737FF"/>
    <w:rsid w:val="00D93517"/>
    <w:rsid w:val="00DA22C8"/>
    <w:rsid w:val="00DB288F"/>
    <w:rsid w:val="00DC71B1"/>
    <w:rsid w:val="00DE2E50"/>
    <w:rsid w:val="00E032E7"/>
    <w:rsid w:val="00E101EA"/>
    <w:rsid w:val="00E13823"/>
    <w:rsid w:val="00E35F87"/>
    <w:rsid w:val="00E4177E"/>
    <w:rsid w:val="00E653C4"/>
    <w:rsid w:val="00E832BF"/>
    <w:rsid w:val="00E86472"/>
    <w:rsid w:val="00EA4F2B"/>
    <w:rsid w:val="00EA588A"/>
    <w:rsid w:val="00EB2C3D"/>
    <w:rsid w:val="00EE77EA"/>
    <w:rsid w:val="00F1677B"/>
    <w:rsid w:val="00F35DBA"/>
    <w:rsid w:val="00F4060A"/>
    <w:rsid w:val="00F75659"/>
    <w:rsid w:val="00F75919"/>
    <w:rsid w:val="00F77073"/>
    <w:rsid w:val="00F7761D"/>
    <w:rsid w:val="00FC0105"/>
    <w:rsid w:val="00F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A24ED"/>
  <w15:docId w15:val="{B8194045-E01F-4E24-ADF0-A67C4EE4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6168"/>
    <w:pPr>
      <w:spacing w:line="276" w:lineRule="auto"/>
      <w:jc w:val="both"/>
    </w:pPr>
    <w:rPr>
      <w:rFonts w:ascii="Segoe UI" w:eastAsia="Segoe UI" w:hAnsi="Segoe UI" w:cs="Segoe UI"/>
      <w:color w:val="000000"/>
      <w:sz w:val="22"/>
      <w:szCs w:val="22"/>
      <w:u w:color="000000"/>
      <w:lang w:val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B6D3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041CE"/>
    <w:pPr>
      <w:ind w:left="720"/>
      <w:contextualSpacing/>
    </w:p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ta">
    <w:name w:val="footer"/>
    <w:pPr>
      <w:tabs>
        <w:tab w:val="right" w:pos="7083"/>
        <w:tab w:val="right" w:pos="8640"/>
      </w:tabs>
      <w:spacing w:line="180" w:lineRule="atLeast"/>
      <w:jc w:val="right"/>
    </w:pPr>
    <w:rPr>
      <w:rFonts w:ascii="Segoe UI" w:eastAsia="Segoe UI" w:hAnsi="Segoe UI" w:cs="Segoe UI"/>
      <w:color w:val="000000"/>
      <w:sz w:val="12"/>
      <w:szCs w:val="12"/>
      <w:u w:color="000000"/>
    </w:rPr>
  </w:style>
  <w:style w:type="paragraph" w:styleId="Hlavika">
    <w:name w:val="header"/>
    <w:pPr>
      <w:tabs>
        <w:tab w:val="left" w:pos="2607"/>
        <w:tab w:val="center" w:pos="4320"/>
        <w:tab w:val="right" w:pos="9356"/>
      </w:tabs>
      <w:spacing w:before="1440" w:line="100" w:lineRule="atLeast"/>
      <w:jc w:val="right"/>
    </w:pPr>
    <w:rPr>
      <w:rFonts w:ascii="Segoe UI" w:eastAsia="Segoe UI" w:hAnsi="Segoe UI" w:cs="Segoe UI"/>
      <w:b/>
      <w:bCs/>
      <w:color w:val="3E3C3C"/>
      <w:sz w:val="40"/>
      <w:szCs w:val="40"/>
      <w:u w:color="3E3C3C"/>
      <w:lang w:val="en-US"/>
    </w:rPr>
  </w:style>
  <w:style w:type="paragraph" w:customStyle="1" w:styleId="MonthDayYear">
    <w:name w:val="Month Day Year"/>
    <w:pPr>
      <w:spacing w:before="120" w:line="276" w:lineRule="auto"/>
      <w:jc w:val="right"/>
    </w:pPr>
    <w:rPr>
      <w:rFonts w:ascii="Segoe UI" w:eastAsia="Segoe UI" w:hAnsi="Segoe UI" w:cs="Segoe UI"/>
      <w:color w:val="000000"/>
      <w:sz w:val="22"/>
      <w:szCs w:val="22"/>
      <w:u w:color="000000"/>
      <w:lang w:val="en-US"/>
    </w:rPr>
  </w:style>
  <w:style w:type="paragraph" w:customStyle="1" w:styleId="Topline">
    <w:name w:val="Topline"/>
    <w:qFormat/>
    <w:pPr>
      <w:spacing w:before="560" w:after="560" w:line="276" w:lineRule="auto"/>
      <w:jc w:val="both"/>
    </w:pPr>
    <w:rPr>
      <w:rFonts w:ascii="Segoe UI" w:eastAsia="Segoe UI" w:hAnsi="Segoe UI" w:cs="Segoe UI"/>
      <w:color w:val="000000"/>
      <w:sz w:val="22"/>
      <w:szCs w:val="22"/>
      <w:u w:color="000000"/>
      <w:lang w:val="en-US"/>
    </w:rPr>
  </w:style>
  <w:style w:type="character" w:customStyle="1" w:styleId="Headline">
    <w:name w:val="Headline"/>
    <w:rPr>
      <w:rFonts w:ascii="Segoe UI" w:eastAsia="Segoe UI" w:hAnsi="Segoe UI" w:cs="Segoe UI"/>
      <w:b/>
      <w:bCs/>
      <w:sz w:val="32"/>
      <w:szCs w:val="32"/>
      <w:lang w:val="en-US"/>
    </w:rPr>
  </w:style>
  <w:style w:type="character" w:customStyle="1" w:styleId="Odkaz">
    <w:name w:val="Odkaz"/>
    <w:rPr>
      <w:rFonts w:ascii="Segoe UI" w:eastAsia="Segoe UI" w:hAnsi="Segoe UI" w:cs="Segoe UI"/>
      <w:b w:val="0"/>
      <w:bCs w:val="0"/>
      <w:i w:val="0"/>
      <w:iCs w:val="0"/>
      <w:outline w:val="0"/>
      <w:color w:val="0000FF"/>
      <w:sz w:val="18"/>
      <w:szCs w:val="18"/>
      <w:u w:val="single" w:color="0000FF"/>
    </w:rPr>
  </w:style>
  <w:style w:type="character" w:customStyle="1" w:styleId="Hyperlink0">
    <w:name w:val="Hyperlink.0"/>
    <w:basedOn w:val="Odkaz"/>
    <w:rPr>
      <w:rFonts w:ascii="Segoe UI" w:eastAsia="Segoe UI" w:hAnsi="Segoe UI" w:cs="Segoe UI"/>
      <w:b w:val="0"/>
      <w:bCs w:val="0"/>
      <w:i w:val="0"/>
      <w:iCs w:val="0"/>
      <w:outline w:val="0"/>
      <w:color w:val="000000"/>
      <w:sz w:val="18"/>
      <w:szCs w:val="18"/>
      <w:u w:val="single" w:color="000000"/>
      <w:shd w:val="clear" w:color="auto" w:fill="FFFF00"/>
      <w:lang w:val="en-US"/>
    </w:rPr>
  </w:style>
  <w:style w:type="character" w:customStyle="1" w:styleId="AboutandContactHeadline">
    <w:name w:val="About and Contact Headline"/>
    <w:rPr>
      <w:rFonts w:ascii="Segoe UI" w:eastAsia="Segoe UI" w:hAnsi="Segoe UI" w:cs="Segoe UI"/>
      <w:b/>
      <w:bCs/>
      <w:sz w:val="18"/>
      <w:szCs w:val="18"/>
    </w:rPr>
  </w:style>
  <w:style w:type="character" w:customStyle="1" w:styleId="Hyperlink1">
    <w:name w:val="Hyperlink.1"/>
    <w:basedOn w:val="Odkaz"/>
    <w:rPr>
      <w:rFonts w:ascii="Segoe UI" w:eastAsia="Segoe UI" w:hAnsi="Segoe UI" w:cs="Segoe UI"/>
      <w:b/>
      <w:bCs/>
      <w:i w:val="0"/>
      <w:iCs w:val="0"/>
      <w:outline w:val="0"/>
      <w:color w:val="0000FF"/>
      <w:sz w:val="18"/>
      <w:szCs w:val="18"/>
      <w:u w:val="single" w:color="0000FF"/>
    </w:rPr>
  </w:style>
  <w:style w:type="character" w:styleId="Nevyrieenzmienka">
    <w:name w:val="Unresolved Mention"/>
    <w:basedOn w:val="Predvolenpsmoodseku"/>
    <w:uiPriority w:val="99"/>
    <w:semiHidden/>
    <w:unhideWhenUsed/>
    <w:rsid w:val="007D354B"/>
    <w:rPr>
      <w:color w:val="605E5C"/>
      <w:shd w:val="clear" w:color="auto" w:fill="E1DFDD"/>
    </w:rPr>
  </w:style>
  <w:style w:type="character" w:customStyle="1" w:styleId="AboutandContactBody">
    <w:name w:val="About and Contact Body"/>
    <w:basedOn w:val="Predvolenpsmoodseku"/>
    <w:rsid w:val="004D3C26"/>
    <w:rPr>
      <w:rFonts w:ascii="Segoe UI" w:hAnsi="Segoe UI"/>
      <w:sz w:val="18"/>
    </w:rPr>
  </w:style>
  <w:style w:type="table" w:customStyle="1" w:styleId="TableNormal1">
    <w:name w:val="Table Normal1"/>
    <w:rsid w:val="00452B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0F72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0F72"/>
    <w:rPr>
      <w:rFonts w:ascii="Segoe UI" w:eastAsia="Segoe UI" w:hAnsi="Segoe UI" w:cs="Segoe UI"/>
      <w:color w:val="000000"/>
      <w:u w:color="000000"/>
      <w:lang w:val="en-US"/>
    </w:rPr>
  </w:style>
  <w:style w:type="numbering" w:customStyle="1" w:styleId="Importovantl1">
    <w:name w:val="Importovaný štýl 1"/>
    <w:rsid w:val="008B0F7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zuzana.kanuchova@henke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henke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enkel Theme">
  <a:themeElements>
    <a:clrScheme name="Henkel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F6973"/>
      </a:accent1>
      <a:accent2>
        <a:srgbClr val="AFB4B9"/>
      </a:accent2>
      <a:accent3>
        <a:srgbClr val="00AA75"/>
      </a:accent3>
      <a:accent4>
        <a:srgbClr val="004C79"/>
      </a:accent4>
      <a:accent5>
        <a:srgbClr val="9A141B"/>
      </a:accent5>
      <a:accent6>
        <a:srgbClr val="FFDB23"/>
      </a:accent6>
      <a:hlink>
        <a:srgbClr val="0000FF"/>
      </a:hlink>
      <a:folHlink>
        <a:srgbClr val="FF00FF"/>
      </a:folHlink>
    </a:clrScheme>
    <a:fontScheme name="Henkel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Henkel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Segoe UI"/>
            <a:ea typeface="Segoe UI"/>
            <a:cs typeface="Segoe UI"/>
            <a:sym typeface="Segoe U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Segoe UI"/>
            <a:ea typeface="Segoe UI"/>
            <a:cs typeface="Segoe UI"/>
            <a:sym typeface="Segoe U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A283F239FC9A47B3A603CC7E078231" ma:contentTypeVersion="20" ma:contentTypeDescription="Umožňuje vytvoriť nový dokument." ma:contentTypeScope="" ma:versionID="83cdd6d30a7a8bd9b49fe8f3965c2f6c">
  <xsd:schema xmlns:xsd="http://www.w3.org/2001/XMLSchema" xmlns:xs="http://www.w3.org/2001/XMLSchema" xmlns:p="http://schemas.microsoft.com/office/2006/metadata/properties" xmlns:ns2="abed4518-919d-4839-afd6-808ec5b6ae4e" xmlns:ns3="29b6b4b2-766e-4d60-98b3-6175b639c8a8" targetNamespace="http://schemas.microsoft.com/office/2006/metadata/properties" ma:root="true" ma:fieldsID="0bfc4ebd4cbc581725a5101ba8de93fe" ns2:_="" ns3:_="">
    <xsd:import namespace="abed4518-919d-4839-afd6-808ec5b6ae4e"/>
    <xsd:import namespace="29b6b4b2-766e-4d60-98b3-6175b639c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d4518-919d-4839-afd6-808ec5b6a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19ef1d94-6b49-4afa-a106-32bcc93ffe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b4b2-766e-4d60-98b3-6175b639c8a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64d0f1b-8a8a-4021-a461-b397733c585f}" ma:internalName="TaxCatchAll" ma:showField="CatchAllData" ma:web="29b6b4b2-766e-4d60-98b3-6175b639c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b4b2-766e-4d60-98b3-6175b639c8a8" xsi:nil="true"/>
    <lcf76f155ced4ddcb4097134ff3c332f xmlns="abed4518-919d-4839-afd6-808ec5b6a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8BA31A-7DFE-4B4E-BF01-01763EBB4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02191-2085-4BCB-9B88-937164B1A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d4518-919d-4839-afd6-808ec5b6ae4e"/>
    <ds:schemaRef ds:uri="29b6b4b2-766e-4d60-98b3-6175b639c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B90B3-C247-449D-B2F5-5A1A713B0E3C}">
  <ds:schemaRefs>
    <ds:schemaRef ds:uri="http://schemas.microsoft.com/office/2006/metadata/properties"/>
    <ds:schemaRef ds:uri="http://schemas.microsoft.com/office/infopath/2007/PartnerControls"/>
    <ds:schemaRef ds:uri="29b6b4b2-766e-4d60-98b3-6175b639c8a8"/>
    <ds:schemaRef ds:uri="abed4518-919d-4839-afd6-808ec5b6a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2529</Words>
  <Characters>14418</Characters>
  <Application>Microsoft Office Word</Application>
  <DocSecurity>0</DocSecurity>
  <Lines>120</Lines>
  <Paragraphs>33</Paragraphs>
  <ScaleCrop>false</ScaleCrop>
  <Company/>
  <LinksUpToDate>false</LinksUpToDate>
  <CharactersWithSpaces>16914</CharactersWithSpaces>
  <SharedDoc>false</SharedDoc>
  <HLinks>
    <vt:vector size="12" baseType="variant">
      <vt:variant>
        <vt:i4>4128779</vt:i4>
      </vt:variant>
      <vt:variant>
        <vt:i4>3</vt:i4>
      </vt:variant>
      <vt:variant>
        <vt:i4>0</vt:i4>
      </vt:variant>
      <vt:variant>
        <vt:i4>5</vt:i4>
      </vt:variant>
      <vt:variant>
        <vt:lpwstr>zuzana.kanuchova@henkel.com</vt:lpwstr>
      </vt:variant>
      <vt:variant>
        <vt:lpwstr/>
      </vt:variant>
      <vt:variant>
        <vt:i4>2490428</vt:i4>
      </vt:variant>
      <vt:variant>
        <vt:i4>0</vt:i4>
      </vt:variant>
      <vt:variant>
        <vt:i4>0</vt:i4>
      </vt:variant>
      <vt:variant>
        <vt:i4>5</vt:i4>
      </vt:variant>
      <vt:variant>
        <vt:lpwstr>http://www.henkel.com/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Petriska</dc:creator>
  <cp:keywords/>
  <cp:lastModifiedBy>Mária Kuťková</cp:lastModifiedBy>
  <cp:revision>160</cp:revision>
  <dcterms:created xsi:type="dcterms:W3CDTF">2023-01-10T19:51:00Z</dcterms:created>
  <dcterms:modified xsi:type="dcterms:W3CDTF">2026-08-17T14:37:00Z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f0b2fc4c9d2571d002486f468b30aa8812c2310f0105fd3ac059d43b3f5246c6</vt:lpwstr>
  </property>
  <property fmtid="{D5CDD505-2E9C-101B-9397-08002B2CF9AE}" pid="3" name="ContentTypeId">
    <vt:lpwstr>0x01010068A283F239FC9A47B3A603CC7E078231</vt:lpwstr>
  </property>
  <property fmtid="{D5CDD505-2E9C-101B-9397-08002B2CF9AE}" pid="4" name="MediaServiceImageTags">
    <vt:lpwstr/>
  </property>
</Properties>
</file>