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5E39A" w14:textId="2719187F" w:rsidR="00B422EC" w:rsidRDefault="00703C8A" w:rsidP="00643D8A">
      <w:pPr>
        <w:pStyle w:val="MonthDayYear"/>
        <w:rPr>
          <w:lang w:val="sk-SK"/>
        </w:rPr>
      </w:pPr>
      <w:r>
        <w:rPr>
          <w:lang w:val="sk-SK"/>
        </w:rPr>
        <w:t>6</w:t>
      </w:r>
      <w:r w:rsidR="00514611" w:rsidRPr="00E91988">
        <w:rPr>
          <w:lang w:val="sk-SK"/>
        </w:rPr>
        <w:t xml:space="preserve">. </w:t>
      </w:r>
      <w:r>
        <w:rPr>
          <w:lang w:val="sk-SK"/>
        </w:rPr>
        <w:t>august</w:t>
      </w:r>
      <w:r w:rsidR="00BF6E82" w:rsidRPr="00E91988">
        <w:rPr>
          <w:lang w:val="sk-SK"/>
        </w:rPr>
        <w:t xml:space="preserve"> 20</w:t>
      </w:r>
      <w:r w:rsidR="00F635FC" w:rsidRPr="00E91988">
        <w:rPr>
          <w:lang w:val="sk-SK"/>
        </w:rPr>
        <w:t>2</w:t>
      </w:r>
      <w:r w:rsidR="00DB567E" w:rsidRPr="00E91988">
        <w:rPr>
          <w:lang w:val="sk-SK"/>
        </w:rPr>
        <w:t>6</w:t>
      </w:r>
    </w:p>
    <w:p w14:paraId="77664B22" w14:textId="77777777" w:rsidR="00E91988" w:rsidRPr="00E91988" w:rsidRDefault="00E91988" w:rsidP="00643D8A">
      <w:pPr>
        <w:pStyle w:val="MonthDayYear"/>
        <w:rPr>
          <w:lang w:val="sk-SK"/>
        </w:rPr>
      </w:pPr>
    </w:p>
    <w:p w14:paraId="772DD4A7" w14:textId="02599753" w:rsidR="00E02B4A" w:rsidRPr="00FB6C87" w:rsidRDefault="00FB6C87" w:rsidP="00FB6C87">
      <w:pPr>
        <w:pStyle w:val="Topline"/>
        <w:spacing w:after="240"/>
        <w:rPr>
          <w:rStyle w:val="Headline"/>
          <w:rFonts w:asciiTheme="majorHAnsi" w:hAnsiTheme="majorHAnsi" w:cs="Aptos Display"/>
          <w:b w:val="0"/>
          <w:bCs w:val="0"/>
          <w:sz w:val="22"/>
          <w:lang w:val="sk-SK"/>
        </w:rPr>
      </w:pPr>
      <w:bookmarkStart w:id="0" w:name="_Hlk190695874"/>
      <w:r w:rsidRPr="00751C86">
        <w:rPr>
          <w:rFonts w:asciiTheme="majorHAnsi" w:hAnsiTheme="majorHAnsi" w:cs="Aptos Display"/>
          <w:lang w:val="sk-SK" w:bidi="bo-CN"/>
        </w:rPr>
        <w:t xml:space="preserve">Henkel posilňuje svoju rastovú agendu investíciami do značiek, inovácií aj fúzii </w:t>
      </w:r>
      <w:r>
        <w:rPr>
          <w:rFonts w:asciiTheme="majorHAnsi" w:hAnsiTheme="majorHAnsi" w:cs="Aptos Display"/>
          <w:lang w:val="sk-SK" w:bidi="bo-CN"/>
        </w:rPr>
        <w:t xml:space="preserve">a </w:t>
      </w:r>
      <w:r w:rsidRPr="00751C86">
        <w:rPr>
          <w:rFonts w:asciiTheme="majorHAnsi" w:hAnsiTheme="majorHAnsi" w:cs="Aptos Display"/>
          <w:lang w:val="sk-SK" w:bidi="bo-CN"/>
        </w:rPr>
        <w:t>akvizícií</w:t>
      </w:r>
      <w:bookmarkEnd w:id="0"/>
    </w:p>
    <w:p w14:paraId="65FE85FA" w14:textId="77777777" w:rsidR="00A56C13" w:rsidRPr="00A56C13" w:rsidRDefault="00A56C13" w:rsidP="00A56C13">
      <w:pPr>
        <w:rPr>
          <w:b/>
          <w:bCs/>
          <w:sz w:val="32"/>
          <w:lang w:val="sk-SK"/>
        </w:rPr>
      </w:pPr>
      <w:r w:rsidRPr="00A56C13">
        <w:rPr>
          <w:b/>
          <w:bCs/>
          <w:sz w:val="32"/>
          <w:lang w:val="sk-SK"/>
        </w:rPr>
        <w:t>Spoločnosť Henkel dosiahla v prvom polroku silný rast tržieb aj zisku a zdvihla finančný výhľad na rok 2026</w:t>
      </w:r>
    </w:p>
    <w:p w14:paraId="74DCD38C" w14:textId="2E49F310" w:rsidR="007F0F63" w:rsidRPr="0023780E" w:rsidRDefault="007F0F63" w:rsidP="00643D8A">
      <w:pPr>
        <w:rPr>
          <w:lang w:val="sk-SK"/>
        </w:rPr>
      </w:pPr>
    </w:p>
    <w:p w14:paraId="48D80950" w14:textId="22EA2066" w:rsidR="00385185" w:rsidRPr="00E91988" w:rsidRDefault="00385185" w:rsidP="00643D8A">
      <w:pPr>
        <w:rPr>
          <w:rFonts w:cs="Segoe UI"/>
          <w:szCs w:val="22"/>
          <w:lang w:val="sk-SK"/>
        </w:rPr>
      </w:pPr>
    </w:p>
    <w:p w14:paraId="788D0290" w14:textId="77777777" w:rsidR="000B5A10" w:rsidRPr="000B5A10" w:rsidRDefault="000B5A10" w:rsidP="000B5A10">
      <w:pPr>
        <w:numPr>
          <w:ilvl w:val="0"/>
          <w:numId w:val="17"/>
        </w:numPr>
        <w:rPr>
          <w:b/>
          <w:lang w:val="sk-SK"/>
        </w:rPr>
      </w:pPr>
      <w:bookmarkStart w:id="1" w:name="_Hlk64363173"/>
      <w:bookmarkStart w:id="2" w:name="_Hlk43712519"/>
      <w:r w:rsidRPr="000B5A10">
        <w:rPr>
          <w:b/>
          <w:lang w:val="sk-SK"/>
        </w:rPr>
        <w:t>Obrat skupiny v prvom polroku vykázal silný organický rast na úrovni 3,2 percenta a dosiahol 10,3 miliardy eur;</w:t>
      </w:r>
    </w:p>
    <w:p w14:paraId="54A8339D" w14:textId="77777777" w:rsidR="000B5A10" w:rsidRPr="000B5A10" w:rsidRDefault="000B5A10" w:rsidP="000B5A10">
      <w:pPr>
        <w:numPr>
          <w:ilvl w:val="0"/>
          <w:numId w:val="17"/>
        </w:numPr>
        <w:rPr>
          <w:b/>
          <w:lang w:val="sk-SK"/>
        </w:rPr>
      </w:pPr>
      <w:r w:rsidRPr="000B5A10">
        <w:rPr>
          <w:b/>
          <w:lang w:val="sk-SK"/>
        </w:rPr>
        <w:t>Silný rast podporili pozitívne cenové aj objemové trendy naprieč obchodnými divíziami;</w:t>
      </w:r>
    </w:p>
    <w:p w14:paraId="53D0FE0D" w14:textId="77777777" w:rsidR="000B5A10" w:rsidRPr="000B5A10" w:rsidRDefault="000B5A10" w:rsidP="000B5A10">
      <w:pPr>
        <w:numPr>
          <w:ilvl w:val="0"/>
          <w:numId w:val="17"/>
        </w:numPr>
        <w:rPr>
          <w:b/>
          <w:lang w:val="sk-SK"/>
        </w:rPr>
      </w:pPr>
      <w:r w:rsidRPr="000B5A10">
        <w:rPr>
          <w:b/>
          <w:lang w:val="sk-SK"/>
        </w:rPr>
        <w:t>Prevádzkový zisk (EBIT)* vzrástol na 1 620 miliónov eur (+0,3 percenta);</w:t>
      </w:r>
    </w:p>
    <w:p w14:paraId="13AF27C5" w14:textId="77777777" w:rsidR="000B5A10" w:rsidRPr="000B5A10" w:rsidRDefault="000B5A10" w:rsidP="000B5A10">
      <w:pPr>
        <w:numPr>
          <w:ilvl w:val="0"/>
          <w:numId w:val="17"/>
        </w:numPr>
        <w:rPr>
          <w:b/>
          <w:lang w:val="sk-SK"/>
        </w:rPr>
      </w:pPr>
      <w:r w:rsidRPr="000B5A10">
        <w:rPr>
          <w:b/>
          <w:lang w:val="sk-SK"/>
        </w:rPr>
        <w:t>Silná EBIT marža* na úrovni 15,7 percenta (+10 bázických bodov), podporená oboma obchodnými divíziami – čo potvrdzuje odolnosť a výkonnosť podnikania;</w:t>
      </w:r>
    </w:p>
    <w:p w14:paraId="41956B63" w14:textId="77777777" w:rsidR="000B5A10" w:rsidRPr="000B5A10" w:rsidRDefault="000B5A10" w:rsidP="000B5A10">
      <w:pPr>
        <w:numPr>
          <w:ilvl w:val="0"/>
          <w:numId w:val="17"/>
        </w:numPr>
        <w:rPr>
          <w:b/>
          <w:lang w:val="sk-SK"/>
        </w:rPr>
      </w:pPr>
      <w:r w:rsidRPr="000B5A10">
        <w:rPr>
          <w:b/>
          <w:lang w:val="sk-SK"/>
        </w:rPr>
        <w:t>Zisk na prioritnú akciu (EPS)* vzrástol na 2,86 eura, čo predstavuje nárast o 7,1 percenta pri konštantných kurzových sadzbách;</w:t>
      </w:r>
    </w:p>
    <w:p w14:paraId="1C457EFF" w14:textId="77777777" w:rsidR="000B5A10" w:rsidRPr="000B5A10" w:rsidRDefault="000B5A10" w:rsidP="000B5A10">
      <w:pPr>
        <w:numPr>
          <w:ilvl w:val="0"/>
          <w:numId w:val="17"/>
        </w:numPr>
        <w:rPr>
          <w:b/>
          <w:lang w:val="sk-SK"/>
        </w:rPr>
      </w:pPr>
      <w:r w:rsidRPr="000B5A10">
        <w:rPr>
          <w:b/>
          <w:lang w:val="sk-SK"/>
        </w:rPr>
        <w:t> Úspešná realizácia M&amp;A rastovej stratégie v prvom polroku, s prvými pozitívnymi príspevkami k obratu a zisku v roku 2026;</w:t>
      </w:r>
    </w:p>
    <w:bookmarkEnd w:id="1"/>
    <w:bookmarkEnd w:id="2"/>
    <w:p w14:paraId="3125C1CC" w14:textId="77777777" w:rsidR="000B5A10" w:rsidRPr="000B5A10" w:rsidRDefault="000B5A10" w:rsidP="000B5A10">
      <w:pPr>
        <w:numPr>
          <w:ilvl w:val="0"/>
          <w:numId w:val="17"/>
        </w:numPr>
        <w:rPr>
          <w:b/>
          <w:lang w:val="sk-SK"/>
        </w:rPr>
      </w:pPr>
      <w:r w:rsidRPr="000B5A10">
        <w:rPr>
          <w:b/>
          <w:lang w:val="sk-SK"/>
        </w:rPr>
        <w:t>Výhľad na fiškálny rok 2026: Očakávania zvýšené na úrovni skupiny aj pre divíziu Adhesive Technologies</w:t>
      </w:r>
    </w:p>
    <w:p w14:paraId="10887BB0" w14:textId="77777777" w:rsidR="000B5A10" w:rsidRPr="000B5A10" w:rsidRDefault="000B5A10" w:rsidP="000B5A10">
      <w:pPr>
        <w:numPr>
          <w:ilvl w:val="1"/>
          <w:numId w:val="17"/>
        </w:numPr>
        <w:rPr>
          <w:lang w:val="sk-SK"/>
        </w:rPr>
      </w:pPr>
      <w:r w:rsidRPr="000B5A10">
        <w:rPr>
          <w:lang w:val="sk-SK"/>
        </w:rPr>
        <w:t>Organický rast obratu: 1,5 až 3,5 percenta (predtým: 1,0 až 3,0 percenta);</w:t>
      </w:r>
    </w:p>
    <w:p w14:paraId="5EFDDAD7" w14:textId="77777777" w:rsidR="000B5A10" w:rsidRPr="000B5A10" w:rsidRDefault="000B5A10" w:rsidP="000B5A10">
      <w:pPr>
        <w:numPr>
          <w:ilvl w:val="1"/>
          <w:numId w:val="17"/>
        </w:numPr>
        <w:rPr>
          <w:lang w:val="sk-SK"/>
        </w:rPr>
      </w:pPr>
      <w:r w:rsidRPr="000B5A10">
        <w:rPr>
          <w:lang w:val="sk-SK"/>
        </w:rPr>
        <w:t>Upravená výnosnosť predaja: 14,5 až 16,0 percenta;</w:t>
      </w:r>
    </w:p>
    <w:p w14:paraId="4BC14405" w14:textId="77777777" w:rsidR="000B5A10" w:rsidRPr="000B5A10" w:rsidRDefault="000B5A10" w:rsidP="000B5A10">
      <w:pPr>
        <w:numPr>
          <w:ilvl w:val="1"/>
          <w:numId w:val="17"/>
        </w:numPr>
        <w:rPr>
          <w:lang w:val="sk-SK"/>
        </w:rPr>
      </w:pPr>
      <w:r w:rsidRPr="000B5A10">
        <w:rPr>
          <w:lang w:val="sk-SK"/>
        </w:rPr>
        <w:t>Upravený zisk na prioritnú akciu (EPS): očakáva sa zvýšenie v rozsahu nízkych až vyšších jednociferných čísel (pri konštantných výmenných kurzoch);</w:t>
      </w:r>
    </w:p>
    <w:p w14:paraId="505B4C75" w14:textId="77777777" w:rsidR="000B5A10" w:rsidRPr="000B5A10" w:rsidRDefault="000B5A10" w:rsidP="000B5A10">
      <w:pPr>
        <w:rPr>
          <w:b/>
          <w:bCs/>
          <w:lang w:val="sk-SK"/>
        </w:rPr>
      </w:pPr>
    </w:p>
    <w:p w14:paraId="5990F9C5" w14:textId="77777777" w:rsidR="000B5A10" w:rsidRPr="000D29F1" w:rsidRDefault="000B5A10" w:rsidP="000B5A10">
      <w:pPr>
        <w:rPr>
          <w:i/>
          <w:iCs/>
          <w:lang w:val="sk-SK"/>
        </w:rPr>
      </w:pPr>
      <w:r w:rsidRPr="000B5A10">
        <w:rPr>
          <w:lang w:val="sk-SK"/>
        </w:rPr>
        <w:t>Düsseldorf – Spoločnosť Henkel dosiahla v prvom polroku 2026 silný organický rast obratu a veľmi dobré výsledky napriek pretrvávajúcemu mimoriadne náročnému ekonomickému prostrediu</w:t>
      </w:r>
      <w:r w:rsidRPr="000D29F1">
        <w:rPr>
          <w:i/>
          <w:iCs/>
          <w:lang w:val="sk-SK"/>
        </w:rPr>
        <w:t xml:space="preserve">. „Organický rast obratu bol opäť podporený oboma obchodnými divíziami, z ktorých každá zaznamenala pozitívny vývoj cien aj objemov. V divízii Adhesive Technologies zlepšenie obratu a ziskovosti podporila aj dôsledná a rýchla realizácia cenových iniciatív na kompenzáciu </w:t>
      </w:r>
      <w:r w:rsidRPr="000D29F1">
        <w:rPr>
          <w:i/>
          <w:iCs/>
          <w:lang w:val="sk-SK"/>
        </w:rPr>
        <w:lastRenderedPageBreak/>
        <w:t>tlaku rastúcich cien surovín,“</w:t>
      </w:r>
      <w:r w:rsidRPr="000B5A10">
        <w:rPr>
          <w:lang w:val="sk-SK"/>
        </w:rPr>
        <w:t xml:space="preserve"> uviedol predseda predstavenstva spoločnosti Henkel Carsten Knobel. </w:t>
      </w:r>
      <w:r w:rsidRPr="000D29F1">
        <w:rPr>
          <w:i/>
          <w:iCs/>
          <w:lang w:val="sk-SK"/>
        </w:rPr>
        <w:t>„V rámci divízie Consumer Brands pokračoval vo veľmi silnej rastovej trajektórii segment vlasovej kozmetiky a segment pracích prostriedkov sa vrátil k pozitívnemu rastu.“</w:t>
      </w:r>
    </w:p>
    <w:p w14:paraId="29CAEF88" w14:textId="77777777" w:rsidR="000B5A10" w:rsidRPr="000B5A10" w:rsidRDefault="000B5A10" w:rsidP="000B5A10">
      <w:pPr>
        <w:rPr>
          <w:lang w:val="sk-SK"/>
        </w:rPr>
      </w:pPr>
    </w:p>
    <w:p w14:paraId="6953FCA3" w14:textId="77777777" w:rsidR="000B5A10" w:rsidRPr="000B5A10" w:rsidRDefault="000B5A10" w:rsidP="000B5A10">
      <w:pPr>
        <w:rPr>
          <w:lang w:val="sk-SK"/>
        </w:rPr>
      </w:pPr>
      <w:r w:rsidRPr="009A675F">
        <w:rPr>
          <w:i/>
          <w:iCs/>
          <w:lang w:val="sk-SK"/>
        </w:rPr>
        <w:t>„Našu stratégiu dôsledne realizujeme s jasným zameraním na zmysluplný rast a naše výsledky potvrdzujú úspech tohto prístupu. V prvom polroku sme dosiahli celkovo veľmi silné obchodné výsledky, pričom sme zároveň výrazne investovali do svojej budúcnosti vrátane našich značiek, technológií a inovácií. Okrem toho sme výrazne zrýchlili aktivity v oblasti fúzií a akvizícií (</w:t>
      </w:r>
      <w:r w:rsidRPr="009A675F">
        <w:rPr>
          <w:bCs/>
          <w:i/>
          <w:iCs/>
          <w:lang w:val="sk-SK"/>
        </w:rPr>
        <w:t>M&amp;A)</w:t>
      </w:r>
      <w:r w:rsidRPr="009A675F">
        <w:rPr>
          <w:i/>
          <w:iCs/>
          <w:lang w:val="sk-SK"/>
        </w:rPr>
        <w:t>. Dosiahli sme dohodu na piatich akvizíciách v celkovej hodnote približne 5 miliárd eur, ktoré podstatne posilnia obe naše obchodné divízie. Štyri z týchto akvizícií už boli uzavreté. V nasledujúcich rokoch očakávame, že získané podniky budú dosahovať nadpriemerný rast v  polovici až hornej časti jednociferného percentuálneho pásma a k ročnému obratu prinesú dodatočné 2 miliardy eur. Predstavuje to ďalší dôležitý krok v udržateľnom napredovaní našej rastovej agendy,“</w:t>
      </w:r>
      <w:r w:rsidRPr="000B5A10">
        <w:rPr>
          <w:lang w:val="sk-SK"/>
        </w:rPr>
        <w:t xml:space="preserve"> pokračoval predseda predstavenstva spoločnosti Henkel Carsten Knobel.</w:t>
      </w:r>
    </w:p>
    <w:p w14:paraId="560FD6F3" w14:textId="77777777" w:rsidR="000B5A10" w:rsidRPr="000B5A10" w:rsidRDefault="000B5A10" w:rsidP="000B5A10">
      <w:pPr>
        <w:rPr>
          <w:lang w:val="sk-SK"/>
        </w:rPr>
      </w:pPr>
    </w:p>
    <w:p w14:paraId="38B60B09" w14:textId="77777777" w:rsidR="000B5A10" w:rsidRPr="000B5A10" w:rsidRDefault="000B5A10" w:rsidP="000B5A10">
      <w:pPr>
        <w:rPr>
          <w:i/>
          <w:iCs/>
          <w:lang w:val="sk-SK"/>
        </w:rPr>
      </w:pPr>
      <w:r w:rsidRPr="000B5A10">
        <w:rPr>
          <w:i/>
          <w:iCs/>
          <w:lang w:val="sk-SK"/>
        </w:rPr>
        <w:t>„Na základe nášho silného výkonu v prvom polroku sme zvýšili naše očakávania týkajúce sa vývoja obratu, a to na úrovni skupiny, aj v obchodnej divízii Adhesive Technologies. Na úrovni skupiny teraz očakávame organický rast obratu v rozpätí od 1,5 do 3,5 percenta, oproti predchádzajúcemu odhadu 1 až 3 percentá. V Adhesive Technologies sme zvýšili očakávania organického rastu obratu z 1 až 3 percent na 2 až 4 percentá. Spoločnosť Henkel tak naďalej vidíme pevne na ceste k udržateľnému a ziskovému rastu.“</w:t>
      </w:r>
    </w:p>
    <w:p w14:paraId="3AD21B2E" w14:textId="77777777" w:rsidR="000B5A10" w:rsidRPr="000B5A10" w:rsidRDefault="000B5A10" w:rsidP="000B5A10">
      <w:pPr>
        <w:rPr>
          <w:b/>
          <w:bCs/>
          <w:lang w:val="sk-SK"/>
        </w:rPr>
      </w:pPr>
    </w:p>
    <w:p w14:paraId="2969956B" w14:textId="77777777" w:rsidR="000B5A10" w:rsidRPr="000B5A10" w:rsidRDefault="000B5A10" w:rsidP="000B5A10">
      <w:pPr>
        <w:rPr>
          <w:b/>
          <w:bCs/>
          <w:lang w:val="sk-SK"/>
        </w:rPr>
      </w:pPr>
      <w:r w:rsidRPr="000B5A10">
        <w:rPr>
          <w:b/>
          <w:bCs/>
          <w:lang w:val="sk-SK"/>
        </w:rPr>
        <w:t>Obrat a výnosy na úrovni skupiny v prvom polroku 2026</w:t>
      </w:r>
    </w:p>
    <w:p w14:paraId="5295FE51" w14:textId="77777777" w:rsidR="000B5A10" w:rsidRPr="000B5A10" w:rsidRDefault="000B5A10" w:rsidP="000B5A10">
      <w:pPr>
        <w:rPr>
          <w:lang w:val="sk-SK"/>
        </w:rPr>
      </w:pPr>
      <w:r w:rsidRPr="000B5A10">
        <w:rPr>
          <w:lang w:val="sk-SK"/>
        </w:rPr>
        <w:t xml:space="preserve">Spoločnosť Henkel v prvom polroku 2026 dosiahla </w:t>
      </w:r>
      <w:r w:rsidRPr="000B5A10">
        <w:rPr>
          <w:b/>
          <w:bCs/>
          <w:lang w:val="sk-SK"/>
        </w:rPr>
        <w:t>obrat na úrovni skupiny</w:t>
      </w:r>
      <w:r w:rsidRPr="000B5A10">
        <w:rPr>
          <w:lang w:val="sk-SK"/>
        </w:rPr>
        <w:t xml:space="preserve"> vo výške 10 348 miliónov eur, čo predstavuje nominálny pokles o 0,5 percenta (2. štvrťrok: 5 396 miliónov eur, +4,6 percenta). Kurzové vplyvy znížili obrat o 3,9 percenta (2. štvrťrok: –2,6 percenta). Akvizície a odpredaje mali mierne pozitívny vplyv na obrat vo výške 0,2 percenta (2. štvrťrok: +2,5 percenta). Kým odpredaj maloobchodných značiek v Severnej Amerike v apríli 2025 mal negatívny dopad, akvizície, ktoré obe obchodné divízie dokončili v prvom polroku 2026 – najmä ATP Adhesive Systems a Not Your Mother’s – prispeli k vývoju obratu pozitívne. V organickom vyjadrení, teda po úprave o kurzové vplyvy a vplyvy akvizícií a odpredaja, zaznamenala spoločnosť Henkel silný rast obratu o 3,2 percenta (2. štvrťrok: +4,7 percenta).</w:t>
      </w:r>
    </w:p>
    <w:p w14:paraId="5F4A3819" w14:textId="77777777" w:rsidR="000B5A10" w:rsidRPr="000B5A10" w:rsidRDefault="000B5A10" w:rsidP="000B5A10">
      <w:pPr>
        <w:rPr>
          <w:lang w:val="sk-SK"/>
        </w:rPr>
      </w:pPr>
    </w:p>
    <w:p w14:paraId="3D570CA5" w14:textId="77777777" w:rsidR="000B5A10" w:rsidRPr="000B5A10" w:rsidRDefault="000B5A10" w:rsidP="000B5A10">
      <w:pPr>
        <w:rPr>
          <w:lang w:val="sk-SK"/>
        </w:rPr>
      </w:pPr>
      <w:r w:rsidRPr="000B5A10">
        <w:rPr>
          <w:lang w:val="sk-SK"/>
        </w:rPr>
        <w:t xml:space="preserve">Obchodná divízia </w:t>
      </w:r>
      <w:r w:rsidRPr="000B5A10">
        <w:rPr>
          <w:b/>
          <w:bCs/>
          <w:lang w:val="sk-SK"/>
        </w:rPr>
        <w:t>Adhesive Technologies</w:t>
      </w:r>
      <w:r w:rsidRPr="000B5A10">
        <w:rPr>
          <w:lang w:val="sk-SK"/>
        </w:rPr>
        <w:t xml:space="preserve"> dosiahla v prvom polroku 2026 veľmi silný organický rast obratu na úrovni 4,5 percenta (2. štvrťrok: +7,4 percenta), pričom hlavným zdrojom rastu bol segment mobility a elektronického priemyslu. Obchodná divízia </w:t>
      </w:r>
      <w:r w:rsidRPr="000B5A10">
        <w:rPr>
          <w:b/>
          <w:bCs/>
          <w:lang w:val="sk-SK"/>
        </w:rPr>
        <w:t>Consumer Brands</w:t>
      </w:r>
      <w:r w:rsidRPr="000B5A10">
        <w:rPr>
          <w:lang w:val="sk-SK"/>
        </w:rPr>
        <w:t xml:space="preserve"> taktiež zaznamenala pozitívny vývoj, keď dosiahla dobrý organický rast obratu vo výške </w:t>
      </w:r>
      <w:r w:rsidRPr="000B5A10">
        <w:rPr>
          <w:lang w:val="sk-SK"/>
        </w:rPr>
        <w:lastRenderedPageBreak/>
        <w:t>1,7 percenta (2. štvrťrok: +1,6 percenta), ku ktorému prispel najmä veľmi silný nárast v kategórii výrobkov vlasovej kozmetiky.</w:t>
      </w:r>
    </w:p>
    <w:p w14:paraId="4F8CEF8E" w14:textId="77777777" w:rsidR="000B5A10" w:rsidRPr="000B5A10" w:rsidRDefault="000B5A10" w:rsidP="000B5A10">
      <w:pPr>
        <w:rPr>
          <w:lang w:val="sk-SK"/>
        </w:rPr>
      </w:pPr>
    </w:p>
    <w:p w14:paraId="6CCEFDB7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Európa</w:t>
      </w:r>
      <w:r w:rsidRPr="000B5A10">
        <w:rPr>
          <w:lang w:val="sk-SK"/>
        </w:rPr>
        <w:t xml:space="preserve"> zaznamenala v prvom polroku 2026 negatívny organický vývoj obratu na úrovni -1,5 percenta (2. štvrťrok: +0,4 percenta), zatiaľ čo </w:t>
      </w:r>
      <w:r w:rsidRPr="000B5A10">
        <w:rPr>
          <w:b/>
          <w:bCs/>
          <w:lang w:val="sk-SK"/>
        </w:rPr>
        <w:t>severoamerický</w:t>
      </w:r>
      <w:r w:rsidRPr="000B5A10">
        <w:rPr>
          <w:lang w:val="sk-SK"/>
        </w:rPr>
        <w:t xml:space="preserve"> trh vykázal kladný organický rast obratu vo výške 2,4 percenta (2. štvrťrok: +3,9 percenta). V  regióne </w:t>
      </w:r>
      <w:r w:rsidRPr="000B5A10">
        <w:rPr>
          <w:b/>
          <w:bCs/>
          <w:lang w:val="sk-SK"/>
        </w:rPr>
        <w:t>IMEA (India, Stredný východ, Afrika)</w:t>
      </w:r>
      <w:r w:rsidRPr="000B5A10">
        <w:rPr>
          <w:lang w:val="sk-SK"/>
        </w:rPr>
        <w:t xml:space="preserve"> a v </w:t>
      </w:r>
      <w:r w:rsidRPr="000B5A10">
        <w:rPr>
          <w:b/>
          <w:bCs/>
          <w:lang w:val="sk-SK"/>
        </w:rPr>
        <w:t>ázijsko-pacifickom</w:t>
      </w:r>
      <w:r w:rsidRPr="000B5A10">
        <w:rPr>
          <w:lang w:val="sk-SK"/>
        </w:rPr>
        <w:t xml:space="preserve"> regióne dosiahla spoločnosť Henkel dvojciferný organický rast obratu na úrovni 14,9 percenta (2. štvrťrok: +17,4 percenta), respektíve 10,3 percenta (2. štvrťrok: +10,3 percenta). </w:t>
      </w:r>
      <w:r w:rsidRPr="000B5A10">
        <w:rPr>
          <w:b/>
          <w:bCs/>
          <w:lang w:val="sk-SK"/>
        </w:rPr>
        <w:t>Latinská Amerika</w:t>
      </w:r>
      <w:r w:rsidRPr="000B5A10">
        <w:rPr>
          <w:lang w:val="sk-SK"/>
        </w:rPr>
        <w:t xml:space="preserve"> naopak zaznamenala </w:t>
      </w:r>
      <w:r w:rsidRPr="000B5A10">
        <w:rPr>
          <w:b/>
          <w:bCs/>
          <w:lang w:val="sk-SK"/>
        </w:rPr>
        <w:t>mierne negatívny organický vývoj obratu</w:t>
      </w:r>
      <w:r w:rsidRPr="000B5A10">
        <w:rPr>
          <w:lang w:val="sk-SK"/>
        </w:rPr>
        <w:t xml:space="preserve"> na úrovni -1,3 percenta (2. štvrťrok: +0,5 percenta).</w:t>
      </w:r>
    </w:p>
    <w:p w14:paraId="5BE83B3B" w14:textId="77777777" w:rsidR="000B5A10" w:rsidRPr="000B5A10" w:rsidRDefault="000B5A10" w:rsidP="000B5A10">
      <w:pPr>
        <w:rPr>
          <w:lang w:val="sk-SK"/>
        </w:rPr>
      </w:pPr>
    </w:p>
    <w:p w14:paraId="77353A0B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Upravený prevádzkový zisk (upravený EBIT)</w:t>
      </w:r>
      <w:r w:rsidRPr="000B5A10">
        <w:rPr>
          <w:lang w:val="sk-SK"/>
        </w:rPr>
        <w:t xml:space="preserve"> dosiahol 1 620 miliónov eur, čo predstavuje mierny nárast oproti minuloročnej hodnote 1 614 miliónov eur.</w:t>
      </w:r>
    </w:p>
    <w:p w14:paraId="5000C29D" w14:textId="77777777" w:rsidR="000B5A10" w:rsidRPr="000B5A10" w:rsidRDefault="000B5A10" w:rsidP="000B5A10">
      <w:pPr>
        <w:rPr>
          <w:b/>
          <w:bCs/>
          <w:lang w:val="sk-SK"/>
        </w:rPr>
      </w:pPr>
    </w:p>
    <w:p w14:paraId="4836DC5F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Upravená výnosnosť predaja (upravená marža EBIT)</w:t>
      </w:r>
      <w:r w:rsidRPr="000B5A10">
        <w:rPr>
          <w:lang w:val="sk-SK"/>
        </w:rPr>
        <w:t xml:space="preserve"> na úrovni skupiny sa taktiež zvýšila a dosiahla 15,7 percenta (predchádzajúci rok: 15,5 percenta).</w:t>
      </w:r>
    </w:p>
    <w:p w14:paraId="7BB11275" w14:textId="77777777" w:rsidR="000B5A10" w:rsidRPr="000B5A10" w:rsidRDefault="000B5A10" w:rsidP="000B5A10">
      <w:pPr>
        <w:rPr>
          <w:lang w:val="sk-SK"/>
        </w:rPr>
      </w:pPr>
    </w:p>
    <w:p w14:paraId="531E0C90" w14:textId="77777777" w:rsidR="000B5A10" w:rsidRPr="000B5A10" w:rsidRDefault="000B5A10" w:rsidP="000B5A10">
      <w:pPr>
        <w:rPr>
          <w:lang w:val="sk-SK"/>
        </w:rPr>
      </w:pPr>
      <w:bookmarkStart w:id="3" w:name="_Hlk190081485"/>
      <w:r w:rsidRPr="000B5A10">
        <w:rPr>
          <w:b/>
          <w:bCs/>
          <w:lang w:val="sk-SK"/>
        </w:rPr>
        <w:t>Upravený výnos na prioritnú akciu (EPS)</w:t>
      </w:r>
      <w:r w:rsidRPr="000B5A10">
        <w:rPr>
          <w:lang w:val="sk-SK"/>
        </w:rPr>
        <w:t xml:space="preserve"> sa zvýšil o 1,8 percenta na 2,86 eura (predchádzajúci rok: 2,81 eura). Pri konštantných kurzových sadzbách sa upravený výnos na prioritnú akciu zvýšil o 7,1 percenta.</w:t>
      </w:r>
    </w:p>
    <w:bookmarkEnd w:id="3"/>
    <w:p w14:paraId="42D4C61B" w14:textId="77777777" w:rsidR="000B5A10" w:rsidRPr="000B5A10" w:rsidRDefault="000B5A10" w:rsidP="000B5A10">
      <w:pPr>
        <w:rPr>
          <w:b/>
          <w:bCs/>
          <w:lang w:val="sk-SK"/>
        </w:rPr>
      </w:pPr>
    </w:p>
    <w:p w14:paraId="77C0D2D2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Čistý prevádzkový kapitál</w:t>
      </w:r>
      <w:r w:rsidRPr="000B5A10">
        <w:rPr>
          <w:lang w:val="sk-SK"/>
        </w:rPr>
        <w:t xml:space="preserve"> vyjadrený ako podiel k obratu sa za druhý štvrťrok v porovnaní s rovnakým obdobím predchádzajúceho roka zvýšil zo 6,0 percenta na 7,0 percenta, pričom k tomuto vývoju čiastočne prispeli akvizície.</w:t>
      </w:r>
    </w:p>
    <w:p w14:paraId="3B64BA66" w14:textId="77777777" w:rsidR="000B5A10" w:rsidRPr="000B5A10" w:rsidRDefault="000B5A10" w:rsidP="000B5A10">
      <w:pPr>
        <w:rPr>
          <w:lang w:val="sk-SK"/>
        </w:rPr>
      </w:pPr>
    </w:p>
    <w:p w14:paraId="224FBB7D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Voľný cash flow</w:t>
      </w:r>
      <w:r w:rsidRPr="000B5A10">
        <w:rPr>
          <w:lang w:val="sk-SK"/>
        </w:rPr>
        <w:t xml:space="preserve"> sa zvýšil na 612 miliónov eur (prvý polrok 2025: 485 miliónov eur), a to najmä vďaka vyššiemu peňažnému toku z prevádzkových aktivít.</w:t>
      </w:r>
    </w:p>
    <w:p w14:paraId="67D87B7B" w14:textId="77777777" w:rsidR="000B5A10" w:rsidRPr="000B5A10" w:rsidRDefault="000B5A10" w:rsidP="000B5A10">
      <w:pPr>
        <w:rPr>
          <w:lang w:val="sk-SK"/>
        </w:rPr>
      </w:pPr>
    </w:p>
    <w:p w14:paraId="77060C0D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Čistá finančná pozícia</w:t>
      </w:r>
      <w:r w:rsidRPr="000B5A10">
        <w:rPr>
          <w:lang w:val="sk-SK"/>
        </w:rPr>
        <w:t xml:space="preserve"> predstavovala k 30. júnu 2026 hodnotu –1 855 miliónov eur (31. december 2025: 109 miliónov eur), čo odráža najmä peňažné výdavky súvisiace s nedávno uzavretými akvizíciami a programom spätného odkupu akcií.</w:t>
      </w:r>
    </w:p>
    <w:p w14:paraId="3E093DEB" w14:textId="77777777" w:rsidR="000B5A10" w:rsidRPr="000B5A10" w:rsidRDefault="000B5A10" w:rsidP="000B5A10">
      <w:pPr>
        <w:rPr>
          <w:lang w:val="sk-SK"/>
        </w:rPr>
      </w:pPr>
    </w:p>
    <w:p w14:paraId="03992921" w14:textId="77777777" w:rsidR="000B5A10" w:rsidRPr="000B5A10" w:rsidRDefault="000B5A10" w:rsidP="000B5A10">
      <w:pPr>
        <w:rPr>
          <w:b/>
          <w:bCs/>
          <w:lang w:val="sk-SK"/>
        </w:rPr>
      </w:pPr>
      <w:r w:rsidRPr="000B5A10">
        <w:rPr>
          <w:b/>
          <w:bCs/>
          <w:lang w:val="sk-SK"/>
        </w:rPr>
        <w:t>Výsledky obchodných divízií v prvom polroku 2026</w:t>
      </w:r>
    </w:p>
    <w:p w14:paraId="25CB98C7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Obrat</w:t>
      </w:r>
      <w:r w:rsidRPr="000B5A10">
        <w:rPr>
          <w:lang w:val="sk-SK"/>
        </w:rPr>
        <w:t xml:space="preserve"> obchodnej divízie </w:t>
      </w:r>
      <w:r w:rsidRPr="000B5A10">
        <w:rPr>
          <w:b/>
          <w:bCs/>
          <w:lang w:val="sk-SK"/>
        </w:rPr>
        <w:t>Adhesive</w:t>
      </w:r>
      <w:r w:rsidRPr="000B5A10">
        <w:rPr>
          <w:lang w:val="sk-SK"/>
        </w:rPr>
        <w:t xml:space="preserve"> </w:t>
      </w:r>
      <w:r w:rsidRPr="000B5A10">
        <w:rPr>
          <w:b/>
          <w:bCs/>
          <w:lang w:val="sk-SK"/>
        </w:rPr>
        <w:t>Technologies</w:t>
      </w:r>
      <w:r w:rsidRPr="000B5A10">
        <w:rPr>
          <w:lang w:val="sk-SK"/>
        </w:rPr>
        <w:t xml:space="preserve"> sa v prvom polroku 2026 nominálne zvýšil o 2,2 percenta na 5 534 miliónov eur (2. štvrťrok: 2 908 miliónov eur, +7,6 percenta). V </w:t>
      </w:r>
      <w:r w:rsidRPr="000B5A10">
        <w:rPr>
          <w:b/>
          <w:bCs/>
          <w:lang w:val="sk-SK"/>
        </w:rPr>
        <w:t>organickom</w:t>
      </w:r>
      <w:r w:rsidRPr="000B5A10">
        <w:rPr>
          <w:lang w:val="sk-SK"/>
        </w:rPr>
        <w:t xml:space="preserve"> vyjadrení dosiahla divízia Adhesive Technologies veľmi silný rast obratu na úrovni 4,5 percenta (2. štvrťrok: +7,4 percenta). K tomuto rastu prispel pozitívny vývoj cien aj objemu predaja.</w:t>
      </w:r>
    </w:p>
    <w:p w14:paraId="0EB0D034" w14:textId="77777777" w:rsidR="000B5A10" w:rsidRPr="000B5A10" w:rsidRDefault="000B5A10" w:rsidP="000B5A10">
      <w:pPr>
        <w:rPr>
          <w:lang w:val="sk-SK"/>
        </w:rPr>
      </w:pPr>
    </w:p>
    <w:p w14:paraId="3030206D" w14:textId="77777777" w:rsidR="000B5A10" w:rsidRPr="000B5A10" w:rsidRDefault="000B5A10" w:rsidP="000B5A10">
      <w:pPr>
        <w:rPr>
          <w:lang w:val="sk-SK"/>
        </w:rPr>
      </w:pPr>
      <w:r w:rsidRPr="000B5A10">
        <w:rPr>
          <w:lang w:val="sk-SK"/>
        </w:rPr>
        <w:t xml:space="preserve">Obchodná divízia Adhesive Technologies zaznamenala v prvom polroku organický rast obratu naprieč segmentmi, pričom najmä výrazný organický nárast obratu na úrovni 7,8 percenta v segmente </w:t>
      </w:r>
      <w:r w:rsidRPr="000B5A10">
        <w:rPr>
          <w:b/>
          <w:bCs/>
          <w:lang w:val="sk-SK"/>
        </w:rPr>
        <w:t xml:space="preserve">mobility a elektronického priemyslu </w:t>
      </w:r>
      <w:r w:rsidRPr="000B5A10">
        <w:rPr>
          <w:lang w:val="sk-SK"/>
        </w:rPr>
        <w:t xml:space="preserve">(2. štvrťrok: +8,8 percenta) bol hlavným zdrojom celkového rastu. Tento vývoj podporil dvojciferný organický rast obratu v kategórii elektroniky a výrazný organický nárast obratu v kategórii priemyslu. Naproti tomu automobilový priemysel v súhrne za prvý polrok klesol, avšak v druhom štvrťroku už vykázal zlepšenie s dobrým organickým rastom obratu. Segment </w:t>
      </w:r>
      <w:r w:rsidRPr="000B5A10">
        <w:rPr>
          <w:b/>
          <w:bCs/>
          <w:lang w:val="sk-SK"/>
        </w:rPr>
        <w:t>obalov a spotrebného tovaru</w:t>
      </w:r>
      <w:r w:rsidRPr="000B5A10">
        <w:rPr>
          <w:lang w:val="sk-SK"/>
        </w:rPr>
        <w:t xml:space="preserve"> dosiahol veľmi silný organický rast obratu na úrovni 4,7 percenta, a to vďaka silnému rastu v kategórii obalových materiálov a veľmi výraznému organickému nárastu obratu v kategórii spotrebného tovaru (2. štvrťrok: +9,1 percenta). Tento vývoj bol podporený aj predzásobením zo strany zákazníkov v reakcii na geopolitické neistoty. V segmente výrobkov pre </w:t>
      </w:r>
      <w:r w:rsidRPr="000B5A10">
        <w:rPr>
          <w:b/>
          <w:bCs/>
          <w:lang w:val="sk-SK"/>
        </w:rPr>
        <w:t>remeselníkov, stavebníctvo a profesionálov</w:t>
      </w:r>
      <w:r w:rsidRPr="000B5A10">
        <w:rPr>
          <w:lang w:val="sk-SK"/>
        </w:rPr>
        <w:t xml:space="preserve"> vykázala obchodná divízia Adhesive Technologies organický rast obratu na úrovni 1,0 percenta (2. štvrťrok: +4,4 percenta). K rastu najviac prispel silný organický nárast obratu v kategórii všeobecnej výroby a údržby, zatiaľ čo kategórie spotrebný tovar a stavebníctvo zaznamenali mierne negatívny organický vývoj obratu.</w:t>
      </w:r>
    </w:p>
    <w:p w14:paraId="4158BEA7" w14:textId="77777777" w:rsidR="000B5A10" w:rsidRPr="000B5A10" w:rsidRDefault="000B5A10" w:rsidP="000B5A10">
      <w:pPr>
        <w:rPr>
          <w:lang w:val="sk-SK"/>
        </w:rPr>
      </w:pPr>
      <w:bookmarkStart w:id="4" w:name="_Hlk190097207"/>
    </w:p>
    <w:p w14:paraId="0496EA55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Upravený prevádzkový zisk</w:t>
      </w:r>
      <w:r w:rsidRPr="000B5A10">
        <w:rPr>
          <w:lang w:val="sk-SK"/>
        </w:rPr>
        <w:t xml:space="preserve"> bol napriek negatívnym kurzovým vplyvom nad úrovňou minulého roka a dosiahol 982 miliónov eur. </w:t>
      </w:r>
      <w:r w:rsidRPr="000B5A10">
        <w:rPr>
          <w:b/>
          <w:bCs/>
          <w:lang w:val="sk-SK"/>
        </w:rPr>
        <w:t>Upravená výnosnosť predaja</w:t>
      </w:r>
      <w:r w:rsidRPr="000B5A10">
        <w:rPr>
          <w:lang w:val="sk-SK"/>
        </w:rPr>
        <w:t xml:space="preserve"> sa zvýšila na 17,7 percenta oproti 17,2 percenta v rovnakom období minulého roka. K tomuto vývoju prispeli úspory z rozsahu vyplývajúce z rastu objemu a zloženia portfólia.</w:t>
      </w:r>
    </w:p>
    <w:p w14:paraId="2CA8744E" w14:textId="77777777" w:rsidR="000B5A10" w:rsidRPr="000B5A10" w:rsidRDefault="000B5A10" w:rsidP="000B5A10">
      <w:pPr>
        <w:rPr>
          <w:lang w:val="sk-SK"/>
        </w:rPr>
      </w:pPr>
    </w:p>
    <w:bookmarkEnd w:id="4"/>
    <w:p w14:paraId="55829B5E" w14:textId="77777777" w:rsidR="000B5A10" w:rsidRPr="000B5A10" w:rsidRDefault="000B5A10" w:rsidP="000B5A10">
      <w:pPr>
        <w:rPr>
          <w:lang w:val="sk-SK"/>
        </w:rPr>
      </w:pPr>
      <w:r w:rsidRPr="000B5A10">
        <w:rPr>
          <w:lang w:val="sk-SK"/>
        </w:rPr>
        <w:t xml:space="preserve">Obchodná divízia </w:t>
      </w:r>
      <w:r w:rsidRPr="000B5A10">
        <w:rPr>
          <w:b/>
          <w:bCs/>
          <w:lang w:val="sk-SK"/>
        </w:rPr>
        <w:t>Consumer Brands</w:t>
      </w:r>
      <w:r w:rsidRPr="000B5A10">
        <w:rPr>
          <w:lang w:val="sk-SK"/>
        </w:rPr>
        <w:t xml:space="preserve"> dosiahla v prvom polroku 2026 </w:t>
      </w:r>
      <w:r w:rsidRPr="000B5A10">
        <w:rPr>
          <w:b/>
          <w:bCs/>
          <w:lang w:val="sk-SK"/>
        </w:rPr>
        <w:t>obrat</w:t>
      </w:r>
      <w:r w:rsidRPr="000B5A10">
        <w:rPr>
          <w:lang w:val="sk-SK"/>
        </w:rPr>
        <w:t xml:space="preserve"> 4 733 miliónov eur, čo predstavuje nominálny pokles o 3,5 percenta v porovnaní s rovnakým obdobím minulého roka (2. štvrťrok: 2 448 miliónov eur, +1,1 percenta). V </w:t>
      </w:r>
      <w:r w:rsidRPr="000B5A10">
        <w:rPr>
          <w:b/>
          <w:bCs/>
          <w:lang w:val="sk-SK"/>
        </w:rPr>
        <w:t>organickom</w:t>
      </w:r>
      <w:r w:rsidRPr="000B5A10">
        <w:rPr>
          <w:lang w:val="sk-SK"/>
        </w:rPr>
        <w:t xml:space="preserve"> vyjadrení sa obrat zvýšil o 1,7 percenta (2. štvrťrok: +1,6 percenta), pričom divízia zaznamenala v porovnaní s prvým polrokom 2025 pozitívny vývoj cien aj objemu predaja.</w:t>
      </w:r>
    </w:p>
    <w:p w14:paraId="0E8F467C" w14:textId="77777777" w:rsidR="000B5A10" w:rsidRPr="000B5A10" w:rsidRDefault="000B5A10" w:rsidP="000B5A10">
      <w:pPr>
        <w:rPr>
          <w:lang w:val="sk-SK"/>
        </w:rPr>
      </w:pPr>
    </w:p>
    <w:p w14:paraId="298FB4A7" w14:textId="77777777" w:rsidR="000B5A10" w:rsidRPr="000B5A10" w:rsidRDefault="000B5A10" w:rsidP="000B5A10">
      <w:pPr>
        <w:rPr>
          <w:lang w:val="sk-SK"/>
        </w:rPr>
      </w:pPr>
      <w:r w:rsidRPr="000B5A10">
        <w:rPr>
          <w:lang w:val="sk-SK"/>
        </w:rPr>
        <w:t xml:space="preserve">V prvom polroku zaznamenal segment </w:t>
      </w:r>
      <w:r w:rsidRPr="000B5A10">
        <w:rPr>
          <w:b/>
          <w:bCs/>
          <w:lang w:val="sk-SK"/>
        </w:rPr>
        <w:t>pracích a čistiacich prostriedkov pre domácnosť</w:t>
      </w:r>
      <w:r w:rsidRPr="000B5A10">
        <w:rPr>
          <w:lang w:val="sk-SK"/>
        </w:rPr>
        <w:t xml:space="preserve"> pozitívny organický vývoj obratu na úrovni 0,7 percenta (2. štvrťrok: +1,3 percenta). Segment pracích prostriedkov dosiahol pozitívny organický rast, ktorý podporil výrazný nárast obratu pri výrobkoch starostlivosti o bielizeň a pozitívny rast v kategórii aviváže. Naproti tomu kategória pracích prostriedkov zaznamenala mierny pokles. Segment čistiacich prostriedkov pre domácnosť vykázal dobrý organický rast obratu, najmä vďaka dvojcifernému nárastu v kategórii prostriedkov na ručné umývanie riadu. Kategória </w:t>
      </w:r>
      <w:r w:rsidRPr="000B5A10">
        <w:rPr>
          <w:b/>
          <w:bCs/>
          <w:lang w:val="sk-SK"/>
        </w:rPr>
        <w:t>vlasových prípravkov a kozmetiky</w:t>
      </w:r>
      <w:r w:rsidRPr="000B5A10">
        <w:rPr>
          <w:lang w:val="sk-SK"/>
        </w:rPr>
        <w:t xml:space="preserve"> dosiahla veľmi silný organický rast obratu na úrovni 4,2 percenta (2. štvrťrok: +3,3 percenta) a bola hlavným motorom rastu celej obchodnej divízie Consumer Brands. Tento pozitívny vývoj </w:t>
      </w:r>
      <w:r w:rsidRPr="000B5A10">
        <w:rPr>
          <w:lang w:val="sk-SK"/>
        </w:rPr>
        <w:lastRenderedPageBreak/>
        <w:t xml:space="preserve">podporili tak výrobky pre spotrebiteľov, ktoré zaznamenali silný organický rast, ako aj výrobky pre profesionálov, ktoré dosiahli veľmi výrazný nárast. Pri produktoch pre spotrebiteľov prispeli k rastu všetky kategórie, pričom najvýraznejší príspevok mali farby na vlasy a stylingové prípravky. Segment </w:t>
      </w:r>
      <w:r w:rsidRPr="000B5A10">
        <w:rPr>
          <w:b/>
          <w:bCs/>
          <w:lang w:val="sk-SK"/>
        </w:rPr>
        <w:t>ostatného spotrebného tovaru</w:t>
      </w:r>
      <w:r w:rsidRPr="000B5A10">
        <w:rPr>
          <w:lang w:val="sk-SK"/>
        </w:rPr>
        <w:t xml:space="preserve"> naopak zaznamenal v prvom polroku negatívny organický vývoj obratu na úrovni 2,1 percenta (2. štvrťrok: –4,6 percenta), čo bolo spôsobené najmä vývojom v kategórii výrobkov telovej kozmetiky v európskom regióne. Región Severnej Ameriky však vykázal dobrý organický rast obratu.</w:t>
      </w:r>
    </w:p>
    <w:p w14:paraId="09122797" w14:textId="77777777" w:rsidR="000B5A10" w:rsidRPr="000B5A10" w:rsidRDefault="000B5A10" w:rsidP="000B5A10">
      <w:pPr>
        <w:rPr>
          <w:lang w:val="sk-SK"/>
        </w:rPr>
      </w:pPr>
      <w:bookmarkStart w:id="5" w:name="_Hlk190100714"/>
    </w:p>
    <w:bookmarkEnd w:id="5"/>
    <w:p w14:paraId="188572D2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Upravený prevádzkový zisk</w:t>
      </w:r>
      <w:r w:rsidRPr="000B5A10">
        <w:rPr>
          <w:lang w:val="sk-SK"/>
        </w:rPr>
        <w:t xml:space="preserve"> dosiahol 724 miliónov eur a bol tak mierne pod úrovňou minulého roka, čo súviselo najmä s odpredajom maloobchodného podnikania v Severnej Amerike v apríli 2025 a negatívnymi kurzovými vplyvmi. </w:t>
      </w:r>
      <w:r w:rsidRPr="000B5A10">
        <w:rPr>
          <w:b/>
          <w:bCs/>
          <w:lang w:val="sk-SK"/>
        </w:rPr>
        <w:t>Upravená výnosnosť predaja</w:t>
      </w:r>
      <w:r w:rsidRPr="000B5A10">
        <w:rPr>
          <w:lang w:val="sk-SK"/>
        </w:rPr>
        <w:t xml:space="preserve"> však zostala v porovnaní s rovnakým obdobím minulého roka nezmenená na úrovni 15,3 percenta.</w:t>
      </w:r>
    </w:p>
    <w:p w14:paraId="5292A726" w14:textId="77777777" w:rsidR="000B5A10" w:rsidRPr="000B5A10" w:rsidRDefault="000B5A10" w:rsidP="000B5A10">
      <w:pPr>
        <w:rPr>
          <w:lang w:val="sk-SK"/>
        </w:rPr>
      </w:pPr>
    </w:p>
    <w:p w14:paraId="5F2333DF" w14:textId="77777777" w:rsidR="000B5A10" w:rsidRPr="000B5A10" w:rsidRDefault="000B5A10" w:rsidP="000B5A10">
      <w:pPr>
        <w:rPr>
          <w:b/>
          <w:lang w:val="sk-SK"/>
        </w:rPr>
      </w:pPr>
      <w:r w:rsidRPr="000B5A10">
        <w:rPr>
          <w:b/>
          <w:lang w:val="sk-SK"/>
        </w:rPr>
        <w:t>Úspešná realizácia akvizičnej rastovej stratégie v prvom polroku</w:t>
      </w:r>
    </w:p>
    <w:p w14:paraId="6489CE65" w14:textId="77777777" w:rsidR="000B5A10" w:rsidRPr="000B5A10" w:rsidRDefault="000B5A10" w:rsidP="000B5A10">
      <w:pPr>
        <w:rPr>
          <w:bCs/>
          <w:lang w:val="sk-SK"/>
        </w:rPr>
      </w:pPr>
      <w:r w:rsidRPr="000B5A10">
        <w:rPr>
          <w:bCs/>
          <w:lang w:val="sk-SK"/>
        </w:rPr>
        <w:t xml:space="preserve">V prvom polroku 2026 dosiahol Henkel významný pokrok v realizácii svojej akvizičnej rastovej stratégie, ktorá je kľúčovou súčasťou celkovej </w:t>
      </w:r>
      <w:r w:rsidRPr="000B5A10">
        <w:rPr>
          <w:b/>
          <w:lang w:val="sk-SK"/>
        </w:rPr>
        <w:t>rastovej stratégie</w:t>
      </w:r>
      <w:r w:rsidRPr="000B5A10">
        <w:rPr>
          <w:bCs/>
          <w:lang w:val="sk-SK"/>
        </w:rPr>
        <w:t xml:space="preserve"> spoločnosti naprieč oboma obchodnými divíziami. Vďaka nedávno oznámeným akvizíciám spoločnosť Henkel investuje celkovo 5 miliárd eur a rozširuje svoje podnikanie o kombinovaný ročný obrat na úrovni približne 1,6 miliardy eur. Spoločnosť doteraz úspešne dokončila štyri z piatich transakcií: Wetherby Laroc a ATP Adhesive Systems v obchodnej divízii Adhesive Technologies, ako aj Not Your Mother’s a najnovšie OLAPLEX v obchodnej divízii Consumer Brands. Očakáva sa, že akvizícia skupiny Stahl Group v oblasti lepidiel bude uzavretá v druhej polovici fiškálneho roka 2026.</w:t>
      </w:r>
    </w:p>
    <w:p w14:paraId="15BFF779" w14:textId="77777777" w:rsidR="000B5A10" w:rsidRPr="000B5A10" w:rsidRDefault="000B5A10" w:rsidP="000B5A10">
      <w:pPr>
        <w:rPr>
          <w:bCs/>
          <w:lang w:val="sk-SK"/>
        </w:rPr>
      </w:pPr>
    </w:p>
    <w:p w14:paraId="00859D53" w14:textId="77777777" w:rsidR="000B5A10" w:rsidRPr="000B5A10" w:rsidRDefault="000B5A10" w:rsidP="000B5A10">
      <w:pPr>
        <w:rPr>
          <w:bCs/>
          <w:lang w:val="sk-SK"/>
        </w:rPr>
      </w:pPr>
      <w:r w:rsidRPr="000B5A10">
        <w:rPr>
          <w:bCs/>
          <w:lang w:val="sk-SK"/>
        </w:rPr>
        <w:t xml:space="preserve">Akvizíciou prémiovej značky vlasovej starostlivosti </w:t>
      </w:r>
      <w:r w:rsidRPr="000B5A10">
        <w:rPr>
          <w:b/>
          <w:lang w:val="sk-SK"/>
        </w:rPr>
        <w:t>OLAPLEX</w:t>
      </w:r>
      <w:r w:rsidRPr="000B5A10">
        <w:rPr>
          <w:bCs/>
          <w:lang w:val="sk-SK"/>
        </w:rPr>
        <w:t>, ktorá k ročnému obratu prispieva približne 370 miliónmi eur, Henkel ďalej posilňuje svoju globálnu prítomnosť v segmente prémiovej vlasovej starostlivosti a stáva sa celosvetovou dvojkou v profesionálnom vlasovom biznise. Trh prémiovej vlasovej kozmetiky je mimoriadne atraktívny, pričom sa v nasledujúcich rokoch očakáva zložená ročná miera rastu okolo 5 percent. OLAPLEX je etablovaná prémiová značka vlasovej starostlivosti s portfóliom vedecky podložených, vysoko účinných produktov. Dokončením tejto transakcie Henkel ďalej posilňuje svoju globálnu pozíciu v kategórii výrobkov starostlivosti o vlasy, ktorá je kľúčovou kategóriou v rámci obchodnej divízie Consumer Brands. Spoločnosť je presvedčená, že dokáže výrazne rozšíriť toto podnikanie využitím príležitostí krížového predaja a posilnením špecializovaných maloobchodných kanálov aj kaderníckych salónov ako distribučných kanálov. Okrem toho akvizícia prináša atraktívne príležitosti v oblasti inovácií a technológií.</w:t>
      </w:r>
    </w:p>
    <w:p w14:paraId="20F12DC1" w14:textId="77777777" w:rsidR="000B5A10" w:rsidRPr="000B5A10" w:rsidRDefault="000B5A10" w:rsidP="000B5A10">
      <w:pPr>
        <w:rPr>
          <w:bCs/>
          <w:lang w:val="sk-SK"/>
        </w:rPr>
      </w:pPr>
    </w:p>
    <w:p w14:paraId="5F750C38" w14:textId="77777777" w:rsidR="000B5A10" w:rsidRPr="000B5A10" w:rsidRDefault="000B5A10" w:rsidP="000B5A10">
      <w:pPr>
        <w:rPr>
          <w:bCs/>
          <w:lang w:val="sk-SK"/>
        </w:rPr>
      </w:pPr>
      <w:r w:rsidRPr="000B5A10">
        <w:rPr>
          <w:bCs/>
          <w:lang w:val="sk-SK"/>
        </w:rPr>
        <w:lastRenderedPageBreak/>
        <w:t xml:space="preserve">Prostredníctvom akvizície spoločnosti </w:t>
      </w:r>
      <w:r w:rsidRPr="000B5A10">
        <w:rPr>
          <w:b/>
          <w:lang w:val="sk-SK"/>
        </w:rPr>
        <w:t>ATP Adhesive Systems</w:t>
      </w:r>
      <w:r w:rsidRPr="000B5A10">
        <w:rPr>
          <w:bCs/>
          <w:lang w:val="sk-SK"/>
        </w:rPr>
        <w:t>, ktorá dosahuje ročný obrat približne 270 miliónov eur, Henkel rozširuje svoje portfólio nad rámec tekutých lepiacich technológií a buduje novú rastovú platformu v oblasti vysokovýkonných špeciálnych lepiacich pások na báze vody. Ide o mimoriadne atraktívny trh, pri ktorom sa očakáva ročná miera rastu okolo 7 percent. Špeciálne pásky na báze vody získavajú podiel na trhu ako udržateľnejšia alternatíva k riešeniam na báze rozpúšťadiel. Dokážu znížiť emisie prchavých organických zlúčenín (VOC) až o 90 percent a uhlíkovú stopu až o 60 percent. Špeciálne pásky ATP sa používajú napríklad v automobilovom priemysle pri systémoch pokročilej asistencie vodiča. Táto akvizícia zároveň posilňuje inovačné kapacity spoločnosti Henkel, vytvára atraktívne príležitosti krížového predaja a ďalej zlepšuje pozíciu spoločnosti na trhu udržateľných lepiacich riešení.</w:t>
      </w:r>
    </w:p>
    <w:p w14:paraId="2862B426" w14:textId="77777777" w:rsidR="000B5A10" w:rsidRPr="000B5A10" w:rsidRDefault="000B5A10" w:rsidP="000B5A10">
      <w:pPr>
        <w:rPr>
          <w:bCs/>
          <w:lang w:val="sk-SK"/>
        </w:rPr>
      </w:pPr>
    </w:p>
    <w:p w14:paraId="6DA5D1E5" w14:textId="319036CE" w:rsidR="000B5A10" w:rsidRPr="000B5A10" w:rsidRDefault="00FE332F" w:rsidP="000B5A10">
      <w:pPr>
        <w:rPr>
          <w:bCs/>
          <w:lang w:val="sk-SK"/>
        </w:rPr>
      </w:pPr>
      <w:r>
        <w:rPr>
          <w:bCs/>
          <w:lang w:val="sk-SK"/>
        </w:rPr>
        <w:t xml:space="preserve">Spoločnosť </w:t>
      </w:r>
      <w:r w:rsidR="000B5A10" w:rsidRPr="000B5A10">
        <w:rPr>
          <w:bCs/>
          <w:lang w:val="sk-SK"/>
        </w:rPr>
        <w:t>Henkel očakáva, že nedávne akvizície v aktuálnom fiškálnom roku prvýkrát pozitívne prispejú k obratu aj zisku. V roku 2026 by mali nadobudnuté podniky prispieť k obratu približne 700 miliónmi eur</w:t>
      </w:r>
      <w:r w:rsidR="000B5A10" w:rsidRPr="000B5A10">
        <w:rPr>
          <w:vertAlign w:val="superscript"/>
          <w:lang w:val="de-DE"/>
        </w:rPr>
        <w:footnoteReference w:id="2"/>
      </w:r>
      <w:r w:rsidR="000B5A10" w:rsidRPr="000B5A10">
        <w:rPr>
          <w:bCs/>
          <w:lang w:val="sk-SK"/>
        </w:rPr>
        <w:t>. Do budúcnosti sa predpokladá, že všetkých päť akvizícií bude rásť nadpriemerným tempom v strednom až vyššom jednocifernom percentuálnom pásme, pričom ich kombinovaný obrat by mal do roku 2030 vzrásť na približne 2 miliardy eur. Z hľadiska ziskovosti Henkel očakáva, že akvizície prispejú do roku 2030 minimálne 10 percent k upravenému zisku na prioritnú akciu.</w:t>
      </w:r>
    </w:p>
    <w:p w14:paraId="0D7231F6" w14:textId="77777777" w:rsidR="000B5A10" w:rsidRPr="000B5A10" w:rsidRDefault="000B5A10" w:rsidP="000B5A10">
      <w:pPr>
        <w:rPr>
          <w:bCs/>
          <w:lang w:val="sk-SK"/>
        </w:rPr>
      </w:pPr>
    </w:p>
    <w:p w14:paraId="70F34FE7" w14:textId="77777777" w:rsidR="000B5A10" w:rsidRPr="000B5A10" w:rsidRDefault="000B5A10" w:rsidP="000B5A10">
      <w:pPr>
        <w:rPr>
          <w:bCs/>
          <w:lang w:val="sk-SK"/>
        </w:rPr>
      </w:pPr>
    </w:p>
    <w:p w14:paraId="414D5132" w14:textId="77777777" w:rsidR="000B5A10" w:rsidRPr="000B5A10" w:rsidRDefault="000B5A10" w:rsidP="000B5A10">
      <w:pPr>
        <w:rPr>
          <w:b/>
          <w:lang w:val="sk-SK"/>
        </w:rPr>
      </w:pPr>
      <w:bookmarkStart w:id="6" w:name="_Hlk190182989"/>
      <w:r w:rsidRPr="000B5A10">
        <w:rPr>
          <w:b/>
          <w:lang w:val="sk-SK"/>
        </w:rPr>
        <w:t>Výhľad na fiškálny rok 2026: Očakávania zvýšené na úrovni skupiny aj pre divíziu Adhesive Technologies</w:t>
      </w:r>
    </w:p>
    <w:p w14:paraId="4E30C3CE" w14:textId="77777777" w:rsidR="000B5A10" w:rsidRPr="000B5A10" w:rsidRDefault="000B5A10" w:rsidP="000B5A10">
      <w:pPr>
        <w:rPr>
          <w:lang w:val="sk-SK"/>
        </w:rPr>
      </w:pPr>
      <w:r w:rsidRPr="000B5A10">
        <w:rPr>
          <w:lang w:val="sk-SK"/>
        </w:rPr>
        <w:t>Na základe silných výsledkov v prvom polroku spoločnosť Henkel zvýšila svoje očakávania týkajúce sa vývoja tržieb, a to ako na úrovni celej skupiny, tak aj v obchodnej divízii Adhesive Technologies. Očakávania pre upravenú maržu EBIT a rast upraveného zisku na prioritnú akciu pri konštantných výmenných kurzoch zostávajú nezmenené.</w:t>
      </w:r>
    </w:p>
    <w:p w14:paraId="3FD48B1B" w14:textId="77777777" w:rsidR="000B5A10" w:rsidRPr="000B5A10" w:rsidRDefault="000B5A10" w:rsidP="000B5A10">
      <w:pPr>
        <w:rPr>
          <w:lang w:val="sk-SK"/>
        </w:rPr>
      </w:pPr>
    </w:p>
    <w:p w14:paraId="57E95968" w14:textId="77777777" w:rsidR="000B5A10" w:rsidRPr="000B5A10" w:rsidRDefault="000B5A10" w:rsidP="000B5A10">
      <w:pPr>
        <w:rPr>
          <w:lang w:val="sk-SK"/>
        </w:rPr>
      </w:pPr>
      <w:r w:rsidRPr="000B5A10">
        <w:rPr>
          <w:lang w:val="sk-SK"/>
        </w:rPr>
        <w:t xml:space="preserve">Spoločnosť v aktuálnom roku teraz očakáva </w:t>
      </w:r>
      <w:r w:rsidRPr="000B5A10">
        <w:rPr>
          <w:b/>
          <w:bCs/>
          <w:lang w:val="sk-SK"/>
        </w:rPr>
        <w:t>organický rast obratu</w:t>
      </w:r>
      <w:r w:rsidRPr="000B5A10">
        <w:rPr>
          <w:lang w:val="sk-SK"/>
        </w:rPr>
        <w:t xml:space="preserve"> v rozpätí od 1,5 do 3,5 percenta (predtým: 1,0 až 3,0 percenta). Pre obchodnú divíziu Adhesive Technologies sa aktuálne predpokladá organický rast obratu medzi 2,0 a 4,0 percenta (predtým: 1,0 až 3,0 percenta). V prípade divízie Consumer Brands Henkel naďalej počíta s organickým zvýšením obratu v pásme od 0,5 do 2,5 percenta.</w:t>
      </w:r>
    </w:p>
    <w:p w14:paraId="2E17D960" w14:textId="77777777" w:rsidR="000B5A10" w:rsidRPr="000B5A10" w:rsidRDefault="000B5A10" w:rsidP="000B5A10">
      <w:pPr>
        <w:rPr>
          <w:lang w:val="sk-SK"/>
        </w:rPr>
      </w:pPr>
    </w:p>
    <w:p w14:paraId="63FB159C" w14:textId="77777777" w:rsidR="000B5A10" w:rsidRPr="000B5A10" w:rsidRDefault="000B5A10" w:rsidP="000B5A10">
      <w:pPr>
        <w:rPr>
          <w:lang w:val="sk-SK"/>
        </w:rPr>
      </w:pPr>
    </w:p>
    <w:p w14:paraId="3278E46E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lastRenderedPageBreak/>
        <w:t>Upravená návratnosť tržieb</w:t>
      </w:r>
      <w:r w:rsidRPr="000B5A10">
        <w:rPr>
          <w:lang w:val="sk-SK"/>
        </w:rPr>
        <w:t xml:space="preserve"> (upravená EBIT marža) sa očakáva v rozpätí od 14,5 do 16,0 percenta. Pre obchodnú divíziu Adhesive Technologies sa predpokladá upravená návratnosť tržieb medzi 16,5 a 18,0 percenta a pre divíziu Consumer Brands v pásme od 14,0 do 15,5 percenta.</w:t>
      </w:r>
    </w:p>
    <w:p w14:paraId="62E012DF" w14:textId="77777777" w:rsidR="000B5A10" w:rsidRPr="000B5A10" w:rsidRDefault="000B5A10" w:rsidP="000B5A10">
      <w:pPr>
        <w:rPr>
          <w:lang w:val="sk-SK"/>
        </w:rPr>
      </w:pPr>
    </w:p>
    <w:p w14:paraId="4940D6B8" w14:textId="77777777" w:rsidR="000B5A10" w:rsidRPr="000B5A10" w:rsidRDefault="000B5A10" w:rsidP="000B5A10">
      <w:pPr>
        <w:rPr>
          <w:lang w:val="sk-SK"/>
        </w:rPr>
      </w:pPr>
      <w:r w:rsidRPr="000B5A10">
        <w:rPr>
          <w:b/>
          <w:bCs/>
          <w:lang w:val="sk-SK"/>
        </w:rPr>
        <w:t>Upravený zisk na prioritnú akciu</w:t>
      </w:r>
      <w:r w:rsidRPr="000B5A10">
        <w:rPr>
          <w:lang w:val="sk-SK"/>
        </w:rPr>
        <w:t xml:space="preserve"> (EPS) pri konštantných výmenných kurzoch by mal vzrásť v pásme nízkych až vyšších jednociferných hodnôt.</w:t>
      </w:r>
    </w:p>
    <w:p w14:paraId="577A2549" w14:textId="77777777" w:rsidR="000B5A10" w:rsidRPr="000B5A10" w:rsidRDefault="000B5A10" w:rsidP="000B5A10">
      <w:pPr>
        <w:rPr>
          <w:lang w:val="sk-SK"/>
        </w:rPr>
      </w:pPr>
    </w:p>
    <w:bookmarkEnd w:id="6"/>
    <w:p w14:paraId="03F55690" w14:textId="77777777" w:rsidR="000B5A10" w:rsidRPr="000B5A10" w:rsidRDefault="000B5A10" w:rsidP="000B5A10">
      <w:pPr>
        <w:rPr>
          <w:lang w:val="sk-SK"/>
        </w:rPr>
      </w:pPr>
      <w:r w:rsidRPr="000B5A10">
        <w:rPr>
          <w:i/>
          <w:iCs/>
          <w:lang w:val="sk-SK"/>
        </w:rPr>
        <w:t xml:space="preserve">„Mimoriadne silné výsledky v prvom polroku 2026, charakterizované výrazným organickým rastom obratu a ďalším zlepšením marže aj zisku, dokazujú, že transformácia spoločnosti Henkel prináša výsledky. V tomto procese budeme pokračovať, aby sme ďalej posilnili našu dlhodobú konkurencieschopnosť a pripravili spoločnosť na budúci úspech. Transformujeme Henkel pre úspešnú budúcnosť a s jasnou stratégiou sme pevne na ceste k ďalšiemu ziskovému rastu,“ </w:t>
      </w:r>
      <w:r w:rsidRPr="000B5A10">
        <w:rPr>
          <w:lang w:val="sk-SK"/>
        </w:rPr>
        <w:t>uviedol Carsten Knobel.</w:t>
      </w:r>
    </w:p>
    <w:p w14:paraId="76067B25" w14:textId="77777777" w:rsidR="000B5A10" w:rsidRPr="000B5A10" w:rsidRDefault="000B5A10" w:rsidP="000B5A10">
      <w:pPr>
        <w:rPr>
          <w:lang w:val="sk-SK"/>
        </w:rPr>
      </w:pPr>
    </w:p>
    <w:p w14:paraId="0AE9B6D5" w14:textId="4317D1AF" w:rsidR="00385185" w:rsidRPr="00E91988" w:rsidRDefault="00385185" w:rsidP="00643D8A">
      <w:pPr>
        <w:rPr>
          <w:rFonts w:cs="Segoe UI"/>
          <w:szCs w:val="22"/>
          <w:lang w:val="sk-SK"/>
        </w:rPr>
      </w:pPr>
    </w:p>
    <w:p w14:paraId="03D40B48" w14:textId="77777777" w:rsidR="00385185" w:rsidRPr="00E91988" w:rsidRDefault="00385185" w:rsidP="00643D8A">
      <w:pPr>
        <w:rPr>
          <w:rFonts w:cs="Segoe UI"/>
          <w:szCs w:val="22"/>
          <w:lang w:val="sk-SK"/>
        </w:rPr>
      </w:pPr>
    </w:p>
    <w:p w14:paraId="56AC8909" w14:textId="77777777" w:rsidR="002A2975" w:rsidRPr="00E91988" w:rsidRDefault="002A2975" w:rsidP="00643D8A">
      <w:pPr>
        <w:rPr>
          <w:rFonts w:cs="Segoe UI"/>
          <w:szCs w:val="22"/>
          <w:lang w:val="sk-SK"/>
        </w:rPr>
      </w:pPr>
    </w:p>
    <w:p w14:paraId="3411FCC1" w14:textId="24475CC2" w:rsidR="00D06825" w:rsidRPr="00E91988" w:rsidRDefault="004002DD" w:rsidP="004002DD">
      <w:pPr>
        <w:rPr>
          <w:rStyle w:val="AboutandContactHeadline"/>
          <w:lang w:val="sk-SK"/>
        </w:rPr>
      </w:pPr>
      <w:r w:rsidRPr="00E91988">
        <w:rPr>
          <w:rStyle w:val="AboutandContactHeadline"/>
          <w:lang w:val="sk-SK" w:bidi="bo-CN"/>
        </w:rPr>
        <w:t>O spoločnosti Henkel</w:t>
      </w:r>
    </w:p>
    <w:p w14:paraId="24DAD2F7" w14:textId="5FCF2FB7" w:rsidR="00F13BF6" w:rsidRPr="00E25A9D" w:rsidRDefault="00F13BF6" w:rsidP="00F13BF6">
      <w:pPr>
        <w:rPr>
          <w:sz w:val="18"/>
          <w:lang w:val="sk-SK"/>
        </w:rPr>
      </w:pPr>
      <w:r w:rsidRPr="00E25A9D">
        <w:rPr>
          <w:sz w:val="18"/>
          <w:lang w:val="sk-SK"/>
        </w:rPr>
        <w:t xml:space="preserve">Spoločnosť Henkel so svojimi značkami, inováciami a technológiami zastáva vedúce pozície na svetových trhoch v priemyselnom aj spotrebiteľskom segmente. Divízia Adhesive Technologies je globálnym lídrom na trhu lepidiel, tmelov a povrchových úprav. Prostredníctvom divízie Consumer Brands spoločnosť zastáva vedúce pozície najmä v oblastiach pracích a čistiacich prostriedkov pre domácnosť a vlasovej kozmetiky na mnohých trhoch a v rôznych kategóriách po celom svete. Tri najsilnejšie značky spoločnosti sú Loctite, Persil a Schwarzkopf. V hospodárskom roku 2025 spoločnosť Henkel vykázala tržby vo výške približne 20,5 miliardy eur a upravený prevádzkový zisk približne 3,0 miliardy eur. Prioritné akcie spoločnosti Henkel sú kótované v nemeckom akciovom indexe DAX. Udržateľnosť má v spoločnosti Henkel dlhú tradíciu a firma má jasne definovanú stratégiu udržateľnosti s konkrétnymi cieľmi. Spoločnosť Henkel bola založená v roku 1876 a dnes zamestnáva rozmanitý tím približne </w:t>
      </w:r>
      <w:r w:rsidR="002A62E7">
        <w:rPr>
          <w:sz w:val="18"/>
          <w:lang w:val="sk-SK"/>
        </w:rPr>
        <w:t>50 </w:t>
      </w:r>
      <w:r w:rsidRPr="00E25A9D">
        <w:rPr>
          <w:sz w:val="18"/>
          <w:lang w:val="sk-SK"/>
        </w:rPr>
        <w:t>000 ľudí na celom svete – spojených silnou firemnou kultúrou, spoločnými hodnotami a spoločným poslaním: „Priekopníci srdcom pre dobro budúcich generácií.</w:t>
      </w:r>
      <w:r w:rsidR="0034521C">
        <w:rPr>
          <w:sz w:val="18"/>
          <w:lang w:val="sk-SK"/>
        </w:rPr>
        <w:t>“</w:t>
      </w:r>
      <w:r w:rsidRPr="00E25A9D">
        <w:rPr>
          <w:sz w:val="18"/>
          <w:lang w:val="sk-SK"/>
        </w:rPr>
        <w:t xml:space="preserve"> Viac informácií nájdete na </w:t>
      </w:r>
      <w:hyperlink r:id="rId11" w:tgtFrame="_new" w:history="1">
        <w:r w:rsidRPr="00E25A9D">
          <w:rPr>
            <w:rStyle w:val="Hypertextovprepojenie"/>
            <w:szCs w:val="24"/>
            <w:lang w:val="sk-SK"/>
          </w:rPr>
          <w:t>www.henkel.com</w:t>
        </w:r>
      </w:hyperlink>
    </w:p>
    <w:p w14:paraId="79DC1B5A" w14:textId="77777777" w:rsidR="00F13BF6" w:rsidRPr="00E25A9D" w:rsidRDefault="00F13BF6" w:rsidP="00F13BF6">
      <w:pPr>
        <w:rPr>
          <w:sz w:val="18"/>
          <w:lang w:val="sk-SK"/>
        </w:rPr>
      </w:pPr>
      <w:r w:rsidRPr="00E25A9D">
        <w:rPr>
          <w:sz w:val="18"/>
          <w:lang w:val="sk-SK"/>
        </w:rPr>
        <w:t xml:space="preserve">Fotografický materiál je k dispozícii na </w:t>
      </w:r>
      <w:hyperlink r:id="rId12" w:tgtFrame="_new" w:history="1">
        <w:r w:rsidRPr="00E25A9D">
          <w:rPr>
            <w:rStyle w:val="Hypertextovprepojenie"/>
            <w:szCs w:val="24"/>
            <w:lang w:val="sk-SK"/>
          </w:rPr>
          <w:t>www.henkel.com/press</w:t>
        </w:r>
      </w:hyperlink>
    </w:p>
    <w:p w14:paraId="0C1252CB" w14:textId="77777777" w:rsidR="00F13BF6" w:rsidRPr="00E91988" w:rsidRDefault="00F13BF6" w:rsidP="00F13BF6">
      <w:pPr>
        <w:rPr>
          <w:rStyle w:val="AboutandContactHeadline"/>
          <w:lang w:val="sk-SK"/>
        </w:rPr>
      </w:pPr>
    </w:p>
    <w:p w14:paraId="35FEFC68" w14:textId="77777777" w:rsidR="00F13BF6" w:rsidRPr="00E91988" w:rsidRDefault="00F13BF6" w:rsidP="00F13BF6">
      <w:pPr>
        <w:rPr>
          <w:rStyle w:val="AboutandContactHeadline"/>
          <w:lang w:val="sk-SK"/>
        </w:rPr>
      </w:pPr>
    </w:p>
    <w:p w14:paraId="1225E046" w14:textId="77777777" w:rsidR="00F13BF6" w:rsidRPr="00E91988" w:rsidRDefault="00F13BF6" w:rsidP="00F13BF6">
      <w:pPr>
        <w:rPr>
          <w:rStyle w:val="AboutandContactHeadline"/>
          <w:lang w:val="sk-SK"/>
        </w:rPr>
      </w:pPr>
      <w:r w:rsidRPr="00E91988">
        <w:rPr>
          <w:rStyle w:val="AboutandContactHeadline"/>
          <w:lang w:val="sk-SK"/>
        </w:rPr>
        <w:t>O spoločnosti Henkel Slovensko</w:t>
      </w:r>
    </w:p>
    <w:p w14:paraId="5219A3A3" w14:textId="2B699EB7" w:rsidR="00F13BF6" w:rsidRPr="00E91988" w:rsidRDefault="00F13BF6" w:rsidP="00F13BF6">
      <w:pPr>
        <w:rPr>
          <w:sz w:val="18"/>
          <w:lang w:val="sk-SK"/>
        </w:rPr>
      </w:pPr>
      <w:r w:rsidRPr="00E91988">
        <w:rPr>
          <w:sz w:val="18"/>
          <w:lang w:val="sk-SK"/>
        </w:rPr>
        <w:t>HENKEL SLOVENSKO spol. s r. o.</w:t>
      </w:r>
      <w:r w:rsidRPr="00E91988">
        <w:rPr>
          <w:b/>
          <w:bCs/>
          <w:sz w:val="18"/>
          <w:lang w:val="sk-SK"/>
        </w:rPr>
        <w:t> </w:t>
      </w:r>
      <w:r w:rsidRPr="00E91988">
        <w:rPr>
          <w:sz w:val="18"/>
          <w:lang w:val="sk-SK"/>
        </w:rPr>
        <w:t>pôsobí na slovenskom trhu od roku 1991 a zastrešuje obe obchodné divízie spoločnosti – Henkel Consumer Brands a Henkel Adhesive Technologies. Významnou súčasťou je aj GBS</w:t>
      </w:r>
      <w:r w:rsidRPr="00E91988">
        <w:rPr>
          <w:sz w:val="18"/>
          <w:vertAlign w:val="superscript"/>
          <w:lang w:val="sk-SK"/>
        </w:rPr>
        <w:t>+</w:t>
      </w:r>
      <w:r w:rsidRPr="00E91988">
        <w:rPr>
          <w:sz w:val="18"/>
          <w:lang w:val="sk-SK"/>
        </w:rPr>
        <w:t xml:space="preserve"> Bratislava – najväčšia expertná pobočka skupiny Henkel na svete. Od svojho založenia v roku 2006 poskytuje služby naprieč Európou a ďalšími regiónmi vo viac ako 30 jazykoch a zamestnáva vyše 1 </w:t>
      </w:r>
      <w:r>
        <w:rPr>
          <w:sz w:val="18"/>
          <w:lang w:val="sk-SK"/>
        </w:rPr>
        <w:t>8</w:t>
      </w:r>
      <w:r w:rsidRPr="00E91988">
        <w:rPr>
          <w:sz w:val="18"/>
          <w:lang w:val="sk-SK"/>
        </w:rPr>
        <w:t xml:space="preserve">00 odborníkov. Spolu s lokálnym obchodným zastúpením, ktoré ponúka viac než 50 značiek, má Henkel na Slovensku viac ako </w:t>
      </w:r>
      <w:r>
        <w:rPr>
          <w:sz w:val="18"/>
          <w:lang w:val="sk-SK"/>
        </w:rPr>
        <w:t>2</w:t>
      </w:r>
      <w:r w:rsidR="00765A62">
        <w:rPr>
          <w:sz w:val="18"/>
          <w:lang w:val="sk-SK"/>
        </w:rPr>
        <w:t xml:space="preserve"> </w:t>
      </w:r>
      <w:r>
        <w:rPr>
          <w:sz w:val="18"/>
          <w:lang w:val="sk-SK"/>
        </w:rPr>
        <w:t xml:space="preserve">000 </w:t>
      </w:r>
      <w:r w:rsidRPr="00E91988">
        <w:rPr>
          <w:sz w:val="18"/>
          <w:lang w:val="sk-SK"/>
        </w:rPr>
        <w:t xml:space="preserve">zamestnancov. Spoločnosť je </w:t>
      </w:r>
      <w:r>
        <w:rPr>
          <w:sz w:val="18"/>
          <w:lang w:val="sk-SK"/>
        </w:rPr>
        <w:t xml:space="preserve">deväť </w:t>
      </w:r>
      <w:r w:rsidRPr="00E91988">
        <w:rPr>
          <w:sz w:val="18"/>
          <w:lang w:val="sk-SK"/>
        </w:rPr>
        <w:t xml:space="preserve">rokov po sebe ocenená titulom Najzamestnávateľ v kategórii Centrá zdieľaných služieb. Taktiež získala množstvo uznaní za svoj prístup k diverzite, rovnosti a inklúzii, udržateľnosti, starostlivosti o zdravie zamestnancov a inovatívnej komunikácii. Viac informácií nájdete na stránke </w:t>
      </w:r>
      <w:hyperlink r:id="rId13" w:tgtFrame="_new" w:history="1">
        <w:r w:rsidRPr="00E91988">
          <w:rPr>
            <w:rStyle w:val="Hypertextovprepojenie"/>
            <w:szCs w:val="24"/>
            <w:lang w:val="sk-SK"/>
          </w:rPr>
          <w:t>www.henkel.sk</w:t>
        </w:r>
      </w:hyperlink>
      <w:r w:rsidRPr="00E91988">
        <w:rPr>
          <w:sz w:val="18"/>
          <w:lang w:val="sk-SK"/>
        </w:rPr>
        <w:t>.</w:t>
      </w:r>
    </w:p>
    <w:p w14:paraId="15EDB3FA" w14:textId="77777777" w:rsidR="001864C0" w:rsidRPr="00E91988" w:rsidRDefault="001864C0" w:rsidP="001864C0">
      <w:pPr>
        <w:rPr>
          <w:rStyle w:val="AboutandContactHeadline"/>
          <w:lang w:val="sk-SK"/>
        </w:rPr>
      </w:pPr>
    </w:p>
    <w:p w14:paraId="5B1E3AD0" w14:textId="77777777" w:rsidR="001864C0" w:rsidRPr="00E91988" w:rsidRDefault="001864C0" w:rsidP="001864C0">
      <w:pPr>
        <w:rPr>
          <w:rStyle w:val="AboutandContactHeadline"/>
          <w:lang w:val="sk-SK"/>
        </w:rPr>
      </w:pPr>
      <w:r w:rsidRPr="00E91988">
        <w:rPr>
          <w:rStyle w:val="AboutandContactHeadline"/>
          <w:lang w:val="sk-SK"/>
        </w:rPr>
        <w:lastRenderedPageBreak/>
        <w:t xml:space="preserve">Kontakt  </w:t>
      </w:r>
    </w:p>
    <w:p w14:paraId="3BFC2D30" w14:textId="77777777" w:rsidR="00C32857" w:rsidRPr="00E91988" w:rsidRDefault="00C32857" w:rsidP="00C32857">
      <w:pPr>
        <w:rPr>
          <w:rStyle w:val="AboutandContactHeadline"/>
          <w:b w:val="0"/>
          <w:bCs w:val="0"/>
          <w:lang w:val="sk-SK"/>
        </w:rPr>
      </w:pPr>
      <w:r w:rsidRPr="00E91988">
        <w:rPr>
          <w:rStyle w:val="AboutandContactHeadline"/>
          <w:b w:val="0"/>
          <w:bCs w:val="0"/>
          <w:lang w:val="sk-SK"/>
        </w:rPr>
        <w:t>Zuzana Kaňuchová</w:t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</w:p>
    <w:p w14:paraId="545E4E19" w14:textId="77777777" w:rsidR="00C32857" w:rsidRPr="00E91988" w:rsidRDefault="00C32857" w:rsidP="00C32857">
      <w:pPr>
        <w:rPr>
          <w:rStyle w:val="AboutandContactHeadline"/>
          <w:b w:val="0"/>
          <w:bCs w:val="0"/>
          <w:lang w:val="sk-SK"/>
        </w:rPr>
      </w:pPr>
      <w:r w:rsidRPr="00E91988">
        <w:rPr>
          <w:rStyle w:val="AboutandContactHeadline"/>
          <w:b w:val="0"/>
          <w:bCs w:val="0"/>
          <w:lang w:val="sk-SK"/>
        </w:rPr>
        <w:t>Riaditeľka korporátnej komunikácie</w:t>
      </w:r>
      <w:r w:rsidRPr="00E91988">
        <w:rPr>
          <w:rStyle w:val="AboutandContactHeadline"/>
          <w:b w:val="0"/>
          <w:bCs w:val="0"/>
          <w:lang w:val="sk-SK"/>
        </w:rPr>
        <w:tab/>
        <w:t>CEE</w:t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</w:p>
    <w:p w14:paraId="40E6EFBF" w14:textId="77777777" w:rsidR="00C32857" w:rsidRPr="00E91988" w:rsidRDefault="00C32857" w:rsidP="00C32857">
      <w:pPr>
        <w:rPr>
          <w:rStyle w:val="AboutandContactHeadline"/>
          <w:b w:val="0"/>
          <w:bCs w:val="0"/>
          <w:lang w:val="sk-SK"/>
        </w:rPr>
      </w:pPr>
    </w:p>
    <w:p w14:paraId="768843FB" w14:textId="77777777" w:rsidR="00C32857" w:rsidRPr="00E91988" w:rsidRDefault="00C32857" w:rsidP="00C32857">
      <w:pPr>
        <w:rPr>
          <w:rStyle w:val="AboutandContactHeadline"/>
          <w:b w:val="0"/>
          <w:bCs w:val="0"/>
          <w:lang w:val="sk-SK"/>
        </w:rPr>
      </w:pPr>
      <w:r w:rsidRPr="00E91988">
        <w:rPr>
          <w:rStyle w:val="AboutandContactHeadline"/>
          <w:b w:val="0"/>
          <w:bCs w:val="0"/>
          <w:lang w:val="sk-SK"/>
        </w:rPr>
        <w:t>Telefón: +421 917 160 597</w:t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  <w:r w:rsidRPr="00E91988">
        <w:rPr>
          <w:rStyle w:val="AboutandContactHeadline"/>
          <w:b w:val="0"/>
          <w:bCs w:val="0"/>
          <w:lang w:val="sk-SK"/>
        </w:rPr>
        <w:tab/>
      </w:r>
    </w:p>
    <w:p w14:paraId="64A4ECF7" w14:textId="77777777" w:rsidR="00C32857" w:rsidRPr="00E91988" w:rsidRDefault="00C32857" w:rsidP="00C32857">
      <w:pPr>
        <w:rPr>
          <w:rStyle w:val="AboutandContactHeadline"/>
          <w:b w:val="0"/>
          <w:bCs w:val="0"/>
          <w:lang w:val="sk-SK"/>
        </w:rPr>
      </w:pPr>
      <w:r w:rsidRPr="00E91988">
        <w:rPr>
          <w:rStyle w:val="AboutandContactHeadline"/>
          <w:b w:val="0"/>
          <w:bCs w:val="0"/>
          <w:lang w:val="sk-SK"/>
        </w:rPr>
        <w:t xml:space="preserve">E-mail:  </w:t>
      </w:r>
      <w:hyperlink r:id="rId14" w:history="1">
        <w:r w:rsidRPr="00E91988">
          <w:rPr>
            <w:rStyle w:val="Hypertextovprepojenie"/>
            <w:szCs w:val="24"/>
            <w:lang w:val="sk-SK"/>
          </w:rPr>
          <w:t>zuzana.kanuchova@henkel.com</w:t>
        </w:r>
      </w:hyperlink>
    </w:p>
    <w:p w14:paraId="067BBA94" w14:textId="77777777" w:rsidR="00B71239" w:rsidRPr="00E91988" w:rsidRDefault="00B71239" w:rsidP="001864C0">
      <w:pPr>
        <w:rPr>
          <w:rStyle w:val="AboutandContactHeadline"/>
          <w:b w:val="0"/>
          <w:bCs w:val="0"/>
          <w:lang w:val="sk-SK"/>
        </w:rPr>
      </w:pPr>
    </w:p>
    <w:p w14:paraId="76457730" w14:textId="77777777" w:rsidR="00BF6E82" w:rsidRPr="00E91988" w:rsidRDefault="00BF6E82" w:rsidP="00BF6E82">
      <w:pPr>
        <w:rPr>
          <w:rStyle w:val="AboutandContactBody"/>
          <w:lang w:val="sk-SK"/>
        </w:rPr>
      </w:pPr>
    </w:p>
    <w:p w14:paraId="61FA739B" w14:textId="77777777" w:rsidR="00BF6E82" w:rsidRPr="00E91988" w:rsidRDefault="00BF6E82" w:rsidP="00BF6E82">
      <w:pPr>
        <w:rPr>
          <w:rStyle w:val="AboutandContactBody"/>
          <w:lang w:val="sk-SK"/>
        </w:rPr>
      </w:pPr>
    </w:p>
    <w:sectPr w:rsidR="00BF6E82" w:rsidRPr="00E91988" w:rsidSect="000A44A0">
      <w:head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944" w:right="1411" w:bottom="1987" w:left="1411" w:header="1253" w:footer="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E1E40" w14:textId="77777777" w:rsidR="00666982" w:rsidRDefault="00666982">
      <w:r>
        <w:separator/>
      </w:r>
    </w:p>
  </w:endnote>
  <w:endnote w:type="continuationSeparator" w:id="0">
    <w:p w14:paraId="20F5D9CD" w14:textId="77777777" w:rsidR="00666982" w:rsidRDefault="00666982">
      <w:r>
        <w:continuationSeparator/>
      </w:r>
    </w:p>
  </w:endnote>
  <w:endnote w:type="continuationNotice" w:id="1">
    <w:p w14:paraId="3662ECF3" w14:textId="77777777" w:rsidR="00666982" w:rsidRDefault="006669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10C9" w14:textId="71D0DA2E" w:rsidR="00CF6F33" w:rsidRPr="00112A28" w:rsidRDefault="00112A28" w:rsidP="00112A28">
    <w:pPr>
      <w:pStyle w:val="Pta"/>
      <w:tabs>
        <w:tab w:val="clear" w:pos="7083"/>
        <w:tab w:val="clear" w:pos="8640"/>
        <w:tab w:val="right" w:pos="9071"/>
      </w:tabs>
      <w:jc w:val="both"/>
    </w:pPr>
    <w:r w:rsidRPr="00BF6E82">
      <w:t>Henkel AG &amp; Co. KGaA</w:t>
    </w:r>
    <w:r>
      <w:tab/>
    </w:r>
    <w:r w:rsidR="00AB2F94">
      <w:t>Strana</w:t>
    </w:r>
    <w:r w:rsidRPr="00BF6E82">
      <w:t xml:space="preserve"> </w:t>
    </w:r>
    <w:r w:rsidRPr="00BF6E82">
      <w:fldChar w:fldCharType="begin"/>
    </w:r>
    <w:r w:rsidRPr="00BF6E82">
      <w:instrText xml:space="preserve"> PAGE  \* Arabic  \* MERGEFORMAT </w:instrText>
    </w:r>
    <w:r w:rsidRPr="00BF6E82">
      <w:fldChar w:fldCharType="separate"/>
    </w:r>
    <w:r>
      <w:t>2</w:t>
    </w:r>
    <w:r w:rsidRPr="00BF6E82">
      <w:fldChar w:fldCharType="end"/>
    </w:r>
    <w:r w:rsidRPr="00BF6E82">
      <w:t>/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058E" w14:textId="67309F82" w:rsidR="00CF6F33" w:rsidRPr="00992A11" w:rsidRDefault="00B942A8" w:rsidP="00992A11">
    <w:pPr>
      <w:pStyle w:val="Pta"/>
    </w:pPr>
    <w:r>
      <w:drawing>
        <wp:anchor distT="0" distB="0" distL="114300" distR="114300" simplePos="0" relativeHeight="251658242" behindDoc="1" locked="0" layoutInCell="1" allowOverlap="1" wp14:anchorId="37205134" wp14:editId="24BAA3A6">
          <wp:simplePos x="0" y="0"/>
          <wp:positionH relativeFrom="margin">
            <wp:align>center</wp:align>
          </wp:positionH>
          <wp:positionV relativeFrom="paragraph">
            <wp:posOffset>-412750</wp:posOffset>
          </wp:positionV>
          <wp:extent cx="6207760" cy="387350"/>
          <wp:effectExtent l="0" t="0" r="2540" b="0"/>
          <wp:wrapTight wrapText="bothSides">
            <wp:wrapPolygon edited="0">
              <wp:start x="0" y="0"/>
              <wp:lineTo x="0" y="20184"/>
              <wp:lineTo x="21543" y="20184"/>
              <wp:lineTo x="2154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776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Strana</w:t>
    </w:r>
    <w:r w:rsidR="00CF6F33" w:rsidRPr="00992A11">
      <w:t xml:space="preserve"> 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PAGE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  <w:r w:rsidR="00CF6F33" w:rsidRPr="00992A11">
      <w:t>/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NUMPAGES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6BFE" w14:textId="77777777" w:rsidR="00666982" w:rsidRDefault="00666982">
      <w:r>
        <w:separator/>
      </w:r>
    </w:p>
  </w:footnote>
  <w:footnote w:type="continuationSeparator" w:id="0">
    <w:p w14:paraId="03683281" w14:textId="77777777" w:rsidR="00666982" w:rsidRDefault="00666982">
      <w:r>
        <w:continuationSeparator/>
      </w:r>
    </w:p>
  </w:footnote>
  <w:footnote w:type="continuationNotice" w:id="1">
    <w:p w14:paraId="1CD17A5C" w14:textId="77777777" w:rsidR="00666982" w:rsidRDefault="00666982">
      <w:pPr>
        <w:spacing w:line="240" w:lineRule="auto"/>
      </w:pPr>
    </w:p>
  </w:footnote>
  <w:footnote w:id="2">
    <w:p w14:paraId="71AF3A6B" w14:textId="77777777" w:rsidR="000B5A10" w:rsidRDefault="000B5A10" w:rsidP="000B5A10">
      <w:pPr>
        <w:pStyle w:val="Textpoznmkypodiarou"/>
      </w:pPr>
      <w:r w:rsidRPr="00EF6F72">
        <w:rPr>
          <w:rStyle w:val="Odkaznapoznmkupodiarou"/>
          <w:sz w:val="18"/>
          <w:szCs w:val="16"/>
        </w:rPr>
        <w:footnoteRef/>
      </w:r>
      <w:r w:rsidRPr="00C76008">
        <w:rPr>
          <w:sz w:val="18"/>
          <w:szCs w:val="16"/>
        </w:rPr>
        <w:t xml:space="preserve"> </w:t>
      </w:r>
      <w:r w:rsidRPr="008010E3">
        <w:rPr>
          <w:sz w:val="18"/>
          <w:szCs w:val="16"/>
          <w:lang w:val="sk-SK"/>
        </w:rPr>
        <w:t>Vrátane akvizície skupiny Stahl Group, ktorá ešte nebola uzavretá.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CE39" w14:textId="77777777" w:rsidR="00112A28" w:rsidRDefault="00112A28" w:rsidP="00112A28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6010" w14:textId="2E30C780" w:rsidR="00CF6F33" w:rsidRPr="00514611" w:rsidRDefault="0059722C" w:rsidP="00EB46D9">
    <w:pPr>
      <w:pStyle w:val="Hlavika"/>
      <w:rPr>
        <w:lang w:val="sk-SK"/>
      </w:rPr>
    </w:pPr>
    <w:r w:rsidRPr="00514611">
      <w:rPr>
        <w:noProof/>
        <w:lang w:val="sk-SK"/>
      </w:rPr>
      <w:drawing>
        <wp:anchor distT="0" distB="0" distL="114300" distR="114300" simplePos="0" relativeHeight="251658241" behindDoc="0" locked="1" layoutInCell="1" allowOverlap="1" wp14:anchorId="5559ED3E" wp14:editId="6E3F6630">
          <wp:simplePos x="0" y="0"/>
          <wp:positionH relativeFrom="margin">
            <wp:align>right</wp:align>
          </wp:positionH>
          <wp:positionV relativeFrom="topMargin">
            <wp:posOffset>695325</wp:posOffset>
          </wp:positionV>
          <wp:extent cx="1051560" cy="60325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36" t="10539" r="5063" b="12550"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4611">
      <w:rPr>
        <w:noProof/>
        <w:lang w:val="sk-SK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D561A9" wp14:editId="7310849B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0" t="0" r="1905" b="11430"/>
              <wp:wrapNone/>
              <wp:docPr id="2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3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arto="http://schemas.microsoft.com/office/word/2006/arto">
          <w:pict>
            <v:group w14:anchorId="516FD42E" id="Group 16" o:spid="_x0000_s1026" style="position:absolute;margin-left:14.2pt;margin-top:297.7pt;width:14.15pt;height:297.65pt;z-index:251658240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">
              <v:line id="Line 17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" stroked="f" strokecolor="#e1000f" strokeweight=".5pt"/>
              <v:line id="Line 18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" stroked="f" strokecolor="#e1000f" strokeweight=".5pt"/>
              <v:line id="Line 19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" stroked="f" strokecolor="#e1000f" strokeweight=".5pt"/>
              <w10:wrap anchorx="page" anchory="page"/>
            </v:group>
          </w:pict>
        </mc:Fallback>
      </mc:AlternateContent>
    </w:r>
    <w:r w:rsidR="00B71239" w:rsidRPr="00514611">
      <w:rPr>
        <w:noProof/>
        <w:lang w:val="sk-SK"/>
      </w:rPr>
      <w:t>Tlačová</w:t>
    </w:r>
    <w:r w:rsidR="00B422EC" w:rsidRPr="00514611">
      <w:rPr>
        <w:lang w:val="sk-SK"/>
      </w:rPr>
      <w:t xml:space="preserve"> </w:t>
    </w:r>
    <w:r w:rsidR="00B71239" w:rsidRPr="00514611">
      <w:rPr>
        <w:lang w:val="sk-SK"/>
      </w:rPr>
      <w:t>správa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ACA89C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E26D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D2779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00810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985238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2E75C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349418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BC8CC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BA2E02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B4159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E1865"/>
    <w:multiLevelType w:val="hybridMultilevel"/>
    <w:tmpl w:val="4A06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CF4270"/>
    <w:multiLevelType w:val="hybridMultilevel"/>
    <w:tmpl w:val="12EC31FA"/>
    <w:lvl w:ilvl="0" w:tplc="785A8864">
      <w:start w:val="1"/>
      <w:numFmt w:val="bullet"/>
      <w:pStyle w:val="Num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E1000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B585C"/>
    <w:multiLevelType w:val="hybridMultilevel"/>
    <w:tmpl w:val="70D4F3A4"/>
    <w:lvl w:ilvl="0" w:tplc="68061C8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F4B6752"/>
    <w:multiLevelType w:val="hybridMultilevel"/>
    <w:tmpl w:val="1DAEF754"/>
    <w:lvl w:ilvl="0" w:tplc="36002C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1000F"/>
        <w:sz w:val="24"/>
        <w:szCs w:val="24"/>
      </w:rPr>
    </w:lvl>
    <w:lvl w:ilvl="1" w:tplc="645A6B9C">
      <w:numFmt w:val="bullet"/>
      <w:lvlText w:val="-"/>
      <w:lvlJc w:val="left"/>
      <w:pPr>
        <w:ind w:left="1080" w:hanging="360"/>
      </w:pPr>
      <w:rPr>
        <w:rFonts w:ascii="Arial" w:hAnsi="Arial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C5131F"/>
    <w:multiLevelType w:val="hybridMultilevel"/>
    <w:tmpl w:val="8F8421BE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9B0C97"/>
    <w:multiLevelType w:val="hybridMultilevel"/>
    <w:tmpl w:val="DCD2F366"/>
    <w:lvl w:ilvl="0" w:tplc="53A085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9532E"/>
    <w:multiLevelType w:val="hybridMultilevel"/>
    <w:tmpl w:val="357663A0"/>
    <w:lvl w:ilvl="0" w:tplc="5FB28F0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697967">
    <w:abstractNumId w:val="11"/>
  </w:num>
  <w:num w:numId="2" w16cid:durableId="1563175876">
    <w:abstractNumId w:val="10"/>
  </w:num>
  <w:num w:numId="3" w16cid:durableId="1141115785">
    <w:abstractNumId w:val="16"/>
  </w:num>
  <w:num w:numId="4" w16cid:durableId="1658344630">
    <w:abstractNumId w:val="14"/>
  </w:num>
  <w:num w:numId="5" w16cid:durableId="2132553883">
    <w:abstractNumId w:val="12"/>
  </w:num>
  <w:num w:numId="6" w16cid:durableId="545726518">
    <w:abstractNumId w:val="15"/>
  </w:num>
  <w:num w:numId="7" w16cid:durableId="1056660316">
    <w:abstractNumId w:val="8"/>
  </w:num>
  <w:num w:numId="8" w16cid:durableId="240679735">
    <w:abstractNumId w:val="3"/>
  </w:num>
  <w:num w:numId="9" w16cid:durableId="976227418">
    <w:abstractNumId w:val="2"/>
  </w:num>
  <w:num w:numId="10" w16cid:durableId="700209127">
    <w:abstractNumId w:val="1"/>
  </w:num>
  <w:num w:numId="11" w16cid:durableId="1438057309">
    <w:abstractNumId w:val="0"/>
  </w:num>
  <w:num w:numId="12" w16cid:durableId="468786566">
    <w:abstractNumId w:val="9"/>
  </w:num>
  <w:num w:numId="13" w16cid:durableId="1169634821">
    <w:abstractNumId w:val="7"/>
  </w:num>
  <w:num w:numId="14" w16cid:durableId="1891457900">
    <w:abstractNumId w:val="6"/>
  </w:num>
  <w:num w:numId="15" w16cid:durableId="977303102">
    <w:abstractNumId w:val="5"/>
  </w:num>
  <w:num w:numId="16" w16cid:durableId="1799449228">
    <w:abstractNumId w:val="4"/>
  </w:num>
  <w:num w:numId="17" w16cid:durableId="9128525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e1000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1C"/>
    <w:rsid w:val="00000839"/>
    <w:rsid w:val="00002AA4"/>
    <w:rsid w:val="00005267"/>
    <w:rsid w:val="00006346"/>
    <w:rsid w:val="00021C67"/>
    <w:rsid w:val="00030557"/>
    <w:rsid w:val="00030F51"/>
    <w:rsid w:val="00035A84"/>
    <w:rsid w:val="00040CC9"/>
    <w:rsid w:val="00051E86"/>
    <w:rsid w:val="000575F9"/>
    <w:rsid w:val="000618FC"/>
    <w:rsid w:val="0006344D"/>
    <w:rsid w:val="00067071"/>
    <w:rsid w:val="000722E8"/>
    <w:rsid w:val="00080D10"/>
    <w:rsid w:val="0008357F"/>
    <w:rsid w:val="000A44A0"/>
    <w:rsid w:val="000B5A10"/>
    <w:rsid w:val="000B695A"/>
    <w:rsid w:val="000C2041"/>
    <w:rsid w:val="000C210A"/>
    <w:rsid w:val="000C56DD"/>
    <w:rsid w:val="000D1672"/>
    <w:rsid w:val="000D29F1"/>
    <w:rsid w:val="000D6831"/>
    <w:rsid w:val="000E2F62"/>
    <w:rsid w:val="000E38ED"/>
    <w:rsid w:val="000E7F24"/>
    <w:rsid w:val="000F03BE"/>
    <w:rsid w:val="000F1757"/>
    <w:rsid w:val="000F225B"/>
    <w:rsid w:val="000F7FAF"/>
    <w:rsid w:val="00105975"/>
    <w:rsid w:val="00111F4D"/>
    <w:rsid w:val="00112A28"/>
    <w:rsid w:val="00114FB6"/>
    <w:rsid w:val="00115230"/>
    <w:rsid w:val="00115B5F"/>
    <w:rsid w:val="001162B4"/>
    <w:rsid w:val="00122CBC"/>
    <w:rsid w:val="00126D4A"/>
    <w:rsid w:val="00132DA9"/>
    <w:rsid w:val="0013305B"/>
    <w:rsid w:val="00133B99"/>
    <w:rsid w:val="001443BD"/>
    <w:rsid w:val="001577E9"/>
    <w:rsid w:val="00157DDB"/>
    <w:rsid w:val="0016138C"/>
    <w:rsid w:val="001616BF"/>
    <w:rsid w:val="001731CE"/>
    <w:rsid w:val="00173E03"/>
    <w:rsid w:val="001810B6"/>
    <w:rsid w:val="001837B6"/>
    <w:rsid w:val="001864C0"/>
    <w:rsid w:val="001A1617"/>
    <w:rsid w:val="001B7C0D"/>
    <w:rsid w:val="001B7C20"/>
    <w:rsid w:val="001C0B32"/>
    <w:rsid w:val="001C4BE1"/>
    <w:rsid w:val="001D292E"/>
    <w:rsid w:val="001D53A9"/>
    <w:rsid w:val="001D71D8"/>
    <w:rsid w:val="001D7ADF"/>
    <w:rsid w:val="001E0F71"/>
    <w:rsid w:val="001E6D05"/>
    <w:rsid w:val="001E7C28"/>
    <w:rsid w:val="001F1BDF"/>
    <w:rsid w:val="001F7110"/>
    <w:rsid w:val="001F7E96"/>
    <w:rsid w:val="00202284"/>
    <w:rsid w:val="00204A5C"/>
    <w:rsid w:val="00212488"/>
    <w:rsid w:val="00220628"/>
    <w:rsid w:val="002304D2"/>
    <w:rsid w:val="00234ABD"/>
    <w:rsid w:val="00236E2A"/>
    <w:rsid w:val="0023780E"/>
    <w:rsid w:val="00237F62"/>
    <w:rsid w:val="0024586A"/>
    <w:rsid w:val="00256F0C"/>
    <w:rsid w:val="00262C05"/>
    <w:rsid w:val="00281D14"/>
    <w:rsid w:val="00282C13"/>
    <w:rsid w:val="002A0DF7"/>
    <w:rsid w:val="002A2975"/>
    <w:rsid w:val="002A60E0"/>
    <w:rsid w:val="002A62E7"/>
    <w:rsid w:val="002B24B9"/>
    <w:rsid w:val="002C1344"/>
    <w:rsid w:val="002C252E"/>
    <w:rsid w:val="002C6773"/>
    <w:rsid w:val="002D2A3D"/>
    <w:rsid w:val="002E0B17"/>
    <w:rsid w:val="002E4FFB"/>
    <w:rsid w:val="002E7DED"/>
    <w:rsid w:val="002F160A"/>
    <w:rsid w:val="002F7E11"/>
    <w:rsid w:val="00304087"/>
    <w:rsid w:val="00310ACD"/>
    <w:rsid w:val="0031379F"/>
    <w:rsid w:val="00316352"/>
    <w:rsid w:val="00320A26"/>
    <w:rsid w:val="00321344"/>
    <w:rsid w:val="0033451C"/>
    <w:rsid w:val="00336854"/>
    <w:rsid w:val="0034015C"/>
    <w:rsid w:val="003442F4"/>
    <w:rsid w:val="0034521C"/>
    <w:rsid w:val="00353705"/>
    <w:rsid w:val="003562E8"/>
    <w:rsid w:val="0036357D"/>
    <w:rsid w:val="003649BC"/>
    <w:rsid w:val="00365E44"/>
    <w:rsid w:val="00367AA1"/>
    <w:rsid w:val="00372E36"/>
    <w:rsid w:val="00376EE9"/>
    <w:rsid w:val="00377CBB"/>
    <w:rsid w:val="00385185"/>
    <w:rsid w:val="003877B6"/>
    <w:rsid w:val="00393887"/>
    <w:rsid w:val="00394C6B"/>
    <w:rsid w:val="003A4E62"/>
    <w:rsid w:val="003B1069"/>
    <w:rsid w:val="003B390A"/>
    <w:rsid w:val="003C15DE"/>
    <w:rsid w:val="003C1B49"/>
    <w:rsid w:val="003C466F"/>
    <w:rsid w:val="003C4EB2"/>
    <w:rsid w:val="003F1AF3"/>
    <w:rsid w:val="003F4D8D"/>
    <w:rsid w:val="004002DD"/>
    <w:rsid w:val="00402D5A"/>
    <w:rsid w:val="004313E7"/>
    <w:rsid w:val="0044763B"/>
    <w:rsid w:val="00451F34"/>
    <w:rsid w:val="004629B3"/>
    <w:rsid w:val="0046376E"/>
    <w:rsid w:val="00463E8B"/>
    <w:rsid w:val="00464E68"/>
    <w:rsid w:val="0046690F"/>
    <w:rsid w:val="00472FEC"/>
    <w:rsid w:val="00490A03"/>
    <w:rsid w:val="00492546"/>
    <w:rsid w:val="00493327"/>
    <w:rsid w:val="00494DBE"/>
    <w:rsid w:val="00495CE6"/>
    <w:rsid w:val="004A323C"/>
    <w:rsid w:val="004B54E8"/>
    <w:rsid w:val="004C449F"/>
    <w:rsid w:val="004C4FEB"/>
    <w:rsid w:val="004C6B79"/>
    <w:rsid w:val="004D059B"/>
    <w:rsid w:val="004D20B0"/>
    <w:rsid w:val="004D4CB6"/>
    <w:rsid w:val="004E0870"/>
    <w:rsid w:val="004E3341"/>
    <w:rsid w:val="004F10C1"/>
    <w:rsid w:val="00502E62"/>
    <w:rsid w:val="00504452"/>
    <w:rsid w:val="00506B8A"/>
    <w:rsid w:val="00514611"/>
    <w:rsid w:val="0052212B"/>
    <w:rsid w:val="00525ACE"/>
    <w:rsid w:val="00530731"/>
    <w:rsid w:val="00531B98"/>
    <w:rsid w:val="00534B46"/>
    <w:rsid w:val="00540358"/>
    <w:rsid w:val="00540D47"/>
    <w:rsid w:val="00550864"/>
    <w:rsid w:val="0055571E"/>
    <w:rsid w:val="00556F67"/>
    <w:rsid w:val="005833F0"/>
    <w:rsid w:val="00586CAF"/>
    <w:rsid w:val="005873E9"/>
    <w:rsid w:val="00591180"/>
    <w:rsid w:val="0059722C"/>
    <w:rsid w:val="00597D07"/>
    <w:rsid w:val="005A3846"/>
    <w:rsid w:val="005B1F0C"/>
    <w:rsid w:val="005B6A58"/>
    <w:rsid w:val="005C7112"/>
    <w:rsid w:val="005D0561"/>
    <w:rsid w:val="005D0AD9"/>
    <w:rsid w:val="005D1B3A"/>
    <w:rsid w:val="005D22F6"/>
    <w:rsid w:val="005E0C30"/>
    <w:rsid w:val="005E69D9"/>
    <w:rsid w:val="005F27F4"/>
    <w:rsid w:val="005F3239"/>
    <w:rsid w:val="005F3B99"/>
    <w:rsid w:val="005F6567"/>
    <w:rsid w:val="00607256"/>
    <w:rsid w:val="006144B1"/>
    <w:rsid w:val="006335F1"/>
    <w:rsid w:val="006345B6"/>
    <w:rsid w:val="00635712"/>
    <w:rsid w:val="00641884"/>
    <w:rsid w:val="00643D8A"/>
    <w:rsid w:val="006513EB"/>
    <w:rsid w:val="00652229"/>
    <w:rsid w:val="00652793"/>
    <w:rsid w:val="00654FCE"/>
    <w:rsid w:val="006626CA"/>
    <w:rsid w:val="00663487"/>
    <w:rsid w:val="00666982"/>
    <w:rsid w:val="00672382"/>
    <w:rsid w:val="00682643"/>
    <w:rsid w:val="00682EB9"/>
    <w:rsid w:val="0068441A"/>
    <w:rsid w:val="00690B19"/>
    <w:rsid w:val="006A0A3C"/>
    <w:rsid w:val="006A79F0"/>
    <w:rsid w:val="006B47EE"/>
    <w:rsid w:val="006B499F"/>
    <w:rsid w:val="006D488C"/>
    <w:rsid w:val="006D4996"/>
    <w:rsid w:val="006D54AB"/>
    <w:rsid w:val="006E3006"/>
    <w:rsid w:val="006E5032"/>
    <w:rsid w:val="006E5BDA"/>
    <w:rsid w:val="006F0FC7"/>
    <w:rsid w:val="006F1A21"/>
    <w:rsid w:val="006F39A9"/>
    <w:rsid w:val="006F670F"/>
    <w:rsid w:val="00703272"/>
    <w:rsid w:val="00703C8A"/>
    <w:rsid w:val="0070733C"/>
    <w:rsid w:val="00710C5D"/>
    <w:rsid w:val="0071348C"/>
    <w:rsid w:val="00717273"/>
    <w:rsid w:val="00720FD4"/>
    <w:rsid w:val="00724AF2"/>
    <w:rsid w:val="00725058"/>
    <w:rsid w:val="0073096C"/>
    <w:rsid w:val="00742398"/>
    <w:rsid w:val="007507B5"/>
    <w:rsid w:val="0075091D"/>
    <w:rsid w:val="00753A24"/>
    <w:rsid w:val="0075720A"/>
    <w:rsid w:val="00765A62"/>
    <w:rsid w:val="00770591"/>
    <w:rsid w:val="00772188"/>
    <w:rsid w:val="007813D0"/>
    <w:rsid w:val="00785993"/>
    <w:rsid w:val="007866E2"/>
    <w:rsid w:val="00786BA3"/>
    <w:rsid w:val="0079202F"/>
    <w:rsid w:val="00795AF2"/>
    <w:rsid w:val="007A2AAD"/>
    <w:rsid w:val="007A4432"/>
    <w:rsid w:val="007A784E"/>
    <w:rsid w:val="007B499C"/>
    <w:rsid w:val="007B4D4B"/>
    <w:rsid w:val="007D2A02"/>
    <w:rsid w:val="007E6EA1"/>
    <w:rsid w:val="007F0F63"/>
    <w:rsid w:val="007F2B1E"/>
    <w:rsid w:val="007F62B4"/>
    <w:rsid w:val="00801517"/>
    <w:rsid w:val="00806870"/>
    <w:rsid w:val="00817AE8"/>
    <w:rsid w:val="00817DE8"/>
    <w:rsid w:val="008229F5"/>
    <w:rsid w:val="0082699A"/>
    <w:rsid w:val="00833CEB"/>
    <w:rsid w:val="008372D2"/>
    <w:rsid w:val="008377BC"/>
    <w:rsid w:val="00843EE2"/>
    <w:rsid w:val="00844C17"/>
    <w:rsid w:val="00847726"/>
    <w:rsid w:val="00852511"/>
    <w:rsid w:val="008614F1"/>
    <w:rsid w:val="008639B3"/>
    <w:rsid w:val="00863C1A"/>
    <w:rsid w:val="0087142D"/>
    <w:rsid w:val="008733D9"/>
    <w:rsid w:val="00873956"/>
    <w:rsid w:val="0088091C"/>
    <w:rsid w:val="00880E72"/>
    <w:rsid w:val="008825EE"/>
    <w:rsid w:val="0088596E"/>
    <w:rsid w:val="0089796A"/>
    <w:rsid w:val="008A2375"/>
    <w:rsid w:val="008C52EF"/>
    <w:rsid w:val="008D76C5"/>
    <w:rsid w:val="008E0AFA"/>
    <w:rsid w:val="008E75D3"/>
    <w:rsid w:val="008F125E"/>
    <w:rsid w:val="008F4D2F"/>
    <w:rsid w:val="00906292"/>
    <w:rsid w:val="009076AF"/>
    <w:rsid w:val="00917162"/>
    <w:rsid w:val="00921190"/>
    <w:rsid w:val="009251CC"/>
    <w:rsid w:val="0092714E"/>
    <w:rsid w:val="00942002"/>
    <w:rsid w:val="00947885"/>
    <w:rsid w:val="00952168"/>
    <w:rsid w:val="009527FE"/>
    <w:rsid w:val="009739A0"/>
    <w:rsid w:val="00974F84"/>
    <w:rsid w:val="009767C7"/>
    <w:rsid w:val="00981A94"/>
    <w:rsid w:val="009827BF"/>
    <w:rsid w:val="0098579A"/>
    <w:rsid w:val="0099195A"/>
    <w:rsid w:val="00992A11"/>
    <w:rsid w:val="00994681"/>
    <w:rsid w:val="0099486A"/>
    <w:rsid w:val="009A0E26"/>
    <w:rsid w:val="009A16EC"/>
    <w:rsid w:val="009A675F"/>
    <w:rsid w:val="009B29B7"/>
    <w:rsid w:val="009B3B37"/>
    <w:rsid w:val="009B6F44"/>
    <w:rsid w:val="009B7D1F"/>
    <w:rsid w:val="009C088E"/>
    <w:rsid w:val="009C4D35"/>
    <w:rsid w:val="009D1522"/>
    <w:rsid w:val="009D7252"/>
    <w:rsid w:val="009E5EB4"/>
    <w:rsid w:val="00A044D6"/>
    <w:rsid w:val="00A04ADB"/>
    <w:rsid w:val="00A11E0F"/>
    <w:rsid w:val="00A23264"/>
    <w:rsid w:val="00A26CB6"/>
    <w:rsid w:val="00A32F82"/>
    <w:rsid w:val="00A32F8B"/>
    <w:rsid w:val="00A370ED"/>
    <w:rsid w:val="00A3756F"/>
    <w:rsid w:val="00A41AF7"/>
    <w:rsid w:val="00A41DE8"/>
    <w:rsid w:val="00A42D6F"/>
    <w:rsid w:val="00A45A62"/>
    <w:rsid w:val="00A54AC5"/>
    <w:rsid w:val="00A55DC3"/>
    <w:rsid w:val="00A56C13"/>
    <w:rsid w:val="00A56D41"/>
    <w:rsid w:val="00A61353"/>
    <w:rsid w:val="00A66DB1"/>
    <w:rsid w:val="00A67A92"/>
    <w:rsid w:val="00A87870"/>
    <w:rsid w:val="00A91A70"/>
    <w:rsid w:val="00AA1B85"/>
    <w:rsid w:val="00AB1CB6"/>
    <w:rsid w:val="00AB1D9A"/>
    <w:rsid w:val="00AB2F94"/>
    <w:rsid w:val="00AC46CF"/>
    <w:rsid w:val="00AC67B1"/>
    <w:rsid w:val="00AD44FE"/>
    <w:rsid w:val="00AE49F1"/>
    <w:rsid w:val="00AF21ED"/>
    <w:rsid w:val="00B05CCA"/>
    <w:rsid w:val="00B14271"/>
    <w:rsid w:val="00B14C02"/>
    <w:rsid w:val="00B16270"/>
    <w:rsid w:val="00B2685D"/>
    <w:rsid w:val="00B30351"/>
    <w:rsid w:val="00B33C2A"/>
    <w:rsid w:val="00B422EC"/>
    <w:rsid w:val="00B51109"/>
    <w:rsid w:val="00B6547F"/>
    <w:rsid w:val="00B71239"/>
    <w:rsid w:val="00B726D4"/>
    <w:rsid w:val="00B8214F"/>
    <w:rsid w:val="00B86A4F"/>
    <w:rsid w:val="00B93035"/>
    <w:rsid w:val="00B9337E"/>
    <w:rsid w:val="00B935ED"/>
    <w:rsid w:val="00B942A8"/>
    <w:rsid w:val="00B9479D"/>
    <w:rsid w:val="00B958E8"/>
    <w:rsid w:val="00B97E4A"/>
    <w:rsid w:val="00BA09B2"/>
    <w:rsid w:val="00BA5B46"/>
    <w:rsid w:val="00BA74FD"/>
    <w:rsid w:val="00BB5D0B"/>
    <w:rsid w:val="00BC0995"/>
    <w:rsid w:val="00BD2831"/>
    <w:rsid w:val="00BE74BB"/>
    <w:rsid w:val="00BE793A"/>
    <w:rsid w:val="00BF2B82"/>
    <w:rsid w:val="00BF432A"/>
    <w:rsid w:val="00BF605A"/>
    <w:rsid w:val="00BF6E82"/>
    <w:rsid w:val="00C00691"/>
    <w:rsid w:val="00C060C7"/>
    <w:rsid w:val="00C24C17"/>
    <w:rsid w:val="00C32857"/>
    <w:rsid w:val="00C3758F"/>
    <w:rsid w:val="00C40B88"/>
    <w:rsid w:val="00C42C93"/>
    <w:rsid w:val="00C43F41"/>
    <w:rsid w:val="00C47D87"/>
    <w:rsid w:val="00C50DBB"/>
    <w:rsid w:val="00C5376E"/>
    <w:rsid w:val="00C808A6"/>
    <w:rsid w:val="00C8167D"/>
    <w:rsid w:val="00C97091"/>
    <w:rsid w:val="00C97260"/>
    <w:rsid w:val="00CA2001"/>
    <w:rsid w:val="00CB5B6C"/>
    <w:rsid w:val="00CC052E"/>
    <w:rsid w:val="00CD16BE"/>
    <w:rsid w:val="00CD4616"/>
    <w:rsid w:val="00CD47AC"/>
    <w:rsid w:val="00CD56AF"/>
    <w:rsid w:val="00CD6857"/>
    <w:rsid w:val="00CD7198"/>
    <w:rsid w:val="00CE33D5"/>
    <w:rsid w:val="00CF3A39"/>
    <w:rsid w:val="00CF5D37"/>
    <w:rsid w:val="00CF6F33"/>
    <w:rsid w:val="00D02248"/>
    <w:rsid w:val="00D063B8"/>
    <w:rsid w:val="00D06825"/>
    <w:rsid w:val="00D13CCB"/>
    <w:rsid w:val="00D17E3B"/>
    <w:rsid w:val="00D23C09"/>
    <w:rsid w:val="00D23CED"/>
    <w:rsid w:val="00D24BD2"/>
    <w:rsid w:val="00D2573D"/>
    <w:rsid w:val="00D260A2"/>
    <w:rsid w:val="00D30CC6"/>
    <w:rsid w:val="00D3260C"/>
    <w:rsid w:val="00D351FA"/>
    <w:rsid w:val="00D35790"/>
    <w:rsid w:val="00D5653B"/>
    <w:rsid w:val="00D62EF1"/>
    <w:rsid w:val="00D6309D"/>
    <w:rsid w:val="00D63BB5"/>
    <w:rsid w:val="00D644CA"/>
    <w:rsid w:val="00D66FC2"/>
    <w:rsid w:val="00D76C7E"/>
    <w:rsid w:val="00D771DE"/>
    <w:rsid w:val="00D7776D"/>
    <w:rsid w:val="00D9293F"/>
    <w:rsid w:val="00D93598"/>
    <w:rsid w:val="00DA1E18"/>
    <w:rsid w:val="00DA2009"/>
    <w:rsid w:val="00DB05B1"/>
    <w:rsid w:val="00DB46D0"/>
    <w:rsid w:val="00DB567E"/>
    <w:rsid w:val="00DB5A79"/>
    <w:rsid w:val="00DC2465"/>
    <w:rsid w:val="00DD4DEA"/>
    <w:rsid w:val="00DD512E"/>
    <w:rsid w:val="00DE1177"/>
    <w:rsid w:val="00DE270C"/>
    <w:rsid w:val="00DE2CEA"/>
    <w:rsid w:val="00DE3030"/>
    <w:rsid w:val="00DE6A3C"/>
    <w:rsid w:val="00DE74F4"/>
    <w:rsid w:val="00DE7F97"/>
    <w:rsid w:val="00DF1010"/>
    <w:rsid w:val="00DF5AEA"/>
    <w:rsid w:val="00DF63F6"/>
    <w:rsid w:val="00E02B4A"/>
    <w:rsid w:val="00E13747"/>
    <w:rsid w:val="00E25AEA"/>
    <w:rsid w:val="00E2616A"/>
    <w:rsid w:val="00E30DEF"/>
    <w:rsid w:val="00E30ED2"/>
    <w:rsid w:val="00E31276"/>
    <w:rsid w:val="00E37F70"/>
    <w:rsid w:val="00E4177E"/>
    <w:rsid w:val="00E446C1"/>
    <w:rsid w:val="00E54B2E"/>
    <w:rsid w:val="00E758B9"/>
    <w:rsid w:val="00E85569"/>
    <w:rsid w:val="00E856AF"/>
    <w:rsid w:val="00E86B83"/>
    <w:rsid w:val="00E87C64"/>
    <w:rsid w:val="00E91988"/>
    <w:rsid w:val="00E93A01"/>
    <w:rsid w:val="00E93FF8"/>
    <w:rsid w:val="00E962F0"/>
    <w:rsid w:val="00E96EAF"/>
    <w:rsid w:val="00EA1752"/>
    <w:rsid w:val="00EA2BDC"/>
    <w:rsid w:val="00EA5A89"/>
    <w:rsid w:val="00EA5BDB"/>
    <w:rsid w:val="00EB46D9"/>
    <w:rsid w:val="00EC142D"/>
    <w:rsid w:val="00EC1E16"/>
    <w:rsid w:val="00ED0024"/>
    <w:rsid w:val="00ED0F85"/>
    <w:rsid w:val="00ED2B5C"/>
    <w:rsid w:val="00ED3269"/>
    <w:rsid w:val="00EE1A8C"/>
    <w:rsid w:val="00EE4643"/>
    <w:rsid w:val="00EF1330"/>
    <w:rsid w:val="00EF15FF"/>
    <w:rsid w:val="00EF4A30"/>
    <w:rsid w:val="00EF6666"/>
    <w:rsid w:val="00EF7111"/>
    <w:rsid w:val="00EF7D1A"/>
    <w:rsid w:val="00F0448F"/>
    <w:rsid w:val="00F0716C"/>
    <w:rsid w:val="00F12341"/>
    <w:rsid w:val="00F13BF6"/>
    <w:rsid w:val="00F266D9"/>
    <w:rsid w:val="00F270E9"/>
    <w:rsid w:val="00F275C0"/>
    <w:rsid w:val="00F30D20"/>
    <w:rsid w:val="00F30D88"/>
    <w:rsid w:val="00F346B6"/>
    <w:rsid w:val="00F36145"/>
    <w:rsid w:val="00F37BDD"/>
    <w:rsid w:val="00F41503"/>
    <w:rsid w:val="00F41922"/>
    <w:rsid w:val="00F466C8"/>
    <w:rsid w:val="00F4683B"/>
    <w:rsid w:val="00F469A9"/>
    <w:rsid w:val="00F50B46"/>
    <w:rsid w:val="00F50D1F"/>
    <w:rsid w:val="00F61C02"/>
    <w:rsid w:val="00F6203E"/>
    <w:rsid w:val="00F635FC"/>
    <w:rsid w:val="00F63D03"/>
    <w:rsid w:val="00F65E2F"/>
    <w:rsid w:val="00F67DF1"/>
    <w:rsid w:val="00F71E93"/>
    <w:rsid w:val="00F8309B"/>
    <w:rsid w:val="00F833C9"/>
    <w:rsid w:val="00F90064"/>
    <w:rsid w:val="00F910E7"/>
    <w:rsid w:val="00F96AFD"/>
    <w:rsid w:val="00FA1398"/>
    <w:rsid w:val="00FA2E19"/>
    <w:rsid w:val="00FA697F"/>
    <w:rsid w:val="00FB2215"/>
    <w:rsid w:val="00FB3595"/>
    <w:rsid w:val="00FB5521"/>
    <w:rsid w:val="00FB610D"/>
    <w:rsid w:val="00FB6C87"/>
    <w:rsid w:val="00FC4477"/>
    <w:rsid w:val="00FC46FB"/>
    <w:rsid w:val="00FD0A38"/>
    <w:rsid w:val="00FD2BD3"/>
    <w:rsid w:val="00FD4CCA"/>
    <w:rsid w:val="00FE2A9E"/>
    <w:rsid w:val="00FE332F"/>
    <w:rsid w:val="00FE6B53"/>
    <w:rsid w:val="00FF24E4"/>
    <w:rsid w:val="00FF3797"/>
    <w:rsid w:val="0B4E0D5F"/>
    <w:rsid w:val="0EC4170D"/>
    <w:rsid w:val="5CA1CBF4"/>
    <w:rsid w:val="5F44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1000f"/>
    </o:shapedefaults>
    <o:shapelayout v:ext="edit">
      <o:idmap v:ext="edit" data="2"/>
    </o:shapelayout>
  </w:shapeDefaults>
  <w:decimalSymbol w:val=","/>
  <w:listSeparator w:val=";"/>
  <w14:docId w14:val="3FB409AA"/>
  <w15:chartTrackingRefBased/>
  <w15:docId w15:val="{CDD9F393-5C36-4AB9-A779-1C5E53E8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sz w:val="18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A2975"/>
    <w:pPr>
      <w:spacing w:line="276" w:lineRule="auto"/>
      <w:jc w:val="both"/>
    </w:pPr>
    <w:rPr>
      <w:sz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97261"/>
    <w:pPr>
      <w:keepNext/>
      <w:spacing w:line="420" w:lineRule="atLeast"/>
      <w:outlineLvl w:val="0"/>
    </w:pPr>
    <w:rPr>
      <w:rFonts w:cs="Arial"/>
      <w:b/>
      <w:bCs/>
      <w:kern w:val="32"/>
      <w:sz w:val="36"/>
      <w:szCs w:val="32"/>
    </w:rPr>
  </w:style>
  <w:style w:type="paragraph" w:styleId="Nadpis2">
    <w:name w:val="heading 2"/>
    <w:basedOn w:val="Normlny"/>
    <w:next w:val="Normlny"/>
    <w:qFormat/>
    <w:rsid w:val="003F46B0"/>
    <w:pPr>
      <w:keepNext/>
      <w:outlineLvl w:val="1"/>
    </w:pPr>
    <w:rPr>
      <w:rFonts w:cs="Arial"/>
      <w:bCs/>
      <w:iCs/>
      <w:color w:val="E1000F"/>
      <w:szCs w:val="28"/>
    </w:rPr>
  </w:style>
  <w:style w:type="paragraph" w:styleId="Nadpis3">
    <w:name w:val="heading 3"/>
    <w:basedOn w:val="Nadpis2"/>
    <w:next w:val="Normlny"/>
    <w:qFormat/>
    <w:rsid w:val="006F1596"/>
    <w:pPr>
      <w:outlineLvl w:val="2"/>
    </w:pPr>
    <w:rPr>
      <w:color w:val="auto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002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74E55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002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74E55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002D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3439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002D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F3439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4002D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4002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3758F"/>
    <w:pPr>
      <w:tabs>
        <w:tab w:val="left" w:pos="2607"/>
        <w:tab w:val="center" w:pos="4320"/>
        <w:tab w:val="right" w:pos="9356"/>
      </w:tabs>
      <w:spacing w:before="1440" w:line="100" w:lineRule="atLeast"/>
      <w:jc w:val="right"/>
    </w:pPr>
    <w:rPr>
      <w:rFonts w:cs="Segoe UI"/>
      <w:b/>
      <w:bCs/>
      <w:color w:val="3E3C3C"/>
      <w:sz w:val="40"/>
      <w:szCs w:val="40"/>
    </w:rPr>
  </w:style>
  <w:style w:type="paragraph" w:styleId="Pta">
    <w:name w:val="footer"/>
    <w:basedOn w:val="Normlny"/>
    <w:link w:val="PtaChar"/>
    <w:uiPriority w:val="99"/>
    <w:rsid w:val="00992A11"/>
    <w:pPr>
      <w:tabs>
        <w:tab w:val="right" w:pos="7083"/>
        <w:tab w:val="right" w:pos="8640"/>
      </w:tabs>
      <w:spacing w:line="180" w:lineRule="atLeast"/>
      <w:jc w:val="right"/>
    </w:pPr>
    <w:rPr>
      <w:bCs/>
      <w:noProof/>
      <w:sz w:val="12"/>
    </w:rPr>
  </w:style>
  <w:style w:type="paragraph" w:customStyle="1" w:styleId="Intro">
    <w:name w:val="Intro"/>
    <w:basedOn w:val="Normlny"/>
    <w:rsid w:val="006F1596"/>
    <w:pPr>
      <w:spacing w:after="300"/>
    </w:pPr>
    <w:rPr>
      <w:color w:val="415055"/>
      <w:sz w:val="24"/>
    </w:rPr>
  </w:style>
  <w:style w:type="paragraph" w:customStyle="1" w:styleId="NumBullet">
    <w:name w:val="Num_Bullet"/>
    <w:basedOn w:val="Normlny"/>
    <w:rsid w:val="00576BC8"/>
    <w:pPr>
      <w:numPr>
        <w:numId w:val="1"/>
      </w:numPr>
      <w:tabs>
        <w:tab w:val="clear" w:pos="567"/>
        <w:tab w:val="left" w:pos="357"/>
      </w:tabs>
      <w:ind w:left="357" w:hanging="357"/>
    </w:pPr>
  </w:style>
  <w:style w:type="paragraph" w:customStyle="1" w:styleId="Page1Name">
    <w:name w:val="Page1_Name"/>
    <w:basedOn w:val="Normlny"/>
    <w:rsid w:val="004F237B"/>
    <w:pPr>
      <w:spacing w:after="420" w:line="360" w:lineRule="atLeast"/>
    </w:pPr>
    <w:rPr>
      <w:b/>
      <w:sz w:val="30"/>
    </w:rPr>
  </w:style>
  <w:style w:type="paragraph" w:customStyle="1" w:styleId="Page1Title">
    <w:name w:val="Page1_Title"/>
    <w:basedOn w:val="Normlny"/>
    <w:rsid w:val="004F237B"/>
    <w:pPr>
      <w:spacing w:line="228" w:lineRule="auto"/>
    </w:pPr>
    <w:rPr>
      <w:color w:val="E1000F"/>
      <w:sz w:val="90"/>
    </w:rPr>
  </w:style>
  <w:style w:type="paragraph" w:customStyle="1" w:styleId="Page1Author">
    <w:name w:val="Page1_Author"/>
    <w:basedOn w:val="Page1Name"/>
    <w:rsid w:val="004F237B"/>
    <w:pPr>
      <w:spacing w:before="240" w:after="0"/>
    </w:pPr>
    <w:rPr>
      <w:b w:val="0"/>
      <w:bCs/>
    </w:rPr>
  </w:style>
  <w:style w:type="table" w:styleId="Mriekatabuky">
    <w:name w:val="Table Grid"/>
    <w:basedOn w:val="Normlnatabuka"/>
    <w:rsid w:val="004F237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lny"/>
    <w:link w:val="InfoZchn"/>
    <w:rsid w:val="00EE59A4"/>
    <w:pPr>
      <w:spacing w:line="240" w:lineRule="atLeast"/>
    </w:pPr>
    <w:rPr>
      <w:sz w:val="13"/>
    </w:rPr>
  </w:style>
  <w:style w:type="character" w:customStyle="1" w:styleId="InfoZchn">
    <w:name w:val="Info Zchn"/>
    <w:link w:val="Info"/>
    <w:rsid w:val="003F6218"/>
    <w:rPr>
      <w:rFonts w:ascii="Arial" w:hAnsi="Arial"/>
      <w:sz w:val="13"/>
      <w:szCs w:val="24"/>
      <w:lang w:val="de-DE" w:eastAsia="en-US" w:bidi="ar-SA"/>
    </w:rPr>
  </w:style>
  <w:style w:type="paragraph" w:customStyle="1" w:styleId="Standard12pt">
    <w:name w:val="Standard_12pt"/>
    <w:basedOn w:val="Normlny"/>
    <w:rsid w:val="0048435F"/>
    <w:pPr>
      <w:spacing w:line="300" w:lineRule="atLeast"/>
    </w:pPr>
    <w:rPr>
      <w:sz w:val="24"/>
    </w:rPr>
  </w:style>
  <w:style w:type="character" w:customStyle="1" w:styleId="Nadpis1Char">
    <w:name w:val="Nadpis 1 Char"/>
    <w:link w:val="Nadpis1"/>
    <w:uiPriority w:val="99"/>
    <w:locked/>
    <w:rsid w:val="00B422EC"/>
    <w:rPr>
      <w:rFonts w:ascii="Arial" w:hAnsi="Arial" w:cs="Arial"/>
      <w:b/>
      <w:bCs/>
      <w:kern w:val="32"/>
      <w:sz w:val="36"/>
      <w:szCs w:val="32"/>
      <w:lang w:val="de-DE"/>
    </w:rPr>
  </w:style>
  <w:style w:type="character" w:styleId="Hypertextovprepojenie">
    <w:name w:val="Hyperlink"/>
    <w:rsid w:val="00336854"/>
    <w:rPr>
      <w:rFonts w:ascii="Segoe UI" w:hAnsi="Segoe UI"/>
      <w:color w:val="0000FF"/>
      <w:sz w:val="18"/>
      <w:szCs w:val="18"/>
      <w:u w:val="single"/>
    </w:rPr>
  </w:style>
  <w:style w:type="paragraph" w:customStyle="1" w:styleId="MittleresRaster1-Akzent21">
    <w:name w:val="Mittleres Raster 1 - Akzent 21"/>
    <w:basedOn w:val="Normlny"/>
    <w:uiPriority w:val="34"/>
    <w:qFormat/>
    <w:rsid w:val="00B422EC"/>
    <w:pPr>
      <w:ind w:left="720"/>
    </w:pPr>
  </w:style>
  <w:style w:type="paragraph" w:styleId="Textbubliny">
    <w:name w:val="Balloon Text"/>
    <w:basedOn w:val="Normlny"/>
    <w:link w:val="TextbublinyChar"/>
    <w:rsid w:val="00336854"/>
    <w:pPr>
      <w:spacing w:line="240" w:lineRule="auto"/>
    </w:pPr>
    <w:rPr>
      <w:sz w:val="18"/>
      <w:szCs w:val="18"/>
    </w:rPr>
  </w:style>
  <w:style w:type="character" w:customStyle="1" w:styleId="TextbublinyChar">
    <w:name w:val="Text bubliny Char"/>
    <w:link w:val="Textbubliny"/>
    <w:rsid w:val="00336854"/>
    <w:rPr>
      <w:rFonts w:ascii="Segoe UI" w:hAnsi="Segoe UI"/>
      <w:sz w:val="18"/>
      <w:szCs w:val="18"/>
      <w:lang w:val="de-DE"/>
    </w:rPr>
  </w:style>
  <w:style w:type="paragraph" w:customStyle="1" w:styleId="MittlereListe2-Akzent21">
    <w:name w:val="Mittlere Liste 2 - Akzent 21"/>
    <w:hidden/>
    <w:uiPriority w:val="99"/>
    <w:semiHidden/>
    <w:rsid w:val="002E0B17"/>
    <w:rPr>
      <w:rFonts w:ascii="Arial" w:hAnsi="Arial"/>
      <w:lang w:val="de-DE"/>
    </w:rPr>
  </w:style>
  <w:style w:type="character" w:customStyle="1" w:styleId="PtaChar">
    <w:name w:val="Päta Char"/>
    <w:link w:val="Pta"/>
    <w:uiPriority w:val="99"/>
    <w:rsid w:val="00992A11"/>
    <w:rPr>
      <w:rFonts w:ascii="Segoe UI" w:hAnsi="Segoe UI"/>
      <w:bCs/>
      <w:noProof/>
      <w:sz w:val="12"/>
      <w:szCs w:val="24"/>
      <w:lang w:val="de-DE"/>
    </w:rPr>
  </w:style>
  <w:style w:type="character" w:styleId="Nevyrieenzmienka">
    <w:name w:val="Unresolved Mention"/>
    <w:uiPriority w:val="99"/>
    <w:semiHidden/>
    <w:unhideWhenUsed/>
    <w:rsid w:val="000C210A"/>
    <w:rPr>
      <w:color w:val="605E5C"/>
      <w:shd w:val="clear" w:color="auto" w:fill="E1DFDD"/>
    </w:rPr>
  </w:style>
  <w:style w:type="paragraph" w:customStyle="1" w:styleId="Style12ptJustifiedLinespacing15lines">
    <w:name w:val="Style 12 pt Justified Line spacing:  1.5 lines"/>
    <w:basedOn w:val="Normlny"/>
    <w:rsid w:val="00974F84"/>
    <w:rPr>
      <w:szCs w:val="20"/>
    </w:rPr>
  </w:style>
  <w:style w:type="paragraph" w:customStyle="1" w:styleId="Style12ptJustifiedLinespacing15lines1">
    <w:name w:val="Style 12 pt Justified Line spacing:  1.5 lines1"/>
    <w:basedOn w:val="Normlny"/>
    <w:rsid w:val="00974F84"/>
    <w:pPr>
      <w:spacing w:before="120"/>
    </w:pPr>
    <w:rPr>
      <w:szCs w:val="20"/>
    </w:rPr>
  </w:style>
  <w:style w:type="character" w:customStyle="1" w:styleId="Headline">
    <w:name w:val="Headline"/>
    <w:basedOn w:val="Predvolenpsmoodseku"/>
    <w:rsid w:val="00A3756F"/>
    <w:rPr>
      <w:b/>
      <w:bCs/>
      <w:sz w:val="32"/>
    </w:rPr>
  </w:style>
  <w:style w:type="paragraph" w:customStyle="1" w:styleId="MonthDayYear">
    <w:name w:val="Month Day Year"/>
    <w:basedOn w:val="Normlny"/>
    <w:rsid w:val="00643D8A"/>
    <w:pPr>
      <w:spacing w:before="120"/>
      <w:ind w:right="-1"/>
      <w:jc w:val="right"/>
    </w:pPr>
    <w:rPr>
      <w:szCs w:val="20"/>
    </w:rPr>
  </w:style>
  <w:style w:type="paragraph" w:customStyle="1" w:styleId="Topline">
    <w:name w:val="Topline"/>
    <w:basedOn w:val="Normlny"/>
    <w:qFormat/>
    <w:rsid w:val="00472FEC"/>
    <w:pPr>
      <w:spacing w:before="560" w:after="560"/>
    </w:pPr>
    <w:rPr>
      <w:rFonts w:cs="Segoe UI"/>
      <w:szCs w:val="22"/>
    </w:rPr>
  </w:style>
  <w:style w:type="character" w:customStyle="1" w:styleId="AboutandContactBody">
    <w:name w:val="About and Contact Body"/>
    <w:basedOn w:val="Predvolenpsmoodseku"/>
    <w:rsid w:val="00336854"/>
    <w:rPr>
      <w:rFonts w:ascii="Segoe UI" w:hAnsi="Segoe UI"/>
      <w:sz w:val="18"/>
    </w:rPr>
  </w:style>
  <w:style w:type="character" w:customStyle="1" w:styleId="AboutandContactHeadline">
    <w:name w:val="About and Contact Headline"/>
    <w:basedOn w:val="Predvolenpsmoodseku"/>
    <w:rsid w:val="00336854"/>
    <w:rPr>
      <w:rFonts w:ascii="Segoe UI" w:hAnsi="Segoe UI"/>
      <w:b/>
      <w:bCs/>
      <w:sz w:val="18"/>
    </w:rPr>
  </w:style>
  <w:style w:type="paragraph" w:styleId="AdresaHTML">
    <w:name w:val="HTML Address"/>
    <w:basedOn w:val="Normlny"/>
    <w:link w:val="AdresaHTMLChar"/>
    <w:rsid w:val="004002DD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rsid w:val="004002DD"/>
    <w:rPr>
      <w:i/>
      <w:iCs/>
      <w:sz w:val="22"/>
    </w:rPr>
  </w:style>
  <w:style w:type="paragraph" w:styleId="Adresanaoblke">
    <w:name w:val="envelope address"/>
    <w:basedOn w:val="Normlny"/>
    <w:rsid w:val="004002D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Bezriadkovania">
    <w:name w:val="No Spacing"/>
    <w:uiPriority w:val="99"/>
    <w:qFormat/>
    <w:rsid w:val="004002DD"/>
    <w:pPr>
      <w:jc w:val="both"/>
    </w:pPr>
    <w:rPr>
      <w:sz w:val="22"/>
    </w:rPr>
  </w:style>
  <w:style w:type="paragraph" w:styleId="Bibliografia">
    <w:name w:val="Bibliography"/>
    <w:basedOn w:val="Normlny"/>
    <w:next w:val="Normlny"/>
    <w:uiPriority w:val="61"/>
    <w:semiHidden/>
    <w:unhideWhenUsed/>
    <w:rsid w:val="004002DD"/>
  </w:style>
  <w:style w:type="paragraph" w:styleId="Citcia">
    <w:name w:val="Quote"/>
    <w:basedOn w:val="Normlny"/>
    <w:next w:val="Normlny"/>
    <w:link w:val="CitciaChar"/>
    <w:uiPriority w:val="64"/>
    <w:qFormat/>
    <w:rsid w:val="004002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64"/>
    <w:rsid w:val="004002DD"/>
    <w:rPr>
      <w:i/>
      <w:iCs/>
      <w:color w:val="404040" w:themeColor="text1" w:themeTint="BF"/>
      <w:sz w:val="22"/>
    </w:rPr>
  </w:style>
  <w:style w:type="paragraph" w:styleId="slovanzoznam">
    <w:name w:val="List Number"/>
    <w:basedOn w:val="Normlny"/>
    <w:rsid w:val="004002DD"/>
    <w:pPr>
      <w:numPr>
        <w:numId w:val="7"/>
      </w:numPr>
      <w:contextualSpacing/>
    </w:pPr>
  </w:style>
  <w:style w:type="paragraph" w:styleId="slovanzoznam2">
    <w:name w:val="List Number 2"/>
    <w:basedOn w:val="Normlny"/>
    <w:rsid w:val="004002DD"/>
    <w:pPr>
      <w:numPr>
        <w:numId w:val="8"/>
      </w:numPr>
      <w:contextualSpacing/>
    </w:pPr>
  </w:style>
  <w:style w:type="paragraph" w:styleId="slovanzoznam3">
    <w:name w:val="List Number 3"/>
    <w:basedOn w:val="Normlny"/>
    <w:rsid w:val="004002DD"/>
    <w:pPr>
      <w:numPr>
        <w:numId w:val="9"/>
      </w:numPr>
      <w:contextualSpacing/>
    </w:pPr>
  </w:style>
  <w:style w:type="paragraph" w:styleId="slovanzoznam4">
    <w:name w:val="List Number 4"/>
    <w:basedOn w:val="Normlny"/>
    <w:rsid w:val="004002DD"/>
    <w:pPr>
      <w:numPr>
        <w:numId w:val="10"/>
      </w:numPr>
      <w:contextualSpacing/>
    </w:pPr>
  </w:style>
  <w:style w:type="paragraph" w:styleId="slovanzoznam5">
    <w:name w:val="List Number 5"/>
    <w:basedOn w:val="Normlny"/>
    <w:rsid w:val="004002DD"/>
    <w:pPr>
      <w:numPr>
        <w:numId w:val="11"/>
      </w:numPr>
      <w:contextualSpacing/>
    </w:pPr>
  </w:style>
  <w:style w:type="paragraph" w:styleId="Dtum">
    <w:name w:val="Date"/>
    <w:basedOn w:val="Normlny"/>
    <w:next w:val="Normlny"/>
    <w:link w:val="DtumChar"/>
    <w:rsid w:val="004002DD"/>
  </w:style>
  <w:style w:type="character" w:customStyle="1" w:styleId="DtumChar">
    <w:name w:val="Dátum Char"/>
    <w:basedOn w:val="Predvolenpsmoodseku"/>
    <w:link w:val="Dtum"/>
    <w:rsid w:val="004002DD"/>
    <w:rPr>
      <w:sz w:val="22"/>
    </w:rPr>
  </w:style>
  <w:style w:type="paragraph" w:styleId="Hlavikaobsahu">
    <w:name w:val="TOC Heading"/>
    <w:basedOn w:val="Nadpis1"/>
    <w:next w:val="Normlny"/>
    <w:uiPriority w:val="62"/>
    <w:semiHidden/>
    <w:unhideWhenUsed/>
    <w:qFormat/>
    <w:rsid w:val="004002DD"/>
    <w:pPr>
      <w:keepLines/>
      <w:spacing w:before="24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474E55" w:themeColor="accent1" w:themeShade="BF"/>
      <w:kern w:val="0"/>
      <w:sz w:val="32"/>
    </w:rPr>
  </w:style>
  <w:style w:type="paragraph" w:styleId="Hlavikasprvy">
    <w:name w:val="Message Header"/>
    <w:basedOn w:val="Normlny"/>
    <w:link w:val="HlavikasprvyChar"/>
    <w:rsid w:val="004002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HlavikasprvyChar">
    <w:name w:val="Hlavička správy Char"/>
    <w:basedOn w:val="Predvolenpsmoodseku"/>
    <w:link w:val="Hlavikasprvy"/>
    <w:rsid w:val="004002DD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Hlavikazoznamucitci">
    <w:name w:val="toa heading"/>
    <w:basedOn w:val="Normlny"/>
    <w:next w:val="Normlny"/>
    <w:rsid w:val="004002DD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4002DD"/>
    <w:rPr>
      <w:rFonts w:asciiTheme="majorHAnsi" w:eastAsiaTheme="majorEastAsia" w:hAnsiTheme="majorHAnsi" w:cstheme="majorBidi"/>
      <w:i/>
      <w:iCs/>
      <w:color w:val="474E55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semiHidden/>
    <w:rsid w:val="004002DD"/>
    <w:rPr>
      <w:rFonts w:asciiTheme="majorHAnsi" w:eastAsiaTheme="majorEastAsia" w:hAnsiTheme="majorHAnsi" w:cstheme="majorBidi"/>
      <w:color w:val="474E55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semiHidden/>
    <w:rsid w:val="004002DD"/>
    <w:rPr>
      <w:rFonts w:asciiTheme="majorHAnsi" w:eastAsiaTheme="majorEastAsia" w:hAnsiTheme="majorHAnsi" w:cstheme="majorBidi"/>
      <w:color w:val="2F3439" w:themeColor="accent1" w:themeShade="7F"/>
      <w:sz w:val="22"/>
    </w:rPr>
  </w:style>
  <w:style w:type="character" w:customStyle="1" w:styleId="Nadpis7Char">
    <w:name w:val="Nadpis 7 Char"/>
    <w:basedOn w:val="Predvolenpsmoodseku"/>
    <w:link w:val="Nadpis7"/>
    <w:semiHidden/>
    <w:rsid w:val="004002DD"/>
    <w:rPr>
      <w:rFonts w:asciiTheme="majorHAnsi" w:eastAsiaTheme="majorEastAsia" w:hAnsiTheme="majorHAnsi" w:cstheme="majorBidi"/>
      <w:i/>
      <w:iCs/>
      <w:color w:val="2F3439" w:themeColor="accent1" w:themeShade="7F"/>
      <w:sz w:val="22"/>
    </w:rPr>
  </w:style>
  <w:style w:type="character" w:customStyle="1" w:styleId="Nadpis8Char">
    <w:name w:val="Nadpis 8 Char"/>
    <w:basedOn w:val="Predvolenpsmoodseku"/>
    <w:link w:val="Nadpis8"/>
    <w:semiHidden/>
    <w:rsid w:val="004002D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4002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poznmky">
    <w:name w:val="Note Heading"/>
    <w:basedOn w:val="Normlny"/>
    <w:next w:val="Normlny"/>
    <w:link w:val="NadpispoznmkyChar"/>
    <w:rsid w:val="004002DD"/>
    <w:pPr>
      <w:spacing w:line="240" w:lineRule="auto"/>
    </w:pPr>
  </w:style>
  <w:style w:type="character" w:customStyle="1" w:styleId="NadpispoznmkyChar">
    <w:name w:val="Nadpis poznámky Char"/>
    <w:basedOn w:val="Predvolenpsmoodseku"/>
    <w:link w:val="Nadpispoznmky"/>
    <w:rsid w:val="004002DD"/>
    <w:rPr>
      <w:sz w:val="22"/>
    </w:rPr>
  </w:style>
  <w:style w:type="paragraph" w:styleId="Register1">
    <w:name w:val="index 1"/>
    <w:basedOn w:val="Normlny"/>
    <w:next w:val="Normlny"/>
    <w:rsid w:val="004002DD"/>
    <w:pPr>
      <w:spacing w:line="240" w:lineRule="auto"/>
      <w:ind w:left="220" w:hanging="220"/>
    </w:pPr>
  </w:style>
  <w:style w:type="paragraph" w:styleId="Nadpisregistra">
    <w:name w:val="index heading"/>
    <w:basedOn w:val="Normlny"/>
    <w:next w:val="Register1"/>
    <w:rsid w:val="004002DD"/>
    <w:rPr>
      <w:rFonts w:asciiTheme="majorHAnsi" w:eastAsiaTheme="majorEastAsia" w:hAnsiTheme="majorHAnsi" w:cstheme="majorBidi"/>
      <w:b/>
      <w:bCs/>
    </w:rPr>
  </w:style>
  <w:style w:type="paragraph" w:styleId="Nzov">
    <w:name w:val="Title"/>
    <w:basedOn w:val="Normlny"/>
    <w:next w:val="Normlny"/>
    <w:link w:val="NzovChar"/>
    <w:qFormat/>
    <w:rsid w:val="004002D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400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ywebov">
    <w:name w:val="Normal (Web)"/>
    <w:basedOn w:val="Normlny"/>
    <w:rsid w:val="004002DD"/>
    <w:rPr>
      <w:rFonts w:ascii="Times New Roman" w:hAnsi="Times New Roman"/>
      <w:sz w:val="24"/>
    </w:rPr>
  </w:style>
  <w:style w:type="paragraph" w:styleId="Normlnysozarkami">
    <w:name w:val="Normal Indent"/>
    <w:basedOn w:val="Normlny"/>
    <w:rsid w:val="004002DD"/>
    <w:pPr>
      <w:ind w:left="708"/>
    </w:pPr>
  </w:style>
  <w:style w:type="paragraph" w:styleId="Obsah1">
    <w:name w:val="toc 1"/>
    <w:basedOn w:val="Normlny"/>
    <w:next w:val="Normlny"/>
    <w:rsid w:val="004002DD"/>
    <w:pPr>
      <w:spacing w:after="100"/>
    </w:pPr>
  </w:style>
  <w:style w:type="paragraph" w:styleId="Obsah2">
    <w:name w:val="toc 2"/>
    <w:basedOn w:val="Normlny"/>
    <w:next w:val="Normlny"/>
    <w:rsid w:val="004002DD"/>
    <w:pPr>
      <w:spacing w:after="100"/>
      <w:ind w:left="220"/>
    </w:pPr>
  </w:style>
  <w:style w:type="paragraph" w:styleId="Obsah3">
    <w:name w:val="toc 3"/>
    <w:basedOn w:val="Normlny"/>
    <w:next w:val="Normlny"/>
    <w:rsid w:val="004002DD"/>
    <w:pPr>
      <w:spacing w:after="100"/>
      <w:ind w:left="440"/>
    </w:pPr>
  </w:style>
  <w:style w:type="paragraph" w:styleId="Obsah4">
    <w:name w:val="toc 4"/>
    <w:basedOn w:val="Normlny"/>
    <w:next w:val="Normlny"/>
    <w:rsid w:val="004002DD"/>
    <w:pPr>
      <w:spacing w:after="100"/>
      <w:ind w:left="660"/>
    </w:pPr>
  </w:style>
  <w:style w:type="paragraph" w:styleId="Obsah5">
    <w:name w:val="toc 5"/>
    <w:basedOn w:val="Normlny"/>
    <w:next w:val="Normlny"/>
    <w:rsid w:val="004002DD"/>
    <w:pPr>
      <w:spacing w:after="100"/>
      <w:ind w:left="880"/>
    </w:pPr>
  </w:style>
  <w:style w:type="paragraph" w:styleId="Obsah6">
    <w:name w:val="toc 6"/>
    <w:basedOn w:val="Normlny"/>
    <w:next w:val="Normlny"/>
    <w:rsid w:val="004002DD"/>
    <w:pPr>
      <w:spacing w:after="100"/>
      <w:ind w:left="1100"/>
    </w:pPr>
  </w:style>
  <w:style w:type="paragraph" w:styleId="Obsah7">
    <w:name w:val="toc 7"/>
    <w:basedOn w:val="Normlny"/>
    <w:next w:val="Normlny"/>
    <w:rsid w:val="004002DD"/>
    <w:pPr>
      <w:spacing w:after="100"/>
      <w:ind w:left="1320"/>
    </w:pPr>
  </w:style>
  <w:style w:type="paragraph" w:styleId="Obsah8">
    <w:name w:val="toc 8"/>
    <w:basedOn w:val="Normlny"/>
    <w:next w:val="Normlny"/>
    <w:rsid w:val="004002DD"/>
    <w:pPr>
      <w:spacing w:after="100"/>
      <w:ind w:left="1540"/>
    </w:pPr>
  </w:style>
  <w:style w:type="paragraph" w:styleId="Obsah9">
    <w:name w:val="toc 9"/>
    <w:basedOn w:val="Normlny"/>
    <w:next w:val="Normlny"/>
    <w:rsid w:val="004002DD"/>
    <w:pPr>
      <w:spacing w:after="100"/>
      <w:ind w:left="1760"/>
    </w:pPr>
  </w:style>
  <w:style w:type="paragraph" w:styleId="Obyajntext">
    <w:name w:val="Plain Text"/>
    <w:basedOn w:val="Normlny"/>
    <w:link w:val="ObyajntextChar"/>
    <w:rsid w:val="004002D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4002DD"/>
    <w:rPr>
      <w:rFonts w:ascii="Consolas" w:hAnsi="Consolas"/>
      <w:sz w:val="21"/>
      <w:szCs w:val="21"/>
    </w:rPr>
  </w:style>
  <w:style w:type="paragraph" w:styleId="Odsekzoznamu">
    <w:name w:val="List Paragraph"/>
    <w:basedOn w:val="Normlny"/>
    <w:uiPriority w:val="34"/>
    <w:qFormat/>
    <w:rsid w:val="004002DD"/>
    <w:pPr>
      <w:ind w:left="720"/>
      <w:contextualSpacing/>
    </w:pPr>
  </w:style>
  <w:style w:type="paragraph" w:styleId="Oslovenie">
    <w:name w:val="Salutation"/>
    <w:basedOn w:val="Normlny"/>
    <w:next w:val="Normlny"/>
    <w:link w:val="OslovenieChar"/>
    <w:rsid w:val="004002DD"/>
  </w:style>
  <w:style w:type="character" w:customStyle="1" w:styleId="OslovenieChar">
    <w:name w:val="Oslovenie Char"/>
    <w:basedOn w:val="Predvolenpsmoodseku"/>
    <w:link w:val="Oslovenie"/>
    <w:rsid w:val="004002DD"/>
    <w:rPr>
      <w:sz w:val="22"/>
    </w:rPr>
  </w:style>
  <w:style w:type="paragraph" w:styleId="Oznaitext">
    <w:name w:val="Block Text"/>
    <w:basedOn w:val="Normlny"/>
    <w:rsid w:val="004002DD"/>
    <w:pPr>
      <w:pBdr>
        <w:top w:val="single" w:sz="2" w:space="10" w:color="5F6973" w:themeColor="accent1"/>
        <w:left w:val="single" w:sz="2" w:space="10" w:color="5F6973" w:themeColor="accent1"/>
        <w:bottom w:val="single" w:sz="2" w:space="10" w:color="5F6973" w:themeColor="accent1"/>
        <w:right w:val="single" w:sz="2" w:space="10" w:color="5F697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F6973" w:themeColor="accent1"/>
    </w:rPr>
  </w:style>
  <w:style w:type="paragraph" w:styleId="Podpis">
    <w:name w:val="Signature"/>
    <w:basedOn w:val="Normlny"/>
    <w:link w:val="PodpisChar"/>
    <w:rsid w:val="004002DD"/>
    <w:pPr>
      <w:spacing w:line="240" w:lineRule="auto"/>
      <w:ind w:left="4252"/>
    </w:pPr>
  </w:style>
  <w:style w:type="character" w:customStyle="1" w:styleId="PodpisChar">
    <w:name w:val="Podpis Char"/>
    <w:basedOn w:val="Predvolenpsmoodseku"/>
    <w:link w:val="Podpis"/>
    <w:rsid w:val="004002DD"/>
    <w:rPr>
      <w:sz w:val="22"/>
    </w:rPr>
  </w:style>
  <w:style w:type="paragraph" w:styleId="Podpise-mailu">
    <w:name w:val="E-mail Signature"/>
    <w:basedOn w:val="Normlny"/>
    <w:link w:val="Podpise-mailuChar"/>
    <w:rsid w:val="004002DD"/>
    <w:pPr>
      <w:spacing w:line="240" w:lineRule="auto"/>
    </w:pPr>
  </w:style>
  <w:style w:type="character" w:customStyle="1" w:styleId="Podpise-mailuChar">
    <w:name w:val="Podpis e-mailu Char"/>
    <w:basedOn w:val="Predvolenpsmoodseku"/>
    <w:link w:val="Podpise-mailu"/>
    <w:rsid w:val="004002DD"/>
    <w:rPr>
      <w:sz w:val="22"/>
    </w:rPr>
  </w:style>
  <w:style w:type="paragraph" w:styleId="Podtitul">
    <w:name w:val="Subtitle"/>
    <w:basedOn w:val="Normlny"/>
    <w:next w:val="Normlny"/>
    <w:link w:val="PodtitulChar"/>
    <w:qFormat/>
    <w:rsid w:val="004002D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rsid w:val="004002D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Pokraovaniezoznamu">
    <w:name w:val="List Continue"/>
    <w:basedOn w:val="Normlny"/>
    <w:rsid w:val="004002DD"/>
    <w:pPr>
      <w:spacing w:after="120"/>
      <w:ind w:left="283"/>
      <w:contextualSpacing/>
    </w:pPr>
  </w:style>
  <w:style w:type="paragraph" w:styleId="Pokraovaniezoznamu2">
    <w:name w:val="List Continue 2"/>
    <w:basedOn w:val="Normlny"/>
    <w:rsid w:val="004002DD"/>
    <w:pPr>
      <w:spacing w:after="120"/>
      <w:ind w:left="566"/>
      <w:contextualSpacing/>
    </w:pPr>
  </w:style>
  <w:style w:type="paragraph" w:styleId="Pokraovaniezoznamu3">
    <w:name w:val="List Continue 3"/>
    <w:basedOn w:val="Normlny"/>
    <w:rsid w:val="004002DD"/>
    <w:pPr>
      <w:spacing w:after="120"/>
      <w:ind w:left="849"/>
      <w:contextualSpacing/>
    </w:pPr>
  </w:style>
  <w:style w:type="paragraph" w:styleId="Pokraovaniezoznamu4">
    <w:name w:val="List Continue 4"/>
    <w:basedOn w:val="Normlny"/>
    <w:rsid w:val="004002DD"/>
    <w:pPr>
      <w:spacing w:after="120"/>
      <w:ind w:left="1132"/>
      <w:contextualSpacing/>
    </w:pPr>
  </w:style>
  <w:style w:type="paragraph" w:styleId="Pokraovaniezoznamu5">
    <w:name w:val="List Continue 5"/>
    <w:basedOn w:val="Normlny"/>
    <w:rsid w:val="004002DD"/>
    <w:pPr>
      <w:spacing w:after="120"/>
      <w:ind w:left="1415"/>
      <w:contextualSpacing/>
    </w:pPr>
  </w:style>
  <w:style w:type="paragraph" w:styleId="Popis">
    <w:name w:val="caption"/>
    <w:basedOn w:val="Normlny"/>
    <w:next w:val="Normlny"/>
    <w:semiHidden/>
    <w:unhideWhenUsed/>
    <w:qFormat/>
    <w:rsid w:val="004002DD"/>
    <w:pPr>
      <w:spacing w:after="200" w:line="240" w:lineRule="auto"/>
    </w:pPr>
    <w:rPr>
      <w:i/>
      <w:iCs/>
      <w:color w:val="E1000F" w:themeColor="text2"/>
      <w:sz w:val="18"/>
      <w:szCs w:val="18"/>
    </w:rPr>
  </w:style>
  <w:style w:type="paragraph" w:styleId="PredformtovanHTML">
    <w:name w:val="HTML Preformatted"/>
    <w:basedOn w:val="Normlny"/>
    <w:link w:val="PredformtovanHTMLChar"/>
    <w:semiHidden/>
    <w:unhideWhenUsed/>
    <w:rsid w:val="004002D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4002DD"/>
    <w:rPr>
      <w:rFonts w:ascii="Consolas" w:hAnsi="Consolas"/>
      <w:sz w:val="20"/>
      <w:szCs w:val="20"/>
    </w:rPr>
  </w:style>
  <w:style w:type="paragraph" w:styleId="Textkomentra">
    <w:name w:val="annotation text"/>
    <w:basedOn w:val="Normlny"/>
    <w:link w:val="TextkomentraChar"/>
    <w:rsid w:val="004002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002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sid w:val="004002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4002DD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rsid w:val="004002D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002DD"/>
    <w:rPr>
      <w:sz w:val="22"/>
    </w:rPr>
  </w:style>
  <w:style w:type="paragraph" w:styleId="Prvzarkazkladnhotextu">
    <w:name w:val="Body Text First Indent"/>
    <w:basedOn w:val="Zkladntext"/>
    <w:link w:val="PrvzarkazkladnhotextuChar"/>
    <w:rsid w:val="004002DD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rsid w:val="004002DD"/>
    <w:rPr>
      <w:sz w:val="22"/>
    </w:rPr>
  </w:style>
  <w:style w:type="paragraph" w:styleId="Zarkazkladnhotextu">
    <w:name w:val="Body Text Indent"/>
    <w:basedOn w:val="Normlny"/>
    <w:link w:val="ZarkazkladnhotextuChar"/>
    <w:rsid w:val="004002D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002DD"/>
    <w:rPr>
      <w:sz w:val="22"/>
    </w:rPr>
  </w:style>
  <w:style w:type="paragraph" w:styleId="Prvzarkazkladnhotextu2">
    <w:name w:val="Body Text First Indent 2"/>
    <w:basedOn w:val="Zarkazkladnhotextu"/>
    <w:link w:val="Prvzarkazkladnhotextu2Char"/>
    <w:rsid w:val="004002DD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4002DD"/>
    <w:rPr>
      <w:sz w:val="22"/>
    </w:rPr>
  </w:style>
  <w:style w:type="paragraph" w:styleId="Register2">
    <w:name w:val="index 2"/>
    <w:basedOn w:val="Normlny"/>
    <w:next w:val="Normlny"/>
    <w:rsid w:val="004002DD"/>
    <w:pPr>
      <w:spacing w:line="240" w:lineRule="auto"/>
      <w:ind w:left="440" w:hanging="220"/>
    </w:pPr>
  </w:style>
  <w:style w:type="paragraph" w:styleId="Register3">
    <w:name w:val="index 3"/>
    <w:basedOn w:val="Normlny"/>
    <w:next w:val="Normlny"/>
    <w:rsid w:val="004002DD"/>
    <w:pPr>
      <w:spacing w:line="240" w:lineRule="auto"/>
      <w:ind w:left="660" w:hanging="220"/>
    </w:pPr>
  </w:style>
  <w:style w:type="paragraph" w:styleId="Register4">
    <w:name w:val="index 4"/>
    <w:basedOn w:val="Normlny"/>
    <w:next w:val="Normlny"/>
    <w:rsid w:val="004002DD"/>
    <w:pPr>
      <w:spacing w:line="240" w:lineRule="auto"/>
      <w:ind w:left="880" w:hanging="220"/>
    </w:pPr>
  </w:style>
  <w:style w:type="paragraph" w:styleId="Register5">
    <w:name w:val="index 5"/>
    <w:basedOn w:val="Normlny"/>
    <w:next w:val="Normlny"/>
    <w:rsid w:val="004002DD"/>
    <w:pPr>
      <w:spacing w:line="240" w:lineRule="auto"/>
      <w:ind w:left="1100" w:hanging="220"/>
    </w:pPr>
  </w:style>
  <w:style w:type="paragraph" w:styleId="Register6">
    <w:name w:val="index 6"/>
    <w:basedOn w:val="Normlny"/>
    <w:next w:val="Normlny"/>
    <w:rsid w:val="004002DD"/>
    <w:pPr>
      <w:spacing w:line="240" w:lineRule="auto"/>
      <w:ind w:left="1320" w:hanging="220"/>
    </w:pPr>
  </w:style>
  <w:style w:type="paragraph" w:styleId="Register7">
    <w:name w:val="index 7"/>
    <w:basedOn w:val="Normlny"/>
    <w:next w:val="Normlny"/>
    <w:rsid w:val="004002DD"/>
    <w:pPr>
      <w:spacing w:line="240" w:lineRule="auto"/>
      <w:ind w:left="1540" w:hanging="220"/>
    </w:pPr>
  </w:style>
  <w:style w:type="paragraph" w:styleId="Register8">
    <w:name w:val="index 8"/>
    <w:basedOn w:val="Normlny"/>
    <w:next w:val="Normlny"/>
    <w:rsid w:val="004002DD"/>
    <w:pPr>
      <w:spacing w:line="240" w:lineRule="auto"/>
      <w:ind w:left="1760" w:hanging="220"/>
    </w:pPr>
  </w:style>
  <w:style w:type="paragraph" w:styleId="Register9">
    <w:name w:val="index 9"/>
    <w:basedOn w:val="Normlny"/>
    <w:next w:val="Normlny"/>
    <w:rsid w:val="004002DD"/>
    <w:pPr>
      <w:spacing w:line="240" w:lineRule="auto"/>
      <w:ind w:left="1980" w:hanging="220"/>
    </w:pPr>
  </w:style>
  <w:style w:type="paragraph" w:styleId="Spiatonadresanaoblke">
    <w:name w:val="envelope return"/>
    <w:basedOn w:val="Normlny"/>
    <w:rsid w:val="004002D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ruktradokumentu">
    <w:name w:val="Document Map"/>
    <w:basedOn w:val="Normlny"/>
    <w:link w:val="truktradokumentuChar"/>
    <w:rsid w:val="004002DD"/>
    <w:pPr>
      <w:spacing w:line="240" w:lineRule="auto"/>
    </w:pPr>
    <w:rPr>
      <w:rFonts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4002DD"/>
    <w:rPr>
      <w:rFonts w:cs="Segoe UI"/>
      <w:sz w:val="16"/>
      <w:szCs w:val="16"/>
    </w:rPr>
  </w:style>
  <w:style w:type="paragraph" w:styleId="Textmakra">
    <w:name w:val="macro"/>
    <w:link w:val="TextmakraChar"/>
    <w:rsid w:val="004002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/>
      <w:sz w:val="20"/>
      <w:szCs w:val="20"/>
    </w:rPr>
  </w:style>
  <w:style w:type="character" w:customStyle="1" w:styleId="TextmakraChar">
    <w:name w:val="Text makra Char"/>
    <w:basedOn w:val="Predvolenpsmoodseku"/>
    <w:link w:val="Textmakra"/>
    <w:rsid w:val="004002DD"/>
    <w:rPr>
      <w:rFonts w:ascii="Consolas" w:hAnsi="Consolas"/>
      <w:sz w:val="20"/>
      <w:szCs w:val="20"/>
    </w:rPr>
  </w:style>
  <w:style w:type="paragraph" w:styleId="Textpoznmkypodiarou">
    <w:name w:val="footnote text"/>
    <w:basedOn w:val="Normlny"/>
    <w:link w:val="TextpoznmkypodiarouChar"/>
    <w:rsid w:val="004002DD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4002DD"/>
    <w:rPr>
      <w:sz w:val="20"/>
      <w:szCs w:val="20"/>
    </w:rPr>
  </w:style>
  <w:style w:type="paragraph" w:styleId="Textvysvetlivky">
    <w:name w:val="endnote text"/>
    <w:basedOn w:val="Normlny"/>
    <w:link w:val="TextvysvetlivkyChar"/>
    <w:rsid w:val="004002DD"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4002DD"/>
    <w:rPr>
      <w:sz w:val="20"/>
      <w:szCs w:val="20"/>
    </w:rPr>
  </w:style>
  <w:style w:type="paragraph" w:styleId="Zkladntext2">
    <w:name w:val="Body Text 2"/>
    <w:basedOn w:val="Normlny"/>
    <w:link w:val="Zkladntext2Char"/>
    <w:rsid w:val="004002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4002DD"/>
    <w:rPr>
      <w:sz w:val="22"/>
    </w:rPr>
  </w:style>
  <w:style w:type="paragraph" w:styleId="Zkladntext3">
    <w:name w:val="Body Text 3"/>
    <w:basedOn w:val="Normlny"/>
    <w:link w:val="Zkladntext3Char"/>
    <w:rsid w:val="004002D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002DD"/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4002D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002DD"/>
    <w:rPr>
      <w:sz w:val="22"/>
    </w:rPr>
  </w:style>
  <w:style w:type="paragraph" w:styleId="Zarkazkladnhotextu3">
    <w:name w:val="Body Text Indent 3"/>
    <w:basedOn w:val="Normlny"/>
    <w:link w:val="Zarkazkladnhotextu3Char"/>
    <w:rsid w:val="004002D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002DD"/>
    <w:rPr>
      <w:sz w:val="16"/>
      <w:szCs w:val="16"/>
    </w:rPr>
  </w:style>
  <w:style w:type="paragraph" w:styleId="Zver">
    <w:name w:val="Closing"/>
    <w:basedOn w:val="Normlny"/>
    <w:link w:val="ZverChar"/>
    <w:rsid w:val="004002DD"/>
    <w:pPr>
      <w:spacing w:line="240" w:lineRule="auto"/>
      <w:ind w:left="4252"/>
    </w:pPr>
  </w:style>
  <w:style w:type="character" w:customStyle="1" w:styleId="ZverChar">
    <w:name w:val="Záver Char"/>
    <w:basedOn w:val="Predvolenpsmoodseku"/>
    <w:link w:val="Zver"/>
    <w:rsid w:val="004002DD"/>
    <w:rPr>
      <w:sz w:val="22"/>
    </w:rPr>
  </w:style>
  <w:style w:type="paragraph" w:styleId="Zoznam">
    <w:name w:val="List"/>
    <w:basedOn w:val="Normlny"/>
    <w:rsid w:val="004002DD"/>
    <w:pPr>
      <w:ind w:left="283" w:hanging="283"/>
      <w:contextualSpacing/>
    </w:pPr>
  </w:style>
  <w:style w:type="paragraph" w:styleId="Zoznam2">
    <w:name w:val="List 2"/>
    <w:basedOn w:val="Normlny"/>
    <w:rsid w:val="004002DD"/>
    <w:pPr>
      <w:ind w:left="566" w:hanging="283"/>
      <w:contextualSpacing/>
    </w:pPr>
  </w:style>
  <w:style w:type="paragraph" w:styleId="Zoznam3">
    <w:name w:val="List 3"/>
    <w:basedOn w:val="Normlny"/>
    <w:rsid w:val="004002DD"/>
    <w:pPr>
      <w:ind w:left="849" w:hanging="283"/>
      <w:contextualSpacing/>
    </w:pPr>
  </w:style>
  <w:style w:type="paragraph" w:styleId="Zoznam4">
    <w:name w:val="List 4"/>
    <w:basedOn w:val="Normlny"/>
    <w:rsid w:val="004002DD"/>
    <w:pPr>
      <w:ind w:left="1132" w:hanging="283"/>
      <w:contextualSpacing/>
    </w:pPr>
  </w:style>
  <w:style w:type="paragraph" w:styleId="Zoznam5">
    <w:name w:val="List 5"/>
    <w:basedOn w:val="Normlny"/>
    <w:rsid w:val="004002DD"/>
    <w:pPr>
      <w:ind w:left="1415" w:hanging="283"/>
      <w:contextualSpacing/>
    </w:pPr>
  </w:style>
  <w:style w:type="paragraph" w:styleId="Zoznamcitci">
    <w:name w:val="table of authorities"/>
    <w:basedOn w:val="Normlny"/>
    <w:next w:val="Normlny"/>
    <w:rsid w:val="004002DD"/>
    <w:pPr>
      <w:ind w:left="220" w:hanging="220"/>
    </w:pPr>
  </w:style>
  <w:style w:type="paragraph" w:styleId="Zoznamobrzkov">
    <w:name w:val="table of figures"/>
    <w:basedOn w:val="Normlny"/>
    <w:next w:val="Normlny"/>
    <w:rsid w:val="004002DD"/>
  </w:style>
  <w:style w:type="paragraph" w:styleId="Zoznamsodrkami">
    <w:name w:val="List Bullet"/>
    <w:basedOn w:val="Normlny"/>
    <w:rsid w:val="004002DD"/>
    <w:pPr>
      <w:numPr>
        <w:numId w:val="12"/>
      </w:numPr>
      <w:contextualSpacing/>
    </w:pPr>
  </w:style>
  <w:style w:type="paragraph" w:styleId="Zoznamsodrkami2">
    <w:name w:val="List Bullet 2"/>
    <w:basedOn w:val="Normlny"/>
    <w:rsid w:val="004002DD"/>
    <w:pPr>
      <w:numPr>
        <w:numId w:val="13"/>
      </w:numPr>
      <w:contextualSpacing/>
    </w:pPr>
  </w:style>
  <w:style w:type="paragraph" w:styleId="Zoznamsodrkami3">
    <w:name w:val="List Bullet 3"/>
    <w:basedOn w:val="Normlny"/>
    <w:rsid w:val="004002DD"/>
    <w:pPr>
      <w:numPr>
        <w:numId w:val="14"/>
      </w:numPr>
      <w:contextualSpacing/>
    </w:pPr>
  </w:style>
  <w:style w:type="paragraph" w:styleId="Zoznamsodrkami4">
    <w:name w:val="List Bullet 4"/>
    <w:basedOn w:val="Normlny"/>
    <w:rsid w:val="004002DD"/>
    <w:pPr>
      <w:numPr>
        <w:numId w:val="15"/>
      </w:numPr>
      <w:contextualSpacing/>
    </w:pPr>
  </w:style>
  <w:style w:type="paragraph" w:styleId="Zoznamsodrkami5">
    <w:name w:val="List Bullet 5"/>
    <w:basedOn w:val="Normlny"/>
    <w:rsid w:val="004002DD"/>
    <w:pPr>
      <w:numPr>
        <w:numId w:val="16"/>
      </w:numPr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65"/>
    <w:qFormat/>
    <w:rsid w:val="004002DD"/>
    <w:pPr>
      <w:pBdr>
        <w:top w:val="single" w:sz="4" w:space="10" w:color="5F6973" w:themeColor="accent1"/>
        <w:bottom w:val="single" w:sz="4" w:space="10" w:color="5F6973" w:themeColor="accent1"/>
      </w:pBdr>
      <w:spacing w:before="360" w:after="360"/>
      <w:ind w:left="864" w:right="864"/>
      <w:jc w:val="center"/>
    </w:pPr>
    <w:rPr>
      <w:i/>
      <w:iCs/>
      <w:color w:val="5F6973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65"/>
    <w:rsid w:val="004002DD"/>
    <w:rPr>
      <w:i/>
      <w:iCs/>
      <w:color w:val="5F6973" w:themeColor="accent1"/>
      <w:sz w:val="22"/>
    </w:rPr>
  </w:style>
  <w:style w:type="paragraph" w:customStyle="1" w:styleId="He04Funote">
    <w:name w:val="_He_04_Fußnote"/>
    <w:next w:val="Normlny"/>
    <w:qFormat/>
    <w:rsid w:val="00463E8B"/>
    <w:pPr>
      <w:tabs>
        <w:tab w:val="left" w:pos="85"/>
      </w:tabs>
      <w:spacing w:line="256" w:lineRule="auto"/>
      <w:ind w:left="85" w:hanging="85"/>
    </w:pPr>
    <w:rPr>
      <w:rFonts w:eastAsiaTheme="minorHAnsi" w:cstheme="minorBidi"/>
      <w:sz w:val="15"/>
      <w:szCs w:val="22"/>
      <w:lang w:val="de-DE"/>
      <w14:numForm w14:val="lining"/>
    </w:rPr>
  </w:style>
  <w:style w:type="character" w:styleId="Odkaznapoznmkupodiarou">
    <w:name w:val="footnote reference"/>
    <w:basedOn w:val="Predvolenpsmoodseku"/>
    <w:uiPriority w:val="99"/>
    <w:unhideWhenUsed/>
    <w:rsid w:val="000B5A1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nkel.s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enkel.com/pres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enke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uzana.kanuchova@henke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hng\AppData\Local\Temp\Temp1_Completed.zip\Completed\segoe-Henkel-press-release-template-2020-english.dotx" TargetMode="External"/></Relationships>
</file>

<file path=word/theme/theme1.xml><?xml version="1.0" encoding="utf-8"?>
<a:theme xmlns:a="http://schemas.openxmlformats.org/drawingml/2006/main" name="Henkel Theme">
  <a:themeElements>
    <a:clrScheme name="Custom 4">
      <a:dk1>
        <a:srgbClr val="000000"/>
      </a:dk1>
      <a:lt1>
        <a:srgbClr val="FFFFFF"/>
      </a:lt1>
      <a:dk2>
        <a:srgbClr val="E1000F"/>
      </a:dk2>
      <a:lt2>
        <a:srgbClr val="E6E7E7"/>
      </a:lt2>
      <a:accent1>
        <a:srgbClr val="5F6973"/>
      </a:accent1>
      <a:accent2>
        <a:srgbClr val="AFB4B9"/>
      </a:accent2>
      <a:accent3>
        <a:srgbClr val="00AA75"/>
      </a:accent3>
      <a:accent4>
        <a:srgbClr val="004C79"/>
      </a:accent4>
      <a:accent5>
        <a:srgbClr val="9A141B"/>
      </a:accent5>
      <a:accent6>
        <a:srgbClr val="FFDB23"/>
      </a:accent6>
      <a:hlink>
        <a:srgbClr val="0563C1"/>
      </a:hlink>
      <a:folHlink>
        <a:srgbClr val="954F72"/>
      </a:folHlink>
    </a:clrScheme>
    <a:fontScheme name="Henkel Templat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ED1C24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0000" tIns="46800" rIns="90000" bIns="4680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5000"/>
          </a:lnSpc>
          <a:spcBef>
            <a:spcPct val="0"/>
          </a:spcBef>
          <a:spcAft>
            <a:spcPct val="0"/>
          </a:spcAft>
          <a:buClr>
            <a:schemeClr val="tx2"/>
          </a:buClr>
          <a:buSzPct val="120000"/>
          <a:buFontTx/>
          <a:buNone/>
          <a:tabLst/>
          <a:defRPr kumimoji="0" lang="de-DE" sz="20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defRPr>
        </a:defPPr>
      </a:lstStyle>
    </a:lnDef>
  </a:objectDefaults>
  <a:extraClrSchemeLst>
    <a:extraClrScheme>
      <a:clrScheme name="Standarddesign 1">
        <a:dk1>
          <a:srgbClr val="000000"/>
        </a:dk1>
        <a:lt1>
          <a:srgbClr val="FFFFFF"/>
        </a:lt1>
        <a:dk2>
          <a:srgbClr val="E1000F"/>
        </a:dk2>
        <a:lt2>
          <a:srgbClr val="CDD2D2"/>
        </a:lt2>
        <a:accent1>
          <a:srgbClr val="AFB4B9"/>
        </a:accent1>
        <a:accent2>
          <a:srgbClr val="828C96"/>
        </a:accent2>
        <a:accent3>
          <a:srgbClr val="FFFFFF"/>
        </a:accent3>
        <a:accent4>
          <a:srgbClr val="000000"/>
        </a:accent4>
        <a:accent5>
          <a:srgbClr val="D4D6D9"/>
        </a:accent5>
        <a:accent6>
          <a:srgbClr val="757E87"/>
        </a:accent6>
        <a:hlink>
          <a:srgbClr val="5F6973"/>
        </a:hlink>
        <a:folHlink>
          <a:srgbClr val="0078C8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Henkel Red">
      <a:srgbClr val="E1000F"/>
    </a:custClr>
    <a:custClr name="White">
      <a:srgbClr val="FFFFFF"/>
    </a:custClr>
    <a:custClr name="Black">
      <a:srgbClr val="000000"/>
    </a:custClr>
    <a:custClr name="Grey 1">
      <a:srgbClr val="5F6973"/>
    </a:custClr>
    <a:custClr name="Grey 2">
      <a:srgbClr val="AFB4B9"/>
    </a:custClr>
    <a:custClr name="Grey 3">
      <a:srgbClr val="E6E7E7"/>
    </a:custClr>
    <a:custClr name="Green">
      <a:srgbClr val="00AA75"/>
    </a:custClr>
    <a:custClr name="Blue">
      <a:srgbClr val="004C79"/>
    </a:custClr>
    <a:custClr name="Accent Dark Red">
      <a:srgbClr val="9A141B"/>
    </a:custClr>
    <a:custClr name="Accent Yellow 1">
      <a:srgbClr val="FFDB23"/>
    </a:custClr>
    <a:custClr name="Accent Yellow 2">
      <a:srgbClr val="FCF092"/>
    </a:custClr>
    <a:custClr name="Accent Green">
      <a:srgbClr val="A7DC92"/>
    </a:custClr>
    <a:custClr name="Accent Blue 1">
      <a:srgbClr val="55CAD3"/>
    </a:custClr>
    <a:custClr name="Accent Blue 2">
      <a:srgbClr val="0078C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b4b2-766e-4d60-98b3-6175b639c8a8" xsi:nil="true"/>
    <lcf76f155ced4ddcb4097134ff3c332f xmlns="abed4518-919d-4839-afd6-808ec5b6a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A283F239FC9A47B3A603CC7E078231" ma:contentTypeVersion="20" ma:contentTypeDescription="Umožňuje vytvoriť nový dokument." ma:contentTypeScope="" ma:versionID="83cdd6d30a7a8bd9b49fe8f3965c2f6c">
  <xsd:schema xmlns:xsd="http://www.w3.org/2001/XMLSchema" xmlns:xs="http://www.w3.org/2001/XMLSchema" xmlns:p="http://schemas.microsoft.com/office/2006/metadata/properties" xmlns:ns2="abed4518-919d-4839-afd6-808ec5b6ae4e" xmlns:ns3="29b6b4b2-766e-4d60-98b3-6175b639c8a8" targetNamespace="http://schemas.microsoft.com/office/2006/metadata/properties" ma:root="true" ma:fieldsID="0bfc4ebd4cbc581725a5101ba8de93fe" ns2:_="" ns3:_="">
    <xsd:import namespace="abed4518-919d-4839-afd6-808ec5b6ae4e"/>
    <xsd:import namespace="29b6b4b2-766e-4d60-98b3-6175b639c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d4518-919d-4839-afd6-808ec5b6a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19ef1d94-6b49-4afa-a106-32bcc93ffe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b4b2-766e-4d60-98b3-6175b639c8a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64d0f1b-8a8a-4021-a461-b397733c585f}" ma:internalName="TaxCatchAll" ma:showField="CatchAllData" ma:web="29b6b4b2-766e-4d60-98b3-6175b639c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45D12-BDB4-413F-ABB3-2AF0CF323A38}">
  <ds:schemaRefs>
    <ds:schemaRef ds:uri="http://schemas.microsoft.com/office/2006/metadata/properties"/>
    <ds:schemaRef ds:uri="http://schemas.microsoft.com/office/infopath/2007/PartnerControls"/>
    <ds:schemaRef ds:uri="29b6b4b2-766e-4d60-98b3-6175b639c8a8"/>
    <ds:schemaRef ds:uri="abed4518-919d-4839-afd6-808ec5b6ae4e"/>
  </ds:schemaRefs>
</ds:datastoreItem>
</file>

<file path=customXml/itemProps2.xml><?xml version="1.0" encoding="utf-8"?>
<ds:datastoreItem xmlns:ds="http://schemas.openxmlformats.org/officeDocument/2006/customXml" ds:itemID="{EC226D13-73FC-4A7A-93C2-AC11939BB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53B29-CB05-4BEA-B76A-0A57168091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F28B5D-D54D-4E40-AE10-30B922258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d4518-919d-4839-afd6-808ec5b6ae4e"/>
    <ds:schemaRef ds:uri="29b6b4b2-766e-4d60-98b3-6175b639c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segoe-Henkel-press-release-template-2020-english</Template>
  <TotalTime>39</TotalTime>
  <Pages>8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Henkel AG &amp; Co. KGaA</Company>
  <LinksUpToDate>false</LinksUpToDate>
  <CharactersWithSpaces>18276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Henkel</dc:creator>
  <cp:keywords/>
  <dc:description/>
  <cp:lastModifiedBy>Mária Kuťková</cp:lastModifiedBy>
  <cp:revision>59</cp:revision>
  <cp:lastPrinted>2016-11-16T19:11:00Z</cp:lastPrinted>
  <dcterms:created xsi:type="dcterms:W3CDTF">2023-08-02T17:38:00Z</dcterms:created>
  <dcterms:modified xsi:type="dcterms:W3CDTF">2026-08-17T14:37:00Z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0x01010068A283F239FC9A47B3A603CC7E078231</vt:lpwstr>
  </property>
  <property fmtid="{D5CDD505-2E9C-101B-9397-08002B2CF9AE}" pid="3" name="MediaServiceImageTags">
    <vt:lpwstr/>
  </property>
  <property fmtid="{D5CDD505-2E9C-101B-9397-08002B2CF9AE}" pid="4" name="GrammarlyDocumentId">
    <vt:lpwstr>4a5502be2729f09ff8c7eb50ee4ca3860a4c3dbb2480334eeebb2a56a6a9d583</vt:lpwstr>
  </property>
</Properties>
</file>