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D5E39A" w14:textId="2F92B879" w:rsidR="00B422EC" w:rsidRPr="00EF1330" w:rsidRDefault="00FD6F28" w:rsidP="00643D8A">
      <w:pPr>
        <w:pStyle w:val="MonthDayYear"/>
        <w:rPr>
          <w:lang w:eastAsia="zh-CN"/>
        </w:rPr>
      </w:pPr>
      <w:r w:rsidRPr="00795AF2">
        <w:rPr>
          <w:lang w:eastAsia="zh-TW"/>
        </w:rPr>
        <w:t>202</w:t>
      </w:r>
      <w:r>
        <w:rPr>
          <w:lang w:eastAsia="zh-TW"/>
        </w:rPr>
        <w:t>6</w:t>
      </w:r>
      <w:r>
        <w:rPr>
          <w:rFonts w:hint="eastAsia"/>
          <w:lang w:eastAsia="zh-TW"/>
        </w:rPr>
        <w:t>年</w:t>
      </w:r>
      <w:r>
        <w:rPr>
          <w:lang w:eastAsia="zh-TW"/>
        </w:rPr>
        <w:t>8</w:t>
      </w:r>
      <w:r>
        <w:rPr>
          <w:rFonts w:hint="eastAsia"/>
          <w:lang w:eastAsia="zh-TW"/>
        </w:rPr>
        <w:t>月</w:t>
      </w:r>
      <w:r>
        <w:rPr>
          <w:lang w:eastAsia="zh-TW"/>
        </w:rPr>
        <w:t>6</w:t>
      </w:r>
      <w:r>
        <w:rPr>
          <w:rFonts w:hint="eastAsia"/>
          <w:lang w:eastAsia="zh-TW"/>
        </w:rPr>
        <w:t>日</w:t>
      </w:r>
    </w:p>
    <w:p w14:paraId="09896324" w14:textId="1CD440ED" w:rsidR="007F0F63" w:rsidRPr="001F21E7" w:rsidRDefault="00FD6F28" w:rsidP="009D1522">
      <w:pPr>
        <w:pStyle w:val="Topline"/>
        <w:rPr>
          <w:lang w:eastAsia="zh-CN"/>
        </w:rPr>
      </w:pPr>
      <w:r w:rsidRPr="001F21E7">
        <w:rPr>
          <w:rFonts w:hint="eastAsia"/>
          <w:lang w:eastAsia="zh-TW"/>
        </w:rPr>
        <w:t>支持</w:t>
      </w:r>
      <w:r w:rsidR="00692F07">
        <w:rPr>
          <w:rFonts w:hint="eastAsia"/>
          <w:lang w:eastAsia="zh-TW"/>
        </w:rPr>
        <w:t>亞太地區</w:t>
      </w:r>
      <w:r>
        <w:rPr>
          <w:rFonts w:hint="eastAsia"/>
          <w:lang w:eastAsia="zh-TW"/>
        </w:rPr>
        <w:t>包裝企業</w:t>
      </w:r>
      <w:r w:rsidRPr="001F21E7">
        <w:rPr>
          <w:rFonts w:hint="eastAsia"/>
          <w:lang w:eastAsia="zh-TW"/>
        </w:rPr>
        <w:t>應對歐盟包裝法規要求</w:t>
      </w:r>
    </w:p>
    <w:p w14:paraId="76AD0789" w14:textId="68A9BBAF" w:rsidR="007F0F63" w:rsidRPr="00A3756F" w:rsidRDefault="00FD6F28" w:rsidP="00A3756F">
      <w:pPr>
        <w:rPr>
          <w:rStyle w:val="Headline"/>
          <w:lang w:eastAsia="zh-CN"/>
        </w:rPr>
      </w:pPr>
      <w:r w:rsidRPr="00C66F78">
        <w:rPr>
          <w:rStyle w:val="Headline"/>
          <w:rFonts w:hint="eastAsia"/>
          <w:lang w:eastAsia="zh-TW"/>
        </w:rPr>
        <w:t>漢高</w:t>
      </w:r>
      <w:r>
        <w:rPr>
          <w:rStyle w:val="Headline"/>
          <w:rFonts w:hint="eastAsia"/>
          <w:lang w:eastAsia="zh-TW"/>
        </w:rPr>
        <w:t>上海</w:t>
      </w:r>
      <w:r w:rsidRPr="00C66F78">
        <w:rPr>
          <w:rStyle w:val="Headline"/>
          <w:rFonts w:hint="eastAsia"/>
          <w:lang w:eastAsia="zh-TW"/>
        </w:rPr>
        <w:t>包裝回收評估與測試中心獲</w:t>
      </w:r>
      <w:r>
        <w:rPr>
          <w:rStyle w:val="Headline"/>
          <w:rFonts w:hint="eastAsia"/>
          <w:lang w:eastAsia="zh-TW"/>
        </w:rPr>
        <w:t>歐盟機構</w:t>
      </w:r>
      <w:r w:rsidRPr="00C66F78">
        <w:rPr>
          <w:rStyle w:val="Headline"/>
          <w:rFonts w:hint="eastAsia"/>
          <w:lang w:eastAsia="zh-TW"/>
        </w:rPr>
        <w:t>認證</w:t>
      </w:r>
    </w:p>
    <w:p w14:paraId="6706FA18" w14:textId="77777777" w:rsidR="00852511" w:rsidRPr="00795AF2" w:rsidRDefault="00852511" w:rsidP="00365E44">
      <w:pPr>
        <w:rPr>
          <w:lang w:eastAsia="zh-CN"/>
        </w:rPr>
      </w:pPr>
    </w:p>
    <w:p w14:paraId="11B55725" w14:textId="7DD492ED" w:rsidR="0055571E" w:rsidRDefault="00FD6F28" w:rsidP="00643D8A">
      <w:pPr>
        <w:rPr>
          <w:rFonts w:cs="Segoe UI"/>
          <w:szCs w:val="22"/>
          <w:lang w:eastAsia="zh-TW"/>
        </w:rPr>
      </w:pPr>
      <w:r w:rsidRPr="008906C3">
        <w:rPr>
          <w:rFonts w:cs="Segoe UI" w:hint="eastAsia"/>
          <w:szCs w:val="22"/>
          <w:lang w:eastAsia="zh-TW"/>
        </w:rPr>
        <w:t>漢高宣佈</w:t>
      </w:r>
      <w:r>
        <w:rPr>
          <w:rFonts w:cs="Segoe UI" w:hint="eastAsia"/>
          <w:szCs w:val="22"/>
          <w:lang w:eastAsia="zh-TW"/>
        </w:rPr>
        <w:t>，其</w:t>
      </w:r>
      <w:r w:rsidRPr="008906C3">
        <w:rPr>
          <w:rFonts w:cs="Segoe UI" w:hint="eastAsia"/>
          <w:szCs w:val="22"/>
          <w:lang w:eastAsia="zh-TW"/>
        </w:rPr>
        <w:t>位於上海的包裝回收評估與測試中心（</w:t>
      </w:r>
      <w:r w:rsidRPr="008906C3">
        <w:rPr>
          <w:rFonts w:cs="Segoe UI"/>
          <w:szCs w:val="22"/>
          <w:lang w:eastAsia="zh-TW"/>
        </w:rPr>
        <w:t xml:space="preserve">Henkel </w:t>
      </w:r>
      <w:r>
        <w:rPr>
          <w:rFonts w:cs="Segoe UI"/>
          <w:szCs w:val="22"/>
          <w:lang w:eastAsia="zh-TW"/>
        </w:rPr>
        <w:t xml:space="preserve">Packaging </w:t>
      </w:r>
      <w:r w:rsidRPr="008906C3">
        <w:rPr>
          <w:rFonts w:cs="Segoe UI"/>
          <w:szCs w:val="22"/>
          <w:lang w:eastAsia="zh-TW"/>
        </w:rPr>
        <w:t>Recyclab Shanghai</w:t>
      </w:r>
      <w:r w:rsidRPr="008906C3">
        <w:rPr>
          <w:rFonts w:cs="Segoe UI" w:hint="eastAsia"/>
          <w:szCs w:val="22"/>
          <w:lang w:eastAsia="zh-TW"/>
        </w:rPr>
        <w:t>）正式通過德國</w:t>
      </w:r>
      <w:r w:rsidRPr="008906C3">
        <w:rPr>
          <w:rFonts w:cs="Segoe UI"/>
          <w:szCs w:val="22"/>
          <w:lang w:eastAsia="zh-TW"/>
        </w:rPr>
        <w:t>cyclos-HTP</w:t>
      </w:r>
      <w:r w:rsidRPr="008906C3">
        <w:rPr>
          <w:rFonts w:cs="Segoe UI" w:hint="eastAsia"/>
          <w:szCs w:val="22"/>
          <w:lang w:eastAsia="zh-TW"/>
        </w:rPr>
        <w:t>研究所（</w:t>
      </w:r>
      <w:r w:rsidRPr="008906C3">
        <w:rPr>
          <w:rFonts w:cs="Segoe UI"/>
          <w:szCs w:val="22"/>
          <w:lang w:eastAsia="zh-TW"/>
        </w:rPr>
        <w:t>CHI</w:t>
      </w:r>
      <w:r w:rsidRPr="008906C3">
        <w:rPr>
          <w:rFonts w:cs="Segoe UI" w:hint="eastAsia"/>
          <w:szCs w:val="22"/>
          <w:lang w:eastAsia="zh-TW"/>
        </w:rPr>
        <w:t>）的審核、</w:t>
      </w:r>
      <w:r w:rsidR="003B64ED" w:rsidRPr="003B64ED">
        <w:rPr>
          <w:rFonts w:cs="Segoe UI"/>
          <w:szCs w:val="22"/>
          <w:lang w:eastAsia="zh-TW"/>
        </w:rPr>
        <w:t>授權並取得</w:t>
      </w:r>
      <w:r w:rsidRPr="008906C3">
        <w:rPr>
          <w:rFonts w:cs="Segoe UI" w:hint="eastAsia"/>
          <w:szCs w:val="22"/>
          <w:lang w:eastAsia="zh-TW"/>
        </w:rPr>
        <w:t>認證，成為國內首個擁有歐盟紙包裝回收性能測試並對外出具對應測試評估報告資質的機構。</w:t>
      </w:r>
      <w:r>
        <w:rPr>
          <w:rFonts w:cs="Segoe UI" w:hint="eastAsia"/>
          <w:szCs w:val="22"/>
          <w:lang w:eastAsia="zh-TW"/>
        </w:rPr>
        <w:t>由此</w:t>
      </w:r>
      <w:r w:rsidRPr="000F09F2">
        <w:rPr>
          <w:rFonts w:cs="Segoe UI" w:hint="eastAsia"/>
          <w:szCs w:val="22"/>
          <w:lang w:eastAsia="zh-TW"/>
        </w:rPr>
        <w:t>，該中心同時具備</w:t>
      </w:r>
      <w:r w:rsidRPr="000F09F2">
        <w:rPr>
          <w:rFonts w:cs="Segoe UI"/>
          <w:szCs w:val="22"/>
          <w:lang w:eastAsia="zh-TW"/>
        </w:rPr>
        <w:t xml:space="preserve"> CEPI / 4evergreen </w:t>
      </w:r>
      <w:r w:rsidRPr="000F09F2">
        <w:rPr>
          <w:rFonts w:cs="Segoe UI" w:hint="eastAsia"/>
          <w:szCs w:val="22"/>
          <w:lang w:eastAsia="zh-TW"/>
        </w:rPr>
        <w:t>和</w:t>
      </w:r>
      <w:r w:rsidRPr="000F09F2">
        <w:rPr>
          <w:rFonts w:cs="Segoe UI"/>
          <w:szCs w:val="22"/>
          <w:lang w:eastAsia="zh-TW"/>
        </w:rPr>
        <w:t xml:space="preserve"> cyclos-HTP </w:t>
      </w:r>
      <w:r w:rsidRPr="000F09F2">
        <w:rPr>
          <w:rFonts w:cs="Segoe UI" w:hint="eastAsia"/>
          <w:szCs w:val="22"/>
          <w:lang w:eastAsia="zh-TW"/>
        </w:rPr>
        <w:t>兩大歐洲權威體系的紙包裝回收性能測試與評估能力，可為亞太地區客戶提供符合歐盟標準的</w:t>
      </w:r>
      <w:r w:rsidR="005A4778" w:rsidRPr="005A4778">
        <w:rPr>
          <w:rFonts w:cs="Segoe UI"/>
          <w:szCs w:val="22"/>
          <w:lang w:eastAsia="zh-TW"/>
        </w:rPr>
        <w:t>在</w:t>
      </w:r>
      <w:r w:rsidRPr="000F09F2">
        <w:rPr>
          <w:rFonts w:cs="Segoe UI" w:hint="eastAsia"/>
          <w:szCs w:val="22"/>
          <w:lang w:eastAsia="zh-TW"/>
        </w:rPr>
        <w:t>地化測試與評估服務。</w:t>
      </w:r>
    </w:p>
    <w:p w14:paraId="7071F7A1" w14:textId="77777777" w:rsidR="008906C3" w:rsidRDefault="008906C3" w:rsidP="00643D8A">
      <w:pPr>
        <w:rPr>
          <w:rFonts w:cs="Segoe UI"/>
          <w:szCs w:val="22"/>
          <w:lang w:eastAsia="zh-TW"/>
        </w:rPr>
      </w:pPr>
    </w:p>
    <w:p w14:paraId="015D336B" w14:textId="0865786A" w:rsidR="00653FC6" w:rsidRPr="00653FC6" w:rsidRDefault="00FD6F28" w:rsidP="00653FC6">
      <w:pPr>
        <w:rPr>
          <w:rFonts w:cs="Segoe UI"/>
          <w:szCs w:val="22"/>
          <w:lang w:eastAsia="zh-TW"/>
        </w:rPr>
      </w:pPr>
      <w:r w:rsidRPr="00653FC6">
        <w:rPr>
          <w:rFonts w:cs="Segoe UI" w:hint="eastAsia"/>
          <w:szCs w:val="22"/>
          <w:lang w:eastAsia="zh-TW"/>
        </w:rPr>
        <w:t>隨著歐盟《包裝及包裝廢棄物法規》（</w:t>
      </w:r>
      <w:r w:rsidRPr="00653FC6">
        <w:rPr>
          <w:rFonts w:cs="Segoe UI"/>
          <w:szCs w:val="22"/>
          <w:lang w:eastAsia="zh-TW"/>
        </w:rPr>
        <w:t>PPWR</w:t>
      </w:r>
      <w:r w:rsidRPr="00653FC6">
        <w:rPr>
          <w:rFonts w:cs="Segoe UI" w:hint="eastAsia"/>
          <w:szCs w:val="22"/>
          <w:lang w:eastAsia="zh-TW"/>
        </w:rPr>
        <w:t>）的逐步實施，包裝合規要求正從企業自願行動逐漸發展為</w:t>
      </w:r>
      <w:r>
        <w:rPr>
          <w:rFonts w:cs="Segoe UI" w:hint="eastAsia"/>
          <w:szCs w:val="22"/>
          <w:lang w:eastAsia="zh-TW"/>
        </w:rPr>
        <w:t>面向歐盟出口</w:t>
      </w:r>
      <w:r w:rsidRPr="00653FC6">
        <w:rPr>
          <w:rFonts w:cs="Segoe UI" w:hint="eastAsia"/>
          <w:szCs w:val="22"/>
          <w:lang w:eastAsia="zh-TW"/>
        </w:rPr>
        <w:t>的</w:t>
      </w:r>
      <w:r>
        <w:rPr>
          <w:rFonts w:cs="Segoe UI" w:hint="eastAsia"/>
          <w:szCs w:val="22"/>
          <w:lang w:eastAsia="zh-TW"/>
        </w:rPr>
        <w:t>合規性約束</w:t>
      </w:r>
      <w:r w:rsidRPr="00653FC6">
        <w:rPr>
          <w:rFonts w:cs="Segoe UI" w:hint="eastAsia"/>
          <w:szCs w:val="22"/>
          <w:lang w:eastAsia="zh-TW"/>
        </w:rPr>
        <w:t>。</w:t>
      </w:r>
      <w:r w:rsidRPr="00653FC6">
        <w:rPr>
          <w:rFonts w:cs="Segoe UI"/>
          <w:szCs w:val="22"/>
          <w:lang w:eastAsia="zh-TW"/>
        </w:rPr>
        <w:t>PPWR</w:t>
      </w:r>
      <w:r w:rsidRPr="00653FC6">
        <w:rPr>
          <w:rFonts w:cs="Segoe UI" w:hint="eastAsia"/>
          <w:szCs w:val="22"/>
          <w:lang w:eastAsia="zh-TW"/>
        </w:rPr>
        <w:t>法規對</w:t>
      </w:r>
      <w:r w:rsidRPr="002957BC">
        <w:rPr>
          <w:rFonts w:cs="Segoe UI" w:hint="eastAsia"/>
          <w:szCs w:val="22"/>
          <w:lang w:eastAsia="zh-TW"/>
        </w:rPr>
        <w:t>包裝可回收性指標、再生材料占比、重複使用標準、生產者責任延伸制</w:t>
      </w:r>
      <w:r w:rsidRPr="00653FC6">
        <w:rPr>
          <w:rFonts w:cs="Segoe UI" w:hint="eastAsia"/>
          <w:szCs w:val="22"/>
          <w:lang w:eastAsia="zh-TW"/>
        </w:rPr>
        <w:t>等方面提出了更高要求，也推動包裝行業加速向</w:t>
      </w:r>
      <w:r w:rsidR="00A2442B" w:rsidRPr="00A2442B">
        <w:rPr>
          <w:rFonts w:cs="Segoe UI"/>
          <w:szCs w:val="22"/>
          <w:lang w:eastAsia="zh-TW"/>
        </w:rPr>
        <w:t>循環</w:t>
      </w:r>
      <w:r w:rsidRPr="00653FC6">
        <w:rPr>
          <w:rFonts w:cs="Segoe UI" w:hint="eastAsia"/>
          <w:szCs w:val="22"/>
          <w:lang w:eastAsia="zh-TW"/>
        </w:rPr>
        <w:t>經濟轉型。</w:t>
      </w:r>
    </w:p>
    <w:p w14:paraId="2CF28CD0" w14:textId="78B636B2" w:rsidR="008906C3" w:rsidRDefault="008906C3" w:rsidP="00643D8A">
      <w:pPr>
        <w:rPr>
          <w:rFonts w:cs="Segoe UI"/>
          <w:szCs w:val="22"/>
          <w:lang w:eastAsia="zh-TW"/>
        </w:rPr>
      </w:pPr>
    </w:p>
    <w:p w14:paraId="00A0766C" w14:textId="69F2483D" w:rsidR="00D631EF" w:rsidRPr="00D631EF" w:rsidRDefault="00FD6F28" w:rsidP="00D631EF">
      <w:pPr>
        <w:rPr>
          <w:rFonts w:cs="Segoe UI"/>
          <w:szCs w:val="22"/>
          <w:lang w:eastAsia="zh-TW"/>
        </w:rPr>
      </w:pPr>
      <w:r w:rsidRPr="00D631EF">
        <w:rPr>
          <w:rFonts w:cs="Segoe UI" w:hint="eastAsia"/>
          <w:szCs w:val="22"/>
          <w:lang w:eastAsia="zh-TW"/>
        </w:rPr>
        <w:t>長期以來，由於缺少獲得歐盟認可的</w:t>
      </w:r>
      <w:r w:rsidR="00A2442B" w:rsidRPr="00A2442B">
        <w:rPr>
          <w:rFonts w:cs="Segoe UI"/>
          <w:szCs w:val="22"/>
          <w:lang w:eastAsia="zh-TW"/>
        </w:rPr>
        <w:t>在</w:t>
      </w:r>
      <w:r w:rsidRPr="00D631EF">
        <w:rPr>
          <w:rFonts w:cs="Segoe UI" w:hint="eastAsia"/>
          <w:szCs w:val="22"/>
          <w:lang w:eastAsia="zh-TW"/>
        </w:rPr>
        <w:t>地測試平</w:t>
      </w:r>
      <w:r w:rsidR="00A2442B" w:rsidRPr="00A2442B">
        <w:rPr>
          <w:rFonts w:cs="Segoe UI"/>
          <w:szCs w:val="22"/>
          <w:lang w:eastAsia="zh-TW"/>
        </w:rPr>
        <w:t>台</w:t>
      </w:r>
      <w:r w:rsidRPr="00D631EF">
        <w:rPr>
          <w:rFonts w:cs="Segoe UI" w:hint="eastAsia"/>
          <w:szCs w:val="22"/>
          <w:lang w:eastAsia="zh-TW"/>
        </w:rPr>
        <w:t>，</w:t>
      </w:r>
      <w:r w:rsidR="001332BB">
        <w:rPr>
          <w:rFonts w:cs="Segoe UI" w:hint="eastAsia"/>
          <w:szCs w:val="22"/>
          <w:lang w:eastAsia="zh-CN"/>
        </w:rPr>
        <w:t>本土</w:t>
      </w:r>
      <w:r w:rsidRPr="00D631EF">
        <w:rPr>
          <w:rFonts w:cs="Segoe UI" w:hint="eastAsia"/>
          <w:szCs w:val="22"/>
          <w:lang w:eastAsia="zh-TW"/>
        </w:rPr>
        <w:t>出口企業往往需要將樣品送往歐洲進行測試和認證。這不僅增加了時間和成本，也給跨區域溝通和專案推</w:t>
      </w:r>
      <w:r w:rsidR="00B6646E" w:rsidRPr="00B6646E">
        <w:rPr>
          <w:rFonts w:cs="Segoe UI"/>
          <w:szCs w:val="22"/>
          <w:lang w:eastAsia="zh-TW"/>
        </w:rPr>
        <w:t>動</w:t>
      </w:r>
      <w:r w:rsidRPr="00D631EF">
        <w:rPr>
          <w:rFonts w:cs="Segoe UI" w:hint="eastAsia"/>
          <w:szCs w:val="22"/>
          <w:lang w:eastAsia="zh-TW"/>
        </w:rPr>
        <w:t>帶來了挑戰。獲得</w:t>
      </w:r>
      <w:r w:rsidRPr="00D631EF">
        <w:rPr>
          <w:rFonts w:cs="Segoe UI"/>
          <w:szCs w:val="22"/>
          <w:lang w:eastAsia="zh-TW"/>
        </w:rPr>
        <w:t xml:space="preserve"> CHI </w:t>
      </w:r>
      <w:r w:rsidRPr="00D631EF">
        <w:rPr>
          <w:rFonts w:cs="Segoe UI" w:hint="eastAsia"/>
          <w:szCs w:val="22"/>
          <w:lang w:eastAsia="zh-TW"/>
        </w:rPr>
        <w:t>認證後，漢高包裝回收評估與測試中心能夠依據相關標準開展紙包裝回收性能測試與評估工作，為企業提供更加便捷和高效的支持。</w:t>
      </w:r>
    </w:p>
    <w:p w14:paraId="2456F191" w14:textId="77777777" w:rsidR="00D631EF" w:rsidRPr="00D631EF" w:rsidRDefault="00D631EF" w:rsidP="00643D8A">
      <w:pPr>
        <w:rPr>
          <w:rFonts w:cs="Segoe UI"/>
          <w:szCs w:val="22"/>
          <w:lang w:eastAsia="zh-TW"/>
        </w:rPr>
      </w:pPr>
    </w:p>
    <w:p w14:paraId="74DCD38C" w14:textId="7FC1AE60" w:rsidR="007F0F63" w:rsidRDefault="00FD6F28" w:rsidP="00643D8A">
      <w:pPr>
        <w:rPr>
          <w:rFonts w:cs="Segoe UI"/>
          <w:szCs w:val="22"/>
          <w:lang w:eastAsia="zh-TW"/>
        </w:rPr>
      </w:pPr>
      <w:r>
        <w:rPr>
          <w:rFonts w:cs="Segoe UI" w:hint="eastAsia"/>
          <w:szCs w:val="22"/>
          <w:lang w:eastAsia="zh-TW"/>
        </w:rPr>
        <w:t>“</w:t>
      </w:r>
      <w:r w:rsidRPr="00782760">
        <w:rPr>
          <w:rFonts w:cs="Segoe UI"/>
          <w:szCs w:val="22"/>
          <w:lang w:eastAsia="zh-TW"/>
        </w:rPr>
        <w:t>PPWR</w:t>
      </w:r>
      <w:r w:rsidRPr="00782760">
        <w:rPr>
          <w:rFonts w:cs="Segoe UI" w:hint="eastAsia"/>
          <w:szCs w:val="22"/>
          <w:lang w:eastAsia="zh-TW"/>
        </w:rPr>
        <w:t>將</w:t>
      </w:r>
      <w:r>
        <w:rPr>
          <w:rFonts w:cs="Segoe UI" w:hint="eastAsia"/>
          <w:szCs w:val="22"/>
          <w:lang w:eastAsia="zh-TW"/>
        </w:rPr>
        <w:t>重塑</w:t>
      </w:r>
      <w:r w:rsidRPr="00782760">
        <w:rPr>
          <w:rFonts w:cs="Segoe UI" w:hint="eastAsia"/>
          <w:szCs w:val="22"/>
          <w:lang w:eastAsia="zh-TW"/>
        </w:rPr>
        <w:t>整個包裝行業的</w:t>
      </w:r>
      <w:r>
        <w:rPr>
          <w:rFonts w:cs="Segoe UI" w:hint="eastAsia"/>
          <w:szCs w:val="22"/>
          <w:lang w:eastAsia="zh-TW"/>
        </w:rPr>
        <w:t>格局</w:t>
      </w:r>
      <w:r w:rsidRPr="00782760">
        <w:rPr>
          <w:rFonts w:cs="Segoe UI" w:hint="eastAsia"/>
          <w:szCs w:val="22"/>
          <w:lang w:eastAsia="zh-TW"/>
        </w:rPr>
        <w:t>。</w:t>
      </w:r>
      <w:r>
        <w:rPr>
          <w:rFonts w:cs="Segoe UI" w:hint="eastAsia"/>
          <w:szCs w:val="22"/>
          <w:lang w:eastAsia="zh-TW"/>
        </w:rPr>
        <w:t>”</w:t>
      </w:r>
      <w:r w:rsidRPr="00782760">
        <w:rPr>
          <w:rFonts w:cs="Segoe UI" w:hint="eastAsia"/>
          <w:szCs w:val="22"/>
          <w:lang w:eastAsia="zh-TW"/>
        </w:rPr>
        <w:t>漢高粘合劑技術包裝事業部亞太區負責人</w:t>
      </w:r>
      <w:r w:rsidRPr="00782760">
        <w:rPr>
          <w:rFonts w:cs="Segoe UI"/>
          <w:szCs w:val="22"/>
          <w:lang w:eastAsia="zh-TW"/>
        </w:rPr>
        <w:t xml:space="preserve"> Alejandro Schoenhoff</w:t>
      </w:r>
      <w:r w:rsidRPr="00782760">
        <w:rPr>
          <w:rFonts w:cs="Segoe UI" w:hint="eastAsia"/>
          <w:szCs w:val="22"/>
          <w:lang w:eastAsia="zh-TW"/>
        </w:rPr>
        <w:t>博士表示，</w:t>
      </w:r>
      <w:r>
        <w:rPr>
          <w:rFonts w:cs="Segoe UI" w:hint="eastAsia"/>
          <w:szCs w:val="22"/>
          <w:lang w:eastAsia="zh-TW"/>
        </w:rPr>
        <w:t>“</w:t>
      </w:r>
      <w:r w:rsidRPr="00782760">
        <w:rPr>
          <w:rFonts w:cs="Segoe UI" w:hint="eastAsia"/>
          <w:szCs w:val="22"/>
          <w:lang w:eastAsia="zh-TW"/>
        </w:rPr>
        <w:t>漢高包裝回收評估與測試中心獲得</w:t>
      </w:r>
      <w:r w:rsidRPr="00782760">
        <w:rPr>
          <w:rFonts w:cs="Segoe UI"/>
          <w:szCs w:val="22"/>
          <w:lang w:eastAsia="zh-TW"/>
        </w:rPr>
        <w:t>CHI</w:t>
      </w:r>
      <w:r w:rsidRPr="00782760">
        <w:rPr>
          <w:rFonts w:cs="Segoe UI" w:hint="eastAsia"/>
          <w:szCs w:val="22"/>
          <w:lang w:eastAsia="zh-TW"/>
        </w:rPr>
        <w:t>認證，標誌著漢高將歐洲權威的評估和測試能力引入。這是漢高對亞太市場的長期承諾，更是助力本土企業應對全球市場准入</w:t>
      </w:r>
      <w:r w:rsidR="00A2442B" w:rsidRPr="00A2442B">
        <w:rPr>
          <w:rFonts w:cs="Segoe UI"/>
          <w:szCs w:val="22"/>
          <w:lang w:eastAsia="zh-TW"/>
        </w:rPr>
        <w:t>門檻</w:t>
      </w:r>
      <w:r w:rsidRPr="00782760">
        <w:rPr>
          <w:rFonts w:cs="Segoe UI" w:hint="eastAsia"/>
          <w:szCs w:val="22"/>
          <w:lang w:eastAsia="zh-TW"/>
        </w:rPr>
        <w:t>時邁出的關鍵一步。</w:t>
      </w:r>
      <w:r>
        <w:rPr>
          <w:rFonts w:cs="Segoe UI" w:hint="eastAsia"/>
          <w:szCs w:val="22"/>
          <w:lang w:eastAsia="zh-TW"/>
        </w:rPr>
        <w:t>”</w:t>
      </w:r>
    </w:p>
    <w:p w14:paraId="13157B68" w14:textId="3A2BEE11" w:rsidR="00385185" w:rsidRDefault="00385185" w:rsidP="00643D8A">
      <w:pPr>
        <w:rPr>
          <w:rFonts w:cs="Segoe UI"/>
          <w:szCs w:val="22"/>
          <w:lang w:eastAsia="zh-TW"/>
        </w:rPr>
      </w:pPr>
    </w:p>
    <w:p w14:paraId="6AF4E4EF" w14:textId="50A76737" w:rsidR="00DC4ABA" w:rsidRDefault="00FD6F28" w:rsidP="00643D8A">
      <w:pPr>
        <w:rPr>
          <w:rFonts w:cs="Segoe UI"/>
          <w:szCs w:val="22"/>
          <w:lang w:eastAsia="zh-TW"/>
        </w:rPr>
      </w:pPr>
      <w:r w:rsidRPr="00DC4ABA">
        <w:rPr>
          <w:rFonts w:cs="Segoe UI" w:hint="eastAsia"/>
          <w:szCs w:val="22"/>
          <w:lang w:eastAsia="zh-TW"/>
        </w:rPr>
        <w:t>作為漢高全球第二座、歐洲以外唯一的包裝回收評估與測試中心，該中心在設備配置、測試能力和運營標準方面與德國杜塞爾多夫總部實驗室保持一致</w:t>
      </w:r>
      <w:r>
        <w:rPr>
          <w:rFonts w:cs="Segoe UI" w:hint="eastAsia"/>
          <w:szCs w:val="22"/>
          <w:lang w:eastAsia="zh-TW"/>
        </w:rPr>
        <w:t>，</w:t>
      </w:r>
      <w:r w:rsidRPr="00DC4ABA">
        <w:rPr>
          <w:rFonts w:cs="Segoe UI" w:hint="eastAsia"/>
          <w:szCs w:val="22"/>
          <w:lang w:eastAsia="zh-TW"/>
        </w:rPr>
        <w:t>嚴格依據</w:t>
      </w:r>
      <w:r w:rsidRPr="00DC4ABA">
        <w:rPr>
          <w:rFonts w:cs="Segoe UI"/>
          <w:szCs w:val="22"/>
          <w:lang w:eastAsia="zh-TW"/>
        </w:rPr>
        <w:t xml:space="preserve"> </w:t>
      </w:r>
      <w:r w:rsidRPr="00CF3705">
        <w:rPr>
          <w:rFonts w:cs="Segoe UI"/>
          <w:szCs w:val="22"/>
          <w:lang w:eastAsia="zh-TW"/>
        </w:rPr>
        <w:t>CHI-C6-Henkel</w:t>
      </w:r>
      <w:r w:rsidRPr="00CF3705">
        <w:rPr>
          <w:rFonts w:cs="Segoe UI" w:hint="eastAsia"/>
          <w:szCs w:val="22"/>
          <w:lang w:eastAsia="zh-TW"/>
        </w:rPr>
        <w:t>、</w:t>
      </w:r>
      <w:r w:rsidRPr="00CF3705">
        <w:rPr>
          <w:rFonts w:cs="Segoe UI"/>
          <w:szCs w:val="22"/>
          <w:lang w:eastAsia="zh-TW"/>
        </w:rPr>
        <w:t>CEPI / 4evergreen</w:t>
      </w:r>
      <w:r w:rsidRPr="00DC4ABA">
        <w:rPr>
          <w:rFonts w:cs="Segoe UI" w:hint="eastAsia"/>
          <w:szCs w:val="22"/>
          <w:lang w:eastAsia="zh-TW"/>
        </w:rPr>
        <w:t>測試方法開展工作，並具備完整的紙包裝回收性能測試與評估能力。</w:t>
      </w:r>
    </w:p>
    <w:p w14:paraId="19575E2A" w14:textId="77777777" w:rsidR="00DC4ABA" w:rsidRDefault="00DC4ABA" w:rsidP="00643D8A">
      <w:pPr>
        <w:rPr>
          <w:rFonts w:cs="Segoe UI"/>
          <w:szCs w:val="22"/>
          <w:lang w:eastAsia="zh-TW"/>
        </w:rPr>
      </w:pPr>
    </w:p>
    <w:p w14:paraId="637E2F4D" w14:textId="1453C8AE" w:rsidR="005A43EC" w:rsidRDefault="00FD6F28" w:rsidP="00643D8A">
      <w:pPr>
        <w:rPr>
          <w:rFonts w:cs="Segoe UI"/>
          <w:szCs w:val="22"/>
          <w:lang w:eastAsia="zh-TW"/>
        </w:rPr>
      </w:pPr>
      <w:r w:rsidRPr="005A43EC">
        <w:rPr>
          <w:rFonts w:cs="Segoe UI"/>
          <w:szCs w:val="22"/>
          <w:lang w:eastAsia="zh-TW"/>
        </w:rPr>
        <w:lastRenderedPageBreak/>
        <w:t>PPWR</w:t>
      </w:r>
      <w:r w:rsidRPr="005A43EC">
        <w:rPr>
          <w:rFonts w:cs="Segoe UI" w:hint="eastAsia"/>
          <w:szCs w:val="22"/>
          <w:lang w:eastAsia="zh-TW"/>
        </w:rPr>
        <w:t>提出的</w:t>
      </w:r>
      <w:r>
        <w:rPr>
          <w:rFonts w:cs="Segoe UI" w:hint="eastAsia"/>
          <w:szCs w:val="22"/>
          <w:lang w:eastAsia="zh-TW"/>
        </w:rPr>
        <w:t>“</w:t>
      </w:r>
      <w:r w:rsidRPr="005A43EC">
        <w:rPr>
          <w:rFonts w:cs="Segoe UI"/>
          <w:szCs w:val="22"/>
          <w:lang w:eastAsia="zh-TW"/>
        </w:rPr>
        <w:t>Design for Recycling</w:t>
      </w:r>
      <w:r w:rsidRPr="005A43EC">
        <w:rPr>
          <w:rFonts w:cs="Segoe UI" w:hint="eastAsia"/>
          <w:szCs w:val="22"/>
          <w:lang w:eastAsia="zh-TW"/>
        </w:rPr>
        <w:t>（設計為回收）</w:t>
      </w:r>
      <w:r>
        <w:rPr>
          <w:rFonts w:cs="Segoe UI" w:hint="eastAsia"/>
          <w:szCs w:val="22"/>
          <w:lang w:eastAsia="zh-TW"/>
        </w:rPr>
        <w:t>”</w:t>
      </w:r>
      <w:r w:rsidRPr="005A43EC">
        <w:rPr>
          <w:rFonts w:cs="Segoe UI" w:hint="eastAsia"/>
          <w:szCs w:val="22"/>
          <w:lang w:eastAsia="zh-TW"/>
        </w:rPr>
        <w:t>理念，要求企業在包裝設計階段即充分考慮產品在實際回收體系中的表現。相比傳統僅關注材料是否具備理論回收可能性的模式，新法規更強調基於測試資料和實際回收結果的評價體系。</w:t>
      </w:r>
    </w:p>
    <w:p w14:paraId="3B14ED9A" w14:textId="77777777" w:rsidR="005A43EC" w:rsidRDefault="005A43EC" w:rsidP="00643D8A">
      <w:pPr>
        <w:rPr>
          <w:rFonts w:cs="Segoe UI"/>
          <w:szCs w:val="22"/>
          <w:lang w:eastAsia="zh-TW"/>
        </w:rPr>
      </w:pPr>
    </w:p>
    <w:p w14:paraId="3ED56F2F" w14:textId="444B9615" w:rsidR="00D239D1" w:rsidRDefault="00FD6F28" w:rsidP="00643D8A">
      <w:pPr>
        <w:rPr>
          <w:rFonts w:cs="Segoe UI"/>
          <w:szCs w:val="22"/>
          <w:lang w:eastAsia="zh-TW"/>
        </w:rPr>
      </w:pPr>
      <w:r w:rsidRPr="00D239D1">
        <w:rPr>
          <w:rFonts w:cs="Segoe UI" w:hint="eastAsia"/>
          <w:szCs w:val="22"/>
          <w:lang w:eastAsia="zh-TW"/>
        </w:rPr>
        <w:t>依託</w:t>
      </w:r>
      <w:r>
        <w:rPr>
          <w:rFonts w:cs="Segoe UI" w:hint="eastAsia"/>
          <w:szCs w:val="22"/>
          <w:lang w:eastAsia="zh-TW"/>
        </w:rPr>
        <w:t>上海</w:t>
      </w:r>
      <w:r w:rsidRPr="00D239D1">
        <w:rPr>
          <w:rFonts w:cs="Segoe UI" w:hint="eastAsia"/>
          <w:szCs w:val="22"/>
          <w:lang w:eastAsia="zh-TW"/>
        </w:rPr>
        <w:t>包裝回收評估與測試中心，企業能夠在產品開發早期與漢高技術專家合作，通過</w:t>
      </w:r>
      <w:r w:rsidR="00B6646E" w:rsidRPr="00B6646E">
        <w:rPr>
          <w:rFonts w:cs="Segoe UI"/>
          <w:szCs w:val="22"/>
          <w:lang w:eastAsia="zh-TW"/>
        </w:rPr>
        <w:t>模擬</w:t>
      </w:r>
      <w:r w:rsidRPr="00D239D1">
        <w:rPr>
          <w:rFonts w:cs="Segoe UI" w:hint="eastAsia"/>
          <w:szCs w:val="22"/>
          <w:lang w:eastAsia="zh-TW"/>
        </w:rPr>
        <w:t>類比工業化回收流程開展評估和優化，從而在包裝設計階段提前識別潛在問題，並獲得基於測試結果的</w:t>
      </w:r>
      <w:r w:rsidRPr="00105AE8">
        <w:rPr>
          <w:rFonts w:cs="Segoe UI" w:hint="eastAsia"/>
          <w:szCs w:val="22"/>
          <w:lang w:eastAsia="zh-TW"/>
        </w:rPr>
        <w:t>科學、量化的優化</w:t>
      </w:r>
      <w:r>
        <w:rPr>
          <w:rFonts w:cs="Segoe UI" w:hint="eastAsia"/>
          <w:szCs w:val="22"/>
          <w:lang w:eastAsia="zh-TW"/>
        </w:rPr>
        <w:t>建議</w:t>
      </w:r>
      <w:r w:rsidRPr="00D239D1">
        <w:rPr>
          <w:rFonts w:cs="Segoe UI" w:hint="eastAsia"/>
          <w:szCs w:val="22"/>
          <w:lang w:eastAsia="zh-TW"/>
        </w:rPr>
        <w:t>和</w:t>
      </w:r>
      <w:r w:rsidR="00B6646E" w:rsidRPr="00B6646E">
        <w:rPr>
          <w:rFonts w:cs="Segoe UI"/>
          <w:szCs w:val="22"/>
          <w:lang w:eastAsia="zh-TW"/>
        </w:rPr>
        <w:t>第三方評估支援</w:t>
      </w:r>
      <w:r w:rsidRPr="00D239D1">
        <w:rPr>
          <w:rFonts w:cs="Segoe UI" w:hint="eastAsia"/>
          <w:szCs w:val="22"/>
          <w:lang w:eastAsia="zh-TW"/>
        </w:rPr>
        <w:t>。</w:t>
      </w:r>
    </w:p>
    <w:p w14:paraId="1ED73D09" w14:textId="77777777" w:rsidR="00D239D1" w:rsidRPr="005A43EC" w:rsidRDefault="00D239D1" w:rsidP="00643D8A">
      <w:pPr>
        <w:rPr>
          <w:rFonts w:cs="Segoe UI"/>
          <w:szCs w:val="22"/>
          <w:lang w:eastAsia="zh-TW"/>
        </w:rPr>
      </w:pPr>
    </w:p>
    <w:p w14:paraId="4258DF3D" w14:textId="27916E40" w:rsidR="00385185" w:rsidRDefault="00FD6F28" w:rsidP="00643D8A">
      <w:pPr>
        <w:rPr>
          <w:rFonts w:cs="Segoe UI"/>
          <w:szCs w:val="22"/>
          <w:lang w:eastAsia="zh-TW"/>
        </w:rPr>
      </w:pPr>
      <w:r>
        <w:rPr>
          <w:rFonts w:cs="Segoe UI" w:hint="eastAsia"/>
          <w:szCs w:val="22"/>
          <w:lang w:eastAsia="zh-TW"/>
        </w:rPr>
        <w:t>“</w:t>
      </w:r>
      <w:r w:rsidR="009A4595">
        <w:rPr>
          <w:rFonts w:cs="Segoe UI" w:hint="eastAsia"/>
          <w:szCs w:val="22"/>
          <w:lang w:eastAsia="zh-TW"/>
        </w:rPr>
        <w:t>本土市場</w:t>
      </w:r>
      <w:r w:rsidRPr="00A71E2A">
        <w:rPr>
          <w:rFonts w:cs="Segoe UI" w:hint="eastAsia"/>
          <w:szCs w:val="22"/>
          <w:lang w:eastAsia="zh-TW"/>
        </w:rPr>
        <w:t>龐大的出口體量決定了我們必須直面挑戰。</w:t>
      </w:r>
      <w:r>
        <w:rPr>
          <w:rFonts w:cs="Segoe UI" w:hint="eastAsia"/>
          <w:szCs w:val="22"/>
          <w:lang w:eastAsia="zh-TW"/>
        </w:rPr>
        <w:t>”</w:t>
      </w:r>
      <w:r w:rsidRPr="00A71E2A">
        <w:rPr>
          <w:rFonts w:cs="Segoe UI"/>
          <w:szCs w:val="22"/>
          <w:lang w:eastAsia="zh-TW"/>
        </w:rPr>
        <w:t xml:space="preserve"> </w:t>
      </w:r>
      <w:r w:rsidRPr="00A71E2A">
        <w:rPr>
          <w:rFonts w:cs="Segoe UI" w:hint="eastAsia"/>
          <w:szCs w:val="22"/>
          <w:lang w:eastAsia="zh-TW"/>
        </w:rPr>
        <w:t>漢高</w:t>
      </w:r>
      <w:r w:rsidRPr="00782760">
        <w:rPr>
          <w:rFonts w:cs="Segoe UI" w:hint="eastAsia"/>
          <w:szCs w:val="22"/>
          <w:lang w:eastAsia="zh-TW"/>
        </w:rPr>
        <w:t>粘合劑技術包裝事業部</w:t>
      </w:r>
      <w:r w:rsidRPr="00A71E2A">
        <w:rPr>
          <w:rFonts w:cs="Segoe UI" w:hint="eastAsia"/>
          <w:szCs w:val="22"/>
          <w:lang w:eastAsia="zh-TW"/>
        </w:rPr>
        <w:t>亞太區可持續發展經理鄭琰傑指出，</w:t>
      </w:r>
      <w:r>
        <w:rPr>
          <w:rFonts w:cs="Segoe UI" w:hint="eastAsia"/>
          <w:szCs w:val="22"/>
          <w:lang w:eastAsia="zh-TW"/>
        </w:rPr>
        <w:t>“</w:t>
      </w:r>
      <w:r w:rsidRPr="00A71E2A">
        <w:rPr>
          <w:rFonts w:cs="Segoe UI" w:hint="eastAsia"/>
          <w:szCs w:val="22"/>
          <w:lang w:eastAsia="zh-TW"/>
        </w:rPr>
        <w:t>漢高已構建覆蓋設計、生產應用、末端回收、合規認證的全生命週期一體化解決方案，</w:t>
      </w:r>
      <w:r w:rsidR="00B6646E" w:rsidRPr="00B6646E">
        <w:rPr>
          <w:rFonts w:cs="Segoe UI"/>
          <w:szCs w:val="22"/>
          <w:lang w:eastAsia="zh-TW"/>
        </w:rPr>
        <w:t>新近取得認證的</w:t>
      </w:r>
      <w:r w:rsidRPr="00A71E2A">
        <w:rPr>
          <w:rFonts w:cs="Segoe UI" w:hint="eastAsia"/>
          <w:szCs w:val="22"/>
          <w:lang w:eastAsia="zh-TW"/>
        </w:rPr>
        <w:t>漢高包裝回收評估與測試中心，為包裝出口企業開闢出一條高效、可靠的</w:t>
      </w:r>
      <w:r>
        <w:rPr>
          <w:rFonts w:cs="Segoe UI" w:hint="eastAsia"/>
          <w:szCs w:val="22"/>
          <w:lang w:eastAsia="zh-TW"/>
        </w:rPr>
        <w:t>‘</w:t>
      </w:r>
      <w:r w:rsidRPr="00A71E2A">
        <w:rPr>
          <w:rFonts w:cs="Segoe UI" w:hint="eastAsia"/>
          <w:szCs w:val="22"/>
          <w:lang w:eastAsia="zh-TW"/>
        </w:rPr>
        <w:t>綠色通道</w:t>
      </w:r>
      <w:r>
        <w:rPr>
          <w:rFonts w:cs="Segoe UI" w:hint="eastAsia"/>
          <w:szCs w:val="22"/>
          <w:lang w:eastAsia="zh-TW"/>
        </w:rPr>
        <w:t>’</w:t>
      </w:r>
      <w:r w:rsidRPr="00A71E2A">
        <w:rPr>
          <w:rFonts w:cs="Segoe UI" w:hint="eastAsia"/>
          <w:szCs w:val="22"/>
          <w:lang w:eastAsia="zh-TW"/>
        </w:rPr>
        <w:t>。</w:t>
      </w:r>
      <w:r>
        <w:rPr>
          <w:rFonts w:cs="Segoe UI" w:hint="eastAsia"/>
          <w:szCs w:val="22"/>
          <w:lang w:eastAsia="zh-TW"/>
        </w:rPr>
        <w:t>”</w:t>
      </w:r>
    </w:p>
    <w:p w14:paraId="48D80950" w14:textId="22EA2066" w:rsidR="00385185" w:rsidRDefault="00385185" w:rsidP="00643D8A">
      <w:pPr>
        <w:rPr>
          <w:rFonts w:cs="Segoe UI"/>
          <w:szCs w:val="22"/>
          <w:lang w:eastAsia="zh-TW"/>
        </w:rPr>
      </w:pPr>
    </w:p>
    <w:p w14:paraId="0AE9B6D5" w14:textId="61E6C2A3" w:rsidR="00385185" w:rsidRPr="00784EB6" w:rsidRDefault="00FD6F28" w:rsidP="00643D8A">
      <w:pPr>
        <w:rPr>
          <w:rFonts w:cs="Segoe UI"/>
          <w:szCs w:val="22"/>
          <w:lang w:eastAsia="zh-TW"/>
        </w:rPr>
      </w:pPr>
      <w:r>
        <w:rPr>
          <w:rFonts w:cs="Segoe UI" w:hint="eastAsia"/>
          <w:szCs w:val="22"/>
          <w:lang w:eastAsia="zh-TW"/>
        </w:rPr>
        <w:t>此次認證</w:t>
      </w:r>
      <w:r w:rsidRPr="00571254">
        <w:rPr>
          <w:rFonts w:cs="Segoe UI" w:hint="eastAsia"/>
          <w:szCs w:val="22"/>
          <w:lang w:eastAsia="zh-TW"/>
        </w:rPr>
        <w:t>也進一步印證了漢高在包裝可持續發展領域的長期投入。</w:t>
      </w:r>
      <w:r w:rsidRPr="00784EB6">
        <w:rPr>
          <w:rFonts w:cs="Segoe UI" w:hint="eastAsia"/>
          <w:szCs w:val="22"/>
          <w:lang w:eastAsia="zh-TW"/>
        </w:rPr>
        <w:t>漢高</w:t>
      </w:r>
      <w:r>
        <w:rPr>
          <w:rFonts w:cs="Segoe UI" w:hint="eastAsia"/>
          <w:szCs w:val="22"/>
          <w:lang w:eastAsia="zh-TW"/>
        </w:rPr>
        <w:t>粘合劑技術</w:t>
      </w:r>
      <w:r w:rsidRPr="00784EB6">
        <w:rPr>
          <w:rFonts w:cs="Segoe UI" w:hint="eastAsia"/>
          <w:szCs w:val="22"/>
          <w:lang w:eastAsia="zh-TW"/>
        </w:rPr>
        <w:t>長期深耕包裝行業，並持續推動可持續包裝創新。目前，上海漢高包裝回收評估與測試中心已具備紙基包裝材料回收性能測試能力，同時正在推進塑膠包裝回收性能評估能力建設。未來，該中心將逐步拓展測試服務範圍，為更多包裝應用場景提供支援，並助力行業綠色轉型和</w:t>
      </w:r>
      <w:r w:rsidR="005A4778" w:rsidRPr="00A2442B">
        <w:rPr>
          <w:rFonts w:cs="Segoe UI"/>
          <w:szCs w:val="22"/>
          <w:lang w:eastAsia="zh-TW"/>
        </w:rPr>
        <w:t>循環</w:t>
      </w:r>
      <w:r w:rsidRPr="00784EB6">
        <w:rPr>
          <w:rFonts w:cs="Segoe UI" w:hint="eastAsia"/>
          <w:szCs w:val="22"/>
          <w:lang w:eastAsia="zh-TW"/>
        </w:rPr>
        <w:t>經濟發展。</w:t>
      </w:r>
    </w:p>
    <w:p w14:paraId="03D40B48" w14:textId="77777777" w:rsidR="00385185" w:rsidRDefault="00385185" w:rsidP="00643D8A">
      <w:pPr>
        <w:rPr>
          <w:rFonts w:cs="Segoe UI"/>
          <w:szCs w:val="22"/>
          <w:lang w:eastAsia="zh-TW"/>
        </w:rPr>
      </w:pPr>
    </w:p>
    <w:p w14:paraId="56AC8909" w14:textId="77777777" w:rsidR="002A2975" w:rsidRDefault="002A2975" w:rsidP="00643D8A">
      <w:pPr>
        <w:rPr>
          <w:rFonts w:cs="Segoe UI"/>
          <w:szCs w:val="22"/>
          <w:lang w:eastAsia="zh-TW"/>
        </w:rPr>
      </w:pPr>
    </w:p>
    <w:p w14:paraId="1790894C" w14:textId="77777777" w:rsidR="003E2779" w:rsidRPr="003E2779" w:rsidRDefault="003E2779" w:rsidP="003E2779">
      <w:pPr>
        <w:rPr>
          <w:rStyle w:val="AboutandContactHeadline"/>
          <w:rFonts w:asciiTheme="majorHAnsi" w:hAnsiTheme="majorHAnsi" w:cstheme="majorHAnsi"/>
          <w:szCs w:val="18"/>
          <w:lang w:eastAsia="zh-TW"/>
        </w:rPr>
      </w:pPr>
      <w:r w:rsidRPr="003E2779">
        <w:rPr>
          <w:rStyle w:val="AboutandContactHeadline"/>
          <w:rFonts w:asciiTheme="majorHAnsi" w:hAnsiTheme="majorHAnsi" w:cstheme="majorHAnsi" w:hint="eastAsia"/>
          <w:szCs w:val="18"/>
          <w:lang w:eastAsia="zh-TW"/>
        </w:rPr>
        <w:t>關於漢高</w:t>
      </w:r>
    </w:p>
    <w:p w14:paraId="575CA0C5" w14:textId="115F1699" w:rsidR="003E2779" w:rsidRPr="003E2779" w:rsidRDefault="003E2779" w:rsidP="003E2779">
      <w:pPr>
        <w:rPr>
          <w:rStyle w:val="AboutandContactBody"/>
          <w:szCs w:val="18"/>
          <w:lang w:eastAsia="zh-TW"/>
        </w:rPr>
      </w:pPr>
      <w:r w:rsidRPr="003E2779">
        <w:rPr>
          <w:rStyle w:val="AboutandContactBody"/>
          <w:rFonts w:asciiTheme="majorHAnsi" w:hAnsiTheme="majorHAnsi" w:cstheme="majorHAnsi" w:hint="eastAsia"/>
          <w:szCs w:val="18"/>
          <w:lang w:eastAsia="zh-TW"/>
        </w:rPr>
        <w:t>漢高憑藉其品牌、創新和技術，在全球工業和消費品領域中擁有領先的市場地位。漢高粘合劑技術業務部是全球粘合劑、密封劑和功能性塗層市場的領導者。漢高消費品牌在各國市場和品類佔據領先地位，在洗滌劑及家用護理和美髮領域尤為突出。樂泰（</w:t>
      </w:r>
      <w:r w:rsidRPr="003E2779">
        <w:rPr>
          <w:rStyle w:val="AboutandContactBody"/>
          <w:rFonts w:asciiTheme="majorHAnsi" w:hAnsiTheme="majorHAnsi" w:cstheme="majorHAnsi"/>
          <w:szCs w:val="18"/>
          <w:lang w:eastAsia="zh-TW"/>
        </w:rPr>
        <w:t>Loctite</w:t>
      </w:r>
      <w:r w:rsidRPr="003E2779">
        <w:rPr>
          <w:rStyle w:val="AboutandContactBody"/>
          <w:rFonts w:asciiTheme="majorHAnsi" w:hAnsiTheme="majorHAnsi" w:cstheme="majorHAnsi" w:hint="eastAsia"/>
          <w:szCs w:val="18"/>
          <w:lang w:eastAsia="zh-TW"/>
        </w:rPr>
        <w:t>）、寶瑩（</w:t>
      </w:r>
      <w:r w:rsidRPr="003E2779">
        <w:rPr>
          <w:rStyle w:val="AboutandContactBody"/>
          <w:rFonts w:asciiTheme="majorHAnsi" w:hAnsiTheme="majorHAnsi" w:cstheme="majorHAnsi"/>
          <w:szCs w:val="18"/>
          <w:lang w:eastAsia="zh-TW"/>
        </w:rPr>
        <w:t>Persil</w:t>
      </w:r>
      <w:r w:rsidRPr="003E2779">
        <w:rPr>
          <w:rStyle w:val="AboutandContactBody"/>
          <w:rFonts w:asciiTheme="majorHAnsi" w:hAnsiTheme="majorHAnsi" w:cstheme="majorHAnsi" w:hint="eastAsia"/>
          <w:szCs w:val="18"/>
          <w:lang w:eastAsia="zh-TW"/>
        </w:rPr>
        <w:t>）和施華蔻（</w:t>
      </w:r>
      <w:r w:rsidRPr="003E2779">
        <w:rPr>
          <w:rStyle w:val="AboutandContactBody"/>
          <w:rFonts w:asciiTheme="majorHAnsi" w:hAnsiTheme="majorHAnsi" w:cstheme="majorHAnsi"/>
          <w:szCs w:val="18"/>
          <w:lang w:eastAsia="zh-TW"/>
        </w:rPr>
        <w:t>Schwarzkopf</w:t>
      </w:r>
      <w:r w:rsidRPr="003E2779">
        <w:rPr>
          <w:rStyle w:val="AboutandContactBody"/>
          <w:rFonts w:asciiTheme="majorHAnsi" w:hAnsiTheme="majorHAnsi" w:cstheme="majorHAnsi" w:hint="eastAsia"/>
          <w:szCs w:val="18"/>
          <w:lang w:eastAsia="zh-TW"/>
        </w:rPr>
        <w:t>）是公司的三大核心品牌。</w:t>
      </w:r>
      <w:r w:rsidRPr="003E2779">
        <w:rPr>
          <w:rStyle w:val="AboutandContactBody"/>
          <w:rFonts w:asciiTheme="majorHAnsi" w:hAnsiTheme="majorHAnsi" w:cstheme="majorHAnsi"/>
          <w:szCs w:val="18"/>
          <w:lang w:eastAsia="zh-TW"/>
        </w:rPr>
        <w:t>2025</w:t>
      </w:r>
      <w:r w:rsidRPr="003E2779">
        <w:rPr>
          <w:rStyle w:val="AboutandContactBody"/>
          <w:rFonts w:asciiTheme="majorHAnsi" w:hAnsiTheme="majorHAnsi" w:cstheme="majorHAnsi" w:hint="eastAsia"/>
          <w:szCs w:val="18"/>
          <w:lang w:eastAsia="zh-TW"/>
        </w:rPr>
        <w:t>財年，漢高實現銷售額約</w:t>
      </w:r>
      <w:r w:rsidRPr="003E2779">
        <w:rPr>
          <w:rStyle w:val="AboutandContactBody"/>
          <w:rFonts w:asciiTheme="majorHAnsi" w:hAnsiTheme="majorHAnsi" w:cstheme="majorHAnsi"/>
          <w:szCs w:val="18"/>
          <w:lang w:eastAsia="zh-TW"/>
        </w:rPr>
        <w:t>205</w:t>
      </w:r>
      <w:r w:rsidRPr="003E2779">
        <w:rPr>
          <w:rStyle w:val="AboutandContactBody"/>
          <w:rFonts w:asciiTheme="majorHAnsi" w:hAnsiTheme="majorHAnsi" w:cstheme="majorHAnsi" w:hint="eastAsia"/>
          <w:szCs w:val="18"/>
          <w:lang w:eastAsia="zh-TW"/>
        </w:rPr>
        <w:t>億歐元，調整後營業利潤約為</w:t>
      </w:r>
      <w:r w:rsidRPr="003E2779">
        <w:rPr>
          <w:rStyle w:val="AboutandContactBody"/>
          <w:rFonts w:asciiTheme="majorHAnsi" w:hAnsiTheme="majorHAnsi" w:cstheme="majorHAnsi"/>
          <w:szCs w:val="18"/>
          <w:lang w:eastAsia="zh-TW"/>
        </w:rPr>
        <w:t>30</w:t>
      </w:r>
      <w:r w:rsidRPr="003E2779">
        <w:rPr>
          <w:rStyle w:val="AboutandContactBody"/>
          <w:rFonts w:asciiTheme="majorHAnsi" w:hAnsiTheme="majorHAnsi" w:cstheme="majorHAnsi" w:hint="eastAsia"/>
          <w:szCs w:val="18"/>
          <w:lang w:eastAsia="zh-TW"/>
        </w:rPr>
        <w:t>億歐元。漢高的優先股已列入德國</w:t>
      </w:r>
      <w:r w:rsidRPr="003E2779">
        <w:rPr>
          <w:rStyle w:val="AboutandContactBody"/>
          <w:rFonts w:asciiTheme="majorHAnsi" w:hAnsiTheme="majorHAnsi" w:cstheme="majorHAnsi"/>
          <w:szCs w:val="18"/>
          <w:lang w:eastAsia="zh-TW"/>
        </w:rPr>
        <w:t>DAX</w:t>
      </w:r>
      <w:r w:rsidRPr="003E2779">
        <w:rPr>
          <w:rStyle w:val="AboutandContactBody"/>
          <w:rFonts w:asciiTheme="majorHAnsi" w:hAnsiTheme="majorHAnsi" w:cstheme="majorHAnsi" w:hint="eastAsia"/>
          <w:szCs w:val="18"/>
          <w:lang w:eastAsia="zh-TW"/>
        </w:rPr>
        <w:t>指數。永續發展在漢高有著悠久的傳統，公司確立有明晰的永續發展策略和具體目標。成立于</w:t>
      </w:r>
      <w:r w:rsidRPr="003E2779">
        <w:rPr>
          <w:rStyle w:val="AboutandContactBody"/>
          <w:rFonts w:asciiTheme="majorHAnsi" w:hAnsiTheme="majorHAnsi" w:cstheme="majorHAnsi"/>
          <w:szCs w:val="18"/>
          <w:lang w:eastAsia="zh-TW"/>
        </w:rPr>
        <w:t>1876</w:t>
      </w:r>
      <w:r w:rsidRPr="003E2779">
        <w:rPr>
          <w:rStyle w:val="AboutandContactBody"/>
          <w:rFonts w:asciiTheme="majorHAnsi" w:hAnsiTheme="majorHAnsi" w:cstheme="majorHAnsi" w:hint="eastAsia"/>
          <w:szCs w:val="18"/>
          <w:lang w:eastAsia="zh-TW"/>
        </w:rPr>
        <w:t>年，漢高如今在全球範圍內約有</w:t>
      </w:r>
      <w:r>
        <w:rPr>
          <w:rStyle w:val="AboutandContactBody"/>
          <w:rFonts w:asciiTheme="majorHAnsi" w:hAnsiTheme="majorHAnsi" w:cstheme="majorHAnsi" w:hint="eastAsia"/>
          <w:szCs w:val="18"/>
          <w:lang w:eastAsia="zh-TW"/>
        </w:rPr>
        <w:t>5</w:t>
      </w:r>
      <w:r w:rsidRPr="003E2779">
        <w:rPr>
          <w:rStyle w:val="AboutandContactBody"/>
          <w:rFonts w:asciiTheme="majorHAnsi" w:hAnsiTheme="majorHAnsi" w:cstheme="majorHAnsi" w:hint="eastAsia"/>
          <w:szCs w:val="18"/>
          <w:lang w:eastAsia="zh-TW"/>
        </w:rPr>
        <w:t>萬名員工，在強大的企業文化、共同的價值觀與企業目標</w:t>
      </w:r>
      <w:r w:rsidRPr="003E2779">
        <w:rPr>
          <w:rStyle w:val="AboutandContactBody"/>
          <w:rFonts w:asciiTheme="majorHAnsi" w:hAnsiTheme="majorHAnsi" w:cstheme="majorHAnsi"/>
          <w:szCs w:val="18"/>
          <w:lang w:eastAsia="zh-TW"/>
        </w:rPr>
        <w:t>“Pioneers at heart for the good of generations”</w:t>
      </w:r>
      <w:r w:rsidRPr="003E2779">
        <w:rPr>
          <w:rStyle w:val="AboutandContactBody"/>
          <w:rFonts w:asciiTheme="majorHAnsi" w:hAnsiTheme="majorHAnsi" w:cstheme="majorHAnsi" w:hint="eastAsia"/>
          <w:szCs w:val="18"/>
          <w:lang w:eastAsia="zh-TW"/>
        </w:rPr>
        <w:t>的引領下，融合為一支多元化的團隊。更多資訊，敬請訪問</w:t>
      </w:r>
      <w:r w:rsidRPr="003E2779">
        <w:rPr>
          <w:rStyle w:val="AboutandContactBody"/>
          <w:rFonts w:asciiTheme="majorHAnsi" w:hAnsiTheme="majorHAnsi" w:cstheme="majorHAnsi"/>
          <w:szCs w:val="18"/>
          <w:lang w:eastAsia="zh-TW"/>
        </w:rPr>
        <w:t xml:space="preserve"> </w:t>
      </w:r>
      <w:hyperlink r:id="rId12" w:history="1">
        <w:r w:rsidRPr="003E2779">
          <w:rPr>
            <w:rStyle w:val="Hyperlink"/>
            <w:rFonts w:asciiTheme="majorHAnsi" w:hAnsiTheme="majorHAnsi" w:cstheme="majorHAnsi"/>
            <w:lang w:eastAsia="zh-TW"/>
          </w:rPr>
          <w:t>www.henkel.cn</w:t>
        </w:r>
      </w:hyperlink>
      <w:r w:rsidRPr="003E2779">
        <w:rPr>
          <w:rFonts w:asciiTheme="majorHAnsi" w:hAnsiTheme="majorHAnsi" w:cstheme="majorHAnsi" w:hint="eastAsia"/>
          <w:sz w:val="18"/>
          <w:szCs w:val="18"/>
          <w:lang w:eastAsia="zh-TW"/>
        </w:rPr>
        <w:t xml:space="preserve"> </w:t>
      </w:r>
      <w:r w:rsidRPr="003E2779">
        <w:rPr>
          <w:rStyle w:val="AboutandContactBody"/>
          <w:rFonts w:asciiTheme="majorHAnsi" w:hAnsiTheme="majorHAnsi" w:cstheme="majorHAnsi"/>
          <w:szCs w:val="18"/>
          <w:lang w:eastAsia="zh-TW"/>
        </w:rPr>
        <w:t xml:space="preserve"> </w:t>
      </w:r>
    </w:p>
    <w:p w14:paraId="1FEEC7B3" w14:textId="77777777" w:rsidR="00BB5D0B" w:rsidRPr="00341406" w:rsidRDefault="00BB5D0B" w:rsidP="00BF6E82">
      <w:pPr>
        <w:rPr>
          <w:rStyle w:val="AboutandContactHeadline"/>
          <w:lang w:eastAsia="zh-TW"/>
        </w:rPr>
      </w:pPr>
    </w:p>
    <w:p w14:paraId="0BFF6B34" w14:textId="77777777" w:rsidR="00BF6E82" w:rsidRPr="00493327" w:rsidRDefault="00BF6E82" w:rsidP="00BF6E82">
      <w:pPr>
        <w:rPr>
          <w:rStyle w:val="AboutandContactBody"/>
          <w:lang w:eastAsia="zh-TW"/>
        </w:rPr>
      </w:pPr>
    </w:p>
    <w:p w14:paraId="15C10C28" w14:textId="64320EE0" w:rsidR="00F47E45" w:rsidRPr="00ED46E6" w:rsidRDefault="00FD6F28" w:rsidP="00F47E45">
      <w:pPr>
        <w:spacing w:after="120"/>
        <w:rPr>
          <w:rStyle w:val="AboutandContactHeadline"/>
          <w:szCs w:val="28"/>
          <w:lang w:eastAsia="zh-TW"/>
        </w:rPr>
      </w:pPr>
      <w:r w:rsidRPr="00ED46E6">
        <w:rPr>
          <w:rStyle w:val="AboutandContactHeadline"/>
          <w:rFonts w:hint="eastAsia"/>
          <w:szCs w:val="28"/>
          <w:lang w:eastAsia="zh-TW"/>
        </w:rPr>
        <w:t>媒體連絡人</w:t>
      </w:r>
    </w:p>
    <w:p w14:paraId="42FC5693" w14:textId="47AA3CC5" w:rsidR="00C14CC7" w:rsidRPr="00493327" w:rsidRDefault="00FD6F28" w:rsidP="00C14CC7">
      <w:pPr>
        <w:tabs>
          <w:tab w:val="left" w:pos="1080"/>
          <w:tab w:val="left" w:pos="4500"/>
        </w:tabs>
        <w:rPr>
          <w:rStyle w:val="AboutandContactBody"/>
          <w:lang w:eastAsia="zh-TW"/>
        </w:rPr>
      </w:pPr>
      <w:r w:rsidRPr="00ED46E6">
        <w:rPr>
          <w:rStyle w:val="AboutandContactBody"/>
          <w:rFonts w:hint="eastAsia"/>
          <w:lang w:eastAsia="zh-TW"/>
        </w:rPr>
        <w:t>姓名</w:t>
      </w:r>
      <w:r>
        <w:rPr>
          <w:rStyle w:val="AboutandContactBody"/>
          <w:rFonts w:hint="eastAsia"/>
          <w:lang w:eastAsia="zh-TW"/>
        </w:rPr>
        <w:t>：</w:t>
      </w:r>
      <w:r>
        <w:rPr>
          <w:rStyle w:val="AboutandContactBody"/>
          <w:lang w:eastAsia="zh-TW"/>
        </w:rPr>
        <w:t>Irene Pan</w:t>
      </w:r>
      <w:r w:rsidRPr="009942B3">
        <w:rPr>
          <w:rStyle w:val="AboutandContactBody"/>
          <w:lang w:eastAsia="zh-TW"/>
        </w:rPr>
        <w:t xml:space="preserve"> </w:t>
      </w:r>
      <w:r w:rsidRPr="00493327">
        <w:rPr>
          <w:rStyle w:val="AboutandContactBody"/>
          <w:lang w:eastAsia="zh-TW"/>
        </w:rPr>
        <w:tab/>
      </w:r>
      <w:r>
        <w:rPr>
          <w:rStyle w:val="AboutandContactBody"/>
          <w:lang w:eastAsia="zh-TW"/>
        </w:rPr>
        <w:t>Yanjie Zheng</w:t>
      </w:r>
    </w:p>
    <w:p w14:paraId="65921CD7" w14:textId="0D73F63E" w:rsidR="00C14CC7" w:rsidRPr="00493327" w:rsidRDefault="00FD6F28" w:rsidP="00C14CC7">
      <w:pPr>
        <w:tabs>
          <w:tab w:val="left" w:pos="1080"/>
          <w:tab w:val="left" w:pos="4500"/>
        </w:tabs>
        <w:rPr>
          <w:rStyle w:val="AboutandContactBody"/>
          <w:lang w:eastAsia="zh-CN"/>
        </w:rPr>
      </w:pPr>
      <w:r>
        <w:rPr>
          <w:rStyle w:val="AboutandContactBody"/>
          <w:rFonts w:hint="eastAsia"/>
          <w:lang w:eastAsia="zh-TW"/>
        </w:rPr>
        <w:t>電話：</w:t>
      </w:r>
      <w:r>
        <w:rPr>
          <w:rStyle w:val="AboutandContactBody"/>
          <w:lang w:eastAsia="zh-TW"/>
        </w:rPr>
        <w:t>+86 21 28918811</w:t>
      </w:r>
      <w:r w:rsidRPr="00493327">
        <w:rPr>
          <w:rStyle w:val="AboutandContactBody"/>
          <w:lang w:eastAsia="zh-TW"/>
        </w:rPr>
        <w:tab/>
      </w:r>
      <w:r w:rsidRPr="00E14D0D">
        <w:rPr>
          <w:rStyle w:val="AboutandContactBody"/>
          <w:lang w:eastAsia="zh-TW"/>
        </w:rPr>
        <w:t xml:space="preserve">+86 </w:t>
      </w:r>
      <w:r>
        <w:rPr>
          <w:rStyle w:val="AboutandContactBody"/>
          <w:lang w:eastAsia="zh-TW"/>
        </w:rPr>
        <w:t>21 28918735</w:t>
      </w:r>
    </w:p>
    <w:p w14:paraId="31696356" w14:textId="113F4D51" w:rsidR="00C14CC7" w:rsidRPr="00493327" w:rsidRDefault="003E2779" w:rsidP="00C14CC7">
      <w:pPr>
        <w:tabs>
          <w:tab w:val="left" w:pos="1080"/>
          <w:tab w:val="left" w:pos="4500"/>
        </w:tabs>
        <w:rPr>
          <w:rStyle w:val="AboutandContactBody"/>
          <w:lang w:eastAsia="zh-CN"/>
        </w:rPr>
      </w:pPr>
      <w:r w:rsidRPr="003E2779">
        <w:rPr>
          <w:rStyle w:val="AboutandContactBody"/>
          <w:lang w:eastAsia="zh-TW"/>
        </w:rPr>
        <w:t>電子郵件</w:t>
      </w:r>
      <w:r w:rsidR="00FD6F28">
        <w:rPr>
          <w:rStyle w:val="AboutandContactBody"/>
          <w:rFonts w:hint="eastAsia"/>
          <w:lang w:eastAsia="zh-TW"/>
        </w:rPr>
        <w:t>：</w:t>
      </w:r>
      <w:r w:rsidR="00FD6F28" w:rsidRPr="00C75AB5">
        <w:rPr>
          <w:rStyle w:val="AboutandContactBody"/>
          <w:lang w:eastAsia="zh-TW"/>
        </w:rPr>
        <w:t>irene.pan@henkel.com</w:t>
      </w:r>
      <w:r w:rsidR="00FD6F28" w:rsidRPr="009942B3">
        <w:rPr>
          <w:rStyle w:val="AboutandContactBody"/>
          <w:lang w:eastAsia="zh-TW"/>
        </w:rPr>
        <w:t xml:space="preserve"> </w:t>
      </w:r>
      <w:r w:rsidR="00FD6F28" w:rsidRPr="00493327">
        <w:rPr>
          <w:rStyle w:val="AboutandContactBody"/>
          <w:lang w:eastAsia="zh-TW"/>
        </w:rPr>
        <w:tab/>
      </w:r>
      <w:r w:rsidR="00FD6F28" w:rsidRPr="00C66F78">
        <w:rPr>
          <w:rStyle w:val="AboutandContactBody"/>
          <w:lang w:eastAsia="zh-TW"/>
        </w:rPr>
        <w:t>yanjie.zheng@henkel.com</w:t>
      </w:r>
    </w:p>
    <w:p w14:paraId="1CAE75D3" w14:textId="1FBA23CE" w:rsidR="00112A28" w:rsidRPr="00C14CC7" w:rsidRDefault="00112A28" w:rsidP="00F47E45">
      <w:pPr>
        <w:tabs>
          <w:tab w:val="left" w:pos="1080"/>
          <w:tab w:val="left" w:pos="4500"/>
        </w:tabs>
        <w:rPr>
          <w:rStyle w:val="AboutandContactBody"/>
          <w:lang w:eastAsia="zh-TW"/>
        </w:rPr>
      </w:pPr>
    </w:p>
    <w:sectPr w:rsidR="00112A28" w:rsidRPr="00C14CC7" w:rsidSect="00DC2465">
      <w:headerReference w:type="even" r:id="rId13"/>
      <w:footerReference w:type="default" r:id="rId14"/>
      <w:headerReference w:type="first" r:id="rId15"/>
      <w:footerReference w:type="first" r:id="rId16"/>
      <w:pgSz w:w="11907" w:h="16840" w:code="9"/>
      <w:pgMar w:top="1944" w:right="1411" w:bottom="1987" w:left="1411" w:header="1253" w:footer="9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CDA7EC" w14:textId="77777777" w:rsidR="001F6651" w:rsidRDefault="001F6651">
      <w:r>
        <w:separator/>
      </w:r>
    </w:p>
  </w:endnote>
  <w:endnote w:type="continuationSeparator" w:id="0">
    <w:p w14:paraId="5D571342" w14:textId="77777777" w:rsidR="001F6651" w:rsidRDefault="001F6651">
      <w:r>
        <w:continuationSeparator/>
      </w:r>
    </w:p>
  </w:endnote>
  <w:endnote w:type="continuationNotice" w:id="1">
    <w:p w14:paraId="151D925B" w14:textId="77777777" w:rsidR="001F6651" w:rsidRDefault="001F665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7D10C9" w14:textId="2DC5A480" w:rsidR="00CF6F33" w:rsidRPr="00112A28" w:rsidRDefault="00112A28" w:rsidP="00112A28">
    <w:pPr>
      <w:pStyle w:val="Footer"/>
      <w:tabs>
        <w:tab w:val="clear" w:pos="7083"/>
        <w:tab w:val="clear" w:pos="8640"/>
        <w:tab w:val="right" w:pos="9071"/>
      </w:tabs>
      <w:jc w:val="both"/>
    </w:pPr>
    <w:r w:rsidRPr="00BF6E82">
      <w:t>Henkel AG &amp; Co. KGaA</w:t>
    </w:r>
    <w:r>
      <w:tab/>
    </w:r>
    <w:r w:rsidRPr="00BF6E82">
      <w:t xml:space="preserve">Page </w:t>
    </w:r>
    <w:r w:rsidRPr="00BF6E82">
      <w:fldChar w:fldCharType="begin"/>
    </w:r>
    <w:r w:rsidRPr="00BF6E82">
      <w:instrText xml:space="preserve"> PAGE  \* Arabic  \* MERGEFORMAT </w:instrText>
    </w:r>
    <w:r w:rsidRPr="00BF6E82">
      <w:fldChar w:fldCharType="separate"/>
    </w:r>
    <w:r>
      <w:t>2</w:t>
    </w:r>
    <w:r w:rsidRPr="00BF6E82">
      <w:fldChar w:fldCharType="end"/>
    </w:r>
    <w:r w:rsidRPr="00BF6E82">
      <w:t>/</w:t>
    </w:r>
    <w:fldSimple w:instr=" NUMPAGES  \* Arabic  \* MERGEFORMAT ">
      <w: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7A058E" w14:textId="2444175B" w:rsidR="00CF6F33" w:rsidRPr="00992A11" w:rsidRDefault="00B877DF" w:rsidP="00992A11">
    <w:pPr>
      <w:pStyle w:val="Footer"/>
    </w:pPr>
    <w:r w:rsidRPr="00E143D5">
      <w:drawing>
        <wp:inline distT="0" distB="0" distL="0" distR="0" wp14:anchorId="6340C670" wp14:editId="4709A25C">
          <wp:extent cx="5422789" cy="548296"/>
          <wp:effectExtent l="0" t="0" r="6985" b="4445"/>
          <wp:docPr id="1353966039" name="Grafik 1" descr="Ein Bild, das Text, Logo, Schrift,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3966039" name="Grafik 1" descr="Ein Bild, das Text, Logo, Schrift, Symbol enthält.&#10;&#10;Automatisch generierte Beschreibung"/>
                  <pic:cNvPicPr/>
                </pic:nvPicPr>
                <pic:blipFill rotWithShape="1">
                  <a:blip r:embed="rId1"/>
                  <a:srcRect b="19511"/>
                  <a:stretch/>
                </pic:blipFill>
                <pic:spPr bwMode="auto">
                  <a:xfrm>
                    <a:off x="0" y="0"/>
                    <a:ext cx="5499004" cy="556002"/>
                  </a:xfrm>
                  <a:prstGeom prst="rect">
                    <a:avLst/>
                  </a:prstGeom>
                  <a:ln>
                    <a:noFill/>
                  </a:ln>
                  <a:extLst>
                    <a:ext uri="{53640926-AAD7-44D8-BBD7-CCE9431645EC}">
                      <a14:shadowObscured xmlns:a14="http://schemas.microsoft.com/office/drawing/2010/main"/>
                    </a:ext>
                  </a:extLst>
                </pic:spPr>
              </pic:pic>
            </a:graphicData>
          </a:graphic>
        </wp:inline>
      </w:drawing>
    </w:r>
    <w:r w:rsidR="00B422EC" w:rsidRPr="00992A11">
      <w:t>Page</w:t>
    </w:r>
    <w:r w:rsidR="00CF6F33" w:rsidRPr="00992A11">
      <w:t xml:space="preserve"> </w:t>
    </w:r>
    <w:r w:rsidR="00CF6F33" w:rsidRPr="00992A11">
      <w:fldChar w:fldCharType="begin"/>
    </w:r>
    <w:r w:rsidR="00CF6F33" w:rsidRPr="00992A11">
      <w:instrText xml:space="preserve"> </w:instrText>
    </w:r>
    <w:r w:rsidR="00262C05" w:rsidRPr="00992A11">
      <w:instrText>PAGE</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r w:rsidR="00CF6F33" w:rsidRPr="00992A11">
      <w:t>/</w:t>
    </w:r>
    <w:r w:rsidR="00CF6F33" w:rsidRPr="00992A11">
      <w:fldChar w:fldCharType="begin"/>
    </w:r>
    <w:r w:rsidR="00CF6F33" w:rsidRPr="00992A11">
      <w:instrText xml:space="preserve"> </w:instrText>
    </w:r>
    <w:r w:rsidR="00262C05" w:rsidRPr="00992A11">
      <w:instrText>NUMPAGES</w:instrText>
    </w:r>
    <w:r w:rsidR="00CF6F33" w:rsidRPr="00992A11">
      <w:instrText xml:space="preserve">  \* Arabic  \* MERGEFORMAT </w:instrText>
    </w:r>
    <w:r w:rsidR="00CF6F33" w:rsidRPr="00992A11">
      <w:fldChar w:fldCharType="separate"/>
    </w:r>
    <w:r w:rsidR="006A0A3C" w:rsidRPr="00992A11">
      <w:t>1</w:t>
    </w:r>
    <w:r w:rsidR="00CF6F33" w:rsidRPr="00992A11">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66207" w14:textId="77777777" w:rsidR="001F6651" w:rsidRDefault="001F6651">
      <w:r>
        <w:separator/>
      </w:r>
    </w:p>
  </w:footnote>
  <w:footnote w:type="continuationSeparator" w:id="0">
    <w:p w14:paraId="357A67C2" w14:textId="77777777" w:rsidR="001F6651" w:rsidRDefault="001F6651">
      <w:r>
        <w:continuationSeparator/>
      </w:r>
    </w:p>
  </w:footnote>
  <w:footnote w:type="continuationNotice" w:id="1">
    <w:p w14:paraId="63D56EE0" w14:textId="77777777" w:rsidR="001F6651" w:rsidRDefault="001F665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ACE39" w14:textId="77777777" w:rsidR="00112A28" w:rsidRDefault="00112A28" w:rsidP="00112A28">
    <w:pPr>
      <w:pStyle w:val="Header"/>
      <w:jc w:val="both"/>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86010" w14:textId="01A10801" w:rsidR="00CF6F33" w:rsidRPr="00EB46D9" w:rsidRDefault="0059722C" w:rsidP="00EB46D9">
    <w:pPr>
      <w:pStyle w:val="Header"/>
    </w:pPr>
    <w:r w:rsidRPr="00EB46D9">
      <w:rPr>
        <w:noProof/>
      </w:rPr>
      <w:drawing>
        <wp:anchor distT="0" distB="0" distL="114300" distR="114300" simplePos="0" relativeHeight="251672576" behindDoc="0" locked="1" layoutInCell="1" allowOverlap="1" wp14:anchorId="5559ED3E" wp14:editId="20ECCE45">
          <wp:simplePos x="0" y="0"/>
          <wp:positionH relativeFrom="margin">
            <wp:posOffset>5036820</wp:posOffset>
          </wp:positionH>
          <wp:positionV relativeFrom="margin">
            <wp:posOffset>-1478915</wp:posOffset>
          </wp:positionV>
          <wp:extent cx="1051560" cy="603250"/>
          <wp:effectExtent l="0" t="0" r="0" b="6350"/>
          <wp:wrapNone/>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
                    <a:extLst>
                      <a:ext uri="{28A0092B-C50C-407E-A947-70E740481C1C}">
                        <a14:useLocalDpi xmlns:a14="http://schemas.microsoft.com/office/drawing/2010/main" val="0"/>
                      </a:ext>
                    </a:extLst>
                  </a:blip>
                  <a:srcRect l="4736" t="10539" r="5063" b="12550"/>
                  <a:stretch>
                    <a:fillRect/>
                  </a:stretch>
                </pic:blipFill>
                <pic:spPr bwMode="auto">
                  <a:xfrm>
                    <a:off x="0" y="0"/>
                    <a:ext cx="1051560" cy="603250"/>
                  </a:xfrm>
                  <a:prstGeom prst="rect">
                    <a:avLst/>
                  </a:prstGeom>
                  <a:noFill/>
                </pic:spPr>
              </pic:pic>
            </a:graphicData>
          </a:graphic>
          <wp14:sizeRelH relativeFrom="page">
            <wp14:pctWidth>0</wp14:pctWidth>
          </wp14:sizeRelH>
          <wp14:sizeRelV relativeFrom="page">
            <wp14:pctHeight>0</wp14:pctHeight>
          </wp14:sizeRelV>
        </wp:anchor>
      </w:drawing>
    </w:r>
    <w:r w:rsidRPr="00EB46D9">
      <w:rPr>
        <w:noProof/>
      </w:rPr>
      <mc:AlternateContent>
        <mc:Choice Requires="wpg">
          <w:drawing>
            <wp:anchor distT="0" distB="0" distL="114300" distR="114300" simplePos="0" relativeHeight="251657216" behindDoc="0" locked="0" layoutInCell="1" allowOverlap="1" wp14:anchorId="76D561A9" wp14:editId="7310849B">
              <wp:simplePos x="0" y="0"/>
              <wp:positionH relativeFrom="page">
                <wp:posOffset>180340</wp:posOffset>
              </wp:positionH>
              <wp:positionV relativeFrom="page">
                <wp:posOffset>3780790</wp:posOffset>
              </wp:positionV>
              <wp:extent cx="179705" cy="3780155"/>
              <wp:effectExtent l="0" t="0" r="1905" b="11430"/>
              <wp:wrapNone/>
              <wp:docPr id="2" name="Gruppieren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9705" cy="3780155"/>
                        <a:chOff x="0" y="5954"/>
                        <a:chExt cx="283" cy="5953"/>
                      </a:xfrm>
                    </wpg:grpSpPr>
                    <wps:wsp>
                      <wps:cNvPr id="3" name="Line 17"/>
                      <wps:cNvCnPr>
                        <a:cxnSpLocks noChangeShapeType="1"/>
                      </wps:cNvCnPr>
                      <wps:spPr bwMode="auto">
                        <a:xfrm>
                          <a:off x="0" y="5954"/>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4" name="Line 18"/>
                      <wps:cNvCnPr>
                        <a:cxnSpLocks noChangeShapeType="1"/>
                      </wps:cNvCnPr>
                      <wps:spPr bwMode="auto">
                        <a:xfrm>
                          <a:off x="0" y="8420"/>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s:wsp>
                      <wps:cNvPr id="5" name="Line 19"/>
                      <wps:cNvCnPr>
                        <a:cxnSpLocks noChangeShapeType="1"/>
                      </wps:cNvCnPr>
                      <wps:spPr bwMode="auto">
                        <a:xfrm>
                          <a:off x="0" y="11907"/>
                          <a:ext cx="283"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6350">
                              <a:solidFill>
                                <a:srgbClr val="E1000F"/>
                              </a:solidFill>
                              <a:round/>
                              <a:headEnd/>
                              <a:tailEnd/>
                            </a14:hiddenLine>
                          </a:ext>
                        </a:extLst>
                      </wps:spPr>
                      <wps:bodyPr/>
                    </wps:wsp>
                  </wpg:wgp>
                </a:graphicData>
              </a:graphic>
              <wp14:sizeRelH relativeFrom="page">
                <wp14:pctWidth>0</wp14:pctWidth>
              </wp14:sizeRelH>
              <wp14:sizeRelV relativeFrom="page">
                <wp14:pctHeight>0</wp14:pctHeight>
              </wp14:sizeRelV>
            </wp:anchor>
          </w:drawing>
        </mc:Choice>
        <mc:Fallback>
          <w:pict>
            <v:group w14:anchorId="194C1956" id="Gruppieren 2" o:spid="_x0000_s1026" style="position:absolute;margin-left:14.2pt;margin-top:297.7pt;width:14.15pt;height:297.65pt;z-index:251657216;mso-position-horizontal-relative:page;mso-position-vertical-relative:page" coordorigin=",5954" coordsize="283,59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">
              <v:line id="Line 17" o:spid="_x0000_s1027" style="position:absolute;visibility:visible;mso-wrap-style:square" from="0,5954" to="283,59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" stroked="f" strokecolor="#e1000f" strokeweight=".5pt"/>
              <v:line id="Line 18" o:spid="_x0000_s1028" style="position:absolute;visibility:visible;mso-wrap-style:square" from="0,8420" to="283,84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" stroked="f" strokecolor="#e1000f" strokeweight=".5pt"/>
              <v:line id="Line 19" o:spid="_x0000_s1029" style="position:absolute;visibility:visible;mso-wrap-style:square" from="0,11907" to="283,119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" stroked="f" strokecolor="#e1000f" strokeweight=".5pt"/>
              <w10:wrap anchorx="page" anchory="page"/>
            </v:group>
          </w:pict>
        </mc:Fallback>
      </mc:AlternateContent>
    </w:r>
    <w:r w:rsidR="00FD6F28">
      <w:rPr>
        <w:rFonts w:hint="eastAsia"/>
        <w:lang w:eastAsia="zh-TW"/>
      </w:rPr>
      <w:t>新聞稿</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E1865"/>
    <w:multiLevelType w:val="hybridMultilevel"/>
    <w:tmpl w:val="4A063B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CF4270"/>
    <w:multiLevelType w:val="hybridMultilevel"/>
    <w:tmpl w:val="12EC31FA"/>
    <w:lvl w:ilvl="0" w:tplc="785A8864">
      <w:start w:val="1"/>
      <w:numFmt w:val="bullet"/>
      <w:pStyle w:val="NumBullet"/>
      <w:lvlText w:val="•"/>
      <w:lvlJc w:val="left"/>
      <w:pPr>
        <w:tabs>
          <w:tab w:val="num" w:pos="567"/>
        </w:tabs>
        <w:ind w:left="567" w:hanging="567"/>
      </w:pPr>
      <w:rPr>
        <w:rFonts w:ascii="Times New Roman" w:hAnsi="Times New Roman" w:cs="Times New Roman" w:hint="default"/>
        <w:color w:val="E1000F"/>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10B585C"/>
    <w:multiLevelType w:val="hybridMultilevel"/>
    <w:tmpl w:val="70D4F3A4"/>
    <w:lvl w:ilvl="0" w:tplc="68061C8C">
      <w:start w:val="1"/>
      <w:numFmt w:val="bullet"/>
      <w:lvlText w:val=""/>
      <w:lvlJc w:val="left"/>
      <w:pPr>
        <w:ind w:left="1004" w:hanging="360"/>
      </w:pPr>
      <w:rPr>
        <w:rFonts w:ascii="Wingdings" w:hAnsi="Wingdings" w:hint="default"/>
        <w:sz w:val="24"/>
        <w:szCs w:val="24"/>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40C5131F"/>
    <w:multiLevelType w:val="hybridMultilevel"/>
    <w:tmpl w:val="8F8421BE"/>
    <w:lvl w:ilvl="0" w:tplc="04070005">
      <w:start w:val="1"/>
      <w:numFmt w:val="bullet"/>
      <w:lvlText w:val=""/>
      <w:lvlJc w:val="left"/>
      <w:pPr>
        <w:ind w:left="1004" w:hanging="360"/>
      </w:pPr>
      <w:rPr>
        <w:rFonts w:ascii="Wingdings" w:hAnsi="Wingdings"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4" w15:restartNumberingAfterBreak="0">
    <w:nsid w:val="549B0C97"/>
    <w:multiLevelType w:val="hybridMultilevel"/>
    <w:tmpl w:val="DCD2F366"/>
    <w:lvl w:ilvl="0" w:tplc="53A0857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89532E"/>
    <w:multiLevelType w:val="hybridMultilevel"/>
    <w:tmpl w:val="357663A0"/>
    <w:lvl w:ilvl="0" w:tplc="5FB28F00">
      <w:start w:val="1"/>
      <w:numFmt w:val="bullet"/>
      <w:lvlText w:val=""/>
      <w:lvlJc w:val="left"/>
      <w:pPr>
        <w:ind w:left="786" w:hanging="360"/>
      </w:pPr>
      <w:rPr>
        <w:rFonts w:ascii="Wingdings" w:hAnsi="Wingdings" w:hint="default"/>
        <w:sz w:val="24"/>
        <w:szCs w:val="24"/>
      </w:rPr>
    </w:lvl>
    <w:lvl w:ilvl="1" w:tplc="04070005">
      <w:start w:val="1"/>
      <w:numFmt w:val="bullet"/>
      <w:lvlText w:val=""/>
      <w:lvlJc w:val="left"/>
      <w:pPr>
        <w:ind w:left="1440" w:hanging="360"/>
      </w:pPr>
      <w:rPr>
        <w:rFonts w:ascii="Wingdings" w:hAnsi="Wingdings"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694697967">
    <w:abstractNumId w:val="1"/>
  </w:num>
  <w:num w:numId="2" w16cid:durableId="1563175876">
    <w:abstractNumId w:val="0"/>
  </w:num>
  <w:num w:numId="3" w16cid:durableId="1141115785">
    <w:abstractNumId w:val="5"/>
  </w:num>
  <w:num w:numId="4" w16cid:durableId="1658344630">
    <w:abstractNumId w:val="3"/>
  </w:num>
  <w:num w:numId="5" w16cid:durableId="2132553883">
    <w:abstractNumId w:val="2"/>
  </w:num>
  <w:num w:numId="6" w16cid:durableId="5457265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bordersDoNotSurroundHeader/>
  <w:bordersDoNotSurroundFooter/>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o:colormru v:ext="edit" colors="#e1000f"/>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51C"/>
    <w:rsid w:val="00000839"/>
    <w:rsid w:val="00002AA4"/>
    <w:rsid w:val="00005267"/>
    <w:rsid w:val="00006346"/>
    <w:rsid w:val="00012DD9"/>
    <w:rsid w:val="0001775D"/>
    <w:rsid w:val="00021C67"/>
    <w:rsid w:val="00030557"/>
    <w:rsid w:val="00030F51"/>
    <w:rsid w:val="00033CF1"/>
    <w:rsid w:val="00035A84"/>
    <w:rsid w:val="00040CC9"/>
    <w:rsid w:val="00044F09"/>
    <w:rsid w:val="00051E86"/>
    <w:rsid w:val="000575F9"/>
    <w:rsid w:val="000618FC"/>
    <w:rsid w:val="0006344D"/>
    <w:rsid w:val="00067071"/>
    <w:rsid w:val="000722E8"/>
    <w:rsid w:val="00074605"/>
    <w:rsid w:val="00075968"/>
    <w:rsid w:val="00080D10"/>
    <w:rsid w:val="0008357F"/>
    <w:rsid w:val="000B695A"/>
    <w:rsid w:val="000C210A"/>
    <w:rsid w:val="000C56DD"/>
    <w:rsid w:val="000D1672"/>
    <w:rsid w:val="000E2F62"/>
    <w:rsid w:val="000E38ED"/>
    <w:rsid w:val="000E7F24"/>
    <w:rsid w:val="000F03BE"/>
    <w:rsid w:val="000F09F2"/>
    <w:rsid w:val="000F1757"/>
    <w:rsid w:val="000F225B"/>
    <w:rsid w:val="000F7FAF"/>
    <w:rsid w:val="00101B7B"/>
    <w:rsid w:val="00105975"/>
    <w:rsid w:val="00105AE8"/>
    <w:rsid w:val="00111F4D"/>
    <w:rsid w:val="00112A28"/>
    <w:rsid w:val="00115230"/>
    <w:rsid w:val="00115B5F"/>
    <w:rsid w:val="001162B4"/>
    <w:rsid w:val="00117CD1"/>
    <w:rsid w:val="00122CBC"/>
    <w:rsid w:val="00126D4A"/>
    <w:rsid w:val="00132DA9"/>
    <w:rsid w:val="0013305B"/>
    <w:rsid w:val="001332BB"/>
    <w:rsid w:val="00133B99"/>
    <w:rsid w:val="001443BD"/>
    <w:rsid w:val="001577E9"/>
    <w:rsid w:val="0016138C"/>
    <w:rsid w:val="001731CE"/>
    <w:rsid w:val="001B7C20"/>
    <w:rsid w:val="001C0B32"/>
    <w:rsid w:val="001C4BE1"/>
    <w:rsid w:val="001D4E45"/>
    <w:rsid w:val="001D7ADF"/>
    <w:rsid w:val="001E0F71"/>
    <w:rsid w:val="001E6D05"/>
    <w:rsid w:val="001E7C28"/>
    <w:rsid w:val="001F1BDF"/>
    <w:rsid w:val="001F21E7"/>
    <w:rsid w:val="001F6651"/>
    <w:rsid w:val="001F7110"/>
    <w:rsid w:val="001F7E96"/>
    <w:rsid w:val="00202284"/>
    <w:rsid w:val="00212488"/>
    <w:rsid w:val="00213638"/>
    <w:rsid w:val="00220398"/>
    <w:rsid w:val="00220628"/>
    <w:rsid w:val="002304D2"/>
    <w:rsid w:val="00234ABD"/>
    <w:rsid w:val="00236E2A"/>
    <w:rsid w:val="00237F62"/>
    <w:rsid w:val="0024586A"/>
    <w:rsid w:val="00256F0C"/>
    <w:rsid w:val="00262C05"/>
    <w:rsid w:val="00281419"/>
    <w:rsid w:val="00281D14"/>
    <w:rsid w:val="00282C13"/>
    <w:rsid w:val="002957BC"/>
    <w:rsid w:val="002A0DF7"/>
    <w:rsid w:val="002A290A"/>
    <w:rsid w:val="002A2975"/>
    <w:rsid w:val="002A60E0"/>
    <w:rsid w:val="002B3405"/>
    <w:rsid w:val="002B6F30"/>
    <w:rsid w:val="002C1344"/>
    <w:rsid w:val="002C252E"/>
    <w:rsid w:val="002C58CB"/>
    <w:rsid w:val="002C6773"/>
    <w:rsid w:val="002D2A3D"/>
    <w:rsid w:val="002D6A0B"/>
    <w:rsid w:val="002E0B17"/>
    <w:rsid w:val="002E4FFB"/>
    <w:rsid w:val="002E79D5"/>
    <w:rsid w:val="002E7DED"/>
    <w:rsid w:val="002F7E11"/>
    <w:rsid w:val="003004B0"/>
    <w:rsid w:val="00304087"/>
    <w:rsid w:val="00310ACD"/>
    <w:rsid w:val="0031379F"/>
    <w:rsid w:val="00320A26"/>
    <w:rsid w:val="00321344"/>
    <w:rsid w:val="0033451C"/>
    <w:rsid w:val="00336854"/>
    <w:rsid w:val="0034015C"/>
    <w:rsid w:val="00341406"/>
    <w:rsid w:val="003442F4"/>
    <w:rsid w:val="00347397"/>
    <w:rsid w:val="00353705"/>
    <w:rsid w:val="003562E8"/>
    <w:rsid w:val="0036357D"/>
    <w:rsid w:val="003649BC"/>
    <w:rsid w:val="00365E44"/>
    <w:rsid w:val="00367AA1"/>
    <w:rsid w:val="00372E36"/>
    <w:rsid w:val="00376EE9"/>
    <w:rsid w:val="00377CBB"/>
    <w:rsid w:val="00385185"/>
    <w:rsid w:val="003877B6"/>
    <w:rsid w:val="00393887"/>
    <w:rsid w:val="00394C6B"/>
    <w:rsid w:val="003A12F2"/>
    <w:rsid w:val="003A4E62"/>
    <w:rsid w:val="003A5C9C"/>
    <w:rsid w:val="003B1069"/>
    <w:rsid w:val="003B390A"/>
    <w:rsid w:val="003B64ED"/>
    <w:rsid w:val="003C15DE"/>
    <w:rsid w:val="003C4EB2"/>
    <w:rsid w:val="003E2779"/>
    <w:rsid w:val="003E4658"/>
    <w:rsid w:val="003F1AF3"/>
    <w:rsid w:val="003F4D8D"/>
    <w:rsid w:val="003F66FD"/>
    <w:rsid w:val="004313E7"/>
    <w:rsid w:val="004320B4"/>
    <w:rsid w:val="0044763B"/>
    <w:rsid w:val="00451F34"/>
    <w:rsid w:val="004629B3"/>
    <w:rsid w:val="0046376E"/>
    <w:rsid w:val="0046690F"/>
    <w:rsid w:val="00472FEC"/>
    <w:rsid w:val="00490A03"/>
    <w:rsid w:val="00493327"/>
    <w:rsid w:val="00494DBE"/>
    <w:rsid w:val="00495CE6"/>
    <w:rsid w:val="004A323C"/>
    <w:rsid w:val="004A47A8"/>
    <w:rsid w:val="004B54E8"/>
    <w:rsid w:val="004C15D7"/>
    <w:rsid w:val="004C4FEB"/>
    <w:rsid w:val="004C6B79"/>
    <w:rsid w:val="004D059B"/>
    <w:rsid w:val="004D4CB6"/>
    <w:rsid w:val="004E0870"/>
    <w:rsid w:val="004E3341"/>
    <w:rsid w:val="004F10C1"/>
    <w:rsid w:val="00502E62"/>
    <w:rsid w:val="00504452"/>
    <w:rsid w:val="00506B8A"/>
    <w:rsid w:val="00516DC2"/>
    <w:rsid w:val="00517DED"/>
    <w:rsid w:val="0052212B"/>
    <w:rsid w:val="00531B98"/>
    <w:rsid w:val="00534B46"/>
    <w:rsid w:val="00540358"/>
    <w:rsid w:val="00540D47"/>
    <w:rsid w:val="00550864"/>
    <w:rsid w:val="0055571E"/>
    <w:rsid w:val="00556F67"/>
    <w:rsid w:val="00571254"/>
    <w:rsid w:val="00580896"/>
    <w:rsid w:val="005833F0"/>
    <w:rsid w:val="00586CAF"/>
    <w:rsid w:val="005873E9"/>
    <w:rsid w:val="00591180"/>
    <w:rsid w:val="0059722C"/>
    <w:rsid w:val="00597D07"/>
    <w:rsid w:val="005A3846"/>
    <w:rsid w:val="005A43EC"/>
    <w:rsid w:val="005A4778"/>
    <w:rsid w:val="005B1F0C"/>
    <w:rsid w:val="005B6A58"/>
    <w:rsid w:val="005C7112"/>
    <w:rsid w:val="005D0561"/>
    <w:rsid w:val="005D0AD9"/>
    <w:rsid w:val="005D22F6"/>
    <w:rsid w:val="005E0C30"/>
    <w:rsid w:val="005E69D9"/>
    <w:rsid w:val="005F27F4"/>
    <w:rsid w:val="005F3239"/>
    <w:rsid w:val="005F6567"/>
    <w:rsid w:val="006065A6"/>
    <w:rsid w:val="00607256"/>
    <w:rsid w:val="006144B1"/>
    <w:rsid w:val="006335F1"/>
    <w:rsid w:val="006345B6"/>
    <w:rsid w:val="00635712"/>
    <w:rsid w:val="0064033D"/>
    <w:rsid w:val="00643D8A"/>
    <w:rsid w:val="006513EB"/>
    <w:rsid w:val="00652229"/>
    <w:rsid w:val="00652793"/>
    <w:rsid w:val="00652D7A"/>
    <w:rsid w:val="00653FC6"/>
    <w:rsid w:val="006626CA"/>
    <w:rsid w:val="00663487"/>
    <w:rsid w:val="00672382"/>
    <w:rsid w:val="00682643"/>
    <w:rsid w:val="00682EB9"/>
    <w:rsid w:val="0068441A"/>
    <w:rsid w:val="00687064"/>
    <w:rsid w:val="00690B19"/>
    <w:rsid w:val="00692F07"/>
    <w:rsid w:val="006A0A3C"/>
    <w:rsid w:val="006A79F0"/>
    <w:rsid w:val="006B2AFB"/>
    <w:rsid w:val="006B4373"/>
    <w:rsid w:val="006B47EE"/>
    <w:rsid w:val="006B499F"/>
    <w:rsid w:val="006B6458"/>
    <w:rsid w:val="006C3E09"/>
    <w:rsid w:val="006D4996"/>
    <w:rsid w:val="006D54AB"/>
    <w:rsid w:val="006E1195"/>
    <w:rsid w:val="006E3006"/>
    <w:rsid w:val="006E5032"/>
    <w:rsid w:val="006E5BDA"/>
    <w:rsid w:val="006F0FC7"/>
    <w:rsid w:val="006F39A9"/>
    <w:rsid w:val="006F670F"/>
    <w:rsid w:val="00703272"/>
    <w:rsid w:val="0070733C"/>
    <w:rsid w:val="00710C5D"/>
    <w:rsid w:val="0071348C"/>
    <w:rsid w:val="00717273"/>
    <w:rsid w:val="00720FD4"/>
    <w:rsid w:val="00724AF2"/>
    <w:rsid w:val="0073096C"/>
    <w:rsid w:val="00733FE2"/>
    <w:rsid w:val="00734034"/>
    <w:rsid w:val="00742398"/>
    <w:rsid w:val="007447E3"/>
    <w:rsid w:val="00745581"/>
    <w:rsid w:val="007507B5"/>
    <w:rsid w:val="0075091D"/>
    <w:rsid w:val="00752788"/>
    <w:rsid w:val="00753A24"/>
    <w:rsid w:val="007671AF"/>
    <w:rsid w:val="00772188"/>
    <w:rsid w:val="007813D0"/>
    <w:rsid w:val="00782760"/>
    <w:rsid w:val="00784EB6"/>
    <w:rsid w:val="00785993"/>
    <w:rsid w:val="007866E2"/>
    <w:rsid w:val="00786BA3"/>
    <w:rsid w:val="007876D8"/>
    <w:rsid w:val="007901F3"/>
    <w:rsid w:val="0079078D"/>
    <w:rsid w:val="0079202F"/>
    <w:rsid w:val="0079316A"/>
    <w:rsid w:val="00795AF2"/>
    <w:rsid w:val="007A2AAD"/>
    <w:rsid w:val="007A4432"/>
    <w:rsid w:val="007A784E"/>
    <w:rsid w:val="007B499C"/>
    <w:rsid w:val="007B4D4B"/>
    <w:rsid w:val="007D2A02"/>
    <w:rsid w:val="007E6EA1"/>
    <w:rsid w:val="007F0F63"/>
    <w:rsid w:val="007F2B1E"/>
    <w:rsid w:val="007F62B4"/>
    <w:rsid w:val="00801517"/>
    <w:rsid w:val="00817AE8"/>
    <w:rsid w:val="00817DE8"/>
    <w:rsid w:val="008229F5"/>
    <w:rsid w:val="0082699A"/>
    <w:rsid w:val="00827C3E"/>
    <w:rsid w:val="00833CEB"/>
    <w:rsid w:val="008372D2"/>
    <w:rsid w:val="008377BC"/>
    <w:rsid w:val="00844C17"/>
    <w:rsid w:val="00847726"/>
    <w:rsid w:val="00852511"/>
    <w:rsid w:val="00856134"/>
    <w:rsid w:val="008575B6"/>
    <w:rsid w:val="008614F1"/>
    <w:rsid w:val="008639B3"/>
    <w:rsid w:val="00863C1A"/>
    <w:rsid w:val="0087142D"/>
    <w:rsid w:val="00873956"/>
    <w:rsid w:val="00880E72"/>
    <w:rsid w:val="00880FC2"/>
    <w:rsid w:val="00880FC4"/>
    <w:rsid w:val="008825EE"/>
    <w:rsid w:val="0088596E"/>
    <w:rsid w:val="008906C3"/>
    <w:rsid w:val="00892E46"/>
    <w:rsid w:val="0089796A"/>
    <w:rsid w:val="008A2375"/>
    <w:rsid w:val="008B6520"/>
    <w:rsid w:val="008C7970"/>
    <w:rsid w:val="008D62C3"/>
    <w:rsid w:val="008D76C5"/>
    <w:rsid w:val="008E0AFA"/>
    <w:rsid w:val="008E52A1"/>
    <w:rsid w:val="008E75D3"/>
    <w:rsid w:val="008F125E"/>
    <w:rsid w:val="008F209C"/>
    <w:rsid w:val="008F4D2F"/>
    <w:rsid w:val="00903F4F"/>
    <w:rsid w:val="0090620F"/>
    <w:rsid w:val="00906292"/>
    <w:rsid w:val="009076AF"/>
    <w:rsid w:val="00907E94"/>
    <w:rsid w:val="00917162"/>
    <w:rsid w:val="009251CC"/>
    <w:rsid w:val="009262A3"/>
    <w:rsid w:val="0092714E"/>
    <w:rsid w:val="009304AA"/>
    <w:rsid w:val="00933BDF"/>
    <w:rsid w:val="00942002"/>
    <w:rsid w:val="00947885"/>
    <w:rsid w:val="00952168"/>
    <w:rsid w:val="009527FE"/>
    <w:rsid w:val="009563FE"/>
    <w:rsid w:val="00973333"/>
    <w:rsid w:val="009739A0"/>
    <w:rsid w:val="00974F84"/>
    <w:rsid w:val="009767C7"/>
    <w:rsid w:val="009827BF"/>
    <w:rsid w:val="0098579A"/>
    <w:rsid w:val="00990E51"/>
    <w:rsid w:val="0099195A"/>
    <w:rsid w:val="00992A11"/>
    <w:rsid w:val="00994681"/>
    <w:rsid w:val="0099486A"/>
    <w:rsid w:val="009A0E26"/>
    <w:rsid w:val="009A16EC"/>
    <w:rsid w:val="009A4595"/>
    <w:rsid w:val="009A6744"/>
    <w:rsid w:val="009B29B7"/>
    <w:rsid w:val="009B3B37"/>
    <w:rsid w:val="009B7D1F"/>
    <w:rsid w:val="009C088E"/>
    <w:rsid w:val="009C4D35"/>
    <w:rsid w:val="009D1522"/>
    <w:rsid w:val="009D7252"/>
    <w:rsid w:val="009E5EB4"/>
    <w:rsid w:val="009F5432"/>
    <w:rsid w:val="00A044D6"/>
    <w:rsid w:val="00A04ADB"/>
    <w:rsid w:val="00A11E0F"/>
    <w:rsid w:val="00A23264"/>
    <w:rsid w:val="00A2442B"/>
    <w:rsid w:val="00A26CB6"/>
    <w:rsid w:val="00A32F82"/>
    <w:rsid w:val="00A32F8B"/>
    <w:rsid w:val="00A3756F"/>
    <w:rsid w:val="00A423FE"/>
    <w:rsid w:val="00A42D6F"/>
    <w:rsid w:val="00A45A62"/>
    <w:rsid w:val="00A54AC5"/>
    <w:rsid w:val="00A55DC3"/>
    <w:rsid w:val="00A56D41"/>
    <w:rsid w:val="00A61353"/>
    <w:rsid w:val="00A66DB1"/>
    <w:rsid w:val="00A67A92"/>
    <w:rsid w:val="00A71E2A"/>
    <w:rsid w:val="00A87870"/>
    <w:rsid w:val="00A90B94"/>
    <w:rsid w:val="00A91A70"/>
    <w:rsid w:val="00AA1B85"/>
    <w:rsid w:val="00AB1CB6"/>
    <w:rsid w:val="00AB1D9A"/>
    <w:rsid w:val="00AB67D7"/>
    <w:rsid w:val="00AD44FE"/>
    <w:rsid w:val="00AE49F1"/>
    <w:rsid w:val="00AE7AF9"/>
    <w:rsid w:val="00B05CCA"/>
    <w:rsid w:val="00B14271"/>
    <w:rsid w:val="00B14C02"/>
    <w:rsid w:val="00B16270"/>
    <w:rsid w:val="00B2685D"/>
    <w:rsid w:val="00B30351"/>
    <w:rsid w:val="00B33C2A"/>
    <w:rsid w:val="00B41DF5"/>
    <w:rsid w:val="00B422EC"/>
    <w:rsid w:val="00B600E3"/>
    <w:rsid w:val="00B6646E"/>
    <w:rsid w:val="00B726D4"/>
    <w:rsid w:val="00B77695"/>
    <w:rsid w:val="00B8214F"/>
    <w:rsid w:val="00B86A4F"/>
    <w:rsid w:val="00B877DF"/>
    <w:rsid w:val="00B93035"/>
    <w:rsid w:val="00B9337E"/>
    <w:rsid w:val="00B958E8"/>
    <w:rsid w:val="00B97E4A"/>
    <w:rsid w:val="00BA09B2"/>
    <w:rsid w:val="00BA5B46"/>
    <w:rsid w:val="00BB5D0B"/>
    <w:rsid w:val="00BC0995"/>
    <w:rsid w:val="00BE572F"/>
    <w:rsid w:val="00BE793A"/>
    <w:rsid w:val="00BF0183"/>
    <w:rsid w:val="00BF2B82"/>
    <w:rsid w:val="00BF432A"/>
    <w:rsid w:val="00BF6E82"/>
    <w:rsid w:val="00C060C7"/>
    <w:rsid w:val="00C14CC7"/>
    <w:rsid w:val="00C24C17"/>
    <w:rsid w:val="00C258B8"/>
    <w:rsid w:val="00C3758F"/>
    <w:rsid w:val="00C40B88"/>
    <w:rsid w:val="00C42C93"/>
    <w:rsid w:val="00C43854"/>
    <w:rsid w:val="00C464E6"/>
    <w:rsid w:val="00C47D87"/>
    <w:rsid w:val="00C5376E"/>
    <w:rsid w:val="00C657C5"/>
    <w:rsid w:val="00C808A6"/>
    <w:rsid w:val="00C97091"/>
    <w:rsid w:val="00C97260"/>
    <w:rsid w:val="00CA2001"/>
    <w:rsid w:val="00CA5317"/>
    <w:rsid w:val="00CB10FD"/>
    <w:rsid w:val="00CB5B6C"/>
    <w:rsid w:val="00CC052E"/>
    <w:rsid w:val="00CD16BE"/>
    <w:rsid w:val="00CD4616"/>
    <w:rsid w:val="00CD47AC"/>
    <w:rsid w:val="00CD56AF"/>
    <w:rsid w:val="00CE33D5"/>
    <w:rsid w:val="00CF1D7E"/>
    <w:rsid w:val="00CF3705"/>
    <w:rsid w:val="00CF5D37"/>
    <w:rsid w:val="00CF6F33"/>
    <w:rsid w:val="00D02248"/>
    <w:rsid w:val="00D063B8"/>
    <w:rsid w:val="00D06825"/>
    <w:rsid w:val="00D17E3B"/>
    <w:rsid w:val="00D239D1"/>
    <w:rsid w:val="00D23C09"/>
    <w:rsid w:val="00D23CED"/>
    <w:rsid w:val="00D24BD2"/>
    <w:rsid w:val="00D2573D"/>
    <w:rsid w:val="00D260A2"/>
    <w:rsid w:val="00D30CC6"/>
    <w:rsid w:val="00D3260C"/>
    <w:rsid w:val="00D35790"/>
    <w:rsid w:val="00D5653B"/>
    <w:rsid w:val="00D62EF1"/>
    <w:rsid w:val="00D6309D"/>
    <w:rsid w:val="00D631EF"/>
    <w:rsid w:val="00D644CA"/>
    <w:rsid w:val="00D66FC2"/>
    <w:rsid w:val="00D76C7E"/>
    <w:rsid w:val="00D771DE"/>
    <w:rsid w:val="00D7776D"/>
    <w:rsid w:val="00D9293F"/>
    <w:rsid w:val="00D93598"/>
    <w:rsid w:val="00D96D4C"/>
    <w:rsid w:val="00DA0764"/>
    <w:rsid w:val="00DA1E18"/>
    <w:rsid w:val="00DA2009"/>
    <w:rsid w:val="00DA47B4"/>
    <w:rsid w:val="00DB05B1"/>
    <w:rsid w:val="00DB4CCF"/>
    <w:rsid w:val="00DB5A79"/>
    <w:rsid w:val="00DC2465"/>
    <w:rsid w:val="00DC4ABA"/>
    <w:rsid w:val="00DD1A0E"/>
    <w:rsid w:val="00DD512E"/>
    <w:rsid w:val="00DE1177"/>
    <w:rsid w:val="00DE1584"/>
    <w:rsid w:val="00DE2CEA"/>
    <w:rsid w:val="00DE6A3C"/>
    <w:rsid w:val="00DE74F4"/>
    <w:rsid w:val="00DE7F97"/>
    <w:rsid w:val="00DF1010"/>
    <w:rsid w:val="00DF5AEA"/>
    <w:rsid w:val="00DF63F6"/>
    <w:rsid w:val="00E13747"/>
    <w:rsid w:val="00E15132"/>
    <w:rsid w:val="00E25AEA"/>
    <w:rsid w:val="00E279A9"/>
    <w:rsid w:val="00E30DEF"/>
    <w:rsid w:val="00E30ED2"/>
    <w:rsid w:val="00E31276"/>
    <w:rsid w:val="00E37F70"/>
    <w:rsid w:val="00E446C1"/>
    <w:rsid w:val="00E65598"/>
    <w:rsid w:val="00E65A89"/>
    <w:rsid w:val="00E758B9"/>
    <w:rsid w:val="00E80751"/>
    <w:rsid w:val="00E85569"/>
    <w:rsid w:val="00E856AF"/>
    <w:rsid w:val="00E86B83"/>
    <w:rsid w:val="00E87C64"/>
    <w:rsid w:val="00E93A01"/>
    <w:rsid w:val="00E93FF8"/>
    <w:rsid w:val="00E962F0"/>
    <w:rsid w:val="00E96EAF"/>
    <w:rsid w:val="00EA1752"/>
    <w:rsid w:val="00EA5A89"/>
    <w:rsid w:val="00EA5BDB"/>
    <w:rsid w:val="00EB46D9"/>
    <w:rsid w:val="00EC142D"/>
    <w:rsid w:val="00EC1E16"/>
    <w:rsid w:val="00ED0024"/>
    <w:rsid w:val="00ED0F85"/>
    <w:rsid w:val="00ED2B5C"/>
    <w:rsid w:val="00ED3269"/>
    <w:rsid w:val="00EE1A8C"/>
    <w:rsid w:val="00EE4643"/>
    <w:rsid w:val="00EE57C7"/>
    <w:rsid w:val="00EF1330"/>
    <w:rsid w:val="00EF15FF"/>
    <w:rsid w:val="00EF7111"/>
    <w:rsid w:val="00EF7D1A"/>
    <w:rsid w:val="00F0448F"/>
    <w:rsid w:val="00F0716C"/>
    <w:rsid w:val="00F1521A"/>
    <w:rsid w:val="00F270E9"/>
    <w:rsid w:val="00F275C0"/>
    <w:rsid w:val="00F346B6"/>
    <w:rsid w:val="00F36145"/>
    <w:rsid w:val="00F37BDD"/>
    <w:rsid w:val="00F41503"/>
    <w:rsid w:val="00F466C8"/>
    <w:rsid w:val="00F469A9"/>
    <w:rsid w:val="00F47E45"/>
    <w:rsid w:val="00F50B46"/>
    <w:rsid w:val="00F50D1F"/>
    <w:rsid w:val="00F6203E"/>
    <w:rsid w:val="00F635FC"/>
    <w:rsid w:val="00F63D03"/>
    <w:rsid w:val="00F64579"/>
    <w:rsid w:val="00F64A90"/>
    <w:rsid w:val="00F65E2F"/>
    <w:rsid w:val="00F67DF1"/>
    <w:rsid w:val="00F8309B"/>
    <w:rsid w:val="00F833C9"/>
    <w:rsid w:val="00F90064"/>
    <w:rsid w:val="00F95CF3"/>
    <w:rsid w:val="00F96AFD"/>
    <w:rsid w:val="00FA1398"/>
    <w:rsid w:val="00FA2E19"/>
    <w:rsid w:val="00FA697F"/>
    <w:rsid w:val="00FB5521"/>
    <w:rsid w:val="00FB610D"/>
    <w:rsid w:val="00FC4477"/>
    <w:rsid w:val="00FC46FB"/>
    <w:rsid w:val="00FD0734"/>
    <w:rsid w:val="00FD0A38"/>
    <w:rsid w:val="00FD2BD3"/>
    <w:rsid w:val="00FD4CCA"/>
    <w:rsid w:val="00FD6B3A"/>
    <w:rsid w:val="00FD6F28"/>
    <w:rsid w:val="00FE2A9E"/>
    <w:rsid w:val="00FF4A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e1000f"/>
    </o:shapedefaults>
    <o:shapelayout v:ext="edit">
      <o:idmap v:ext="edit" data="2"/>
    </o:shapelayout>
  </w:shapeDefaults>
  <w:decimalSymbol w:val="."/>
  <w:listSeparator w:val=","/>
  <w14:docId w14:val="3FB409AA"/>
  <w15:chartTrackingRefBased/>
  <w15:docId w15:val="{FC10EDE9-391A-4A9D-B917-0294A12E5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EastAsia" w:hAnsi="Segoe UI" w:cs="Times New Roman"/>
        <w:sz w:val="18"/>
        <w:szCs w:val="24"/>
        <w:lang w:val="en-US" w:eastAsia="en-US"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qFormat="1"/>
    <w:lsdException w:name="Strong" w:qFormat="1"/>
    <w:lsdException w:name="Emphasis" w:qFormat="1"/>
    <w:lsdException w:name="HTML Preformatted" w:semiHidden="1" w:unhideWhenUsed="1"/>
    <w:lsdException w:name="HTML Samp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1" w:qFormat="1"/>
    <w:lsdException w:name="Medium Shading 2 Accent 1" w:uiPriority="60"/>
    <w:lsdException w:name="Medium List 1 Accent 1" w:uiPriority="61"/>
    <w:lsdException w:name="Revision" w:semiHidden="1" w:uiPriority="62" w:unhideWhenUsed="1"/>
    <w:lsdException w:name="List Paragraph" w:uiPriority="63"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99"/>
    <w:lsdException w:name="Medium Grid 1 Accent 2" w:uiPriority="34" w:qFormat="1"/>
    <w:lsdException w:name="Medium Grid 2 Accent 2" w:uiPriority="29" w:qFormat="1"/>
    <w:lsdException w:name="Medium Grid 3 Accent 2" w:uiPriority="30" w:qFormat="1"/>
    <w:lsdException w:name="Dark List Accent 2" w:uiPriority="66"/>
    <w:lsdException w:name="Colorful Shading Accent 2" w:uiPriority="67"/>
    <w:lsdException w:name="Colorful List Accent 2" w:uiPriority="68"/>
    <w:lsdException w:name="Colorful Grid Accent 2" w:uiPriority="69"/>
    <w:lsdException w:name="Light Shading Accent 3" w:uiPriority="70"/>
    <w:lsdException w:name="Light List Accent 3" w:uiPriority="71"/>
    <w:lsdException w:name="Light Grid Accent 3" w:uiPriority="72"/>
    <w:lsdException w:name="Medium Shading 1 Accent 3" w:uiPriority="73"/>
    <w:lsdException w:name="Medium Shading 2 Accent 3" w:uiPriority="60"/>
    <w:lsdException w:name="Medium List 1 Accent 3" w:uiPriority="61"/>
    <w:lsdException w:name="Medium List 2 Accent 3" w:uiPriority="62"/>
    <w:lsdException w:name="Medium Grid 1 Accent 3" w:uiPriority="63"/>
    <w:lsdException w:name="Medium Grid 2 Accent 3" w:uiPriority="64"/>
    <w:lsdException w:name="Medium Grid 3 Accent 3" w:uiPriority="65"/>
    <w:lsdException w:name="Dark List Accent 3" w:uiPriority="66"/>
    <w:lsdException w:name="Colorful Shading Accent 3" w:uiPriority="67"/>
    <w:lsdException w:name="Colorful List Accent 3" w:uiPriority="68"/>
    <w:lsdException w:name="Colorful Grid Accent 3" w:uiPriority="69"/>
    <w:lsdException w:name="Light Shading Accent 4" w:uiPriority="70"/>
    <w:lsdException w:name="Light List Accent 4" w:uiPriority="71"/>
    <w:lsdException w:name="Light Grid Accent 4" w:uiPriority="72"/>
    <w:lsdException w:name="Medium Shading 1 Accent 4" w:uiPriority="73"/>
    <w:lsdException w:name="Medium Shading 2 Accent 4" w:uiPriority="60"/>
    <w:lsdException w:name="Medium List 1 Accent 4" w:uiPriority="61"/>
    <w:lsdException w:name="Medium List 2 Accent 4" w:uiPriority="62"/>
    <w:lsdException w:name="Medium Grid 1 Accent 4" w:uiPriority="63"/>
    <w:lsdException w:name="Medium Grid 2 Accent 4" w:uiPriority="64"/>
    <w:lsdException w:name="Medium Grid 3 Accent 4" w:uiPriority="65"/>
    <w:lsdException w:name="Dark List Accent 4" w:uiPriority="66"/>
    <w:lsdException w:name="Colorful Shading Accent 4" w:uiPriority="67"/>
    <w:lsdException w:name="Colorful List Accent 4" w:uiPriority="68"/>
    <w:lsdException w:name="Colorful Grid Accent 4" w:uiPriority="69"/>
    <w:lsdException w:name="Light Shading Accent 5" w:uiPriority="70"/>
    <w:lsdException w:name="Light List Accent 5" w:uiPriority="71"/>
    <w:lsdException w:name="Light Grid Accent 5" w:uiPriority="72"/>
    <w:lsdException w:name="Medium Shading 1 Accent 5" w:uiPriority="73"/>
    <w:lsdException w:name="Medium Shading 2 Accent 5" w:uiPriority="60"/>
    <w:lsdException w:name="Medium List 1 Accent 5" w:uiPriority="61"/>
    <w:lsdException w:name="Medium List 2 Accent 5" w:uiPriority="62"/>
    <w:lsdException w:name="Medium Grid 1 Accent 5" w:uiPriority="63"/>
    <w:lsdException w:name="Medium Grid 2 Accent 5" w:uiPriority="64"/>
    <w:lsdException w:name="Medium Grid 3 Accent 5" w:uiPriority="65"/>
    <w:lsdException w:name="Dark List Accent 5" w:uiPriority="66"/>
    <w:lsdException w:name="Colorful Shading Accent 5" w:uiPriority="67"/>
    <w:lsdException w:name="Colorful List Accent 5" w:uiPriority="68"/>
    <w:lsdException w:name="Colorful Grid Accent 5" w:uiPriority="69"/>
    <w:lsdException w:name="Light Shading Accent 6" w:uiPriority="70"/>
    <w:lsdException w:name="Light List Accent 6" w:uiPriority="71"/>
    <w:lsdException w:name="Light Grid Accent 6" w:uiPriority="72"/>
    <w:lsdException w:name="Medium Shading 1 Accent 6" w:uiPriority="73"/>
    <w:lsdException w:name="Medium Shading 2 Accent 6" w:uiPriority="60"/>
    <w:lsdException w:name="Medium List 1 Accent 6" w:uiPriority="61"/>
    <w:lsdException w:name="Medium List 2 Accent 6" w:uiPriority="62"/>
    <w:lsdException w:name="Medium Grid 1 Accent 6" w:uiPriority="63"/>
    <w:lsdException w:name="Medium Grid 2 Accent 6" w:uiPriority="64"/>
    <w:lsdException w:name="Medium Grid 3 Accent 6" w:uiPriority="65"/>
    <w:lsdException w:name="Dark List Accent 6" w:uiPriority="66"/>
    <w:lsdException w:name="Colorful Shading Accent 6" w:uiPriority="67"/>
    <w:lsdException w:name="Colorful List Accent 6" w:uiPriority="68"/>
    <w:lsdException w:name="Colorful Grid Accent 6" w:uiPriority="69"/>
    <w:lsdException w:name="Subtle Emphasis" w:uiPriority="70" w:qFormat="1"/>
    <w:lsdException w:name="Intense Emphasis" w:uiPriority="71" w:qFormat="1"/>
    <w:lsdException w:name="Subtle Reference" w:uiPriority="72" w:qFormat="1"/>
    <w:lsdException w:name="Intense Reference" w:uiPriority="73" w:qFormat="1"/>
    <w:lsdException w:name="Book Title" w:uiPriority="60" w:qFormat="1"/>
    <w:lsdException w:name="Bibliography" w:semiHidden="1" w:uiPriority="61" w:unhideWhenUsed="1"/>
    <w:lsdException w:name="TOC Heading" w:semiHidden="1" w:uiPriority="62" w:unhideWhenUsed="1" w:qFormat="1"/>
    <w:lsdException w:name="Plain Table 1" w:uiPriority="63"/>
    <w:lsdException w:name="Plain Table 2" w:uiPriority="64"/>
    <w:lsdException w:name="Plain Table 3" w:uiPriority="65" w:qFormat="1"/>
    <w:lsdException w:name="Plain Table 4" w:uiPriority="66" w:qFormat="1"/>
    <w:lsdException w:name="Plain Table 5" w:uiPriority="67" w:qFormat="1"/>
    <w:lsdException w:name="Grid Table Light" w:uiPriority="68" w:qFormat="1"/>
    <w:lsdException w:name="Grid Table 1 Light" w:uiPriority="69" w:qFormat="1"/>
    <w:lsdException w:name="Grid Table 2" w:uiPriority="70"/>
    <w:lsdException w:name="Grid Table 3" w:uiPriority="71" w:qFormat="1"/>
    <w:lsdException w:name="Grid Table 4" w:uiPriority="72"/>
    <w:lsdException w:name="Grid Table 5 Dark" w:uiPriority="73"/>
    <w:lsdException w:name="Grid Table 6 Colorful" w:uiPriority="19" w:qFormat="1"/>
    <w:lsdException w:name="Grid Table 7 Colorful" w:uiPriority="21" w:qFormat="1"/>
    <w:lsdException w:name="Grid Table 1 Light Accent 1" w:uiPriority="31" w:qFormat="1"/>
    <w:lsdException w:name="Grid Table 2 Accent 1" w:uiPriority="32" w:qFormat="1"/>
    <w:lsdException w:name="Grid Table 3 Accent 1" w:uiPriority="33" w:qFormat="1"/>
    <w:lsdException w:name="Grid Table 4 Accent 1" w:uiPriority="37"/>
    <w:lsdException w:name="Grid Table 5 Dark Accent 1" w:uiPriority="39"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A2975"/>
    <w:pPr>
      <w:spacing w:line="276" w:lineRule="auto"/>
      <w:jc w:val="both"/>
    </w:pPr>
    <w:rPr>
      <w:sz w:val="22"/>
    </w:rPr>
  </w:style>
  <w:style w:type="paragraph" w:styleId="Heading1">
    <w:name w:val="heading 1"/>
    <w:basedOn w:val="Normal"/>
    <w:next w:val="Normal"/>
    <w:link w:val="Heading1Char"/>
    <w:uiPriority w:val="99"/>
    <w:qFormat/>
    <w:rsid w:val="00097261"/>
    <w:pPr>
      <w:keepNext/>
      <w:spacing w:line="420" w:lineRule="atLeast"/>
      <w:outlineLvl w:val="0"/>
    </w:pPr>
    <w:rPr>
      <w:rFonts w:cs="Arial"/>
      <w:b/>
      <w:bCs/>
      <w:kern w:val="32"/>
      <w:sz w:val="36"/>
      <w:szCs w:val="32"/>
    </w:rPr>
  </w:style>
  <w:style w:type="paragraph" w:styleId="Heading2">
    <w:name w:val="heading 2"/>
    <w:basedOn w:val="Normal"/>
    <w:next w:val="Normal"/>
    <w:qFormat/>
    <w:rsid w:val="003F46B0"/>
    <w:pPr>
      <w:keepNext/>
      <w:outlineLvl w:val="1"/>
    </w:pPr>
    <w:rPr>
      <w:rFonts w:cs="Arial"/>
      <w:bCs/>
      <w:iCs/>
      <w:color w:val="E1000F"/>
      <w:szCs w:val="28"/>
    </w:rPr>
  </w:style>
  <w:style w:type="paragraph" w:styleId="Heading3">
    <w:name w:val="heading 3"/>
    <w:basedOn w:val="Heading2"/>
    <w:next w:val="Normal"/>
    <w:qFormat/>
    <w:rsid w:val="006F1596"/>
    <w:pPr>
      <w:outlineLvl w:val="2"/>
    </w:pPr>
    <w:rPr>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3758F"/>
    <w:pPr>
      <w:tabs>
        <w:tab w:val="left" w:pos="2607"/>
        <w:tab w:val="center" w:pos="4320"/>
        <w:tab w:val="right" w:pos="9356"/>
      </w:tabs>
      <w:spacing w:before="1440" w:line="100" w:lineRule="atLeast"/>
      <w:jc w:val="right"/>
    </w:pPr>
    <w:rPr>
      <w:rFonts w:cs="Segoe UI"/>
      <w:b/>
      <w:bCs/>
      <w:color w:val="3E3C3C"/>
      <w:sz w:val="40"/>
      <w:szCs w:val="40"/>
    </w:rPr>
  </w:style>
  <w:style w:type="paragraph" w:styleId="Footer">
    <w:name w:val="footer"/>
    <w:basedOn w:val="Normal"/>
    <w:link w:val="FooterChar"/>
    <w:uiPriority w:val="99"/>
    <w:rsid w:val="00992A11"/>
    <w:pPr>
      <w:tabs>
        <w:tab w:val="right" w:pos="7083"/>
        <w:tab w:val="right" w:pos="8640"/>
      </w:tabs>
      <w:spacing w:line="180" w:lineRule="atLeast"/>
      <w:jc w:val="right"/>
    </w:pPr>
    <w:rPr>
      <w:bCs/>
      <w:noProof/>
      <w:sz w:val="12"/>
    </w:rPr>
  </w:style>
  <w:style w:type="paragraph" w:customStyle="1" w:styleId="Intro">
    <w:name w:val="Intro"/>
    <w:basedOn w:val="Normal"/>
    <w:rsid w:val="006F1596"/>
    <w:pPr>
      <w:spacing w:after="300"/>
    </w:pPr>
    <w:rPr>
      <w:color w:val="415055"/>
      <w:sz w:val="24"/>
    </w:rPr>
  </w:style>
  <w:style w:type="paragraph" w:customStyle="1" w:styleId="NumBullet">
    <w:name w:val="Num_Bullet"/>
    <w:basedOn w:val="Normal"/>
    <w:rsid w:val="00576BC8"/>
    <w:pPr>
      <w:numPr>
        <w:numId w:val="1"/>
      </w:numPr>
      <w:tabs>
        <w:tab w:val="clear" w:pos="567"/>
        <w:tab w:val="left" w:pos="357"/>
      </w:tabs>
      <w:ind w:left="357" w:hanging="357"/>
    </w:pPr>
  </w:style>
  <w:style w:type="paragraph" w:customStyle="1" w:styleId="Page1Name">
    <w:name w:val="Page1_Name"/>
    <w:basedOn w:val="Normal"/>
    <w:rsid w:val="004F237B"/>
    <w:pPr>
      <w:spacing w:after="420" w:line="360" w:lineRule="atLeast"/>
    </w:pPr>
    <w:rPr>
      <w:b/>
      <w:sz w:val="30"/>
    </w:rPr>
  </w:style>
  <w:style w:type="paragraph" w:customStyle="1" w:styleId="Page1Title">
    <w:name w:val="Page1_Title"/>
    <w:basedOn w:val="Normal"/>
    <w:rsid w:val="004F237B"/>
    <w:pPr>
      <w:spacing w:line="228" w:lineRule="auto"/>
    </w:pPr>
    <w:rPr>
      <w:color w:val="E1000F"/>
      <w:sz w:val="90"/>
    </w:rPr>
  </w:style>
  <w:style w:type="paragraph" w:customStyle="1" w:styleId="Page1Author">
    <w:name w:val="Page1_Author"/>
    <w:basedOn w:val="Page1Name"/>
    <w:rsid w:val="004F237B"/>
    <w:pPr>
      <w:spacing w:before="240" w:after="0"/>
    </w:pPr>
    <w:rPr>
      <w:b w:val="0"/>
      <w:bCs/>
    </w:rPr>
  </w:style>
  <w:style w:type="table" w:styleId="TableGrid">
    <w:name w:val="Table Grid"/>
    <w:basedOn w:val="TableNormal"/>
    <w:rsid w:val="004F237B"/>
    <w:pPr>
      <w:spacing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
    <w:name w:val="Info"/>
    <w:basedOn w:val="Normal"/>
    <w:link w:val="InfoZchn"/>
    <w:rsid w:val="00EE59A4"/>
    <w:pPr>
      <w:spacing w:line="240" w:lineRule="atLeast"/>
    </w:pPr>
    <w:rPr>
      <w:sz w:val="13"/>
    </w:rPr>
  </w:style>
  <w:style w:type="character" w:customStyle="1" w:styleId="InfoZchn">
    <w:name w:val="Info Zchn"/>
    <w:link w:val="Info"/>
    <w:rsid w:val="003F6218"/>
    <w:rPr>
      <w:rFonts w:ascii="Arial" w:hAnsi="Arial"/>
      <w:sz w:val="13"/>
      <w:szCs w:val="24"/>
      <w:lang w:val="de-DE" w:eastAsia="en-US" w:bidi="ar-SA"/>
    </w:rPr>
  </w:style>
  <w:style w:type="paragraph" w:customStyle="1" w:styleId="Standard12pt">
    <w:name w:val="Standard_12pt"/>
    <w:basedOn w:val="Normal"/>
    <w:rsid w:val="0048435F"/>
    <w:pPr>
      <w:spacing w:line="300" w:lineRule="atLeast"/>
    </w:pPr>
    <w:rPr>
      <w:sz w:val="24"/>
    </w:rPr>
  </w:style>
  <w:style w:type="character" w:customStyle="1" w:styleId="Heading1Char">
    <w:name w:val="Heading 1 Char"/>
    <w:link w:val="Heading1"/>
    <w:uiPriority w:val="99"/>
    <w:locked/>
    <w:rsid w:val="00B422EC"/>
    <w:rPr>
      <w:rFonts w:ascii="Arial" w:hAnsi="Arial" w:cs="Arial"/>
      <w:b/>
      <w:bCs/>
      <w:kern w:val="32"/>
      <w:sz w:val="36"/>
      <w:szCs w:val="32"/>
      <w:lang w:val="de-DE"/>
    </w:rPr>
  </w:style>
  <w:style w:type="character" w:styleId="Hyperlink">
    <w:name w:val="Hyperlink"/>
    <w:qFormat/>
    <w:rsid w:val="00336854"/>
    <w:rPr>
      <w:rFonts w:ascii="Segoe UI" w:hAnsi="Segoe UI"/>
      <w:color w:val="0000FF"/>
      <w:sz w:val="18"/>
      <w:szCs w:val="18"/>
      <w:u w:val="single"/>
    </w:rPr>
  </w:style>
  <w:style w:type="paragraph" w:customStyle="1" w:styleId="MittleresRaster1-Akzent21">
    <w:name w:val="Mittleres Raster 1 - Akzent 21"/>
    <w:basedOn w:val="Normal"/>
    <w:uiPriority w:val="34"/>
    <w:qFormat/>
    <w:rsid w:val="00B422EC"/>
    <w:pPr>
      <w:ind w:left="720"/>
    </w:pPr>
  </w:style>
  <w:style w:type="paragraph" w:styleId="BalloonText">
    <w:name w:val="Balloon Text"/>
    <w:basedOn w:val="Normal"/>
    <w:link w:val="BalloonTextChar"/>
    <w:rsid w:val="00336854"/>
    <w:pPr>
      <w:spacing w:line="240" w:lineRule="auto"/>
    </w:pPr>
    <w:rPr>
      <w:sz w:val="18"/>
      <w:szCs w:val="18"/>
    </w:rPr>
  </w:style>
  <w:style w:type="character" w:customStyle="1" w:styleId="BalloonTextChar">
    <w:name w:val="Balloon Text Char"/>
    <w:link w:val="BalloonText"/>
    <w:rsid w:val="00336854"/>
    <w:rPr>
      <w:rFonts w:ascii="Segoe UI" w:hAnsi="Segoe UI"/>
      <w:sz w:val="18"/>
      <w:szCs w:val="18"/>
      <w:lang w:val="de-DE"/>
    </w:rPr>
  </w:style>
  <w:style w:type="paragraph" w:customStyle="1" w:styleId="MittlereListe2-Akzent21">
    <w:name w:val="Mittlere Liste 2 - Akzent 21"/>
    <w:hidden/>
    <w:uiPriority w:val="99"/>
    <w:semiHidden/>
    <w:rsid w:val="002E0B17"/>
    <w:rPr>
      <w:rFonts w:ascii="Arial" w:hAnsi="Arial"/>
      <w:lang w:val="de-DE"/>
    </w:rPr>
  </w:style>
  <w:style w:type="character" w:customStyle="1" w:styleId="FooterChar">
    <w:name w:val="Footer Char"/>
    <w:link w:val="Footer"/>
    <w:uiPriority w:val="99"/>
    <w:rsid w:val="00992A11"/>
    <w:rPr>
      <w:rFonts w:ascii="Segoe UI" w:hAnsi="Segoe UI"/>
      <w:bCs/>
      <w:noProof/>
      <w:sz w:val="12"/>
      <w:szCs w:val="24"/>
      <w:lang w:val="de-DE"/>
    </w:rPr>
  </w:style>
  <w:style w:type="character" w:styleId="UnresolvedMention">
    <w:name w:val="Unresolved Mention"/>
    <w:uiPriority w:val="99"/>
    <w:semiHidden/>
    <w:unhideWhenUsed/>
    <w:rsid w:val="000C210A"/>
    <w:rPr>
      <w:color w:val="605E5C"/>
      <w:shd w:val="clear" w:color="auto" w:fill="E1DFDD"/>
    </w:rPr>
  </w:style>
  <w:style w:type="paragraph" w:customStyle="1" w:styleId="Style12ptJustifiedLinespacing15lines">
    <w:name w:val="Style 12 pt Justified Line spacing:  1.5 lines"/>
    <w:basedOn w:val="Normal"/>
    <w:rsid w:val="00974F84"/>
    <w:rPr>
      <w:szCs w:val="20"/>
    </w:rPr>
  </w:style>
  <w:style w:type="paragraph" w:customStyle="1" w:styleId="Style12ptJustifiedLinespacing15lines1">
    <w:name w:val="Style 12 pt Justified Line spacing:  1.5 lines1"/>
    <w:basedOn w:val="Normal"/>
    <w:rsid w:val="00974F84"/>
    <w:pPr>
      <w:spacing w:before="120"/>
    </w:pPr>
    <w:rPr>
      <w:szCs w:val="20"/>
    </w:rPr>
  </w:style>
  <w:style w:type="character" w:customStyle="1" w:styleId="Headline">
    <w:name w:val="Headline"/>
    <w:basedOn w:val="DefaultParagraphFont"/>
    <w:rsid w:val="00A3756F"/>
    <w:rPr>
      <w:b/>
      <w:bCs/>
      <w:sz w:val="32"/>
    </w:rPr>
  </w:style>
  <w:style w:type="paragraph" w:customStyle="1" w:styleId="MonthDayYear">
    <w:name w:val="Month Day Year"/>
    <w:basedOn w:val="Normal"/>
    <w:rsid w:val="00643D8A"/>
    <w:pPr>
      <w:spacing w:before="120"/>
      <w:ind w:right="-1"/>
      <w:jc w:val="right"/>
    </w:pPr>
    <w:rPr>
      <w:szCs w:val="20"/>
    </w:rPr>
  </w:style>
  <w:style w:type="paragraph" w:customStyle="1" w:styleId="Topline">
    <w:name w:val="Topline"/>
    <w:basedOn w:val="Normal"/>
    <w:qFormat/>
    <w:rsid w:val="00472FEC"/>
    <w:pPr>
      <w:spacing w:before="560" w:after="560"/>
    </w:pPr>
    <w:rPr>
      <w:rFonts w:cs="Segoe UI"/>
      <w:szCs w:val="22"/>
    </w:rPr>
  </w:style>
  <w:style w:type="character" w:customStyle="1" w:styleId="AboutandContactBody">
    <w:name w:val="About and Contact Body"/>
    <w:basedOn w:val="DefaultParagraphFont"/>
    <w:qFormat/>
    <w:rsid w:val="00336854"/>
    <w:rPr>
      <w:rFonts w:ascii="Segoe UI" w:hAnsi="Segoe UI"/>
      <w:sz w:val="18"/>
    </w:rPr>
  </w:style>
  <w:style w:type="character" w:customStyle="1" w:styleId="AboutandContactHeadline">
    <w:name w:val="About and Contact Headline"/>
    <w:basedOn w:val="DefaultParagraphFont"/>
    <w:qFormat/>
    <w:rsid w:val="00336854"/>
    <w:rPr>
      <w:rFonts w:ascii="Segoe UI" w:hAnsi="Segoe UI"/>
      <w:b/>
      <w:bCs/>
      <w:sz w:val="18"/>
    </w:rPr>
  </w:style>
  <w:style w:type="character" w:styleId="CommentReference">
    <w:name w:val="annotation reference"/>
    <w:basedOn w:val="DefaultParagraphFont"/>
    <w:rsid w:val="0001775D"/>
    <w:rPr>
      <w:sz w:val="21"/>
      <w:szCs w:val="21"/>
    </w:rPr>
  </w:style>
  <w:style w:type="paragraph" w:styleId="CommentText">
    <w:name w:val="annotation text"/>
    <w:basedOn w:val="Normal"/>
    <w:link w:val="CommentTextChar"/>
    <w:rsid w:val="0001775D"/>
    <w:pPr>
      <w:jc w:val="left"/>
    </w:pPr>
  </w:style>
  <w:style w:type="character" w:customStyle="1" w:styleId="CommentTextChar">
    <w:name w:val="Comment Text Char"/>
    <w:basedOn w:val="DefaultParagraphFont"/>
    <w:link w:val="CommentText"/>
    <w:rsid w:val="0001775D"/>
    <w:rPr>
      <w:sz w:val="22"/>
    </w:rPr>
  </w:style>
  <w:style w:type="paragraph" w:styleId="CommentSubject">
    <w:name w:val="annotation subject"/>
    <w:basedOn w:val="CommentText"/>
    <w:next w:val="CommentText"/>
    <w:link w:val="CommentSubjectChar"/>
    <w:rsid w:val="0001775D"/>
    <w:rPr>
      <w:b/>
      <w:bCs/>
    </w:rPr>
  </w:style>
  <w:style w:type="character" w:customStyle="1" w:styleId="CommentSubjectChar">
    <w:name w:val="Comment Subject Char"/>
    <w:basedOn w:val="CommentTextChar"/>
    <w:link w:val="CommentSubject"/>
    <w:rsid w:val="0001775D"/>
    <w:rPr>
      <w:b/>
      <w:bCs/>
      <w:sz w:val="22"/>
    </w:rPr>
  </w:style>
  <w:style w:type="paragraph" w:styleId="Revision">
    <w:name w:val="Revision"/>
    <w:hidden/>
    <w:uiPriority w:val="62"/>
    <w:unhideWhenUsed/>
    <w:rsid w:val="006065A6"/>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0367474">
      <w:bodyDiv w:val="1"/>
      <w:marLeft w:val="0"/>
      <w:marRight w:val="0"/>
      <w:marTop w:val="0"/>
      <w:marBottom w:val="0"/>
      <w:divBdr>
        <w:top w:val="none" w:sz="0" w:space="0" w:color="auto"/>
        <w:left w:val="none" w:sz="0" w:space="0" w:color="auto"/>
        <w:bottom w:val="none" w:sz="0" w:space="0" w:color="auto"/>
        <w:right w:val="none" w:sz="0" w:space="0" w:color="auto"/>
      </w:divBdr>
    </w:div>
    <w:div w:id="1303580746">
      <w:bodyDiv w:val="1"/>
      <w:marLeft w:val="0"/>
      <w:marRight w:val="0"/>
      <w:marTop w:val="0"/>
      <w:marBottom w:val="0"/>
      <w:divBdr>
        <w:top w:val="none" w:sz="0" w:space="0" w:color="auto"/>
        <w:left w:val="none" w:sz="0" w:space="0" w:color="auto"/>
        <w:bottom w:val="none" w:sz="0" w:space="0" w:color="auto"/>
        <w:right w:val="none" w:sz="0" w:space="0" w:color="auto"/>
      </w:divBdr>
    </w:div>
    <w:div w:id="137462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protect.checkpoint.com/v2/r01/___http://www.henkel.cn___.YzJ1OndlY29tbXVuaWNhdGlvbnM6YzpvZmZpY2UzNjVfZW1haWxzX2F0dGFjaG1lbnQ6M2ZjNjU1ZDc3ZjI0ZWUzNmFlZGEyMmI1NDEyODcyY2M6Nzo1ZWMzOmI0OGJjZjQ0M2RkMTI4YTIxYzE4ZjBjYzVlYTg1ZTM0NzI0Mzk0YzZhMTY0MThmZTI0NTAyYTRjYzVlMGY0ZDQ6cDpUOkY"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ohng\AppData\Local\Temp\Temp1_Completed.zip\Completed\segoe-Henkel-press-release-template-2020-english.dotx" TargetMode="External"/></Relationships>
</file>

<file path=word/theme/theme1.xml><?xml version="1.0" encoding="utf-8"?>
<a:theme xmlns:a="http://schemas.openxmlformats.org/drawingml/2006/main" name="Henkel Theme">
  <a:themeElements>
    <a:clrScheme name="Custom 4">
      <a:dk1>
        <a:srgbClr val="000000"/>
      </a:dk1>
      <a:lt1>
        <a:srgbClr val="FFFFFF"/>
      </a:lt1>
      <a:dk2>
        <a:srgbClr val="E1000F"/>
      </a:dk2>
      <a:lt2>
        <a:srgbClr val="E6E7E7"/>
      </a:lt2>
      <a:accent1>
        <a:srgbClr val="5F6973"/>
      </a:accent1>
      <a:accent2>
        <a:srgbClr val="AFB4B9"/>
      </a:accent2>
      <a:accent3>
        <a:srgbClr val="00AA75"/>
      </a:accent3>
      <a:accent4>
        <a:srgbClr val="004C79"/>
      </a:accent4>
      <a:accent5>
        <a:srgbClr val="9A141B"/>
      </a:accent5>
      <a:accent6>
        <a:srgbClr val="FFDB23"/>
      </a:accent6>
      <a:hlink>
        <a:srgbClr val="0563C1"/>
      </a:hlink>
      <a:folHlink>
        <a:srgbClr val="954F72"/>
      </a:folHlink>
    </a:clrScheme>
    <a:fontScheme name="Henkel Template">
      <a:majorFont>
        <a:latin typeface="Segoe UI"/>
        <a:ea typeface=""/>
        <a:cs typeface=""/>
      </a:majorFont>
      <a:minorFont>
        <a:latin typeface="Segoe UI"/>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solidFill>
          <a:srgbClr val="ED1C24"/>
        </a:solidFill>
        <a:ln>
          <a:noFill/>
        </a:ln>
        <a:extLst>
          <a:ext uri="{91240B29-F687-4F45-9708-019B960494DF}">
            <a14:hiddenLine xmlns:a14="http://schemas.microsoft.com/office/drawing/2010/main" w="9525">
              <a:solidFill>
                <a:srgbClr val="000000"/>
              </a:solidFill>
              <a:round/>
              <a:headEnd/>
              <a:tailEnd/>
            </a14:hiddenLine>
          </a:ext>
        </a:extLst>
      </a:spPr>
      <a:bodyPr rot="0" vert="horz" wrap="square" lIns="91440" tIns="45720" rIns="91440" bIns="45720" anchor="t" anchorCtr="0" upright="1">
        <a:noAutofit/>
      </a:bodyPr>
      <a:lstStyle/>
    </a:spDef>
    <a:lnDef>
      <a:spPr bwMode="auto">
        <a:xfrm>
          <a:off x="0" y="0"/>
          <a:ext cx="1" cy="1"/>
        </a:xfrm>
        <a:custGeom>
          <a:avLst/>
          <a:gdLst/>
          <a:ahLst/>
          <a:cxnLst/>
          <a:rect l="0" t="0" r="0" b="0"/>
          <a:pathLst/>
        </a:custGeom>
        <a:solidFill>
          <a:schemeClr val="bg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none" lIns="90000" tIns="46800" rIns="90000" bIns="46800" numCol="1" anchor="ctr" anchorCtr="0" compatLnSpc="1">
        <a:prstTxWarp prst="textNoShape">
          <a:avLst/>
        </a:prstTxWarp>
      </a:bodyPr>
      <a:lstStyle>
        <a:defPPr marL="0" marR="0" indent="0" algn="ctr" defTabSz="914400" rtl="0" eaLnBrk="1" fontAlgn="base" latinLnBrk="0" hangingPunct="1">
          <a:lnSpc>
            <a:spcPct val="105000"/>
          </a:lnSpc>
          <a:spcBef>
            <a:spcPct val="0"/>
          </a:spcBef>
          <a:spcAft>
            <a:spcPct val="0"/>
          </a:spcAft>
          <a:buClr>
            <a:schemeClr val="tx2"/>
          </a:buClr>
          <a:buSzPct val="120000"/>
          <a:buFontTx/>
          <a:buNone/>
          <a:tabLst/>
          <a:defRPr kumimoji="0" lang="de-DE" sz="2000" b="0" i="0" u="none" strike="noStrike" cap="none" normalizeH="0" baseline="0" smtClean="0">
            <a:ln>
              <a:noFill/>
            </a:ln>
            <a:solidFill>
              <a:schemeClr val="tx1"/>
            </a:solidFill>
            <a:effectLst/>
            <a:latin typeface="Arial" charset="0"/>
            <a:cs typeface="Arial" charset="0"/>
          </a:defRPr>
        </a:defPPr>
      </a:lstStyle>
    </a:lnDef>
  </a:objectDefaults>
  <a:extraClrSchemeLst>
    <a:extraClrScheme>
      <a:clrScheme name="Standarddesign 1">
        <a:dk1>
          <a:srgbClr val="000000"/>
        </a:dk1>
        <a:lt1>
          <a:srgbClr val="FFFFFF"/>
        </a:lt1>
        <a:dk2>
          <a:srgbClr val="E1000F"/>
        </a:dk2>
        <a:lt2>
          <a:srgbClr val="CDD2D2"/>
        </a:lt2>
        <a:accent1>
          <a:srgbClr val="AFB4B9"/>
        </a:accent1>
        <a:accent2>
          <a:srgbClr val="828C96"/>
        </a:accent2>
        <a:accent3>
          <a:srgbClr val="FFFFFF"/>
        </a:accent3>
        <a:accent4>
          <a:srgbClr val="000000"/>
        </a:accent4>
        <a:accent5>
          <a:srgbClr val="D4D6D9"/>
        </a:accent5>
        <a:accent6>
          <a:srgbClr val="757E87"/>
        </a:accent6>
        <a:hlink>
          <a:srgbClr val="5F6973"/>
        </a:hlink>
        <a:folHlink>
          <a:srgbClr val="0078C8"/>
        </a:folHlink>
      </a:clrScheme>
      <a:clrMap bg1="lt1" tx1="dk1" bg2="lt2" tx2="dk2" accent1="accent1" accent2="accent2" accent3="accent3" accent4="accent4" accent5="accent5" accent6="accent6" hlink="hlink" folHlink="folHlink"/>
    </a:extraClrScheme>
  </a:extraClrSchemeLst>
  <a:custClrLst>
    <a:custClr name="Henkel Red">
      <a:srgbClr val="E1000F"/>
    </a:custClr>
    <a:custClr name="White">
      <a:srgbClr val="FFFFFF"/>
    </a:custClr>
    <a:custClr name="Black">
      <a:srgbClr val="000000"/>
    </a:custClr>
    <a:custClr name="Grey 1">
      <a:srgbClr val="5F6973"/>
    </a:custClr>
    <a:custClr name="Grey 2">
      <a:srgbClr val="AFB4B9"/>
    </a:custClr>
    <a:custClr name="Grey 3">
      <a:srgbClr val="E6E7E7"/>
    </a:custClr>
    <a:custClr name="Green">
      <a:srgbClr val="00AA75"/>
    </a:custClr>
    <a:custClr name="Blue">
      <a:srgbClr val="004C79"/>
    </a:custClr>
    <a:custClr name="Accent Dark Red">
      <a:srgbClr val="9A141B"/>
    </a:custClr>
    <a:custClr name="Accent Yellow 1">
      <a:srgbClr val="FFDB23"/>
    </a:custClr>
    <a:custClr name="Accent Yellow 2">
      <a:srgbClr val="FCF092"/>
    </a:custClr>
    <a:custClr name="Accent Green">
      <a:srgbClr val="A7DC92"/>
    </a:custClr>
    <a:custClr name="Accent Blue 1">
      <a:srgbClr val="55CAD3"/>
    </a:custClr>
    <a:custClr name="Accent Blue 2">
      <a:srgbClr val="0078C8"/>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f406d6b-70e0-427c-b08d-4edfc77771aa" xsi:nil="true"/>
    <lcf76f155ced4ddcb4097134ff3c332f xmlns="3efd4447-6b1b-4efa-9da5-5fd1cc405d4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019914786A7341A243E9E7513AD6DB" ma:contentTypeVersion="19" ma:contentTypeDescription="Create a new document." ma:contentTypeScope="" ma:versionID="c4c4bd5cc3ce5d042ddde8a5901d3d92">
  <xsd:schema xmlns:xsd="http://www.w3.org/2001/XMLSchema" xmlns:xs="http://www.w3.org/2001/XMLSchema" xmlns:p="http://schemas.microsoft.com/office/2006/metadata/properties" xmlns:ns2="3efd4447-6b1b-4efa-9da5-5fd1cc405d41" xmlns:ns3="9a03f41a-637d-405d-b53a-5b57d79e223d" xmlns:ns4="ef406d6b-70e0-427c-b08d-4edfc77771aa" targetNamespace="http://schemas.microsoft.com/office/2006/metadata/properties" ma:root="true" ma:fieldsID="582aadd8f0b2473200e960a4ed9d9647" ns2:_="" ns3:_="" ns4:_="">
    <xsd:import namespace="3efd4447-6b1b-4efa-9da5-5fd1cc405d41"/>
    <xsd:import namespace="9a03f41a-637d-405d-b53a-5b57d79e223d"/>
    <xsd:import namespace="ef406d6b-70e0-427c-b08d-4edfc77771a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3:SharedWithUsers" minOccurs="0"/>
                <xsd:element ref="ns3:SharedWithDetail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fd4447-6b1b-4efa-9da5-5fd1cc405d4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2f792e8-4dad-42c1-ad63-44982727bf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a03f41a-637d-405d-b53a-5b57d79e223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f406d6b-70e0-427c-b08d-4edfc77771aa"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54bf5e1d-5421-461c-a9f3-474bd7cc462d}" ma:internalName="TaxCatchAll" ma:showField="CatchAllData" ma:web="9a03f41a-637d-405d-b53a-5b57d79e223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72f792e8-4dad-42c1-ad63-44982727bf4d" ContentTypeId="0x01" PreviousValue="false"/>
</file>

<file path=customXml/itemProps1.xml><?xml version="1.0" encoding="utf-8"?>
<ds:datastoreItem xmlns:ds="http://schemas.openxmlformats.org/officeDocument/2006/customXml" ds:itemID="{F3245D12-BDB4-413F-ABB3-2AF0CF323A38}">
  <ds:schemaRefs>
    <ds:schemaRef ds:uri="http://schemas.microsoft.com/office/2006/metadata/properties"/>
    <ds:schemaRef ds:uri="http://schemas.microsoft.com/office/infopath/2007/PartnerControls"/>
    <ds:schemaRef ds:uri="ef406d6b-70e0-427c-b08d-4edfc77771aa"/>
    <ds:schemaRef ds:uri="3efd4447-6b1b-4efa-9da5-5fd1cc405d41"/>
  </ds:schemaRefs>
</ds:datastoreItem>
</file>

<file path=customXml/itemProps2.xml><?xml version="1.0" encoding="utf-8"?>
<ds:datastoreItem xmlns:ds="http://schemas.openxmlformats.org/officeDocument/2006/customXml" ds:itemID="{CE13881A-13E0-4301-A3CE-DE14812C04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fd4447-6b1b-4efa-9da5-5fd1cc405d41"/>
    <ds:schemaRef ds:uri="9a03f41a-637d-405d-b53a-5b57d79e223d"/>
    <ds:schemaRef ds:uri="ef406d6b-70e0-427c-b08d-4edfc77771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C226D13-73FC-4A7A-93C2-AC11939BB4A9}">
  <ds:schemaRefs>
    <ds:schemaRef ds:uri="http://schemas.microsoft.com/sharepoint/v3/contenttype/forms"/>
  </ds:schemaRefs>
</ds:datastoreItem>
</file>

<file path=customXml/itemProps4.xml><?xml version="1.0" encoding="utf-8"?>
<ds:datastoreItem xmlns:ds="http://schemas.openxmlformats.org/officeDocument/2006/customXml" ds:itemID="{2CB53B29-CB05-4BEA-B76A-0A57168091AC}">
  <ds:schemaRefs>
    <ds:schemaRef ds:uri="http://schemas.openxmlformats.org/officeDocument/2006/bibliography"/>
  </ds:schemaRefs>
</ds:datastoreItem>
</file>

<file path=customXml/itemProps5.xml><?xml version="1.0" encoding="utf-8"?>
<ds:datastoreItem xmlns:ds="http://schemas.openxmlformats.org/officeDocument/2006/customXml" ds:itemID="{70E590B4-7A0D-4F62-ACD8-2A023F14A264}">
  <ds:schemaRefs>
    <ds:schemaRef ds:uri="Microsoft.SharePoint.Taxonomy.ContentTypeSync"/>
  </ds:schemaRefs>
</ds:datastoreItem>
</file>

<file path=docMetadata/LabelInfo.xml><?xml version="1.0" encoding="utf-8"?>
<clbl:labelList xmlns:clbl="http://schemas.microsoft.com/office/2020/mipLabelMetadata">
  <clbl:label id="{e8701075-0d9e-4ea1-991d-5a0d110a5d29}" enabled="0" method="" siteId="{e8701075-0d9e-4ea1-991d-5a0d110a5d29}" removed="1"/>
</clbl:labelList>
</file>

<file path=docProps/app.xml><?xml version="1.0" encoding="utf-8"?>
<Properties xmlns="http://schemas.openxmlformats.org/officeDocument/2006/extended-properties" xmlns:vt="http://schemas.openxmlformats.org/officeDocument/2006/docPropsVTypes">
  <Template>segoe-Henkel-press-release-template-2020-english.dotx</Template>
  <TotalTime>0</TotalTime>
  <Pages>2</Pages>
  <Words>1002</Words>
  <Characters>1184</Characters>
  <Application>Microsoft Office Word</Application>
  <DocSecurity>2</DocSecurity>
  <Lines>40</Lines>
  <Paragraphs>21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Pressemitteilung</vt:lpstr>
      <vt:lpstr>Pressemitteilung</vt:lpstr>
    </vt:vector>
  </TitlesOfParts>
  <Company>Henkel AG &amp; Co. KGaA</Company>
  <LinksUpToDate>false</LinksUpToDate>
  <CharactersWithSpaces>2165</CharactersWithSpaces>
  <SharedDoc>false</SharedDoc>
  <HLinks>
    <vt:vector size="6" baseType="variant">
      <vt:variant>
        <vt:i4>2490428</vt:i4>
      </vt:variant>
      <vt:variant>
        <vt:i4>0</vt:i4>
      </vt:variant>
      <vt:variant>
        <vt:i4>0</vt:i4>
      </vt:variant>
      <vt:variant>
        <vt:i4>5</vt:i4>
      </vt:variant>
      <vt:variant>
        <vt:lpwstr>http://www.henkel.com/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subject/>
  <dc:creator>Henkel</dc:creator>
  <cp:keywords/>
  <dc:description/>
  <cp:lastModifiedBy>Amy Zhou</cp:lastModifiedBy>
  <cp:revision>8</cp:revision>
  <cp:lastPrinted>2016-11-16T01:11:00Z</cp:lastPrinted>
  <dcterms:created xsi:type="dcterms:W3CDTF">2026-08-18T00:36:00Z</dcterms:created>
  <dcterms:modified xsi:type="dcterms:W3CDTF">2026-08-18T07:35:00Z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0x010100A0019914786A7341A243E9E7513AD6DB</vt:lpwstr>
  </property>
  <property fmtid="{D5CDD505-2E9C-101B-9397-08002B2CF9AE}" pid="3" name="MediaServiceImageTags">
    <vt:lpwstr/>
  </property>
</Properties>
</file>