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54FE9" w14:textId="7C0885F8" w:rsidR="000732AF" w:rsidRDefault="00000000">
      <w:pPr>
        <w:pBdr>
          <w:top w:val="nil"/>
          <w:left w:val="nil"/>
          <w:bottom w:val="nil"/>
          <w:right w:val="nil"/>
          <w:between w:val="nil"/>
        </w:pBdr>
        <w:spacing w:before="120"/>
        <w:ind w:right="-510"/>
        <w:jc w:val="right"/>
        <w:rPr>
          <w:color w:val="000000"/>
        </w:rPr>
      </w:pPr>
      <w:r>
        <w:rPr>
          <w:color w:val="000000"/>
        </w:rPr>
        <w:t>0</w:t>
      </w:r>
      <w:r w:rsidR="00C711F3">
        <w:rPr>
          <w:color w:val="000000"/>
        </w:rPr>
        <w:t>6</w:t>
      </w:r>
      <w:r>
        <w:rPr>
          <w:color w:val="000000"/>
        </w:rPr>
        <w:t>.0</w:t>
      </w:r>
      <w:r>
        <w:t>8</w:t>
      </w:r>
      <w:r>
        <w:rPr>
          <w:color w:val="000000"/>
        </w:rPr>
        <w:t>.2026.</w:t>
      </w:r>
    </w:p>
    <w:p w14:paraId="06054FEA" w14:textId="77777777" w:rsidR="000732AF" w:rsidRDefault="000732AF">
      <w:pPr>
        <w:pBdr>
          <w:top w:val="nil"/>
          <w:left w:val="nil"/>
          <w:bottom w:val="nil"/>
          <w:right w:val="nil"/>
          <w:between w:val="nil"/>
        </w:pBdr>
        <w:spacing w:before="120"/>
        <w:ind w:right="-510"/>
        <w:jc w:val="right"/>
      </w:pPr>
    </w:p>
    <w:p w14:paraId="06054FEB" w14:textId="77777777" w:rsidR="000732AF" w:rsidRPr="00C67BA1" w:rsidRDefault="000732AF">
      <w:pPr>
        <w:pBdr>
          <w:top w:val="nil"/>
          <w:left w:val="nil"/>
          <w:bottom w:val="nil"/>
          <w:right w:val="nil"/>
          <w:between w:val="nil"/>
        </w:pBdr>
        <w:spacing w:before="120"/>
        <w:ind w:right="-510"/>
        <w:jc w:val="right"/>
        <w:rPr>
          <w:rFonts w:asciiTheme="majorHAnsi" w:hAnsiTheme="majorHAnsi" w:cstheme="majorHAnsi"/>
        </w:rPr>
      </w:pPr>
    </w:p>
    <w:p w14:paraId="06054FEC" w14:textId="77777777" w:rsidR="000732AF" w:rsidRPr="00C67BA1" w:rsidRDefault="00000000">
      <w:pPr>
        <w:pBdr>
          <w:top w:val="nil"/>
          <w:left w:val="nil"/>
          <w:bottom w:val="nil"/>
          <w:right w:val="nil"/>
          <w:between w:val="nil"/>
        </w:pBdr>
        <w:spacing w:after="160" w:line="240" w:lineRule="auto"/>
        <w:jc w:val="left"/>
        <w:rPr>
          <w:rFonts w:asciiTheme="majorHAnsi" w:hAnsiTheme="majorHAnsi" w:cstheme="majorHAnsi"/>
        </w:rPr>
      </w:pPr>
      <w:r w:rsidRPr="00C67BA1">
        <w:rPr>
          <w:rFonts w:asciiTheme="majorHAnsi" w:hAnsiTheme="majorHAnsi" w:cstheme="majorHAnsi"/>
        </w:rPr>
        <w:t>Henkel še naprej spodbuja rast z vlaganjem v blagovne znamke, inovacije in strateške prevzeme.</w:t>
      </w:r>
    </w:p>
    <w:p w14:paraId="06054FED" w14:textId="77777777" w:rsidR="000732AF" w:rsidRPr="00C67BA1" w:rsidRDefault="00000000">
      <w:pPr>
        <w:pBdr>
          <w:top w:val="nil"/>
          <w:left w:val="nil"/>
          <w:bottom w:val="nil"/>
          <w:right w:val="nil"/>
          <w:between w:val="nil"/>
        </w:pBdr>
        <w:spacing w:after="160" w:line="240" w:lineRule="auto"/>
        <w:jc w:val="left"/>
        <w:rPr>
          <w:rFonts w:asciiTheme="majorHAnsi" w:hAnsiTheme="majorHAnsi" w:cstheme="majorHAnsi"/>
          <w:b/>
          <w:bCs/>
          <w:sz w:val="32"/>
          <w:szCs w:val="32"/>
        </w:rPr>
      </w:pPr>
      <w:r w:rsidRPr="00C67BA1">
        <w:rPr>
          <w:rFonts w:asciiTheme="majorHAnsi" w:hAnsiTheme="majorHAnsi" w:cstheme="majorHAnsi"/>
          <w:b/>
          <w:bCs/>
          <w:sz w:val="32"/>
          <w:szCs w:val="32"/>
        </w:rPr>
        <w:t>Henkel v prvi polovici leta beleži močno rast prodaje in dobička ter zvišuje napoved prihodkov za leto 2026</w:t>
      </w:r>
    </w:p>
    <w:p w14:paraId="06054FEE" w14:textId="77777777" w:rsidR="000732AF" w:rsidRPr="00C67BA1" w:rsidRDefault="00000000">
      <w:pPr>
        <w:widowControl w:val="0"/>
        <w:numPr>
          <w:ilvl w:val="0"/>
          <w:numId w:val="1"/>
        </w:numPr>
        <w:tabs>
          <w:tab w:val="left" w:pos="228"/>
        </w:tabs>
        <w:spacing w:before="114" w:line="240" w:lineRule="auto"/>
        <w:jc w:val="left"/>
        <w:rPr>
          <w:rFonts w:asciiTheme="majorHAnsi" w:hAnsiTheme="majorHAnsi" w:cstheme="majorHAnsi"/>
        </w:rPr>
      </w:pPr>
      <w:r w:rsidRPr="00C67BA1">
        <w:rPr>
          <w:rFonts w:asciiTheme="majorHAnsi" w:hAnsiTheme="majorHAnsi" w:cstheme="majorHAnsi"/>
          <w:b/>
          <w:bCs/>
          <w:sz w:val="24"/>
          <w:szCs w:val="24"/>
        </w:rPr>
        <w:t>Prodaja skupine je v prvi polovici leta dosegla 10,3 milijarde evrov, kar predstavlja 3,2-odstotno organsko rast.</w:t>
      </w:r>
    </w:p>
    <w:p w14:paraId="06054FEF" w14:textId="77777777" w:rsidR="000732AF" w:rsidRPr="00C67BA1" w:rsidRDefault="00000000">
      <w:pPr>
        <w:widowControl w:val="0"/>
        <w:numPr>
          <w:ilvl w:val="0"/>
          <w:numId w:val="1"/>
        </w:numPr>
        <w:tabs>
          <w:tab w:val="left" w:pos="228"/>
        </w:tabs>
        <w:spacing w:before="114" w:line="240" w:lineRule="auto"/>
        <w:jc w:val="left"/>
        <w:rPr>
          <w:rFonts w:asciiTheme="majorHAnsi" w:hAnsiTheme="majorHAnsi" w:cstheme="majorHAnsi"/>
        </w:rPr>
      </w:pPr>
      <w:r w:rsidRPr="00C67BA1">
        <w:rPr>
          <w:rFonts w:asciiTheme="majorHAnsi" w:hAnsiTheme="majorHAnsi" w:cstheme="majorHAnsi"/>
          <w:b/>
          <w:bCs/>
          <w:sz w:val="24"/>
          <w:szCs w:val="24"/>
        </w:rPr>
        <w:t>Močno rast sta podprla pozitiven razvoj cen in obsega prodaje v obeh poslovnih sektorjih.</w:t>
      </w:r>
    </w:p>
    <w:p w14:paraId="06054FF0" w14:textId="07340B43" w:rsidR="000732AF" w:rsidRPr="00C67BA1" w:rsidRDefault="00000000">
      <w:pPr>
        <w:widowControl w:val="0"/>
        <w:numPr>
          <w:ilvl w:val="0"/>
          <w:numId w:val="1"/>
        </w:numPr>
        <w:tabs>
          <w:tab w:val="left" w:pos="228"/>
        </w:tabs>
        <w:spacing w:before="114" w:line="240" w:lineRule="auto"/>
        <w:jc w:val="left"/>
        <w:rPr>
          <w:rFonts w:asciiTheme="majorHAnsi" w:hAnsiTheme="majorHAnsi" w:cstheme="majorHAnsi"/>
        </w:rPr>
      </w:pPr>
      <w:r w:rsidRPr="00C67BA1">
        <w:rPr>
          <w:rFonts w:asciiTheme="majorHAnsi" w:hAnsiTheme="majorHAnsi" w:cstheme="majorHAnsi"/>
          <w:b/>
          <w:bCs/>
          <w:sz w:val="24"/>
          <w:szCs w:val="24"/>
        </w:rPr>
        <w:t>Dobiček iz poslovanja (EBIT)* se je povečal na 1</w:t>
      </w:r>
      <w:r w:rsidR="00695615" w:rsidRPr="00C67BA1">
        <w:rPr>
          <w:rFonts w:asciiTheme="majorHAnsi" w:hAnsiTheme="majorHAnsi" w:cstheme="majorHAnsi"/>
          <w:b/>
          <w:bCs/>
          <w:sz w:val="24"/>
          <w:szCs w:val="24"/>
        </w:rPr>
        <w:t>.</w:t>
      </w:r>
      <w:r w:rsidRPr="00C67BA1">
        <w:rPr>
          <w:rFonts w:asciiTheme="majorHAnsi" w:hAnsiTheme="majorHAnsi" w:cstheme="majorHAnsi"/>
          <w:b/>
          <w:bCs/>
          <w:sz w:val="24"/>
          <w:szCs w:val="24"/>
        </w:rPr>
        <w:t>62</w:t>
      </w:r>
      <w:r w:rsidR="00695615" w:rsidRPr="00C67BA1">
        <w:rPr>
          <w:rFonts w:asciiTheme="majorHAnsi" w:hAnsiTheme="majorHAnsi" w:cstheme="majorHAnsi"/>
          <w:b/>
          <w:bCs/>
          <w:sz w:val="24"/>
          <w:szCs w:val="24"/>
        </w:rPr>
        <w:t>0</w:t>
      </w:r>
      <w:r w:rsidRPr="00C67BA1">
        <w:rPr>
          <w:rFonts w:asciiTheme="majorHAnsi" w:hAnsiTheme="majorHAnsi" w:cstheme="majorHAnsi"/>
          <w:b/>
          <w:bCs/>
          <w:sz w:val="24"/>
          <w:szCs w:val="24"/>
        </w:rPr>
        <w:t xml:space="preserve"> milijarde evrov (+0,3 %).</w:t>
      </w:r>
    </w:p>
    <w:p w14:paraId="06054FF1" w14:textId="77777777" w:rsidR="000732AF" w:rsidRPr="00C67BA1" w:rsidRDefault="00000000">
      <w:pPr>
        <w:widowControl w:val="0"/>
        <w:numPr>
          <w:ilvl w:val="0"/>
          <w:numId w:val="1"/>
        </w:numPr>
        <w:tabs>
          <w:tab w:val="left" w:pos="228"/>
        </w:tabs>
        <w:spacing w:before="114" w:line="240" w:lineRule="auto"/>
        <w:jc w:val="left"/>
        <w:rPr>
          <w:rFonts w:asciiTheme="majorHAnsi" w:hAnsiTheme="majorHAnsi" w:cstheme="majorHAnsi"/>
        </w:rPr>
      </w:pPr>
      <w:r w:rsidRPr="00C67BA1">
        <w:rPr>
          <w:rFonts w:asciiTheme="majorHAnsi" w:hAnsiTheme="majorHAnsi" w:cstheme="majorHAnsi"/>
          <w:b/>
          <w:bCs/>
          <w:sz w:val="24"/>
          <w:szCs w:val="24"/>
        </w:rPr>
        <w:t>Prilagojena marža EBIT* je dosegla visokih 15,7 % (+10 bazičnih točk). K temu sta prispevala oba poslovna sektorja, kar dodatno potrjuje uspešnost poslovanja družbe.</w:t>
      </w:r>
    </w:p>
    <w:p w14:paraId="06054FF2" w14:textId="77777777" w:rsidR="000732AF" w:rsidRPr="00C67BA1" w:rsidRDefault="00000000">
      <w:pPr>
        <w:widowControl w:val="0"/>
        <w:numPr>
          <w:ilvl w:val="0"/>
          <w:numId w:val="1"/>
        </w:numPr>
        <w:tabs>
          <w:tab w:val="left" w:pos="228"/>
        </w:tabs>
        <w:spacing w:before="114" w:line="240" w:lineRule="auto"/>
        <w:jc w:val="left"/>
        <w:rPr>
          <w:rFonts w:asciiTheme="majorHAnsi" w:hAnsiTheme="majorHAnsi" w:cstheme="majorHAnsi"/>
        </w:rPr>
      </w:pPr>
      <w:r w:rsidRPr="00C67BA1">
        <w:rPr>
          <w:rFonts w:asciiTheme="majorHAnsi" w:hAnsiTheme="majorHAnsi" w:cstheme="majorHAnsi"/>
          <w:b/>
          <w:bCs/>
          <w:sz w:val="24"/>
          <w:szCs w:val="24"/>
        </w:rPr>
        <w:t>Prilagojeni dobiček na prednostno delnico (EPS)* se je povečal na 2,86 evra, kar ob nespremenjenih deviznih tečajih predstavlja 7,1-odstotno rast.</w:t>
      </w:r>
    </w:p>
    <w:p w14:paraId="06054FF3" w14:textId="77777777" w:rsidR="000732AF" w:rsidRPr="00C67BA1" w:rsidRDefault="00000000">
      <w:pPr>
        <w:widowControl w:val="0"/>
        <w:numPr>
          <w:ilvl w:val="0"/>
          <w:numId w:val="1"/>
        </w:numPr>
        <w:tabs>
          <w:tab w:val="left" w:pos="228"/>
        </w:tabs>
        <w:spacing w:before="114" w:line="240" w:lineRule="auto"/>
        <w:jc w:val="left"/>
        <w:rPr>
          <w:rFonts w:asciiTheme="majorHAnsi" w:hAnsiTheme="majorHAnsi" w:cstheme="majorHAnsi"/>
        </w:rPr>
      </w:pPr>
      <w:r w:rsidRPr="00C67BA1">
        <w:rPr>
          <w:rFonts w:asciiTheme="majorHAnsi" w:hAnsiTheme="majorHAnsi" w:cstheme="majorHAnsi"/>
          <w:b/>
          <w:bCs/>
          <w:sz w:val="24"/>
          <w:szCs w:val="24"/>
        </w:rPr>
        <w:t>Strategija rasti z združitvami in prevzemi (M&amp;A) je bila v prvi polovici leta uspešno izvedena, prvi pozitivni učinki na prodajo in dobiček pa so se pokazali že v letu 2026.</w:t>
      </w:r>
    </w:p>
    <w:p w14:paraId="06054FF4" w14:textId="77777777" w:rsidR="000732AF" w:rsidRPr="00C67BA1" w:rsidRDefault="00000000">
      <w:pPr>
        <w:widowControl w:val="0"/>
        <w:numPr>
          <w:ilvl w:val="0"/>
          <w:numId w:val="1"/>
        </w:numPr>
        <w:tabs>
          <w:tab w:val="left" w:pos="228"/>
        </w:tabs>
        <w:spacing w:before="114" w:line="240" w:lineRule="auto"/>
        <w:jc w:val="left"/>
        <w:rPr>
          <w:rFonts w:asciiTheme="majorHAnsi" w:hAnsiTheme="majorHAnsi" w:cstheme="majorHAnsi"/>
        </w:rPr>
      </w:pPr>
      <w:r w:rsidRPr="00C67BA1">
        <w:rPr>
          <w:rFonts w:asciiTheme="majorHAnsi" w:hAnsiTheme="majorHAnsi" w:cstheme="majorHAnsi"/>
          <w:b/>
          <w:bCs/>
          <w:sz w:val="24"/>
          <w:szCs w:val="24"/>
        </w:rPr>
        <w:t>Napoved za poslovno leto 2026 je bila izboljšana za skupino in poslovni sektor Lepila in tehnologije:</w:t>
      </w:r>
    </w:p>
    <w:p w14:paraId="06054FF5" w14:textId="77777777" w:rsidR="000732AF" w:rsidRPr="00C67BA1" w:rsidRDefault="00000000">
      <w:pPr>
        <w:widowControl w:val="0"/>
        <w:numPr>
          <w:ilvl w:val="1"/>
          <w:numId w:val="1"/>
        </w:numPr>
        <w:tabs>
          <w:tab w:val="left" w:pos="567"/>
        </w:tabs>
        <w:spacing w:before="113" w:line="240" w:lineRule="auto"/>
        <w:jc w:val="left"/>
        <w:rPr>
          <w:rFonts w:asciiTheme="majorHAnsi" w:hAnsiTheme="majorHAnsi" w:cstheme="majorHAnsi"/>
        </w:rPr>
      </w:pPr>
      <w:r w:rsidRPr="00C67BA1">
        <w:rPr>
          <w:rFonts w:asciiTheme="majorHAnsi" w:hAnsiTheme="majorHAnsi" w:cstheme="majorHAnsi"/>
        </w:rPr>
        <w:t>Organska rast prodaje: od 1,5 % do 3,5 % (predhodno: od 1,0 % do 3,0 %)</w:t>
      </w:r>
    </w:p>
    <w:p w14:paraId="06054FF6" w14:textId="77777777" w:rsidR="000732AF" w:rsidRPr="00C67BA1" w:rsidRDefault="00000000">
      <w:pPr>
        <w:widowControl w:val="0"/>
        <w:numPr>
          <w:ilvl w:val="1"/>
          <w:numId w:val="1"/>
        </w:numPr>
        <w:tabs>
          <w:tab w:val="left" w:pos="567"/>
        </w:tabs>
        <w:spacing w:before="113" w:line="240" w:lineRule="auto"/>
        <w:jc w:val="left"/>
        <w:rPr>
          <w:rFonts w:asciiTheme="majorHAnsi" w:hAnsiTheme="majorHAnsi" w:cstheme="majorHAnsi"/>
        </w:rPr>
      </w:pPr>
      <w:r w:rsidRPr="00C67BA1">
        <w:rPr>
          <w:rFonts w:asciiTheme="majorHAnsi" w:hAnsiTheme="majorHAnsi" w:cstheme="majorHAnsi"/>
        </w:rPr>
        <w:t>Prilagojena marža iz poslovanja (marža EBIT): od 14,5 % do 16,0 %</w:t>
      </w:r>
    </w:p>
    <w:p w14:paraId="06054FF7" w14:textId="77777777" w:rsidR="000732AF" w:rsidRPr="00C67BA1" w:rsidRDefault="00000000">
      <w:pPr>
        <w:widowControl w:val="0"/>
        <w:numPr>
          <w:ilvl w:val="1"/>
          <w:numId w:val="1"/>
        </w:numPr>
        <w:tabs>
          <w:tab w:val="left" w:pos="567"/>
        </w:tabs>
        <w:spacing w:before="113" w:line="240" w:lineRule="auto"/>
        <w:jc w:val="left"/>
        <w:rPr>
          <w:rFonts w:asciiTheme="majorHAnsi" w:hAnsiTheme="majorHAnsi" w:cstheme="majorHAnsi"/>
        </w:rPr>
      </w:pPr>
      <w:r w:rsidRPr="00C67BA1">
        <w:rPr>
          <w:rFonts w:asciiTheme="majorHAnsi" w:hAnsiTheme="majorHAnsi" w:cstheme="majorHAnsi"/>
        </w:rPr>
        <w:t>Prilagojeni dobiček na prednostno delnico (EPS): pričakuje se rast v razponu od nizke do visoke enomestne odstotne stopnje (ob nespremenjenih deviznih tečajih)</w:t>
      </w:r>
    </w:p>
    <w:p w14:paraId="06054FF8" w14:textId="77777777" w:rsidR="000732AF" w:rsidRDefault="000732AF">
      <w:pPr>
        <w:widowControl w:val="0"/>
        <w:tabs>
          <w:tab w:val="left" w:pos="567"/>
        </w:tabs>
        <w:spacing w:before="113" w:line="240" w:lineRule="auto"/>
        <w:jc w:val="left"/>
        <w:rPr>
          <w:rFonts w:asciiTheme="majorHAnsi" w:hAnsiTheme="majorHAnsi" w:cstheme="majorHAnsi"/>
        </w:rPr>
      </w:pPr>
    </w:p>
    <w:p w14:paraId="564EE4D3" w14:textId="77777777" w:rsidR="00C67BA1" w:rsidRPr="00C67BA1" w:rsidRDefault="00C67BA1">
      <w:pPr>
        <w:widowControl w:val="0"/>
        <w:tabs>
          <w:tab w:val="left" w:pos="567"/>
        </w:tabs>
        <w:spacing w:before="113" w:line="240" w:lineRule="auto"/>
        <w:jc w:val="left"/>
        <w:rPr>
          <w:rFonts w:asciiTheme="majorHAnsi" w:hAnsiTheme="majorHAnsi" w:cstheme="majorHAnsi"/>
        </w:rPr>
      </w:pPr>
    </w:p>
    <w:p w14:paraId="06054FF9" w14:textId="77777777" w:rsidR="000732AF" w:rsidRPr="00C67BA1" w:rsidRDefault="000732AF">
      <w:pPr>
        <w:widowControl w:val="0"/>
        <w:pBdr>
          <w:top w:val="nil"/>
          <w:left w:val="nil"/>
          <w:bottom w:val="nil"/>
          <w:right w:val="nil"/>
          <w:between w:val="nil"/>
        </w:pBdr>
        <w:spacing w:line="240" w:lineRule="auto"/>
        <w:ind w:left="1"/>
        <w:jc w:val="left"/>
        <w:rPr>
          <w:rFonts w:asciiTheme="majorHAnsi" w:hAnsiTheme="majorHAnsi" w:cstheme="majorHAnsi"/>
          <w:sz w:val="24"/>
          <w:szCs w:val="24"/>
        </w:rPr>
      </w:pPr>
    </w:p>
    <w:p w14:paraId="06054FFA" w14:textId="77777777" w:rsidR="000732AF" w:rsidRPr="00C67BA1" w:rsidRDefault="00000000">
      <w:pPr>
        <w:widowControl w:val="0"/>
        <w:pBdr>
          <w:top w:val="nil"/>
          <w:left w:val="nil"/>
          <w:bottom w:val="nil"/>
          <w:right w:val="nil"/>
          <w:between w:val="nil"/>
        </w:pBdr>
        <w:spacing w:line="240" w:lineRule="auto"/>
        <w:ind w:left="1"/>
        <w:jc w:val="left"/>
        <w:rPr>
          <w:rFonts w:asciiTheme="majorHAnsi" w:hAnsiTheme="majorHAnsi" w:cstheme="majorHAnsi"/>
        </w:rPr>
      </w:pPr>
      <w:r w:rsidRPr="00C67BA1">
        <w:rPr>
          <w:rFonts w:asciiTheme="majorHAnsi" w:hAnsiTheme="majorHAnsi" w:cstheme="majorHAnsi"/>
          <w:color w:val="000000"/>
        </w:rPr>
        <w:lastRenderedPageBreak/>
        <w:t>Düsseldorf</w:t>
      </w:r>
      <w:r w:rsidRPr="00C67BA1">
        <w:rPr>
          <w:rFonts w:asciiTheme="majorHAnsi" w:hAnsiTheme="majorHAnsi" w:cstheme="majorHAnsi"/>
        </w:rPr>
        <w:t xml:space="preserve"> - Henkel je v prvi polovici leta 2026 kljub še vedno izjemno zahtevnemu gospodarskemu okolju dosegel močno organsko rast prodaje in zelo dobre poslovne rezultate. »K organski rasti prodaje sta ponovno prispevala oba poslovna sektorja, ki sta zabeležila pozitiven razvoj cen in obsega prodaje. V poslovnem sektorju Lepila in tehnologije je k izboljšanju prodajnih rezultatov in dobičkonosnosti dodatno prispevalo tudi dosledno in hitro izvajanje cenovnih ukrepov, namenjenih blaženju vpliva rasti cen surovin,« je povedal izvršni direktor družbe Henkel, Carsten Knobel. »V poslovnem sektorju Consumer Brands je poslovno področje Izdelki za lase nadaljevalo močan trend rasti, medtem ko se je poslovno področje Pralna sredstva in čistila vrnilo k pozitivni rasti,« je dodal Knobel.</w:t>
      </w:r>
    </w:p>
    <w:p w14:paraId="06054FFB"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rPr>
        <w:t>»Dosledno izvajamo svojo strategijo z jasnim poudarkom na trajnostni in namenski rasti, doseženi rezultati pa potrjujejo uspešnost tega pristopa. V prvi polovici leta smo dosegli zelo dobre poslovne rezultate, hkrati pa nadaljevali tudi pomembna vlaganja v prihodnost družbe – v naše blagovne znamke, tehnologije in inovacije. Poleg tega smo občutno okrepili aktivnosti na področju združitev in prevzemov. Dogovorili smo se za pet prevzemov v skupni vrednosti približno pet milijard evrov, ki bodo dodatno okrepili oba naša poslovna sektorja, štirje od teh prevzemov pa so že uspešno zaključeni. Pričakujemo, da bodo prevzeta podjetja v prihodnjih letih dosegala nadpovprečno rast v razponu od srednje do visoke enomestne odstotne stopnje ter prispevala približno dve milijardi evrov dodatnih letnih prihodkov od prodaje. S tem delamo še en pomemben korak pri nadaljnjem uresničevanju naše strategije trajnostne rasti,« je nadaljeval Carsten Knobel.</w:t>
      </w:r>
    </w:p>
    <w:p w14:paraId="06054FFC"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rPr>
        <w:t>»Na podlagi odličnih rezultatov, doseženih v prvi polovici leta, smo izboljšali napoved rasti prihodkov za skupino in poslovni sektor Lepila in tehnologije. Na ravni skupine sedaj pričakujemo organsko rast prodaje v razponu od 1,5 do 3,5 %, medtem ko je prejšnja napoved znašala od 1 do 3 %. Za poslovni sektor Lepila in tehnologije smo pričakovano organsko rast prodaje zvišali s prejšnjega razpona od 1 do 3 % na 2 do 4 %. Prepričani smo, da je Henkel na dobri poti k nadaljnji trajnostni in dobičkonosni rasti.«</w:t>
      </w:r>
    </w:p>
    <w:p w14:paraId="4248AF91" w14:textId="77777777" w:rsidR="00D53859" w:rsidRPr="00C67BA1" w:rsidRDefault="00D53859">
      <w:pPr>
        <w:widowControl w:val="0"/>
        <w:spacing w:before="240" w:after="240" w:line="240" w:lineRule="auto"/>
        <w:jc w:val="left"/>
        <w:rPr>
          <w:rFonts w:asciiTheme="majorHAnsi" w:hAnsiTheme="majorHAnsi" w:cstheme="majorHAnsi"/>
          <w:b/>
          <w:bCs/>
        </w:rPr>
      </w:pPr>
    </w:p>
    <w:p w14:paraId="06054FFD" w14:textId="68709673" w:rsidR="000732AF" w:rsidRPr="00C67BA1" w:rsidRDefault="00000000">
      <w:pPr>
        <w:widowControl w:val="0"/>
        <w:spacing w:before="240" w:after="240" w:line="240" w:lineRule="auto"/>
        <w:jc w:val="left"/>
        <w:rPr>
          <w:rFonts w:asciiTheme="majorHAnsi" w:hAnsiTheme="majorHAnsi" w:cstheme="majorHAnsi"/>
          <w:b/>
          <w:bCs/>
        </w:rPr>
      </w:pPr>
      <w:r w:rsidRPr="00C67BA1">
        <w:rPr>
          <w:rFonts w:asciiTheme="majorHAnsi" w:hAnsiTheme="majorHAnsi" w:cstheme="majorHAnsi"/>
          <w:b/>
          <w:bCs/>
        </w:rPr>
        <w:t>Prodaja in poslovni rezultati skupine v prvi polovici leta 2026</w:t>
      </w:r>
    </w:p>
    <w:p w14:paraId="06054FFE"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rPr>
        <w:t>Henkel je v prvi polovici leta 2026 na ravni skupine ustvaril 10.348 milijonov evrov prihodkov od prodaje, kar predstavlja nominalno zmanjšanje za 0,5 % (drugo četrtletje: 5.396 milijonov evrov, +4,6 %). Negativni vpliv deviznih tečajev je prodajo zmanjšal za 3,9 % (drugo četrtletje: -2,6 %). Prevzemi in dezinvesticije so imeli rahlo pozitiven, 0,2-odstotni vpliv na prodajo (drugo četrtletje: +2,5 %). Medtem ko je prodaja dejavnosti trgovskih blagovnih znamk v Severni Ameriki, izvedena aprila 2025, negativno vplivala na rezultate, so prevzemi, izvedeni v obeh poslovnih sektorjih v prvi polovici leta 2026 – zlasti prevzema družb ATP Adhesive Systems in Not Your Mother’s – k rezultatom prispevali pozitivno. Organsko, torej brez vpliva sprememb deviznih tečajev ter prevzemov in dezinvesticij, je Henkel dosegel močno, 3,2-odstotno rast prodaje (drugo četrtletje: +4,7 %).</w:t>
      </w:r>
    </w:p>
    <w:p w14:paraId="06054FFF"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rPr>
        <w:t xml:space="preserve">Na regionalni ravni je Evropa zabeležila 1,5-odstotni organski upad prodaje (drugo četrtletje: </w:t>
      </w:r>
      <w:r w:rsidRPr="00C67BA1">
        <w:rPr>
          <w:rFonts w:asciiTheme="majorHAnsi" w:hAnsiTheme="majorHAnsi" w:cstheme="majorHAnsi"/>
        </w:rPr>
        <w:lastRenderedPageBreak/>
        <w:t>+0,4 %). Nasprotno je Severna Amerika dosegla dobro, 2,4-odstotno organsko rast (drugo četrtletje: +3,9 %). V regijah IMEA in Azija-Pacifik je Henkel dosegel dvomestno organsko rast prodaje v višini 14,9 % (drugo četrtletje: +17,4 %) oziroma 10,3 % (drugo četrtletje: +10,3 %). Latinska Amerika je zabeležila rahel, 1,3-odstotni organski upad prodaje (drugo četrtletje: +0,5 %).</w:t>
      </w:r>
    </w:p>
    <w:p w14:paraId="06055000"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b/>
          <w:bCs/>
        </w:rPr>
        <w:t>Prilagojeni dobiček iz poslovanja (prilagojeni EBIT)</w:t>
      </w:r>
      <w:r w:rsidRPr="00C67BA1">
        <w:rPr>
          <w:rFonts w:asciiTheme="majorHAnsi" w:hAnsiTheme="majorHAnsi" w:cstheme="majorHAnsi"/>
        </w:rPr>
        <w:t xml:space="preserve"> je znašal 1.620 milijonov evrov, kar je nekoliko več kot 1.614 milijonov evrov, doseženih v enakem obdobju preteklega leta.</w:t>
      </w:r>
    </w:p>
    <w:p w14:paraId="06055001"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b/>
          <w:bCs/>
        </w:rPr>
        <w:t>Prilagojena donosnost prodaje (prilagojena marža EBIT)</w:t>
      </w:r>
      <w:r w:rsidRPr="00C67BA1">
        <w:rPr>
          <w:rFonts w:asciiTheme="majorHAnsi" w:hAnsiTheme="majorHAnsi" w:cstheme="majorHAnsi"/>
        </w:rPr>
        <w:t xml:space="preserve"> skupine Henkel se je povečala na 15,7 % (preteklo leto: 15,5 %).</w:t>
      </w:r>
    </w:p>
    <w:p w14:paraId="06055002"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b/>
          <w:bCs/>
        </w:rPr>
        <w:t>Prilagojeni dobiček na prednostno delnico</w:t>
      </w:r>
      <w:r w:rsidRPr="00C67BA1">
        <w:rPr>
          <w:rFonts w:asciiTheme="majorHAnsi" w:hAnsiTheme="majorHAnsi" w:cstheme="majorHAnsi"/>
        </w:rPr>
        <w:t xml:space="preserve"> se je povečal za 1,8 % in dosegel 2,86 evra (preteklo leto: 2,81 evra). Ob nespremenjenih deviznih tečajih se je prilagojeni dobiček na prednostno delnico povečal za 7,1 %.</w:t>
      </w:r>
    </w:p>
    <w:p w14:paraId="06055003"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b/>
          <w:bCs/>
        </w:rPr>
        <w:t>Neto obratni kapital</w:t>
      </w:r>
      <w:r w:rsidRPr="00C67BA1">
        <w:rPr>
          <w:rFonts w:asciiTheme="majorHAnsi" w:hAnsiTheme="majorHAnsi" w:cstheme="majorHAnsi"/>
        </w:rPr>
        <w:t>, izražen kot odstotek prodaje, ustvarjene v drugem četrtletju, se je v primerjavi z enakim obdobjem preteklega leta povečal s 6,0 % na 7,0 %, deloma zaradi izvedenih prevzemov.</w:t>
      </w:r>
    </w:p>
    <w:p w14:paraId="06055004"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b/>
          <w:bCs/>
        </w:rPr>
        <w:t>Prosti denarni tok</w:t>
      </w:r>
      <w:r w:rsidRPr="00C67BA1">
        <w:rPr>
          <w:rFonts w:asciiTheme="majorHAnsi" w:hAnsiTheme="majorHAnsi" w:cstheme="majorHAnsi"/>
        </w:rPr>
        <w:t xml:space="preserve"> se je povečal na 612 milijonov evrov (prva polovica leta 2025: 485 milijonov evrov), predvsem zaradi višjih denarnih prilivov iz poslovanja.</w:t>
      </w:r>
    </w:p>
    <w:p w14:paraId="06055005"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rPr>
        <w:t>Na dan 30. junija 2026 je neto finančna pozicija znašala -1.855 milijonov evrov (31. december 2025: 109 milijonov evrov), predvsem zaradi denarnih odlivov, povezanih z nedavno zaključenimi prevzemi in programom odkupa lastnih delnic.</w:t>
      </w:r>
    </w:p>
    <w:p w14:paraId="05038E64" w14:textId="77777777" w:rsidR="00D4433F" w:rsidRPr="00C67BA1" w:rsidRDefault="00D4433F">
      <w:pPr>
        <w:widowControl w:val="0"/>
        <w:spacing w:before="240" w:after="240" w:line="240" w:lineRule="auto"/>
        <w:jc w:val="left"/>
        <w:rPr>
          <w:rFonts w:asciiTheme="majorHAnsi" w:hAnsiTheme="majorHAnsi" w:cstheme="majorHAnsi"/>
        </w:rPr>
      </w:pPr>
    </w:p>
    <w:p w14:paraId="06055006" w14:textId="747A37F0" w:rsidR="000732AF" w:rsidRPr="00C67BA1" w:rsidRDefault="00000000">
      <w:pPr>
        <w:widowControl w:val="0"/>
        <w:spacing w:before="240" w:after="240" w:line="240" w:lineRule="auto"/>
        <w:jc w:val="left"/>
        <w:rPr>
          <w:rFonts w:asciiTheme="majorHAnsi" w:hAnsiTheme="majorHAnsi" w:cstheme="majorHAnsi"/>
          <w:b/>
          <w:bCs/>
        </w:rPr>
      </w:pPr>
      <w:r w:rsidRPr="00C67BA1">
        <w:rPr>
          <w:rFonts w:asciiTheme="majorHAnsi" w:hAnsiTheme="majorHAnsi" w:cstheme="majorHAnsi"/>
          <w:b/>
          <w:bCs/>
        </w:rPr>
        <w:t>Rezultati poslovnega sektorja v prvi polovici poslovnega leta 2026</w:t>
      </w:r>
    </w:p>
    <w:p w14:paraId="06055007"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rPr>
        <w:t xml:space="preserve">Poslovni sektor </w:t>
      </w:r>
      <w:r w:rsidRPr="00C67BA1">
        <w:rPr>
          <w:rFonts w:asciiTheme="majorHAnsi" w:hAnsiTheme="majorHAnsi" w:cstheme="majorHAnsi"/>
          <w:b/>
          <w:bCs/>
        </w:rPr>
        <w:t>Lepila in tehnologije</w:t>
      </w:r>
      <w:r w:rsidRPr="00C67BA1">
        <w:rPr>
          <w:rFonts w:asciiTheme="majorHAnsi" w:hAnsiTheme="majorHAnsi" w:cstheme="majorHAnsi"/>
        </w:rPr>
        <w:t xml:space="preserve"> je v prvi polovici leta 2026 dosegel 2,2-odstotno nominalno rast prodaje, ki je znašala 5.534 milijonov evrov (drugo četrtletje: 2.908 milijonov evrov, +7,6 %). Organska rast prodaje v poslovnem sektorju Lepila in tehnologije je bila zelo močna in je znašala 4,5 % (drugo četrtletje: +7,4 %), k čemur so prispevala pozitivna gibanja cen in obsega prodaje.</w:t>
      </w:r>
    </w:p>
    <w:p w14:paraId="4C33FA5C" w14:textId="77777777" w:rsidR="00D74A75"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rPr>
        <w:t xml:space="preserve">Po posameznih poslovnih področjih je k organski rasti prodaje poslovnega sektorja Lepila in tehnologije v prvi polovici leta največ prispevala občutna, 7,8-odstotna organska rast prodaje v poslovnem segmentu </w:t>
      </w:r>
      <w:r w:rsidRPr="00C67BA1">
        <w:rPr>
          <w:rFonts w:asciiTheme="majorHAnsi" w:hAnsiTheme="majorHAnsi" w:cstheme="majorHAnsi"/>
          <w:b/>
          <w:bCs/>
        </w:rPr>
        <w:t xml:space="preserve">Mobilnost in elektronika </w:t>
      </w:r>
      <w:r w:rsidRPr="00C67BA1">
        <w:rPr>
          <w:rFonts w:asciiTheme="majorHAnsi" w:hAnsiTheme="majorHAnsi" w:cstheme="majorHAnsi"/>
        </w:rPr>
        <w:t xml:space="preserve">(drugo četrtletje: +8,8 %). K temu sta prispevala dvomestna organska rast prodaje v segmentu Electronics in občutna organska rast prodaje v segmentu Industrial. Segment Automotive je v prvi polovici leta zabeležil upad, vendar je v drugem četrtletju okreval in dosegel dobro organsko rast prodaje. </w:t>
      </w:r>
    </w:p>
    <w:p w14:paraId="212C6A77" w14:textId="77777777" w:rsidR="00D74A75"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rPr>
        <w:t xml:space="preserve">Poslovni segment </w:t>
      </w:r>
      <w:r w:rsidRPr="00C67BA1">
        <w:rPr>
          <w:rFonts w:asciiTheme="majorHAnsi" w:hAnsiTheme="majorHAnsi" w:cstheme="majorHAnsi"/>
          <w:b/>
          <w:bCs/>
        </w:rPr>
        <w:t>Embalaža in potrošniško blago</w:t>
      </w:r>
      <w:r w:rsidRPr="00C67BA1">
        <w:rPr>
          <w:rFonts w:asciiTheme="majorHAnsi" w:hAnsiTheme="majorHAnsi" w:cstheme="majorHAnsi"/>
        </w:rPr>
        <w:t xml:space="preserve"> je dosegel zelo močno, 4,7-odstotno organsko rast prodaje, h kateri sta prispevala močna rast v segmentu Packaging in zelo </w:t>
      </w:r>
      <w:r w:rsidRPr="00C67BA1">
        <w:rPr>
          <w:rFonts w:asciiTheme="majorHAnsi" w:hAnsiTheme="majorHAnsi" w:cstheme="majorHAnsi"/>
        </w:rPr>
        <w:lastRenderedPageBreak/>
        <w:t xml:space="preserve">močna organska rast prodaje v segmentu Consumer Goods (drugo četrtletje: +9,1 %). K rezultatu so prispevali tudi povečani predčasni nakupi kupcev kot odziv na geopolitične negotovosti. </w:t>
      </w:r>
    </w:p>
    <w:p w14:paraId="06055008" w14:textId="01186D79"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rPr>
        <w:t xml:space="preserve">Poslovni segment </w:t>
      </w:r>
      <w:r w:rsidRPr="00C67BA1">
        <w:rPr>
          <w:rFonts w:asciiTheme="majorHAnsi" w:hAnsiTheme="majorHAnsi" w:cstheme="majorHAnsi"/>
          <w:b/>
          <w:bCs/>
        </w:rPr>
        <w:t>Obrtništvo, gradbeništvo in profesionalna uporaba</w:t>
      </w:r>
      <w:r w:rsidRPr="00C67BA1">
        <w:rPr>
          <w:rFonts w:asciiTheme="majorHAnsi" w:hAnsiTheme="majorHAnsi" w:cstheme="majorHAnsi"/>
        </w:rPr>
        <w:t xml:space="preserve"> je dosegel 1,0-odstotno organsko rast prodaje (drugo četrtletje: +4,4 %). Rast je bila predvsem posledica močne organske rasti prodaje v segmentu General Manufacturing &amp; Maintenance, medtem ko je segment Consumer &amp; Construction zabeležil rahel organski upad prodaje.</w:t>
      </w:r>
    </w:p>
    <w:p w14:paraId="06055009"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b/>
          <w:bCs/>
        </w:rPr>
        <w:t>Prilagojeni dobiček iz poslovanja (prilagojeni EBIT)</w:t>
      </w:r>
      <w:r w:rsidRPr="00C67BA1">
        <w:rPr>
          <w:rFonts w:asciiTheme="majorHAnsi" w:hAnsiTheme="majorHAnsi" w:cstheme="majorHAnsi"/>
        </w:rPr>
        <w:t xml:space="preserve"> je presegel raven preteklega leta in kljub negativnemu vplivu deviznih tečajev znašal 982 milijonov evrov. Prilagojena marža EBIT se je povečala na 17,7 % v primerjavi s 17,2 % v enakem obdobju preteklega leta. K rezultatu so pozitivno prispevali učinki ekonomije obsega zaradi večjega obsega prodaje in ugodna struktura poslovanja.</w:t>
      </w:r>
    </w:p>
    <w:p w14:paraId="0605500A"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rPr>
        <w:t xml:space="preserve">Poslovni sektor </w:t>
      </w:r>
      <w:r w:rsidRPr="00C67BA1">
        <w:rPr>
          <w:rFonts w:asciiTheme="majorHAnsi" w:hAnsiTheme="majorHAnsi" w:cstheme="majorHAnsi"/>
          <w:b/>
          <w:bCs/>
        </w:rPr>
        <w:t>Consumer Brands</w:t>
      </w:r>
      <w:r w:rsidRPr="00C67BA1">
        <w:rPr>
          <w:rFonts w:asciiTheme="majorHAnsi" w:hAnsiTheme="majorHAnsi" w:cstheme="majorHAnsi"/>
        </w:rPr>
        <w:t xml:space="preserve"> je v prvi polovici leta 2026 ustvaril 4.733 milijonov evrov prihodkov od prodaje, kar predstavlja 3,5-odstotni nominalni upad v primerjavi z enakim obdobjem preteklega leta (drugo četrtletje: 2.448 milijonov evrov, +1,1 %). Organska rast prodaje je znašala 1,7 % (drugo četrtletje: +1,6 %), pri čemer je poslovni sektor v primerjavi s prvo polovico leta 2025 zabeležil pozitivna gibanja tako cen kot obsega prodaje.</w:t>
      </w:r>
    </w:p>
    <w:p w14:paraId="0605500B"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rPr>
        <w:t xml:space="preserve">V prvi polovici leta je segment </w:t>
      </w:r>
      <w:r w:rsidRPr="00C67BA1">
        <w:rPr>
          <w:rFonts w:asciiTheme="majorHAnsi" w:hAnsiTheme="majorHAnsi" w:cstheme="majorHAnsi"/>
          <w:b/>
          <w:bCs/>
        </w:rPr>
        <w:t xml:space="preserve">Pralna sredstva in čistila </w:t>
      </w:r>
      <w:r w:rsidRPr="00C67BA1">
        <w:rPr>
          <w:rFonts w:asciiTheme="majorHAnsi" w:hAnsiTheme="majorHAnsi" w:cstheme="majorHAnsi"/>
        </w:rPr>
        <w:t xml:space="preserve">dosegel 0,7-odstotno organsko rast prodaje (drugo četrtletje: +1,3 %). Na področju pralnih sredstev je bila organska rast prodaje pozitivna, predvsem zaradi občutnega povečanja prodaje v kategoriji nege perila in pozitivne rasti v kategoriji izdelkov za zaključno nego perila. Kategorija detergentov za pranje perila je medtem zabeležila rahel upad. Področje nege doma je doseglo dobro organsko rast prodaje, predvsem zaradi dvomestne rasti v kategoriji detergentov za ročno pomivanje posode. Poslovno področje </w:t>
      </w:r>
      <w:r w:rsidRPr="00C67BA1">
        <w:rPr>
          <w:rFonts w:asciiTheme="majorHAnsi" w:hAnsiTheme="majorHAnsi" w:cstheme="majorHAnsi"/>
          <w:b/>
          <w:bCs/>
        </w:rPr>
        <w:t>Izdelki za lase</w:t>
      </w:r>
      <w:r w:rsidRPr="00C67BA1">
        <w:rPr>
          <w:rFonts w:asciiTheme="majorHAnsi" w:hAnsiTheme="majorHAnsi" w:cstheme="majorHAnsi"/>
        </w:rPr>
        <w:t xml:space="preserve"> je doseglo zelo močno, 4,2-odstotno organsko rast prodaje (drugo četrtletje: +3,3 %) in bilo tako glavno gonilo rasti poslovnega sektorja Consumer Brands. K pozitivnemu rezultatu sta prispevali tudi močna organska rast prodaje v okviru poslovanja Consumer in zelo močna rast v okviru poslovanja Professional. V okviru poslovanja Consumer so k rasti prispevale vse kategorije, največ kategoriji Hair Colorants in Hair Styling. Segment </w:t>
      </w:r>
      <w:r w:rsidRPr="00C67BA1">
        <w:rPr>
          <w:rFonts w:asciiTheme="majorHAnsi" w:hAnsiTheme="majorHAnsi" w:cstheme="majorHAnsi"/>
          <w:b/>
          <w:bCs/>
        </w:rPr>
        <w:t>Drugi potrošniški izdelki</w:t>
      </w:r>
      <w:r w:rsidRPr="00C67BA1">
        <w:rPr>
          <w:rFonts w:asciiTheme="majorHAnsi" w:hAnsiTheme="majorHAnsi" w:cstheme="majorHAnsi"/>
        </w:rPr>
        <w:t xml:space="preserve"> je v prvi polovici leta zabeležil 2,1-odstotni organski upad prodaje (drugo četrtletje: -4,6 %), predvsem zaradi rezultatov poslovanja na področju nege telesa v Evropi. Severna Amerika pa je dosegla dobro organsko rast prodaje.</w:t>
      </w:r>
    </w:p>
    <w:p w14:paraId="0605500C"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b/>
          <w:bCs/>
        </w:rPr>
        <w:t>Prilagojeni dobiček iz poslovanja (prilagojeni EBIT)</w:t>
      </w:r>
      <w:r w:rsidRPr="00C67BA1">
        <w:rPr>
          <w:rFonts w:asciiTheme="majorHAnsi" w:hAnsiTheme="majorHAnsi" w:cstheme="majorHAnsi"/>
        </w:rPr>
        <w:t xml:space="preserve"> je znašal 724 milijonov evrov in je bil nekoliko nižji kot v enakem obdobju preteklega leta, predvsem zaradi prodaje dejavnosti trgovskih blagovnih znamk v Severni Ameriki aprila 2025 in negativnega vpliva deviznih tečajev. Prilagojena marža EBIT pa je v primerjavi z enakim obdobjem preteklega leta ostala nespremenjena pri 15,3 %.</w:t>
      </w:r>
    </w:p>
    <w:p w14:paraId="0605500E" w14:textId="1D24E59A" w:rsidR="000732AF" w:rsidRPr="00C67BA1" w:rsidRDefault="00000000">
      <w:pPr>
        <w:widowControl w:val="0"/>
        <w:spacing w:before="240" w:after="240" w:line="240" w:lineRule="auto"/>
        <w:jc w:val="left"/>
        <w:rPr>
          <w:rFonts w:asciiTheme="majorHAnsi" w:hAnsiTheme="majorHAnsi" w:cstheme="majorHAnsi"/>
          <w:b/>
          <w:bCs/>
        </w:rPr>
      </w:pPr>
      <w:r w:rsidRPr="00C67BA1">
        <w:rPr>
          <w:rFonts w:asciiTheme="majorHAnsi" w:hAnsiTheme="majorHAnsi" w:cstheme="majorHAnsi"/>
          <w:b/>
          <w:bCs/>
        </w:rPr>
        <w:t>Napoved za poslovno leto 2026: izboljšana pričakovanja glede rasti prihodkov za skupino in poslovni sektor Lepila in tehnologije</w:t>
      </w:r>
      <w:r w:rsidR="000018F8" w:rsidRPr="00C67BA1">
        <w:rPr>
          <w:rFonts w:asciiTheme="majorHAnsi" w:hAnsiTheme="majorHAnsi" w:cstheme="majorHAnsi"/>
          <w:b/>
          <w:bCs/>
        </w:rPr>
        <w:br/>
      </w:r>
      <w:r w:rsidRPr="00C67BA1">
        <w:rPr>
          <w:rFonts w:asciiTheme="majorHAnsi" w:hAnsiTheme="majorHAnsi" w:cstheme="majorHAnsi"/>
        </w:rPr>
        <w:t xml:space="preserve">Na podlagi močnih rezultatov, doseženih v prvi polovici leta, je Henkel izboljšal pričakovanja </w:t>
      </w:r>
      <w:r w:rsidRPr="00C67BA1">
        <w:rPr>
          <w:rFonts w:asciiTheme="majorHAnsi" w:hAnsiTheme="majorHAnsi" w:cstheme="majorHAnsi"/>
        </w:rPr>
        <w:lastRenderedPageBreak/>
        <w:t>glede prihodkov za skupino in poslovni sektor Lepila in tehnologije, medtem ko pričakovanja glede prilagojene marže EBIT in rasti prilagojenega dobička na prednostno delnico (EPS) ob nespremenjenih deviznih tečajih ostajajo nespremenjena.</w:t>
      </w:r>
    </w:p>
    <w:p w14:paraId="0605500F"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rPr>
        <w:t>Henkel za tekoče leto zdaj pričakuje organsko rast prodaje v razponu od 1,5 do 3,5 % (predhodno: od 1,0 do 3,0 %). Za poslovni sektor Lepila in tehnologije se pričakuje organska rast prodaje med 2,0 in 4,0 % (predhodno: od 1,0 do 3,0 %). Za poslovni sektor Consumer Brands Henkel še naprej pričakuje organsko rast prodaje v razponu od 0,5 do 2,5 %.</w:t>
      </w:r>
    </w:p>
    <w:p w14:paraId="06055010"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rPr>
        <w:t>Prilagojena marža EBIT naj bi znašala med 14,5 in 16,0 %. Za poslovni sektor Lepila in tehnologije se pričakuje prilagojena marža EBIT med 16,5 in 18,0 %, za Consumer Brands pa med 14,0 in 15,5 %.</w:t>
      </w:r>
    </w:p>
    <w:p w14:paraId="06055011" w14:textId="77777777" w:rsidR="000732AF" w:rsidRPr="00C67BA1" w:rsidRDefault="00000000">
      <w:pPr>
        <w:widowControl w:val="0"/>
        <w:spacing w:before="240" w:after="240" w:line="240" w:lineRule="auto"/>
        <w:jc w:val="left"/>
        <w:rPr>
          <w:rFonts w:asciiTheme="majorHAnsi" w:hAnsiTheme="majorHAnsi" w:cstheme="majorHAnsi"/>
        </w:rPr>
      </w:pPr>
      <w:r w:rsidRPr="00C67BA1">
        <w:rPr>
          <w:rFonts w:asciiTheme="majorHAnsi" w:hAnsiTheme="majorHAnsi" w:cstheme="majorHAnsi"/>
        </w:rPr>
        <w:t>Prilagojeni dobiček na prednostno delnico (EPS) naj bi se ob nespremenjenih deviznih tečajih povečal za nizko do visoko enomestno odstotno stopnjo.</w:t>
      </w:r>
    </w:p>
    <w:p w14:paraId="06055012" w14:textId="77777777" w:rsidR="000732AF" w:rsidRPr="00C67BA1" w:rsidRDefault="00000000">
      <w:pPr>
        <w:widowControl w:val="0"/>
        <w:spacing w:before="240" w:after="240" w:line="240" w:lineRule="auto"/>
        <w:jc w:val="left"/>
        <w:rPr>
          <w:rFonts w:asciiTheme="majorHAnsi" w:hAnsiTheme="majorHAnsi" w:cstheme="majorHAnsi"/>
          <w:color w:val="000000"/>
        </w:rPr>
      </w:pPr>
      <w:r w:rsidRPr="00C67BA1">
        <w:rPr>
          <w:rFonts w:asciiTheme="majorHAnsi" w:hAnsiTheme="majorHAnsi" w:cstheme="majorHAnsi"/>
        </w:rPr>
        <w:t>»Zelo dobri poslovni rezultati, doseženi v prvi polovici leta 2026, ki jih zaznamujeta močna organska rast prodaje ter nadaljnji napredek na področju marže in dobička, potrjujejo, da Henklova preobrazba prinaša rezultate. Ta proces bomo še naprej razvijali, da bi dodatno okrepili dolgoročno konkurenčnost družbe in jo pripravili na prihodnje uspehe. Henkel preoblikujemo za uspešno prihodnost, z jasno strategijo pa smo trdno na poti k nadaljnji dobičkonosni rasti,« je povedal Carsten Knobel.</w:t>
      </w:r>
    </w:p>
    <w:p w14:paraId="06055013" w14:textId="77777777" w:rsidR="000732AF" w:rsidRDefault="000732AF">
      <w:pPr>
        <w:pBdr>
          <w:top w:val="nil"/>
          <w:left w:val="nil"/>
          <w:bottom w:val="nil"/>
          <w:right w:val="nil"/>
          <w:between w:val="nil"/>
        </w:pBdr>
        <w:spacing w:after="160" w:line="240" w:lineRule="auto"/>
        <w:jc w:val="left"/>
        <w:rPr>
          <w:color w:val="000000"/>
        </w:rPr>
      </w:pPr>
    </w:p>
    <w:p w14:paraId="25AD7370" w14:textId="77777777" w:rsidR="003F5135" w:rsidRDefault="003F5135">
      <w:pPr>
        <w:pBdr>
          <w:top w:val="nil"/>
          <w:left w:val="nil"/>
          <w:bottom w:val="nil"/>
          <w:right w:val="nil"/>
          <w:between w:val="nil"/>
        </w:pBdr>
        <w:spacing w:after="160" w:line="240" w:lineRule="auto"/>
        <w:jc w:val="left"/>
        <w:rPr>
          <w:color w:val="000000"/>
        </w:rPr>
      </w:pPr>
    </w:p>
    <w:p w14:paraId="4ABC7514" w14:textId="77777777" w:rsidR="003F5135" w:rsidRDefault="003F5135">
      <w:pPr>
        <w:pBdr>
          <w:top w:val="nil"/>
          <w:left w:val="nil"/>
          <w:bottom w:val="nil"/>
          <w:right w:val="nil"/>
          <w:between w:val="nil"/>
        </w:pBdr>
        <w:spacing w:after="160" w:line="240" w:lineRule="auto"/>
        <w:jc w:val="left"/>
        <w:rPr>
          <w:color w:val="000000"/>
        </w:rPr>
      </w:pPr>
    </w:p>
    <w:p w14:paraId="34E71E52" w14:textId="77777777" w:rsidR="003F5135" w:rsidRPr="003F5135" w:rsidRDefault="003F5135" w:rsidP="003F5135">
      <w:pPr>
        <w:pBdr>
          <w:top w:val="nil"/>
          <w:left w:val="nil"/>
          <w:bottom w:val="nil"/>
          <w:right w:val="nil"/>
          <w:between w:val="nil"/>
        </w:pBdr>
        <w:spacing w:after="160" w:line="240" w:lineRule="auto"/>
        <w:jc w:val="left"/>
        <w:rPr>
          <w:b/>
          <w:bCs/>
          <w:sz w:val="18"/>
          <w:szCs w:val="18"/>
        </w:rPr>
      </w:pPr>
      <w:r w:rsidRPr="003F5135">
        <w:rPr>
          <w:b/>
          <w:bCs/>
          <w:sz w:val="18"/>
          <w:szCs w:val="18"/>
        </w:rPr>
        <w:t>Ve</w:t>
      </w:r>
      <w:r w:rsidRPr="003F5135">
        <w:rPr>
          <w:rFonts w:ascii="Calibri" w:hAnsi="Calibri" w:cs="Calibri"/>
          <w:b/>
          <w:bCs/>
          <w:sz w:val="18"/>
          <w:szCs w:val="18"/>
        </w:rPr>
        <w:t>č</w:t>
      </w:r>
      <w:r w:rsidRPr="003F5135">
        <w:rPr>
          <w:b/>
          <w:bCs/>
          <w:sz w:val="18"/>
          <w:szCs w:val="18"/>
        </w:rPr>
        <w:t xml:space="preserve"> o Henklu</w:t>
      </w:r>
    </w:p>
    <w:p w14:paraId="06055016" w14:textId="124963B6" w:rsidR="000732AF" w:rsidRPr="003F5135" w:rsidRDefault="003F5135" w:rsidP="003F5135">
      <w:pPr>
        <w:pBdr>
          <w:top w:val="nil"/>
          <w:left w:val="nil"/>
          <w:bottom w:val="nil"/>
          <w:right w:val="nil"/>
          <w:between w:val="nil"/>
        </w:pBdr>
        <w:spacing w:after="160" w:line="240" w:lineRule="auto"/>
        <w:jc w:val="left"/>
        <w:rPr>
          <w:color w:val="000000"/>
          <w:sz w:val="14"/>
          <w:szCs w:val="14"/>
        </w:rPr>
      </w:pPr>
      <w:r w:rsidRPr="003F5135">
        <w:rPr>
          <w:sz w:val="18"/>
          <w:szCs w:val="18"/>
        </w:rPr>
        <w:t>Henkel s svojimi blagovnimi znamkami, inovacijami in tehnologijami zavzema vodilne položaje v industriji in maloprodaji po vsem svetu. Henklova poslovna enota Lepila in tehnologije je vodilna na svetovnem trgu lepil, tesnil in funkcionalnih premazov. Poslovna enota Consumer Brands zavzema vodilni položaj na številnih trgih in v številnih kategorijah po vsem svetu, zlasti na podro</w:t>
      </w:r>
      <w:r w:rsidRPr="003F5135">
        <w:rPr>
          <w:rFonts w:ascii="Calibri" w:hAnsi="Calibri" w:cs="Calibri"/>
          <w:sz w:val="18"/>
          <w:szCs w:val="18"/>
        </w:rPr>
        <w:t>č</w:t>
      </w:r>
      <w:r w:rsidRPr="003F5135">
        <w:rPr>
          <w:sz w:val="18"/>
          <w:szCs w:val="18"/>
        </w:rPr>
        <w:t xml:space="preserve">ju Pralna sredstva in </w:t>
      </w:r>
      <w:r w:rsidRPr="003F5135">
        <w:rPr>
          <w:rFonts w:ascii="Calibri" w:hAnsi="Calibri" w:cs="Calibri"/>
          <w:sz w:val="18"/>
          <w:szCs w:val="18"/>
        </w:rPr>
        <w:t>č</w:t>
      </w:r>
      <w:r w:rsidRPr="003F5135">
        <w:rPr>
          <w:sz w:val="18"/>
          <w:szCs w:val="18"/>
        </w:rPr>
        <w:t>istila ter Izdelki za lase. Henklove tri najmo</w:t>
      </w:r>
      <w:r w:rsidRPr="003F5135">
        <w:rPr>
          <w:rFonts w:ascii="Calibri" w:hAnsi="Calibri" w:cs="Calibri"/>
          <w:sz w:val="18"/>
          <w:szCs w:val="18"/>
        </w:rPr>
        <w:t>č</w:t>
      </w:r>
      <w:r w:rsidRPr="003F5135">
        <w:rPr>
          <w:sz w:val="18"/>
          <w:szCs w:val="18"/>
        </w:rPr>
        <w:t>nejše blagovne znamke so Loctite, Persil in Schwarzkopf. V poslovnem letu 2025 je Henkel zabeležil prodajo v višini ve</w:t>
      </w:r>
      <w:r w:rsidRPr="003F5135">
        <w:rPr>
          <w:rFonts w:ascii="Calibri" w:hAnsi="Calibri" w:cs="Calibri"/>
          <w:sz w:val="18"/>
          <w:szCs w:val="18"/>
        </w:rPr>
        <w:t>č</w:t>
      </w:r>
      <w:r w:rsidRPr="003F5135">
        <w:rPr>
          <w:sz w:val="18"/>
          <w:szCs w:val="18"/>
        </w:rPr>
        <w:t xml:space="preserve"> kot 20,5 milijarde evrov in prilagojeni dobi</w:t>
      </w:r>
      <w:r w:rsidRPr="003F5135">
        <w:rPr>
          <w:rFonts w:ascii="Calibri" w:hAnsi="Calibri" w:cs="Calibri"/>
          <w:sz w:val="18"/>
          <w:szCs w:val="18"/>
        </w:rPr>
        <w:t>č</w:t>
      </w:r>
      <w:r w:rsidRPr="003F5135">
        <w:rPr>
          <w:sz w:val="18"/>
          <w:szCs w:val="18"/>
        </w:rPr>
        <w:t>ek iz poslovanja v višini približno 3,0 milijarde evrov. Prednostne delnice družbe Henkel kotirajo na nemškem borznem indeksu DAX. Trajnostni razvoj ima v družbi Henkel dolgo tradicijo, podjetje pa ima jasno trajnostno strategijo s konkretnimi cilji. Henkel je bil ustanovljen leta 1876 in danes po svetu zaposluje približno 47.000 ljudi, ki jih združujejo mo</w:t>
      </w:r>
      <w:r w:rsidRPr="003F5135">
        <w:rPr>
          <w:rFonts w:ascii="Calibri" w:hAnsi="Calibri" w:cs="Calibri"/>
          <w:sz w:val="18"/>
          <w:szCs w:val="18"/>
        </w:rPr>
        <w:t>č</w:t>
      </w:r>
      <w:r w:rsidRPr="003F5135">
        <w:rPr>
          <w:sz w:val="18"/>
          <w:szCs w:val="18"/>
        </w:rPr>
        <w:t>na korporativna kultura, skupne vrednote in enoten smoter: »Pioneers at heart for the good of generations.« Ve</w:t>
      </w:r>
      <w:r w:rsidRPr="003F5135">
        <w:rPr>
          <w:rFonts w:ascii="Calibri" w:hAnsi="Calibri" w:cs="Calibri"/>
          <w:sz w:val="18"/>
          <w:szCs w:val="18"/>
        </w:rPr>
        <w:t>č</w:t>
      </w:r>
      <w:r w:rsidRPr="003F5135">
        <w:rPr>
          <w:sz w:val="18"/>
          <w:szCs w:val="18"/>
        </w:rPr>
        <w:t xml:space="preserve"> podrobnosti je na voljo na spletni strani </w:t>
      </w:r>
      <w:hyperlink r:id="rId8" w:history="1">
        <w:r w:rsidRPr="00853422">
          <w:rPr>
            <w:rStyle w:val="Hyperlink"/>
            <w:rFonts w:ascii="Quattrocento Sans" w:hAnsi="Quattrocento Sans"/>
          </w:rPr>
          <w:t>www.henkel.si</w:t>
        </w:r>
      </w:hyperlink>
    </w:p>
    <w:p w14:paraId="06055017" w14:textId="77777777" w:rsidR="000732AF" w:rsidRDefault="00000000">
      <w:pPr>
        <w:pBdr>
          <w:top w:val="nil"/>
          <w:left w:val="nil"/>
          <w:bottom w:val="nil"/>
          <w:right w:val="nil"/>
          <w:between w:val="nil"/>
        </w:pBdr>
        <w:spacing w:after="160" w:line="240" w:lineRule="auto"/>
        <w:jc w:val="left"/>
        <w:rPr>
          <w:color w:val="000000"/>
          <w:sz w:val="14"/>
          <w:szCs w:val="14"/>
        </w:rPr>
      </w:pPr>
      <w:r>
        <w:rPr>
          <w:color w:val="000000"/>
          <w:sz w:val="14"/>
          <w:szCs w:val="14"/>
        </w:rPr>
        <w:t>Ta dokument vsebuje izjave, ki se nanašajo na prihodnji poslovni razvoj, finančno uspešnost in druge dogodke ali razvoj, ki bodo v prihodnosti pomembni za družbo Henkel in lahko predstavljajo izjave, ki se nanašajo na prihodnost. Za izjave v zvezi s prihodnostjo je značilna uporaba besed, kot so pričakovati, nameravati, načrtovati, predvidevati, verjeti, ocenjevati in podobni izrazi. Take izjave temeljijo na trenutnih ocenah in predpostavkah vodstva družbe Henkel AG &amp; Co. KGaA. Teh izjav nikakor ne gre razumeti kot jamstvo, da se bodo ta pričakovanja izkazala za točna. Prihodnje poslovanje in dejansko doseženi rezultati podjetja Henkel AG &amp; Co. KGaA ter njegovih povezanih družb so odvisni od številnih tveganj in negotovosti, zato se lahko bistveno razlikujejo (tako v pozitivnem kot negativnem smislu) od izjav o prihodnosti. Na številne od teh dejavnikov družba Henkel nima vpliva in jih ni mogoče vnaprej natančno oceniti, kot so prihodnje gospodarsko okolje ter dejanja konkurentov in drugih udeležencev na trgu. Družba Henkel ne načrtuje in se ne zavezuje, da bo posodobila izjave, usmerjene v prihodnost.</w:t>
      </w:r>
    </w:p>
    <w:p w14:paraId="06055018" w14:textId="77777777" w:rsidR="000732AF" w:rsidRDefault="00000000">
      <w:pPr>
        <w:pBdr>
          <w:top w:val="nil"/>
          <w:left w:val="nil"/>
          <w:bottom w:val="nil"/>
          <w:right w:val="nil"/>
          <w:between w:val="nil"/>
        </w:pBdr>
        <w:spacing w:after="160" w:line="240" w:lineRule="auto"/>
        <w:jc w:val="left"/>
        <w:rPr>
          <w:color w:val="000000"/>
          <w:sz w:val="14"/>
          <w:szCs w:val="14"/>
        </w:rPr>
      </w:pPr>
      <w:r>
        <w:rPr>
          <w:color w:val="000000"/>
          <w:sz w:val="14"/>
          <w:szCs w:val="14"/>
        </w:rPr>
        <w:t>Ta dokument vključuje dodatne finančne kazalnike, ki niso jasno opredeljeni v veljavnem okviru finančnega poročanja in so ali bi lahko bili alternativni kazalniki uspešnosti. Teh dopolnilnih finančnih kazalnikov ni dovoljeno obravnavati ločeno ali kot alternativne ukrepe za merjenje Henklovih neto sredstev in finančnega položaja ali rezultatov poslovanja, kot so predstavljeni v skladu z veljavnim okvirom finančnega poročanja v njegovih konsolidiranih računovodskih izkazih. Druga podjetja, ki poročajo ali opisujejo podobno poimenovane alternativne kazalnike uspešnosti, jih lahko izračunavajo drugače.</w:t>
      </w:r>
    </w:p>
    <w:p w14:paraId="06055019" w14:textId="77777777" w:rsidR="000732AF" w:rsidRDefault="00000000">
      <w:pPr>
        <w:pBdr>
          <w:top w:val="nil"/>
          <w:left w:val="nil"/>
          <w:bottom w:val="nil"/>
          <w:right w:val="nil"/>
          <w:between w:val="nil"/>
        </w:pBdr>
        <w:spacing w:after="160" w:line="240" w:lineRule="auto"/>
        <w:jc w:val="left"/>
        <w:rPr>
          <w:color w:val="000000"/>
          <w:sz w:val="14"/>
          <w:szCs w:val="14"/>
        </w:rPr>
      </w:pPr>
      <w:r>
        <w:rPr>
          <w:color w:val="000000"/>
          <w:sz w:val="14"/>
          <w:szCs w:val="14"/>
        </w:rPr>
        <w:lastRenderedPageBreak/>
        <w:t>Ta dokument je bil izdan zgolj v informativne namene in ni namenjen investicijskemu svetovanju ali ponudbi za prodajo ali nagovarjanju k ponudbi za nakup kakršnih koli vrednostnih papirjev.</w:t>
      </w:r>
    </w:p>
    <w:p w14:paraId="0605501A" w14:textId="77777777" w:rsidR="000732AF" w:rsidRDefault="000732AF">
      <w:pPr>
        <w:pBdr>
          <w:top w:val="nil"/>
          <w:left w:val="nil"/>
          <w:bottom w:val="nil"/>
          <w:right w:val="nil"/>
          <w:between w:val="nil"/>
        </w:pBdr>
        <w:spacing w:after="160" w:line="240" w:lineRule="auto"/>
        <w:jc w:val="left"/>
        <w:rPr>
          <w:color w:val="000000"/>
          <w:sz w:val="14"/>
          <w:szCs w:val="14"/>
        </w:rPr>
      </w:pPr>
    </w:p>
    <w:p w14:paraId="0605501B" w14:textId="77777777" w:rsidR="000732AF" w:rsidRDefault="000732AF">
      <w:pPr>
        <w:tabs>
          <w:tab w:val="left" w:pos="1080"/>
          <w:tab w:val="left" w:pos="4500"/>
        </w:tabs>
        <w:spacing w:line="264" w:lineRule="auto"/>
        <w:rPr>
          <w:b/>
          <w:bCs/>
          <w:sz w:val="18"/>
          <w:szCs w:val="18"/>
        </w:rPr>
      </w:pPr>
    </w:p>
    <w:p w14:paraId="0605501C" w14:textId="77777777" w:rsidR="000732AF" w:rsidRDefault="00000000">
      <w:pPr>
        <w:tabs>
          <w:tab w:val="left" w:pos="1080"/>
          <w:tab w:val="left" w:pos="4500"/>
        </w:tabs>
        <w:rPr>
          <w:sz w:val="18"/>
          <w:szCs w:val="18"/>
        </w:rPr>
      </w:pPr>
      <w:r>
        <w:rPr>
          <w:sz w:val="18"/>
          <w:szCs w:val="18"/>
        </w:rPr>
        <w:t>Stik</w:t>
      </w:r>
      <w:r>
        <w:rPr>
          <w:sz w:val="18"/>
          <w:szCs w:val="18"/>
        </w:rPr>
        <w:tab/>
        <w:t>Jelena Gavrilović Šarenac</w:t>
      </w:r>
      <w:r>
        <w:rPr>
          <w:sz w:val="18"/>
          <w:szCs w:val="18"/>
        </w:rPr>
        <w:tab/>
      </w:r>
    </w:p>
    <w:p w14:paraId="0605501D" w14:textId="77777777" w:rsidR="000732AF" w:rsidRDefault="00000000">
      <w:pPr>
        <w:tabs>
          <w:tab w:val="left" w:pos="1080"/>
          <w:tab w:val="left" w:pos="4500"/>
        </w:tabs>
        <w:rPr>
          <w:sz w:val="18"/>
          <w:szCs w:val="18"/>
        </w:rPr>
      </w:pPr>
      <w:r>
        <w:rPr>
          <w:sz w:val="18"/>
          <w:szCs w:val="18"/>
        </w:rPr>
        <w:t>Telefon</w:t>
      </w:r>
      <w:r>
        <w:rPr>
          <w:sz w:val="18"/>
          <w:szCs w:val="18"/>
        </w:rPr>
        <w:tab/>
        <w:t>+381 60 207 22 09</w:t>
      </w:r>
      <w:r>
        <w:rPr>
          <w:sz w:val="18"/>
          <w:szCs w:val="18"/>
        </w:rPr>
        <w:tab/>
      </w:r>
    </w:p>
    <w:p w14:paraId="0605501E" w14:textId="77777777" w:rsidR="000732AF" w:rsidRDefault="00000000">
      <w:pPr>
        <w:tabs>
          <w:tab w:val="left" w:pos="1080"/>
          <w:tab w:val="left" w:pos="4500"/>
        </w:tabs>
        <w:rPr>
          <w:sz w:val="18"/>
          <w:szCs w:val="18"/>
        </w:rPr>
      </w:pPr>
      <w:r>
        <w:rPr>
          <w:sz w:val="18"/>
          <w:szCs w:val="18"/>
        </w:rPr>
        <w:t>E-pošta</w:t>
      </w:r>
      <w:r>
        <w:rPr>
          <w:sz w:val="18"/>
          <w:szCs w:val="18"/>
        </w:rPr>
        <w:tab/>
        <w:t>jelena.sarenac@henkel.com</w:t>
      </w:r>
      <w:r>
        <w:rPr>
          <w:sz w:val="18"/>
          <w:szCs w:val="18"/>
        </w:rPr>
        <w:tab/>
      </w:r>
    </w:p>
    <w:sectPr w:rsidR="000732AF">
      <w:headerReference w:type="even" r:id="rId9"/>
      <w:footerReference w:type="default" r:id="rId10"/>
      <w:headerReference w:type="first" r:id="rId11"/>
      <w:footerReference w:type="first" r:id="rId12"/>
      <w:pgSz w:w="11907" w:h="16840"/>
      <w:pgMar w:top="1944" w:right="1411" w:bottom="1987" w:left="1411" w:header="1247"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44848" w14:textId="77777777" w:rsidR="00D215BC" w:rsidRDefault="00D215BC">
      <w:pPr>
        <w:spacing w:line="240" w:lineRule="auto"/>
      </w:pPr>
      <w:r>
        <w:separator/>
      </w:r>
    </w:p>
  </w:endnote>
  <w:endnote w:type="continuationSeparator" w:id="0">
    <w:p w14:paraId="0BFBFF3D" w14:textId="77777777" w:rsidR="00D215BC" w:rsidRDefault="00D215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nkel GT Flexa Bl">
    <w:panose1 w:val="00000000000000000000"/>
    <w:charset w:val="00"/>
    <w:family w:val="modern"/>
    <w:notTrueType/>
    <w:pitch w:val="variable"/>
    <w:sig w:usb0="A10000FF" w:usb1="4200A47B" w:usb2="00000000" w:usb3="00000000" w:csb0="00000093" w:csb1="00000000"/>
  </w:font>
  <w:font w:name="Henkel GT Flexa Rg">
    <w:panose1 w:val="00000000000000000000"/>
    <w:charset w:val="00"/>
    <w:family w:val="modern"/>
    <w:notTrueType/>
    <w:pitch w:val="variable"/>
    <w:sig w:usb0="A10000FF" w:usb1="4200A47B" w:usb2="00000000" w:usb3="00000000" w:csb0="00000093" w:csb1="00000000"/>
  </w:font>
  <w:font w:name="Quattrocento Sans">
    <w:charset w:val="00"/>
    <w:family w:val="swiss"/>
    <w:pitch w:val="variable"/>
    <w:sig w:usb0="800000BF" w:usb1="4000005B" w:usb2="00000000" w:usb3="00000000" w:csb0="00000001" w:csb1="00000000"/>
    <w:embedRegular r:id="rId1" w:fontKey="{20120453-E89B-453D-AAE2-5DEEEE37BC1B}"/>
    <w:embedBold r:id="rId2" w:fontKey="{2815B383-BB15-4DA5-9D22-68573454DCEC}"/>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3" w:fontKey="{0CA4A482-2647-4289-AC56-76D959238804}"/>
    <w:embedBold r:id="rId4" w:fontKey="{3F16385F-A6CE-4122-BF45-5B378A7E9113}"/>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BCCCA6ED-A575-4847-8456-030AE6CF838D}"/>
  </w:font>
  <w:font w:name="Georgia">
    <w:panose1 w:val="02040502050405020303"/>
    <w:charset w:val="EE"/>
    <w:family w:val="roman"/>
    <w:pitch w:val="variable"/>
    <w:sig w:usb0="00000287" w:usb1="00000000" w:usb2="00000000" w:usb3="00000000" w:csb0="0000009F" w:csb1="00000000"/>
    <w:embedItalic r:id="rId6" w:fontKey="{B7C95CE9-B047-463A-95AA-A08DBFF9B8CE}"/>
  </w:font>
  <w:font w:name="Calibri">
    <w:panose1 w:val="020F0502020204030204"/>
    <w:charset w:val="00"/>
    <w:family w:val="swiss"/>
    <w:pitch w:val="variable"/>
    <w:sig w:usb0="E4002EFF" w:usb1="C200247B" w:usb2="00000009" w:usb3="00000000" w:csb0="000001FF" w:csb1="00000000"/>
    <w:embedRegular r:id="rId7" w:fontKey="{90417250-8340-4810-BB60-A7741F7EC666}"/>
    <w:embedBold r:id="rId8" w:fontKey="{6498E47B-C5E8-4726-81FE-3415CE9408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55021" w14:textId="3A06B512" w:rsidR="000732AF" w:rsidRDefault="00000000">
    <w:pPr>
      <w:pBdr>
        <w:top w:val="nil"/>
        <w:left w:val="nil"/>
        <w:bottom w:val="nil"/>
        <w:right w:val="nil"/>
        <w:between w:val="nil"/>
      </w:pBdr>
      <w:tabs>
        <w:tab w:val="right" w:pos="7083"/>
        <w:tab w:val="right" w:pos="8640"/>
        <w:tab w:val="right" w:pos="9071"/>
      </w:tabs>
      <w:rPr>
        <w:color w:val="000000"/>
        <w:sz w:val="12"/>
        <w:szCs w:val="12"/>
      </w:rPr>
    </w:pPr>
    <w:r>
      <w:rPr>
        <w:color w:val="000000"/>
        <w:sz w:val="12"/>
        <w:szCs w:val="12"/>
      </w:rPr>
      <w:tab/>
    </w:r>
    <w:r>
      <w:rPr>
        <w:color w:val="000000"/>
        <w:sz w:val="12"/>
        <w:szCs w:val="12"/>
      </w:rPr>
      <w:t xml:space="preserve">Stran </w:t>
    </w:r>
    <w:r>
      <w:rPr>
        <w:color w:val="000000"/>
        <w:sz w:val="12"/>
        <w:szCs w:val="12"/>
      </w:rPr>
      <w:fldChar w:fldCharType="begin"/>
    </w:r>
    <w:r>
      <w:rPr>
        <w:color w:val="000000"/>
        <w:sz w:val="12"/>
        <w:szCs w:val="12"/>
      </w:rPr>
      <w:instrText>PAGE</w:instrText>
    </w:r>
    <w:r>
      <w:rPr>
        <w:color w:val="000000"/>
        <w:sz w:val="12"/>
        <w:szCs w:val="12"/>
      </w:rPr>
      <w:fldChar w:fldCharType="separate"/>
    </w:r>
    <w:r w:rsidR="00C711F3">
      <w:rPr>
        <w:noProof/>
        <w:color w:val="000000"/>
        <w:sz w:val="12"/>
        <w:szCs w:val="12"/>
      </w:rPr>
      <w:t>2</w:t>
    </w:r>
    <w:r>
      <w:rPr>
        <w:color w:val="000000"/>
        <w:sz w:val="12"/>
        <w:szCs w:val="12"/>
      </w:rPr>
      <w:fldChar w:fldCharType="end"/>
    </w:r>
    <w:r>
      <w:rPr>
        <w:color w:val="000000"/>
        <w:sz w:val="12"/>
        <w:szCs w:val="12"/>
      </w:rPr>
      <w:t>/</w:t>
    </w:r>
    <w:r>
      <w:rPr>
        <w:color w:val="000000"/>
        <w:sz w:val="12"/>
        <w:szCs w:val="12"/>
      </w:rPr>
      <w:fldChar w:fldCharType="begin"/>
    </w:r>
    <w:r>
      <w:rPr>
        <w:color w:val="000000"/>
        <w:sz w:val="12"/>
        <w:szCs w:val="12"/>
      </w:rPr>
      <w:instrText>NUMPAGES</w:instrText>
    </w:r>
    <w:r>
      <w:rPr>
        <w:color w:val="000000"/>
        <w:sz w:val="12"/>
        <w:szCs w:val="12"/>
      </w:rPr>
      <w:fldChar w:fldCharType="separate"/>
    </w:r>
    <w:r w:rsidR="00C711F3">
      <w:rPr>
        <w:noProof/>
        <w:color w:val="000000"/>
        <w:sz w:val="12"/>
        <w:szCs w:val="12"/>
      </w:rPr>
      <w:t>3</w:t>
    </w:r>
    <w:r>
      <w:rPr>
        <w:color w:val="000000"/>
        <w:sz w:val="12"/>
        <w:szCs w:val="12"/>
      </w:rPr>
      <w:fldChar w:fldCharType="end"/>
    </w:r>
  </w:p>
  <w:p w14:paraId="06055022" w14:textId="77777777" w:rsidR="000732AF" w:rsidRDefault="000732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55024" w14:textId="5088B3DD" w:rsidR="000732AF" w:rsidRDefault="00000000">
    <w:pPr>
      <w:pBdr>
        <w:top w:val="nil"/>
        <w:left w:val="nil"/>
        <w:bottom w:val="nil"/>
        <w:right w:val="nil"/>
        <w:between w:val="nil"/>
      </w:pBdr>
      <w:tabs>
        <w:tab w:val="right" w:pos="7083"/>
        <w:tab w:val="right" w:pos="8640"/>
      </w:tabs>
      <w:jc w:val="right"/>
      <w:rPr>
        <w:color w:val="000000"/>
        <w:sz w:val="12"/>
        <w:szCs w:val="12"/>
      </w:rPr>
    </w:pPr>
    <w:r>
      <w:rPr>
        <w:noProof/>
        <w:color w:val="000000"/>
        <w:sz w:val="12"/>
        <w:szCs w:val="12"/>
      </w:rPr>
      <w:drawing>
        <wp:inline distT="0" distB="0" distL="0" distR="0" wp14:anchorId="0605502A" wp14:editId="0605502B">
          <wp:extent cx="5760720" cy="585216"/>
          <wp:effectExtent l="0" t="0" r="0" b="0"/>
          <wp:docPr id="13539660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10366" b="10366"/>
                  <a:stretch>
                    <a:fillRect/>
                  </a:stretch>
                </pic:blipFill>
                <pic:spPr>
                  <a:xfrm>
                    <a:off x="0" y="0"/>
                    <a:ext cx="5760720" cy="585216"/>
                  </a:xfrm>
                  <a:prstGeom prst="rect">
                    <a:avLst/>
                  </a:prstGeom>
                  <a:ln/>
                </pic:spPr>
              </pic:pic>
            </a:graphicData>
          </a:graphic>
        </wp:inline>
      </w:drawing>
    </w:r>
    <w:r>
      <w:rPr>
        <w:color w:val="000000"/>
        <w:sz w:val="12"/>
        <w:szCs w:val="12"/>
      </w:rPr>
      <w:t xml:space="preserve">Stran </w:t>
    </w:r>
    <w:r>
      <w:rPr>
        <w:color w:val="000000"/>
        <w:sz w:val="12"/>
        <w:szCs w:val="12"/>
      </w:rPr>
      <w:fldChar w:fldCharType="begin"/>
    </w:r>
    <w:r>
      <w:rPr>
        <w:color w:val="000000"/>
        <w:sz w:val="12"/>
        <w:szCs w:val="12"/>
      </w:rPr>
      <w:instrText>PAGE</w:instrText>
    </w:r>
    <w:r>
      <w:rPr>
        <w:color w:val="000000"/>
        <w:sz w:val="12"/>
        <w:szCs w:val="12"/>
      </w:rPr>
      <w:fldChar w:fldCharType="separate"/>
    </w:r>
    <w:r w:rsidR="00C711F3">
      <w:rPr>
        <w:noProof/>
        <w:color w:val="000000"/>
        <w:sz w:val="12"/>
        <w:szCs w:val="12"/>
      </w:rPr>
      <w:t>1</w:t>
    </w:r>
    <w:r>
      <w:rPr>
        <w:color w:val="000000"/>
        <w:sz w:val="12"/>
        <w:szCs w:val="12"/>
      </w:rPr>
      <w:fldChar w:fldCharType="end"/>
    </w:r>
    <w:r>
      <w:rPr>
        <w:color w:val="000000"/>
        <w:sz w:val="12"/>
        <w:szCs w:val="12"/>
      </w:rPr>
      <w:t>/</w:t>
    </w:r>
    <w:r>
      <w:rPr>
        <w:color w:val="000000"/>
        <w:sz w:val="12"/>
        <w:szCs w:val="12"/>
      </w:rPr>
      <w:fldChar w:fldCharType="begin"/>
    </w:r>
    <w:r>
      <w:rPr>
        <w:color w:val="000000"/>
        <w:sz w:val="12"/>
        <w:szCs w:val="12"/>
      </w:rPr>
      <w:instrText>NUMPAGES</w:instrText>
    </w:r>
    <w:r>
      <w:rPr>
        <w:color w:val="000000"/>
        <w:sz w:val="12"/>
        <w:szCs w:val="12"/>
      </w:rPr>
      <w:fldChar w:fldCharType="separate"/>
    </w:r>
    <w:r w:rsidR="00C711F3">
      <w:rPr>
        <w:noProof/>
        <w:color w:val="000000"/>
        <w:sz w:val="12"/>
        <w:szCs w:val="12"/>
      </w:rPr>
      <w:t>2</w:t>
    </w:r>
    <w:r>
      <w:rPr>
        <w:color w:val="000000"/>
        <w:sz w:val="12"/>
        <w:szCs w:val="12"/>
      </w:rPr>
      <w:fldChar w:fldCharType="end"/>
    </w:r>
  </w:p>
  <w:p w14:paraId="06055025" w14:textId="77777777" w:rsidR="000732AF" w:rsidRDefault="000732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CC1FA" w14:textId="77777777" w:rsidR="00D215BC" w:rsidRDefault="00D215BC">
      <w:pPr>
        <w:spacing w:line="240" w:lineRule="auto"/>
      </w:pPr>
      <w:r>
        <w:separator/>
      </w:r>
    </w:p>
  </w:footnote>
  <w:footnote w:type="continuationSeparator" w:id="0">
    <w:p w14:paraId="7CA4B8C7" w14:textId="77777777" w:rsidR="00D215BC" w:rsidRDefault="00D215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5501F" w14:textId="77777777" w:rsidR="000732AF" w:rsidRDefault="000732AF">
    <w:pPr>
      <w:pBdr>
        <w:top w:val="nil"/>
        <w:left w:val="nil"/>
        <w:bottom w:val="nil"/>
        <w:right w:val="nil"/>
        <w:between w:val="nil"/>
      </w:pBdr>
      <w:tabs>
        <w:tab w:val="left" w:pos="2607"/>
        <w:tab w:val="center" w:pos="4320"/>
        <w:tab w:val="right" w:pos="9356"/>
      </w:tabs>
      <w:spacing w:before="1440"/>
      <w:rPr>
        <w:b/>
        <w:bCs/>
        <w:color w:val="3E3C3C"/>
        <w:sz w:val="40"/>
        <w:szCs w:val="40"/>
      </w:rPr>
    </w:pPr>
  </w:p>
  <w:p w14:paraId="06055020" w14:textId="77777777" w:rsidR="000732AF" w:rsidRDefault="000732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55023" w14:textId="77777777" w:rsidR="000732AF" w:rsidRDefault="00000000">
    <w:pPr>
      <w:pBdr>
        <w:top w:val="nil"/>
        <w:left w:val="nil"/>
        <w:bottom w:val="nil"/>
        <w:right w:val="nil"/>
        <w:between w:val="nil"/>
      </w:pBdr>
      <w:tabs>
        <w:tab w:val="left" w:pos="2607"/>
        <w:tab w:val="center" w:pos="4320"/>
        <w:tab w:val="right" w:pos="9356"/>
      </w:tabs>
      <w:spacing w:before="1440"/>
      <w:ind w:right="-510"/>
      <w:jc w:val="right"/>
      <w:rPr>
        <w:b/>
        <w:bCs/>
        <w:color w:val="3E3C3C"/>
        <w:sz w:val="40"/>
        <w:szCs w:val="40"/>
      </w:rPr>
    </w:pPr>
    <w:r>
      <w:rPr>
        <w:b/>
        <w:bCs/>
        <w:noProof/>
        <w:color w:val="3E3C3C"/>
        <w:sz w:val="40"/>
        <w:szCs w:val="40"/>
      </w:rPr>
      <w:drawing>
        <wp:anchor distT="0" distB="0" distL="114300" distR="114300" simplePos="0" relativeHeight="251658240" behindDoc="0" locked="0" layoutInCell="1" hidden="0" allowOverlap="1" wp14:anchorId="06055026" wp14:editId="06055027">
          <wp:simplePos x="0" y="0"/>
          <wp:positionH relativeFrom="margin">
            <wp:posOffset>5105400</wp:posOffset>
          </wp:positionH>
          <wp:positionV relativeFrom="margin">
            <wp:posOffset>-969669</wp:posOffset>
          </wp:positionV>
          <wp:extent cx="1051560" cy="603250"/>
          <wp:effectExtent l="0" t="0" r="0" b="0"/>
          <wp:wrapNone/>
          <wp:docPr id="135396604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4736" t="10539" r="5063" b="12550"/>
                  <a:stretch>
                    <a:fillRect/>
                  </a:stretch>
                </pic:blipFill>
                <pic:spPr>
                  <a:xfrm>
                    <a:off x="0" y="0"/>
                    <a:ext cx="1051560" cy="603250"/>
                  </a:xfrm>
                  <a:prstGeom prst="rect">
                    <a:avLst/>
                  </a:prstGeom>
                  <a:ln/>
                </pic:spPr>
              </pic:pic>
            </a:graphicData>
          </a:graphic>
        </wp:anchor>
      </w:drawing>
    </w:r>
    <w:r>
      <w:rPr>
        <w:b/>
        <w:bCs/>
        <w:noProof/>
        <w:color w:val="3E3C3C"/>
        <w:sz w:val="40"/>
        <w:szCs w:val="40"/>
      </w:rPr>
      <mc:AlternateContent>
        <mc:Choice Requires="wpg">
          <w:drawing>
            <wp:anchor distT="0" distB="0" distL="114300" distR="114300" simplePos="0" relativeHeight="251659264" behindDoc="0" locked="0" layoutInCell="1" hidden="0" allowOverlap="1" wp14:anchorId="06055028" wp14:editId="06055029">
              <wp:simplePos x="0" y="0"/>
              <wp:positionH relativeFrom="page">
                <wp:posOffset>180340</wp:posOffset>
              </wp:positionH>
              <wp:positionV relativeFrom="page">
                <wp:posOffset>3780790</wp:posOffset>
              </wp:positionV>
              <wp:extent cx="179705" cy="3780155"/>
              <wp:effectExtent l="0" t="0" r="0" b="0"/>
              <wp:wrapNone/>
              <wp:docPr id="1353966040" name="Group 1353966040"/>
              <wp:cNvGraphicFramePr/>
              <a:graphic xmlns:a="http://schemas.openxmlformats.org/drawingml/2006/main">
                <a:graphicData uri="http://schemas.microsoft.com/office/word/2010/wordprocessingGroup">
                  <wpg:wgp>
                    <wpg:cNvGrpSpPr/>
                    <wpg:grpSpPr>
                      <a:xfrm>
                        <a:off x="0" y="0"/>
                        <a:ext cx="179705" cy="3780155"/>
                        <a:chOff x="5256125" y="1889900"/>
                        <a:chExt cx="179750" cy="3780200"/>
                      </a:xfrm>
                    </wpg:grpSpPr>
                    <wpg:grpSp>
                      <wpg:cNvPr id="992999055" name="Group 992999055"/>
                      <wpg:cNvGrpSpPr/>
                      <wpg:grpSpPr>
                        <a:xfrm>
                          <a:off x="5256148" y="1889923"/>
                          <a:ext cx="179705" cy="3780155"/>
                          <a:chOff x="0" y="5954"/>
                          <a:chExt cx="283" cy="5953"/>
                        </a:xfrm>
                      </wpg:grpSpPr>
                      <wps:wsp>
                        <wps:cNvPr id="673748975" name="Rectangle 673748975"/>
                        <wps:cNvSpPr/>
                        <wps:spPr>
                          <a:xfrm>
                            <a:off x="0" y="5954"/>
                            <a:ext cx="275" cy="5950"/>
                          </a:xfrm>
                          <a:prstGeom prst="rect">
                            <a:avLst/>
                          </a:prstGeom>
                          <a:noFill/>
                          <a:ln>
                            <a:noFill/>
                          </a:ln>
                        </wps:spPr>
                        <wps:txbx>
                          <w:txbxContent>
                            <w:p w14:paraId="0605502C" w14:textId="77777777" w:rsidR="000732AF" w:rsidRDefault="000732AF">
                              <w:pPr>
                                <w:spacing w:line="240" w:lineRule="auto"/>
                                <w:jc w:val="left"/>
                                <w:textDirection w:val="btLr"/>
                              </w:pPr>
                            </w:p>
                          </w:txbxContent>
                        </wps:txbx>
                        <wps:bodyPr spcFirstLastPara="1" wrap="square" lIns="91425" tIns="91425" rIns="91425" bIns="91425" anchor="ctr" anchorCtr="0">
                          <a:noAutofit/>
                        </wps:bodyPr>
                      </wps:wsp>
                      <wps:wsp>
                        <wps:cNvPr id="252473059" name="Straight Arrow Connector 252473059"/>
                        <wps:cNvCnPr/>
                        <wps:spPr>
                          <a:xfrm>
                            <a:off x="0" y="5954"/>
                            <a:ext cx="283" cy="0"/>
                          </a:xfrm>
                          <a:prstGeom prst="straightConnector1">
                            <a:avLst/>
                          </a:prstGeom>
                          <a:noFill/>
                          <a:ln>
                            <a:noFill/>
                          </a:ln>
                        </wps:spPr>
                        <wps:bodyPr/>
                      </wps:wsp>
                      <wps:wsp>
                        <wps:cNvPr id="1508010421" name="Straight Arrow Connector 1508010421"/>
                        <wps:cNvCnPr/>
                        <wps:spPr>
                          <a:xfrm>
                            <a:off x="0" y="8420"/>
                            <a:ext cx="283" cy="0"/>
                          </a:xfrm>
                          <a:prstGeom prst="straightConnector1">
                            <a:avLst/>
                          </a:prstGeom>
                          <a:noFill/>
                          <a:ln>
                            <a:noFill/>
                          </a:ln>
                        </wps:spPr>
                        <wps:bodyPr/>
                      </wps:wsp>
                      <wps:wsp>
                        <wps:cNvPr id="1974820350" name="Straight Arrow Connector 1974820350"/>
                        <wps:cNvCnPr/>
                        <wps:spPr>
                          <a:xfrm>
                            <a:off x="0" y="11907"/>
                            <a:ext cx="283" cy="0"/>
                          </a:xfrm>
                          <a:prstGeom prst="straightConnector1">
                            <a:avLst/>
                          </a:prstGeom>
                          <a:noFill/>
                          <a:ln>
                            <a:noFill/>
                          </a:ln>
                        </wps:spPr>
                        <wps:bodyPr/>
                      </wps:wsp>
                    </wpg:grpSp>
                  </wpg:wgp>
                </a:graphicData>
              </a:graphic>
            </wp:anchor>
          </w:drawing>
        </mc:Choice>
        <mc:Fallback>
          <w:pict>
            <v:group w14:anchorId="06055028" id="Group 1353966040" o:spid="_x0000_s1026" style="position:absolute;left:0;text-align:left;margin-left:14.2pt;margin-top:297.7pt;width:14.15pt;height:297.65pt;z-index:251659264;mso-position-horizontal-relative:page;mso-position-vertical-relative:page" coordorigin="52561,18899" coordsize="1797,37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">
              <v:group id="Group 992999055" o:spid="_x0000_s1027" style="position:absolute;left:52561;top:18899;width:1797;height:37801" coordorigin=",5954" coordsize="283,5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">
                <v:rect id="Rectangle 673748975" o:spid="_x0000_s1028" style="position:absolute;top:5954;width:275;height:5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" filled="f" stroked="f">
                  <v:textbox inset="2.53958mm,2.53958mm,2.53958mm,2.53958mm">
                    <w:txbxContent>
                      <w:p w14:paraId="0605502C" w14:textId="77777777" w:rsidR="000732AF" w:rsidRDefault="000732AF">
                        <w:pPr>
                          <w:spacing w:line="240" w:lineRule="auto"/>
                          <w:jc w:val="left"/>
                          <w:textDirection w:val="btLr"/>
                        </w:pPr>
                      </w:p>
                    </w:txbxContent>
                  </v:textbox>
                </v:rect>
                <v:shapetype id="_x0000_t32" coordsize="21600,21600" o:spt="32" o:oned="t" path="m,l21600,21600e" filled="f">
                  <v:path arrowok="t" fillok="f" o:connecttype="none"/>
                  <o:lock v:ext="edit" shapetype="t"/>
                </v:shapetype>
                <v:shape id="Straight Arrow Connector 252473059" o:spid="_x0000_s1029" type="#_x0000_t32" style="position:absolute;top:5954;width:2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" stroked="f"/>
                <v:shape id="Straight Arrow Connector 1508010421" o:spid="_x0000_s1030" type="#_x0000_t32" style="position:absolute;top:8420;width:2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" stroked="f"/>
                <v:shape id="Straight Arrow Connector 1974820350" o:spid="_x0000_s1031" type="#_x0000_t32" style="position:absolute;top:11907;width:2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" stroked="f"/>
              </v:group>
              <w10:wrap anchorx="page" anchory="page"/>
            </v:group>
          </w:pict>
        </mc:Fallback>
      </mc:AlternateContent>
    </w:r>
    <w:r>
      <w:rPr>
        <w:b/>
        <w:bCs/>
        <w:color w:val="3E3C3C"/>
        <w:sz w:val="40"/>
        <w:szCs w:val="40"/>
      </w:rPr>
      <w:t xml:space="preserve">             </w:t>
    </w:r>
    <w:r>
      <w:rPr>
        <w:b/>
        <w:bCs/>
        <w:color w:val="3E3C3C"/>
        <w:sz w:val="40"/>
        <w:szCs w:val="40"/>
      </w:rPr>
      <w:t>Sporočilo za javnost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72507"/>
    <w:multiLevelType w:val="multilevel"/>
    <w:tmpl w:val="65FA7DD4"/>
    <w:lvl w:ilvl="0">
      <w:numFmt w:val="bullet"/>
      <w:pStyle w:val="NumBullet"/>
      <w:lvlText w:val="•"/>
      <w:lvlJc w:val="left"/>
      <w:pPr>
        <w:ind w:left="229" w:hanging="228"/>
      </w:pPr>
      <w:rPr>
        <w:rFonts w:ascii="Henkel GT Flexa Bl" w:eastAsia="Henkel GT Flexa Bl" w:hAnsi="Henkel GT Flexa Bl" w:cs="Henkel GT Flexa Bl"/>
        <w:b/>
        <w:bCs/>
        <w:i w:val="0"/>
        <w:iCs w:val="0"/>
        <w:color w:val="E0000E"/>
        <w:sz w:val="22"/>
        <w:szCs w:val="22"/>
      </w:rPr>
    </w:lvl>
    <w:lvl w:ilvl="1">
      <w:numFmt w:val="bullet"/>
      <w:lvlText w:val="–"/>
      <w:lvlJc w:val="left"/>
      <w:pPr>
        <w:ind w:left="568" w:hanging="226"/>
      </w:pPr>
      <w:rPr>
        <w:rFonts w:ascii="Henkel GT Flexa Rg" w:eastAsia="Henkel GT Flexa Rg" w:hAnsi="Henkel GT Flexa Rg" w:cs="Henkel GT Flexa Rg"/>
        <w:b w:val="0"/>
        <w:bCs w:val="0"/>
        <w:i w:val="0"/>
        <w:iCs w:val="0"/>
        <w:color w:val="E0000E"/>
        <w:sz w:val="22"/>
        <w:szCs w:val="22"/>
      </w:rPr>
    </w:lvl>
    <w:lvl w:ilvl="2">
      <w:numFmt w:val="bullet"/>
      <w:lvlText w:val="•"/>
      <w:lvlJc w:val="left"/>
      <w:pPr>
        <w:ind w:left="1600" w:hanging="226"/>
      </w:pPr>
    </w:lvl>
    <w:lvl w:ilvl="3">
      <w:numFmt w:val="bullet"/>
      <w:lvlText w:val="•"/>
      <w:lvlJc w:val="left"/>
      <w:pPr>
        <w:ind w:left="2640" w:hanging="226"/>
      </w:pPr>
    </w:lvl>
    <w:lvl w:ilvl="4">
      <w:numFmt w:val="bullet"/>
      <w:lvlText w:val="•"/>
      <w:lvlJc w:val="left"/>
      <w:pPr>
        <w:ind w:left="3681" w:hanging="226"/>
      </w:pPr>
    </w:lvl>
    <w:lvl w:ilvl="5">
      <w:numFmt w:val="bullet"/>
      <w:lvlText w:val="•"/>
      <w:lvlJc w:val="left"/>
      <w:pPr>
        <w:ind w:left="4721" w:hanging="226"/>
      </w:pPr>
    </w:lvl>
    <w:lvl w:ilvl="6">
      <w:numFmt w:val="bullet"/>
      <w:lvlText w:val="•"/>
      <w:lvlJc w:val="left"/>
      <w:pPr>
        <w:ind w:left="5761" w:hanging="226"/>
      </w:pPr>
    </w:lvl>
    <w:lvl w:ilvl="7">
      <w:numFmt w:val="bullet"/>
      <w:lvlText w:val="•"/>
      <w:lvlJc w:val="left"/>
      <w:pPr>
        <w:ind w:left="6802" w:hanging="226"/>
      </w:pPr>
    </w:lvl>
    <w:lvl w:ilvl="8">
      <w:numFmt w:val="bullet"/>
      <w:lvlText w:val="•"/>
      <w:lvlJc w:val="left"/>
      <w:pPr>
        <w:ind w:left="7842" w:hanging="226"/>
      </w:pPr>
    </w:lvl>
  </w:abstractNum>
  <w:abstractNum w:abstractNumId="1" w15:restartNumberingAfterBreak="0">
    <w:nsid w:val="492E3976"/>
    <w:multiLevelType w:val="multilevel"/>
    <w:tmpl w:val="271EFF2C"/>
    <w:lvl w:ilvl="0">
      <w:start w:val="1"/>
      <w:numFmt w:val="decimal"/>
      <w:pStyle w:val="He01FlietextAufzhlung1Eben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56140415">
    <w:abstractNumId w:val="0"/>
  </w:num>
  <w:num w:numId="2" w16cid:durableId="1593660090">
    <w:abstractNumId w:val="1"/>
  </w:num>
  <w:num w:numId="3" w16cid:durableId="193610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2AF"/>
    <w:rsid w:val="000018F8"/>
    <w:rsid w:val="000732AF"/>
    <w:rsid w:val="003F5135"/>
    <w:rsid w:val="00502C67"/>
    <w:rsid w:val="00695615"/>
    <w:rsid w:val="00853422"/>
    <w:rsid w:val="00B37E22"/>
    <w:rsid w:val="00C67BA1"/>
    <w:rsid w:val="00C711F3"/>
    <w:rsid w:val="00D215BC"/>
    <w:rsid w:val="00D4433F"/>
    <w:rsid w:val="00D53859"/>
    <w:rsid w:val="00D74A75"/>
    <w:rsid w:val="00F13245"/>
  </w:rsids>
  <m:mathPr>
    <m:mathFont m:val="Cambria Math"/>
    <m:brkBin m:val="before"/>
    <m:brkBinSub m:val="--"/>
    <m:smallFrac m:val="0"/>
    <m:dispDef/>
    <m:lMargin m:val="0"/>
    <m:rMargin m:val="0"/>
    <m:defJc m:val="centerGroup"/>
    <m:wrapIndent m:val="1440"/>
    <m:intLim m:val="subSup"/>
    <m:naryLim m:val="undOvr"/>
  </m:mathPr>
  <w:themeFontLang w:val="sr-S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54FE9"/>
  <w15:docId w15:val="{93A1DBE3-6452-47C7-8655-64F9A2D0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Quattrocento Sans" w:eastAsia="Quattrocento Sans" w:hAnsi="Quattrocento Sans" w:cs="Quattrocento Sans"/>
        <w:sz w:val="22"/>
        <w:szCs w:val="22"/>
        <w:lang w:val="sl" w:eastAsia="sr-SP"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b/>
      <w:bCs/>
      <w:sz w:val="36"/>
      <w:szCs w:val="36"/>
    </w:rPr>
  </w:style>
  <w:style w:type="paragraph" w:styleId="Heading2">
    <w:name w:val="heading 2"/>
    <w:basedOn w:val="Normal"/>
    <w:next w:val="Normal"/>
    <w:uiPriority w:val="9"/>
    <w:semiHidden/>
    <w:unhideWhenUsed/>
    <w:qFormat/>
    <w:pPr>
      <w:keepNext/>
      <w:outlineLvl w:val="1"/>
    </w:pPr>
    <w:rPr>
      <w:color w:val="E1000F"/>
    </w:rPr>
  </w:style>
  <w:style w:type="paragraph" w:styleId="Heading3">
    <w:name w:val="heading 3"/>
    <w:basedOn w:val="Normal"/>
    <w:next w:val="Normal"/>
    <w:uiPriority w:val="9"/>
    <w:semiHidden/>
    <w:unhideWhenUsed/>
    <w:qFormat/>
    <w:pPr>
      <w:keepNext/>
      <w:outlineLvl w:val="2"/>
    </w:pPr>
    <w:rPr>
      <w:color w:val="000000"/>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rsid w:val="00C3758F"/>
    <w:pPr>
      <w:tabs>
        <w:tab w:val="left" w:pos="2607"/>
        <w:tab w:val="center" w:pos="4320"/>
        <w:tab w:val="right" w:pos="9356"/>
      </w:tabs>
      <w:spacing w:before="1440" w:line="100" w:lineRule="atLeast"/>
      <w:jc w:val="right"/>
    </w:pPr>
    <w:rPr>
      <w:rFonts w:cs="Segoe UI"/>
      <w:b/>
      <w:bCs/>
      <w:color w:val="3E3C3C"/>
      <w:sz w:val="40"/>
      <w:szCs w:val="40"/>
    </w:rPr>
  </w:style>
  <w:style w:type="paragraph" w:styleId="Footer">
    <w:name w:val="footer"/>
    <w:basedOn w:val="Normal"/>
    <w:link w:val="FooterChar"/>
    <w:rsid w:val="00992A11"/>
    <w:pPr>
      <w:tabs>
        <w:tab w:val="right" w:pos="7083"/>
        <w:tab w:val="right" w:pos="8640"/>
      </w:tabs>
      <w:spacing w:line="180" w:lineRule="atLeast"/>
      <w:jc w:val="right"/>
    </w:pPr>
    <w:rPr>
      <w:bCs/>
      <w:noProof/>
      <w:sz w:val="12"/>
    </w:rPr>
  </w:style>
  <w:style w:type="paragraph" w:customStyle="1" w:styleId="Intro">
    <w:name w:val="Intro"/>
    <w:basedOn w:val="Normal"/>
    <w:rsid w:val="006F1596"/>
    <w:pPr>
      <w:spacing w:after="300"/>
    </w:pPr>
    <w:rPr>
      <w:color w:val="415055"/>
      <w:sz w:val="24"/>
    </w:rPr>
  </w:style>
  <w:style w:type="paragraph" w:customStyle="1" w:styleId="NumBullet">
    <w:name w:val="Num_Bullet"/>
    <w:basedOn w:val="Normal"/>
    <w:rsid w:val="00576BC8"/>
    <w:pPr>
      <w:numPr>
        <w:numId w:val="1"/>
      </w:numPr>
      <w:tabs>
        <w:tab w:val="left" w:pos="357"/>
      </w:tabs>
      <w:ind w:left="357" w:hanging="357"/>
    </w:pPr>
  </w:style>
  <w:style w:type="paragraph" w:customStyle="1" w:styleId="Page1Name">
    <w:name w:val="Page1_Name"/>
    <w:basedOn w:val="Normal"/>
    <w:rsid w:val="004F237B"/>
    <w:pPr>
      <w:spacing w:after="420" w:line="360" w:lineRule="atLeast"/>
    </w:pPr>
    <w:rPr>
      <w:b/>
      <w:sz w:val="30"/>
    </w:rPr>
  </w:style>
  <w:style w:type="paragraph" w:customStyle="1" w:styleId="Page1Title">
    <w:name w:val="Page1_Title"/>
    <w:basedOn w:val="Normal"/>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leGrid">
    <w:name w:val="Table Grid"/>
    <w:basedOn w:val="TableNormal"/>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Normal"/>
    <w:rsid w:val="0048435F"/>
    <w:pPr>
      <w:spacing w:line="300" w:lineRule="atLeast"/>
    </w:pPr>
    <w:rPr>
      <w:sz w:val="24"/>
    </w:rPr>
  </w:style>
  <w:style w:type="character" w:customStyle="1" w:styleId="Heading1Char">
    <w:name w:val="Heading 1 Char"/>
    <w:link w:val="Heading1"/>
    <w:uiPriority w:val="99"/>
    <w:locked/>
    <w:rsid w:val="00B422EC"/>
    <w:rPr>
      <w:rFonts w:ascii="Arial" w:hAnsi="Arial" w:cs="Arial"/>
      <w:b/>
      <w:bCs/>
      <w:kern w:val="32"/>
      <w:sz w:val="36"/>
      <w:szCs w:val="32"/>
      <w:lang w:val="de-DE"/>
    </w:rPr>
  </w:style>
  <w:style w:type="character" w:styleId="Hyperlink">
    <w:name w:val="Hyperlink"/>
    <w:rsid w:val="00336854"/>
    <w:rPr>
      <w:rFonts w:ascii="Segoe UI" w:hAnsi="Segoe UI"/>
      <w:color w:val="0000FF"/>
      <w:sz w:val="18"/>
      <w:szCs w:val="18"/>
      <w:u w:val="single"/>
    </w:rPr>
  </w:style>
  <w:style w:type="paragraph" w:customStyle="1" w:styleId="MittleresRaster1-Akzent21">
    <w:name w:val="Mittleres Raster 1 - Akzent 21"/>
    <w:basedOn w:val="Normal"/>
    <w:uiPriority w:val="34"/>
    <w:qFormat/>
    <w:rsid w:val="00B422EC"/>
    <w:pPr>
      <w:ind w:left="720"/>
    </w:pPr>
  </w:style>
  <w:style w:type="paragraph" w:styleId="BalloonText">
    <w:name w:val="Balloon Text"/>
    <w:basedOn w:val="Normal"/>
    <w:link w:val="BalloonTextChar"/>
    <w:rsid w:val="00336854"/>
    <w:pPr>
      <w:spacing w:line="240" w:lineRule="auto"/>
    </w:pPr>
    <w:rPr>
      <w:sz w:val="18"/>
      <w:szCs w:val="18"/>
    </w:rPr>
  </w:style>
  <w:style w:type="character" w:customStyle="1" w:styleId="BalloonTextChar">
    <w:name w:val="Balloon Text Char"/>
    <w:link w:val="BalloonText"/>
    <w:rsid w:val="00336854"/>
    <w:rPr>
      <w:rFonts w:ascii="Segoe UI" w:hAnsi="Segoe UI"/>
      <w:sz w:val="18"/>
      <w:szCs w:val="18"/>
      <w:lang w:val="de-DE"/>
    </w:rPr>
  </w:style>
  <w:style w:type="paragraph" w:customStyle="1" w:styleId="MittlereListe2-Akzent21">
    <w:name w:val="Mittlere Liste 2 - Akzent 21"/>
    <w:hidden/>
    <w:uiPriority w:val="99"/>
    <w:semiHidden/>
    <w:rsid w:val="002E0B17"/>
    <w:rPr>
      <w:rFonts w:ascii="Arial" w:hAnsi="Arial"/>
      <w:lang w:val="de-DE"/>
    </w:rPr>
  </w:style>
  <w:style w:type="character" w:customStyle="1" w:styleId="FooterChar">
    <w:name w:val="Footer Char"/>
    <w:link w:val="Footer"/>
    <w:rsid w:val="00992A11"/>
    <w:rPr>
      <w:rFonts w:ascii="Segoe UI" w:hAnsi="Segoe UI"/>
      <w:bCs/>
      <w:noProof/>
      <w:sz w:val="12"/>
      <w:szCs w:val="24"/>
      <w:lang w:val="de-DE"/>
    </w:rPr>
  </w:style>
  <w:style w:type="character" w:styleId="UnresolvedMention">
    <w:name w:val="Unresolved Mention"/>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al"/>
    <w:rsid w:val="00974F84"/>
    <w:rPr>
      <w:szCs w:val="20"/>
    </w:rPr>
  </w:style>
  <w:style w:type="paragraph" w:customStyle="1" w:styleId="Style12ptJustifiedLinespacing15lines1">
    <w:name w:val="Style 12 pt Justified Line spacing:  1.5 lines1"/>
    <w:basedOn w:val="Normal"/>
    <w:rsid w:val="00974F84"/>
    <w:pPr>
      <w:spacing w:before="120"/>
    </w:pPr>
    <w:rPr>
      <w:szCs w:val="20"/>
    </w:rPr>
  </w:style>
  <w:style w:type="character" w:customStyle="1" w:styleId="Headline">
    <w:name w:val="Headline"/>
    <w:basedOn w:val="DefaultParagraphFont"/>
    <w:rsid w:val="00A3756F"/>
    <w:rPr>
      <w:b/>
      <w:bCs/>
      <w:sz w:val="32"/>
    </w:rPr>
  </w:style>
  <w:style w:type="paragraph" w:customStyle="1" w:styleId="MonthDayYear">
    <w:name w:val="Month Day Year"/>
    <w:basedOn w:val="Normal"/>
    <w:rsid w:val="00643D8A"/>
    <w:pPr>
      <w:spacing w:before="120"/>
      <w:ind w:right="-1"/>
      <w:jc w:val="right"/>
    </w:pPr>
    <w:rPr>
      <w:szCs w:val="20"/>
    </w:rPr>
  </w:style>
  <w:style w:type="paragraph" w:customStyle="1" w:styleId="Topline">
    <w:name w:val="Topline"/>
    <w:basedOn w:val="Normal"/>
    <w:qFormat/>
    <w:rsid w:val="00472FEC"/>
    <w:pPr>
      <w:spacing w:before="560" w:after="560"/>
    </w:pPr>
    <w:rPr>
      <w:rFonts w:cs="Segoe UI"/>
    </w:rPr>
  </w:style>
  <w:style w:type="character" w:customStyle="1" w:styleId="AboutandContactBody">
    <w:name w:val="About and Contact Body"/>
    <w:basedOn w:val="DefaultParagraphFont"/>
    <w:rsid w:val="00336854"/>
    <w:rPr>
      <w:rFonts w:ascii="Segoe UI" w:hAnsi="Segoe UI"/>
      <w:sz w:val="18"/>
    </w:rPr>
  </w:style>
  <w:style w:type="character" w:customStyle="1" w:styleId="AboutandContactHeadline">
    <w:name w:val="About and Contact Headline"/>
    <w:basedOn w:val="DefaultParagraphFont"/>
    <w:rsid w:val="00336854"/>
    <w:rPr>
      <w:rFonts w:ascii="Segoe UI" w:hAnsi="Segoe UI"/>
      <w:b/>
      <w:bCs/>
      <w:sz w:val="18"/>
    </w:rPr>
  </w:style>
  <w:style w:type="paragraph" w:customStyle="1" w:styleId="He01Flietext">
    <w:name w:val="_He_01_Fließtext"/>
    <w:qFormat/>
    <w:rsid w:val="00D35A5D"/>
    <w:pPr>
      <w:spacing w:after="160"/>
    </w:pPr>
    <w:rPr>
      <w:rFonts w:eastAsiaTheme="minorHAnsi" w:cstheme="minorBidi"/>
      <w:lang w:val="en-GB"/>
    </w:rPr>
  </w:style>
  <w:style w:type="paragraph" w:customStyle="1" w:styleId="elementtoproof">
    <w:name w:val="elementtoproof"/>
    <w:basedOn w:val="Normal"/>
    <w:rsid w:val="000C571F"/>
    <w:pPr>
      <w:spacing w:line="240" w:lineRule="auto"/>
      <w:jc w:val="left"/>
    </w:pPr>
    <w:rPr>
      <w:rFonts w:ascii="Aptos" w:eastAsiaTheme="minorHAnsi" w:hAnsi="Aptos" w:cs="Aptos"/>
      <w:sz w:val="24"/>
    </w:rPr>
  </w:style>
  <w:style w:type="paragraph" w:styleId="Revision">
    <w:name w:val="Revision"/>
    <w:hidden/>
    <w:uiPriority w:val="62"/>
    <w:unhideWhenUsed/>
    <w:rsid w:val="000A5F26"/>
  </w:style>
  <w:style w:type="paragraph" w:styleId="ListParagraph">
    <w:name w:val="List Paragraph"/>
    <w:basedOn w:val="Normal"/>
    <w:uiPriority w:val="1"/>
    <w:qFormat/>
    <w:rsid w:val="005B1747"/>
    <w:pPr>
      <w:spacing w:after="160"/>
      <w:ind w:left="720"/>
      <w:contextualSpacing/>
      <w:jc w:val="left"/>
    </w:pPr>
    <w:rPr>
      <w:rFonts w:asciiTheme="minorHAnsi" w:eastAsiaTheme="minorHAnsi" w:hAnsiTheme="minorHAnsi" w:cstheme="minorBidi"/>
      <w:kern w:val="2"/>
      <w:sz w:val="24"/>
    </w:rPr>
  </w:style>
  <w:style w:type="paragraph" w:customStyle="1" w:styleId="He02berschriftEbene2">
    <w:name w:val="_He_02_Überschrift Ebene 2"/>
    <w:next w:val="He01Flietext"/>
    <w:qFormat/>
    <w:rsid w:val="00B818A3"/>
    <w:pPr>
      <w:spacing w:after="113"/>
    </w:pPr>
    <w:rPr>
      <w:rFonts w:eastAsiaTheme="minorHAnsi" w:cstheme="minorBidi"/>
      <w:b/>
      <w:sz w:val="32"/>
    </w:rPr>
  </w:style>
  <w:style w:type="paragraph" w:customStyle="1" w:styleId="He01FlietextAufzhlung1Ebene">
    <w:name w:val="_He_01_Fließtext Aufzählung 1. Ebene"/>
    <w:next w:val="He01Flietext"/>
    <w:qFormat/>
    <w:rsid w:val="00E04D88"/>
    <w:pPr>
      <w:numPr>
        <w:numId w:val="2"/>
      </w:numPr>
      <w:spacing w:after="113"/>
    </w:pPr>
    <w:rPr>
      <w:rFonts w:eastAsiaTheme="minorHAnsi" w:cstheme="minorBidi"/>
    </w:rPr>
  </w:style>
  <w:style w:type="paragraph" w:customStyle="1" w:styleId="He01FlietextAufzhlung2Ebene">
    <w:name w:val="_He_01_Fließtext Aufzählung 2. Ebene"/>
    <w:next w:val="He01Flietext"/>
    <w:qFormat/>
    <w:rsid w:val="00E04D88"/>
    <w:pPr>
      <w:tabs>
        <w:tab w:val="num" w:pos="720"/>
      </w:tabs>
      <w:spacing w:after="160"/>
      <w:ind w:left="720" w:hanging="720"/>
    </w:pPr>
    <w:rPr>
      <w:rFonts w:eastAsiaTheme="minorHAnsi" w:cstheme="minorBidi"/>
    </w:rPr>
  </w:style>
  <w:style w:type="character" w:styleId="FootnoteReference">
    <w:name w:val="footnote reference"/>
    <w:basedOn w:val="DefaultParagraphFont"/>
    <w:uiPriority w:val="99"/>
    <w:unhideWhenUsed/>
    <w:rsid w:val="00CF714E"/>
    <w:rPr>
      <w:vertAlign w:val="superscript"/>
    </w:rPr>
  </w:style>
  <w:style w:type="paragraph" w:styleId="BodyText">
    <w:name w:val="Body Text"/>
    <w:basedOn w:val="Normal"/>
    <w:link w:val="BodyTextChar"/>
    <w:uiPriority w:val="1"/>
    <w:qFormat/>
    <w:rsid w:val="00421845"/>
    <w:pPr>
      <w:widowControl w:val="0"/>
      <w:autoSpaceDE w:val="0"/>
      <w:autoSpaceDN w:val="0"/>
      <w:spacing w:line="240" w:lineRule="auto"/>
      <w:jc w:val="left"/>
    </w:pPr>
    <w:rPr>
      <w:rFonts w:eastAsia="Segoe UI" w:cs="Segoe UI"/>
    </w:rPr>
  </w:style>
  <w:style w:type="character" w:customStyle="1" w:styleId="BodyTextChar">
    <w:name w:val="Body Text Char"/>
    <w:basedOn w:val="DefaultParagraphFont"/>
    <w:link w:val="BodyText"/>
    <w:uiPriority w:val="1"/>
    <w:rsid w:val="00421845"/>
    <w:rPr>
      <w:rFonts w:eastAsia="Segoe UI" w:cs="Segoe UI"/>
      <w:sz w:val="22"/>
      <w:szCs w:val="22"/>
      <w:lang w:val="sl-SI"/>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www.henkel.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AgcEQ+qyc9T+sLvliYN1qHx9gw==">CgMxLjA4AHIhMV8yeWJkc1Bhc0tpRS11T2ZjWEZxaG02eE1GYlA5R3JL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e8701075-0d9e-4ea1-991d-5a0d110a5d29}" enabled="0" method="" siteId="{e8701075-0d9e-4ea1-991d-5a0d110a5d29}"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2184</Words>
  <Characters>13019</Characters>
  <Application>Microsoft Office Word</Application>
  <DocSecurity>0</DocSecurity>
  <Lines>236</Lines>
  <Paragraphs>64</Paragraphs>
  <ScaleCrop>false</ScaleCrop>
  <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Henkel</dc:creator>
  <cp:lastModifiedBy>Ana Krezic (Ext)</cp:lastModifiedBy>
  <cp:revision>10</cp:revision>
  <dcterms:created xsi:type="dcterms:W3CDTF">2026-05-11T13:19:00Z</dcterms:created>
  <dcterms:modified xsi:type="dcterms:W3CDTF">2026-08-27T14:30:00Z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0x010100A8B46845E6F4494787881BCB071FEED2</vt:lpwstr>
  </property>
  <property fmtid="{D5CDD505-2E9C-101B-9397-08002B2CF9AE}" pid="3" name="MediaServiceImageTags">
    <vt:lpwstr/>
  </property>
</Properties>
</file>