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F7B61" w14:textId="76784DF0" w:rsidR="00B422EC" w:rsidRPr="00F979FB" w:rsidRDefault="0021390B" w:rsidP="0021752F">
      <w:pPr>
        <w:pStyle w:val="MonthDayYear"/>
        <w:rPr>
          <w:iCs/>
          <w:lang w:val="sr-Latn-RS"/>
        </w:rPr>
      </w:pPr>
      <w:r w:rsidRPr="00F979FB">
        <w:rPr>
          <w:lang w:val="hr-HR" w:bidi="hr-HR"/>
        </w:rPr>
        <w:tab/>
      </w:r>
      <w:r w:rsidRPr="00F979FB">
        <w:rPr>
          <w:lang w:val="hr-HR" w:bidi="hr-HR"/>
        </w:rPr>
        <w:tab/>
      </w:r>
      <w:r w:rsidRPr="00F979FB">
        <w:rPr>
          <w:lang w:val="hr-HR" w:bidi="hr-HR"/>
        </w:rPr>
        <w:tab/>
      </w:r>
      <w:r w:rsidRPr="00F979FB">
        <w:rPr>
          <w:lang w:val="hr-HR" w:bidi="hr-HR"/>
        </w:rPr>
        <w:tab/>
      </w:r>
      <w:r w:rsidR="0039007E">
        <w:rPr>
          <w:lang w:val="hr-HR" w:bidi="hr-HR"/>
        </w:rPr>
        <w:t>0</w:t>
      </w:r>
      <w:r w:rsidR="00F440FE">
        <w:rPr>
          <w:lang w:val="hr-HR" w:bidi="hr-HR"/>
        </w:rPr>
        <w:t>6</w:t>
      </w:r>
      <w:r w:rsidR="0039007E">
        <w:rPr>
          <w:lang w:val="hr-HR" w:bidi="hr-HR"/>
        </w:rPr>
        <w:t xml:space="preserve">. </w:t>
      </w:r>
      <w:r w:rsidR="00F255F6">
        <w:rPr>
          <w:lang w:val="hr-HR" w:bidi="hr-HR"/>
        </w:rPr>
        <w:t>kolovoz</w:t>
      </w:r>
      <w:r w:rsidR="00F43D80">
        <w:rPr>
          <w:lang w:val="hr-HR" w:bidi="hr-HR"/>
        </w:rPr>
        <w:t xml:space="preserve"> 202</w:t>
      </w:r>
      <w:r w:rsidR="0039007E">
        <w:rPr>
          <w:lang w:val="hr-HR" w:bidi="hr-HR"/>
        </w:rPr>
        <w:t>6</w:t>
      </w:r>
      <w:r w:rsidRPr="00F979FB">
        <w:rPr>
          <w:lang w:val="hr-HR" w:bidi="hr-HR"/>
        </w:rPr>
        <w:t>.</w:t>
      </w:r>
    </w:p>
    <w:p w14:paraId="4D995B47" w14:textId="77777777" w:rsidR="0057566B" w:rsidRDefault="0057566B" w:rsidP="0057566B">
      <w:pPr>
        <w:jc w:val="left"/>
        <w:rPr>
          <w:b/>
          <w:sz w:val="32"/>
          <w:lang w:val="hr-HR" w:bidi="hr-HR"/>
        </w:rPr>
      </w:pPr>
      <w:bookmarkStart w:id="0" w:name="_Hlk67574464"/>
    </w:p>
    <w:bookmarkEnd w:id="0"/>
    <w:p w14:paraId="34B7D259" w14:textId="77777777" w:rsidR="00A036D6" w:rsidRDefault="00A036D6" w:rsidP="008A1908">
      <w:pPr>
        <w:rPr>
          <w:rFonts w:eastAsia="Segoe UI" w:cs="Segoe UI"/>
          <w:szCs w:val="22"/>
          <w:lang w:bidi="hr-HR"/>
        </w:rPr>
      </w:pPr>
      <w:r w:rsidRPr="00A036D6">
        <w:rPr>
          <w:rFonts w:eastAsia="Segoe UI" w:cs="Segoe UI"/>
          <w:szCs w:val="22"/>
          <w:lang w:bidi="hr-HR"/>
        </w:rPr>
        <w:t>Henkel nastavlja poticati rast ulaganjima u brendove, inovacije i akvizicije</w:t>
      </w:r>
    </w:p>
    <w:p w14:paraId="12F53F85" w14:textId="1BBE0B58" w:rsidR="00F43D80" w:rsidRDefault="00A036D6" w:rsidP="0057566B">
      <w:pPr>
        <w:rPr>
          <w:b/>
          <w:bCs/>
          <w:sz w:val="32"/>
          <w:szCs w:val="32"/>
          <w:lang w:bidi="hr-HR"/>
        </w:rPr>
      </w:pPr>
      <w:r w:rsidRPr="00A036D6">
        <w:rPr>
          <w:b/>
          <w:bCs/>
          <w:sz w:val="32"/>
          <w:szCs w:val="32"/>
          <w:lang w:bidi="hr-HR"/>
        </w:rPr>
        <w:t xml:space="preserve">Henkel ostvario snažan rast prodaje i dobiti u prvoj polovini godine te unaprijedio prognozu prihoda za 2026. </w:t>
      </w:r>
      <w:r w:rsidR="009E6623">
        <w:rPr>
          <w:b/>
          <w:bCs/>
          <w:sz w:val="32"/>
          <w:szCs w:val="32"/>
          <w:lang w:bidi="hr-HR"/>
        </w:rPr>
        <w:t>g</w:t>
      </w:r>
      <w:r w:rsidRPr="00A036D6">
        <w:rPr>
          <w:b/>
          <w:bCs/>
          <w:sz w:val="32"/>
          <w:szCs w:val="32"/>
          <w:lang w:bidi="hr-HR"/>
        </w:rPr>
        <w:t>odinu</w:t>
      </w:r>
    </w:p>
    <w:p w14:paraId="29382CF4" w14:textId="77777777" w:rsidR="00A036D6" w:rsidRDefault="00A036D6" w:rsidP="0057566B">
      <w:pPr>
        <w:rPr>
          <w:bCs/>
          <w:lang w:val="hr-HR" w:bidi="hr-HR"/>
        </w:rPr>
      </w:pPr>
    </w:p>
    <w:p w14:paraId="64141A44" w14:textId="7C6DCFCA" w:rsidR="00537682" w:rsidRDefault="00537682" w:rsidP="00537682">
      <w:pPr>
        <w:widowControl w:val="0"/>
        <w:numPr>
          <w:ilvl w:val="0"/>
          <w:numId w:val="8"/>
        </w:numPr>
        <w:tabs>
          <w:tab w:val="left" w:pos="228"/>
        </w:tabs>
        <w:autoSpaceDE w:val="0"/>
        <w:autoSpaceDN w:val="0"/>
        <w:spacing w:before="114" w:line="240" w:lineRule="auto"/>
        <w:ind w:left="228" w:hanging="227"/>
        <w:jc w:val="left"/>
        <w:rPr>
          <w:rFonts w:eastAsia="Segoe UI" w:cs="Segoe UI"/>
          <w:b/>
          <w:szCs w:val="22"/>
          <w:lang w:val="hr-HR"/>
        </w:rPr>
      </w:pPr>
      <w:r w:rsidRPr="00537682">
        <w:rPr>
          <w:rFonts w:eastAsia="Segoe UI" w:cs="Segoe UI"/>
          <w:b/>
          <w:szCs w:val="22"/>
          <w:lang w:val="hr-HR" w:bidi="hr-HR"/>
        </w:rPr>
        <w:t>Proda</w:t>
      </w:r>
      <w:r w:rsidR="0014223A">
        <w:rPr>
          <w:rFonts w:eastAsia="Segoe UI" w:cs="Segoe UI"/>
          <w:b/>
          <w:szCs w:val="22"/>
          <w:lang w:val="hr-HR" w:bidi="hr-HR"/>
        </w:rPr>
        <w:t xml:space="preserve">ja Grupe u prvoj polovini godine ostavila je snažan organski rast </w:t>
      </w:r>
      <w:r w:rsidR="00E808D3">
        <w:rPr>
          <w:rFonts w:eastAsia="Segoe UI" w:cs="Segoe UI"/>
          <w:b/>
          <w:szCs w:val="22"/>
          <w:lang w:val="hr-HR" w:bidi="hr-HR"/>
        </w:rPr>
        <w:t>od 3,2 posto, dosegnuvši 10,3 milijarde eura</w:t>
      </w:r>
    </w:p>
    <w:p w14:paraId="4505F2CE" w14:textId="37405DC9" w:rsidR="00393A6C" w:rsidRPr="005256C2" w:rsidRDefault="005256C2" w:rsidP="00537682">
      <w:pPr>
        <w:widowControl w:val="0"/>
        <w:numPr>
          <w:ilvl w:val="0"/>
          <w:numId w:val="8"/>
        </w:numPr>
        <w:tabs>
          <w:tab w:val="left" w:pos="228"/>
        </w:tabs>
        <w:autoSpaceDE w:val="0"/>
        <w:autoSpaceDN w:val="0"/>
        <w:spacing w:before="114" w:line="240" w:lineRule="auto"/>
        <w:ind w:left="228" w:hanging="227"/>
        <w:jc w:val="left"/>
        <w:rPr>
          <w:rFonts w:eastAsia="Segoe UI" w:cs="Segoe UI"/>
          <w:b/>
          <w:szCs w:val="22"/>
          <w:lang w:val="hr-HR"/>
        </w:rPr>
      </w:pPr>
      <w:r w:rsidRPr="005256C2">
        <w:rPr>
          <w:rFonts w:eastAsia="Segoe UI" w:cs="Segoe UI"/>
          <w:b/>
          <w:szCs w:val="22"/>
        </w:rPr>
        <w:t>Snažan rast podržan je pozitivnim razvojem cijena i obujma prodaje u obje poslovne jedinice</w:t>
      </w:r>
    </w:p>
    <w:p w14:paraId="1555A14E" w14:textId="3E353643" w:rsidR="005256C2" w:rsidRPr="005256C2" w:rsidRDefault="005256C2" w:rsidP="00537682">
      <w:pPr>
        <w:widowControl w:val="0"/>
        <w:numPr>
          <w:ilvl w:val="0"/>
          <w:numId w:val="8"/>
        </w:numPr>
        <w:tabs>
          <w:tab w:val="left" w:pos="228"/>
        </w:tabs>
        <w:autoSpaceDE w:val="0"/>
        <w:autoSpaceDN w:val="0"/>
        <w:spacing w:before="114" w:line="240" w:lineRule="auto"/>
        <w:ind w:left="228" w:hanging="227"/>
        <w:jc w:val="left"/>
        <w:rPr>
          <w:rFonts w:eastAsia="Segoe UI" w:cs="Segoe UI"/>
          <w:b/>
          <w:szCs w:val="22"/>
          <w:lang w:val="hr-HR"/>
        </w:rPr>
      </w:pPr>
      <w:r w:rsidRPr="005256C2">
        <w:rPr>
          <w:rFonts w:eastAsia="Segoe UI" w:cs="Segoe UI"/>
          <w:b/>
          <w:szCs w:val="22"/>
        </w:rPr>
        <w:t>Operativna dobit (EBIT)* povećala se na 1.620 milijuna eura (+0,3 posto)</w:t>
      </w:r>
    </w:p>
    <w:p w14:paraId="3CF53F31" w14:textId="3687A439" w:rsidR="005256C2" w:rsidRPr="0000219D" w:rsidRDefault="005256C2" w:rsidP="00537682">
      <w:pPr>
        <w:widowControl w:val="0"/>
        <w:numPr>
          <w:ilvl w:val="0"/>
          <w:numId w:val="8"/>
        </w:numPr>
        <w:tabs>
          <w:tab w:val="left" w:pos="228"/>
        </w:tabs>
        <w:autoSpaceDE w:val="0"/>
        <w:autoSpaceDN w:val="0"/>
        <w:spacing w:before="114" w:line="240" w:lineRule="auto"/>
        <w:ind w:left="228" w:hanging="227"/>
        <w:jc w:val="left"/>
        <w:rPr>
          <w:rFonts w:eastAsia="Segoe UI" w:cs="Segoe UI"/>
          <w:b/>
          <w:szCs w:val="22"/>
          <w:lang w:val="hr-HR"/>
        </w:rPr>
      </w:pPr>
      <w:r w:rsidRPr="005256C2">
        <w:rPr>
          <w:rFonts w:eastAsia="Segoe UI" w:cs="Segoe UI"/>
          <w:b/>
          <w:szCs w:val="22"/>
        </w:rPr>
        <w:t>Prilagođeni prinos od prodaje (prilagođena operativna marža)* iznosio je snažnih 15,7 posto (+10 baznih bodova), uz doprinos obje poslovne jedinice, potvrđujući snagu poslovanja Grupe</w:t>
      </w:r>
    </w:p>
    <w:p w14:paraId="41E65749" w14:textId="2073E8BA" w:rsidR="0000219D" w:rsidRPr="0000219D" w:rsidRDefault="0000219D" w:rsidP="00537682">
      <w:pPr>
        <w:widowControl w:val="0"/>
        <w:numPr>
          <w:ilvl w:val="0"/>
          <w:numId w:val="8"/>
        </w:numPr>
        <w:tabs>
          <w:tab w:val="left" w:pos="228"/>
        </w:tabs>
        <w:autoSpaceDE w:val="0"/>
        <w:autoSpaceDN w:val="0"/>
        <w:spacing w:before="114" w:line="240" w:lineRule="auto"/>
        <w:ind w:left="228" w:hanging="227"/>
        <w:jc w:val="left"/>
        <w:rPr>
          <w:rFonts w:eastAsia="Segoe UI" w:cs="Segoe UI"/>
          <w:b/>
          <w:szCs w:val="22"/>
          <w:lang w:val="hr-HR"/>
        </w:rPr>
      </w:pPr>
      <w:r w:rsidRPr="0000219D">
        <w:rPr>
          <w:rFonts w:eastAsia="Segoe UI" w:cs="Segoe UI"/>
          <w:b/>
          <w:szCs w:val="22"/>
        </w:rPr>
        <w:t>Prilagođena dobit po povlaštenoj dionici (EPS)* povećala se na 2,86 eura, što predstavlja rast od 7,1 posto pri stalnim tečajevima</w:t>
      </w:r>
    </w:p>
    <w:p w14:paraId="77C48464" w14:textId="71AA96F9" w:rsidR="0000219D" w:rsidRPr="00102598" w:rsidRDefault="00102598" w:rsidP="00537682">
      <w:pPr>
        <w:widowControl w:val="0"/>
        <w:numPr>
          <w:ilvl w:val="0"/>
          <w:numId w:val="8"/>
        </w:numPr>
        <w:tabs>
          <w:tab w:val="left" w:pos="228"/>
        </w:tabs>
        <w:autoSpaceDE w:val="0"/>
        <w:autoSpaceDN w:val="0"/>
        <w:spacing w:before="114" w:line="240" w:lineRule="auto"/>
        <w:ind w:left="228" w:hanging="227"/>
        <w:jc w:val="left"/>
        <w:rPr>
          <w:rFonts w:eastAsia="Segoe UI" w:cs="Segoe UI"/>
          <w:b/>
          <w:szCs w:val="22"/>
          <w:lang w:val="hr-HR"/>
        </w:rPr>
      </w:pPr>
      <w:r w:rsidRPr="00102598">
        <w:rPr>
          <w:rFonts w:eastAsia="Segoe UI" w:cs="Segoe UI"/>
          <w:b/>
          <w:szCs w:val="22"/>
        </w:rPr>
        <w:t xml:space="preserve">Strategija rasta kroz spajanja i stjecanja (M&amp;A) uspješno je provedena u prvoj polovini godine, uz prve pozitivne doprinose prodaji i dobiti već tijekom 2026. </w:t>
      </w:r>
      <w:r w:rsidR="007F3D56">
        <w:rPr>
          <w:rFonts w:eastAsia="Segoe UI" w:cs="Segoe UI"/>
          <w:b/>
          <w:szCs w:val="22"/>
        </w:rPr>
        <w:t>g</w:t>
      </w:r>
      <w:r w:rsidRPr="00102598">
        <w:rPr>
          <w:rFonts w:eastAsia="Segoe UI" w:cs="Segoe UI"/>
          <w:b/>
          <w:szCs w:val="22"/>
        </w:rPr>
        <w:t>odine</w:t>
      </w:r>
    </w:p>
    <w:p w14:paraId="26BD2D26" w14:textId="2A93F7C3" w:rsidR="00102598" w:rsidRPr="00537682" w:rsidRDefault="00102598" w:rsidP="00537682">
      <w:pPr>
        <w:widowControl w:val="0"/>
        <w:numPr>
          <w:ilvl w:val="0"/>
          <w:numId w:val="8"/>
        </w:numPr>
        <w:tabs>
          <w:tab w:val="left" w:pos="228"/>
        </w:tabs>
        <w:autoSpaceDE w:val="0"/>
        <w:autoSpaceDN w:val="0"/>
        <w:spacing w:before="114" w:line="240" w:lineRule="auto"/>
        <w:ind w:left="228" w:hanging="227"/>
        <w:jc w:val="left"/>
        <w:rPr>
          <w:rFonts w:eastAsia="Segoe UI" w:cs="Segoe UI"/>
          <w:b/>
          <w:szCs w:val="22"/>
          <w:lang w:val="hr-HR"/>
        </w:rPr>
      </w:pPr>
      <w:r w:rsidRPr="00102598">
        <w:rPr>
          <w:rFonts w:eastAsia="Segoe UI" w:cs="Segoe UI"/>
          <w:b/>
          <w:szCs w:val="22"/>
        </w:rPr>
        <w:t>Prognoza za poslovnu godinu 2026. unaprijeđena je za Grupu i poslovnu jedinicu Ljepila i tehnologije:</w:t>
      </w:r>
    </w:p>
    <w:p w14:paraId="601C9BEE" w14:textId="760E51AC" w:rsidR="00854333" w:rsidRPr="00854333" w:rsidRDefault="00854333" w:rsidP="00854333">
      <w:pPr>
        <w:widowControl w:val="0"/>
        <w:numPr>
          <w:ilvl w:val="1"/>
          <w:numId w:val="8"/>
        </w:numPr>
        <w:tabs>
          <w:tab w:val="left" w:pos="567"/>
        </w:tabs>
        <w:autoSpaceDE w:val="0"/>
        <w:autoSpaceDN w:val="0"/>
        <w:spacing w:before="159" w:line="240" w:lineRule="auto"/>
        <w:ind w:left="567" w:hanging="225"/>
        <w:jc w:val="left"/>
        <w:rPr>
          <w:rFonts w:eastAsia="Segoe UI" w:cs="Segoe UI"/>
          <w:szCs w:val="22"/>
          <w:lang w:val="sr-SP" w:bidi="hr-HR"/>
        </w:rPr>
      </w:pPr>
      <w:r w:rsidRPr="00854333">
        <w:rPr>
          <w:rFonts w:eastAsia="Segoe UI" w:cs="Segoe UI"/>
          <w:szCs w:val="22"/>
          <w:lang w:val="sr-SP" w:bidi="hr-HR"/>
        </w:rPr>
        <w:t xml:space="preserve">Organski rast prodaje: od 1,5 do 3,5 posto (prethodno: od 1,0 do 3,0 posto) </w:t>
      </w:r>
    </w:p>
    <w:p w14:paraId="56F0F3BA" w14:textId="77777777" w:rsidR="007F3D56" w:rsidRPr="007F3D56" w:rsidRDefault="00854333" w:rsidP="00924B24">
      <w:pPr>
        <w:widowControl w:val="0"/>
        <w:numPr>
          <w:ilvl w:val="1"/>
          <w:numId w:val="8"/>
        </w:numPr>
        <w:tabs>
          <w:tab w:val="left" w:pos="567"/>
        </w:tabs>
        <w:autoSpaceDE w:val="0"/>
        <w:autoSpaceDN w:val="0"/>
        <w:spacing w:before="159" w:line="240" w:lineRule="auto"/>
        <w:ind w:left="567" w:hanging="225"/>
        <w:jc w:val="left"/>
        <w:rPr>
          <w:rFonts w:eastAsia="Segoe UI" w:cs="Segoe UI"/>
          <w:szCs w:val="22"/>
          <w:lang w:val="hr-HR"/>
        </w:rPr>
      </w:pPr>
      <w:r w:rsidRPr="00854333">
        <w:rPr>
          <w:rFonts w:eastAsia="Segoe UI" w:cs="Segoe UI"/>
          <w:szCs w:val="22"/>
          <w:lang w:val="sr-SP" w:bidi="hr-HR"/>
        </w:rPr>
        <w:t>Prilagođeni prinos od prodaje (prilagođena operativna marža): od 14,5 do 16,0</w:t>
      </w:r>
      <w:r w:rsidR="006F4875">
        <w:rPr>
          <w:rFonts w:eastAsia="Segoe UI" w:cs="Segoe UI"/>
          <w:szCs w:val="22"/>
          <w:lang w:val="sr-SP" w:bidi="hr-HR"/>
        </w:rPr>
        <w:t xml:space="preserve">; </w:t>
      </w:r>
    </w:p>
    <w:p w14:paraId="0C2F17D5" w14:textId="28E21499" w:rsidR="00924B24" w:rsidRPr="00924B24" w:rsidRDefault="00152BC0" w:rsidP="00924B24">
      <w:pPr>
        <w:widowControl w:val="0"/>
        <w:numPr>
          <w:ilvl w:val="1"/>
          <w:numId w:val="8"/>
        </w:numPr>
        <w:tabs>
          <w:tab w:val="left" w:pos="567"/>
        </w:tabs>
        <w:autoSpaceDE w:val="0"/>
        <w:autoSpaceDN w:val="0"/>
        <w:spacing w:before="159" w:line="240" w:lineRule="auto"/>
        <w:ind w:left="567" w:hanging="225"/>
        <w:jc w:val="left"/>
        <w:rPr>
          <w:rFonts w:eastAsia="Segoe UI" w:cs="Segoe UI"/>
          <w:szCs w:val="22"/>
          <w:lang w:val="hr-HR"/>
        </w:rPr>
      </w:pPr>
      <w:r>
        <w:rPr>
          <w:rFonts w:eastAsia="Segoe UI" w:cs="Segoe UI"/>
          <w:szCs w:val="22"/>
          <w:lang w:val="sr-SP" w:bidi="hr-HR"/>
        </w:rPr>
        <w:t>P</w:t>
      </w:r>
      <w:r w:rsidR="00753ECB" w:rsidRPr="00AD5064">
        <w:rPr>
          <w:rFonts w:eastAsia="Segoe UI" w:cs="Segoe UI"/>
          <w:szCs w:val="22"/>
          <w:lang w:val="hr-HR"/>
        </w:rPr>
        <w:t xml:space="preserve">rilagođena dobit po povlaštenoj dionici (EPS): očekuje se rast u rasponu od niskog do visokog jednoznamenkastog </w:t>
      </w:r>
      <w:r w:rsidR="00753ECB" w:rsidRPr="00DF5583">
        <w:rPr>
          <w:rFonts w:eastAsia="Segoe UI" w:cs="Segoe UI"/>
          <w:szCs w:val="22"/>
          <w:lang w:val="hr-HR"/>
        </w:rPr>
        <w:t>postotka (pri</w:t>
      </w:r>
      <w:r w:rsidR="00753ECB" w:rsidRPr="00AD5064">
        <w:rPr>
          <w:rFonts w:eastAsia="Segoe UI" w:cs="Segoe UI"/>
          <w:szCs w:val="22"/>
          <w:lang w:val="hr-HR"/>
        </w:rPr>
        <w:t xml:space="preserve"> stalnim tečajevima) </w:t>
      </w:r>
    </w:p>
    <w:p w14:paraId="5BFA13B4" w14:textId="23D2CCAA" w:rsidR="00263768" w:rsidRDefault="00263768" w:rsidP="0057566B">
      <w:pPr>
        <w:rPr>
          <w:bCs/>
          <w:lang w:val="hr-HR" w:bidi="hr-HR"/>
        </w:rPr>
      </w:pPr>
    </w:p>
    <w:p w14:paraId="21E2579F" w14:textId="77777777" w:rsidR="00630197" w:rsidRPr="00630197" w:rsidRDefault="00630197" w:rsidP="00630197">
      <w:pPr>
        <w:rPr>
          <w:rFonts w:eastAsia="Segoe UI" w:cs="Segoe UI"/>
          <w:szCs w:val="22"/>
          <w:lang w:val="sr-SP" w:bidi="hr-HR"/>
        </w:rPr>
      </w:pPr>
      <w:r w:rsidRPr="00630197">
        <w:rPr>
          <w:rFonts w:eastAsia="Segoe UI" w:cs="Segoe UI"/>
          <w:b/>
          <w:bCs/>
          <w:szCs w:val="22"/>
          <w:lang w:val="sr-SP" w:bidi="hr-HR"/>
        </w:rPr>
        <w:t>Düsseldorf</w:t>
      </w:r>
      <w:r w:rsidRPr="00630197">
        <w:rPr>
          <w:rFonts w:eastAsia="Segoe UI" w:cs="Segoe UI"/>
          <w:szCs w:val="22"/>
          <w:lang w:val="sr-SP" w:bidi="hr-HR"/>
        </w:rPr>
        <w:t xml:space="preserve"> – Henkel je u prvoj polovini 2026. godine ostvario snažan organski rast prodaje i vrlo dobre poslovne rezultate, unatoč i dalje izrazito zahtjevnom gospodarskom okruženju.</w:t>
      </w:r>
    </w:p>
    <w:p w14:paraId="03482B15" w14:textId="77777777" w:rsidR="00630197" w:rsidRPr="00630197" w:rsidRDefault="00630197" w:rsidP="00630197">
      <w:pPr>
        <w:rPr>
          <w:rFonts w:eastAsia="Segoe UI" w:cs="Segoe UI"/>
          <w:szCs w:val="22"/>
          <w:lang w:val="sr-SP" w:bidi="hr-HR"/>
        </w:rPr>
      </w:pPr>
      <w:r w:rsidRPr="00630197">
        <w:rPr>
          <w:rFonts w:eastAsia="Segoe UI" w:cs="Segoe UI"/>
          <w:szCs w:val="22"/>
          <w:lang w:val="sr-SP" w:bidi="hr-HR"/>
        </w:rPr>
        <w:t xml:space="preserve">„Organski rast prodaje ponovno je ostvaren zahvaljujući doprinosu obje poslovne jedinice, koje su zabilježile pozitivan razvoj cijena i obujma prodaje. U poslovnoj jedinici </w:t>
      </w:r>
      <w:r w:rsidRPr="00630197">
        <w:rPr>
          <w:rFonts w:eastAsia="Segoe UI" w:cs="Segoe UI"/>
          <w:b/>
          <w:bCs/>
          <w:szCs w:val="22"/>
          <w:lang w:val="sr-SP" w:bidi="hr-HR"/>
        </w:rPr>
        <w:t>Ljepila i tehnologije</w:t>
      </w:r>
      <w:r w:rsidRPr="00630197">
        <w:rPr>
          <w:rFonts w:eastAsia="Segoe UI" w:cs="Segoe UI"/>
          <w:szCs w:val="22"/>
          <w:lang w:val="sr-SP" w:bidi="hr-HR"/>
        </w:rPr>
        <w:t xml:space="preserve">, poboljšanje rezultata prodaje i profitabilnosti dodatno je podržano dosljednom i </w:t>
      </w:r>
      <w:r w:rsidRPr="00630197">
        <w:rPr>
          <w:rFonts w:eastAsia="Segoe UI" w:cs="Segoe UI"/>
          <w:szCs w:val="22"/>
          <w:lang w:val="sr-SP" w:bidi="hr-HR"/>
        </w:rPr>
        <w:lastRenderedPageBreak/>
        <w:t>brzom provedbom cjenovnih inicijativa usmjerenih na ublažavanje utjecaja rasta cijena sirovina“, izjavio je glavni izvršni direktor tvrtke Henkel, Carsten Knobel.</w:t>
      </w:r>
    </w:p>
    <w:p w14:paraId="02A98093" w14:textId="249DCB00" w:rsidR="00630197" w:rsidRPr="00630197" w:rsidRDefault="00630197" w:rsidP="00630197">
      <w:pPr>
        <w:rPr>
          <w:rFonts w:eastAsia="Segoe UI" w:cs="Segoe UI"/>
          <w:szCs w:val="22"/>
          <w:lang w:val="sr-SP" w:bidi="hr-HR"/>
        </w:rPr>
      </w:pPr>
      <w:r w:rsidRPr="00630197">
        <w:rPr>
          <w:rFonts w:eastAsia="Segoe UI" w:cs="Segoe UI"/>
          <w:szCs w:val="22"/>
          <w:lang w:val="sr-SP" w:bidi="hr-HR"/>
        </w:rPr>
        <w:t xml:space="preserve">„U okviru poslovne jedinice </w:t>
      </w:r>
      <w:r w:rsidRPr="00630197">
        <w:rPr>
          <w:rFonts w:eastAsia="Segoe UI" w:cs="Segoe UI"/>
          <w:b/>
          <w:bCs/>
          <w:szCs w:val="22"/>
          <w:lang w:val="sr-SP" w:bidi="hr-HR"/>
        </w:rPr>
        <w:t>Consumer Brands</w:t>
      </w:r>
      <w:r w:rsidRPr="00630197">
        <w:rPr>
          <w:rFonts w:eastAsia="Segoe UI" w:cs="Segoe UI"/>
          <w:szCs w:val="22"/>
          <w:lang w:val="sr-SP" w:bidi="hr-HR"/>
        </w:rPr>
        <w:t>, poslovno područje Hair nastavilo je snažan trend rasta, dok se poslovno područje Laundry Care vratilo pozitivnom rastu“</w:t>
      </w:r>
      <w:r w:rsidR="00785277">
        <w:rPr>
          <w:rFonts w:eastAsia="Segoe UI" w:cs="Segoe UI"/>
          <w:szCs w:val="22"/>
          <w:lang w:val="sr-SP" w:bidi="hr-HR"/>
        </w:rPr>
        <w:t>.</w:t>
      </w:r>
    </w:p>
    <w:p w14:paraId="06A447C8" w14:textId="77777777" w:rsidR="00537682" w:rsidRDefault="00537682" w:rsidP="0057566B">
      <w:pPr>
        <w:rPr>
          <w:bCs/>
          <w:lang w:val="hr-HR" w:bidi="hr-HR"/>
        </w:rPr>
      </w:pPr>
    </w:p>
    <w:p w14:paraId="6B3BA2E4" w14:textId="4A194E01" w:rsidR="00630197" w:rsidRDefault="00320407" w:rsidP="0057566B">
      <w:pPr>
        <w:rPr>
          <w:bCs/>
          <w:lang w:bidi="hr-HR"/>
        </w:rPr>
      </w:pPr>
      <w:r w:rsidRPr="00320407">
        <w:rPr>
          <w:bCs/>
          <w:lang w:bidi="hr-HR"/>
        </w:rPr>
        <w:t>„Dosljedno provodimo našu strategiju s jasnim fokusom na održiv i svrhovit rast, a ostvareni rezultati potvrđuju uspješnost takvog pristupa. Tijekom prve polovice godine ostvarili smo vrlo dobre poslovne rezultate, uz istodoban nastavak značajnih ulaganja u budućnost tvrtke – u naše brendove, tehnologije i inovacije. Osim toga, značajno smo intenzivirali aktivnosti u području spajanja i preuzimanja. Dogovorili smo pet akvizicija ukupne vrijednosti od približno pet milijardi eura, koje će dodatno ojačati obje naše poslovne jedinice. Četiri od tih akvizicija već su uspješno zaključene. Očekuje se da će preuzeta društva u narednim godinama ostvarivati natprosječan rast u rasponu od srednjeg do visokog jednoznamenkastog postotka te pridonijeti s oko dvije milijarde eura dodatnih godišnjih prihoda od prodaje. Time činimo još jedan važan korak u daljnjoj provedbi naše strategije održivog rasta“, nastavio je Carsten Knobel.</w:t>
      </w:r>
    </w:p>
    <w:p w14:paraId="0ADB3C32" w14:textId="77777777" w:rsidR="00DF5583" w:rsidRDefault="00DF5583" w:rsidP="0057566B">
      <w:pPr>
        <w:rPr>
          <w:bCs/>
          <w:lang w:bidi="hr-HR"/>
        </w:rPr>
      </w:pPr>
    </w:p>
    <w:p w14:paraId="14FBBC17" w14:textId="0E158CF7" w:rsidR="00DF5583" w:rsidRDefault="00DF5583" w:rsidP="0057566B">
      <w:pPr>
        <w:rPr>
          <w:bCs/>
          <w:lang w:bidi="hr-HR"/>
        </w:rPr>
      </w:pPr>
      <w:r w:rsidRPr="00DF5583">
        <w:rPr>
          <w:bCs/>
          <w:lang w:bidi="hr-HR"/>
        </w:rPr>
        <w:t xml:space="preserve">„Na temelju snažnih rezultata ostvarenih u prvoj polovici godine unaprijedili smo prognozu rasta prihoda za Grupu i poslovnu jedinicu </w:t>
      </w:r>
      <w:r w:rsidRPr="00DF5583">
        <w:rPr>
          <w:b/>
          <w:bCs/>
          <w:lang w:bidi="hr-HR"/>
        </w:rPr>
        <w:t>Ljepila i tehnologije</w:t>
      </w:r>
      <w:r w:rsidRPr="00DF5583">
        <w:rPr>
          <w:bCs/>
          <w:lang w:bidi="hr-HR"/>
        </w:rPr>
        <w:t xml:space="preserve">. Na razini Grupe sada očekujemo organski rast prodaje u rasponu od 1,5 do 3,5 posto, u odnosu na prethodnu prognozu od 1 do 3 posto. Za poslovnu jedinicu </w:t>
      </w:r>
      <w:r w:rsidRPr="00DF5583">
        <w:rPr>
          <w:b/>
          <w:bCs/>
          <w:lang w:bidi="hr-HR"/>
        </w:rPr>
        <w:t>Ljepila i tehnologije</w:t>
      </w:r>
      <w:r w:rsidRPr="00DF5583">
        <w:rPr>
          <w:bCs/>
          <w:lang w:bidi="hr-HR"/>
        </w:rPr>
        <w:t xml:space="preserve"> povećali smo očekivanja organskog rasta prodaje s raspona od 1 do 3 posto na 2 do 4 posto. Uvjereni smo da je Henkel na dobrom putu da nastavi ostvarivati održiv i profitabilan rast.“</w:t>
      </w:r>
    </w:p>
    <w:p w14:paraId="1DFFFE16" w14:textId="77777777" w:rsidR="00880F62" w:rsidRDefault="00880F62" w:rsidP="00880F62">
      <w:pPr>
        <w:rPr>
          <w:bCs/>
          <w:lang w:val="hr-HR" w:bidi="hr-HR"/>
        </w:rPr>
      </w:pPr>
    </w:p>
    <w:p w14:paraId="31D08A00" w14:textId="240E109F" w:rsidR="00880F62" w:rsidRPr="00880F62" w:rsidRDefault="00880F62" w:rsidP="00880F62">
      <w:pPr>
        <w:rPr>
          <w:b/>
          <w:lang w:val="hr-HR" w:bidi="hr-HR"/>
        </w:rPr>
      </w:pPr>
      <w:r w:rsidRPr="00880F62">
        <w:rPr>
          <w:b/>
          <w:lang w:val="hr-HR" w:bidi="hr-HR"/>
        </w:rPr>
        <w:t>Prodaja i poslovni rezultati Grupe u prvoj polovici 2026. godine</w:t>
      </w:r>
    </w:p>
    <w:p w14:paraId="284AFFAA" w14:textId="77777777" w:rsidR="00880F62" w:rsidRPr="00880F62" w:rsidRDefault="00880F62" w:rsidP="00880F62">
      <w:pPr>
        <w:rPr>
          <w:bCs/>
          <w:lang w:val="hr-HR" w:bidi="hr-HR"/>
        </w:rPr>
      </w:pPr>
      <w:r w:rsidRPr="00880F62">
        <w:rPr>
          <w:bCs/>
          <w:lang w:val="hr-HR" w:bidi="hr-HR"/>
        </w:rPr>
        <w:t>Henkel je u prvoj polovici 2026. godine ostvario prodaju na razini Grupe u iznosu od 10.348 milijuna eura, što predstavlja nominalnu promjenu od -0,5 posto (drugo tromjesečje: 5.396 milijuna eura, +4,6 posto). Negativan utjecaj tečajnih razlika smanjio je prodaju za -3,9 posto (drugo tromjesečje: -2,6 posto). Akvizicije i dezinvestiranja imali su blago pozitivan učinak na prodaju od 0,2 posto (drugo tromjesečje: +2,5 posto). Dok je prodaja poslovanja s robnim markama trgovačkih lanaca u Sjevernoj Americi, realizirana u travnju 2025. godine, imala negativan utjecaj, akvizicije provedene u obje poslovne jedinice tijekom prve polovice 2026. godine – posebno tvrtki ATP Adhesive Systems i Not Your Mother’s – pozitivno su pridonijele rezultatima. Organski promatrano, odnosno bez utjecaja tečajnih razlika i akvizicija/dezinvestiranja, Henkel je ostvario snažan rast prodaje od 3,2 posto (drugo tromjesečje: +4,7 posto).</w:t>
      </w:r>
    </w:p>
    <w:p w14:paraId="603ED22E" w14:textId="77777777" w:rsidR="00880F62" w:rsidRPr="00880F62" w:rsidRDefault="00880F62" w:rsidP="00880F62">
      <w:pPr>
        <w:rPr>
          <w:bCs/>
          <w:lang w:val="hr-HR" w:bidi="hr-HR"/>
        </w:rPr>
      </w:pPr>
    </w:p>
    <w:p w14:paraId="65AF231B" w14:textId="65121C1B" w:rsidR="00DF5583" w:rsidRDefault="00880F62" w:rsidP="00880F62">
      <w:pPr>
        <w:rPr>
          <w:bCs/>
          <w:lang w:val="hr-HR" w:bidi="hr-HR"/>
        </w:rPr>
      </w:pPr>
      <w:r w:rsidRPr="00880F62">
        <w:rPr>
          <w:bCs/>
          <w:lang w:val="hr-HR" w:bidi="hr-HR"/>
        </w:rPr>
        <w:lastRenderedPageBreak/>
        <w:t>Na regionalnoj razini Europa je zabilježila organski pad prodaje od -1,5 posto (drugo tromjesečje: +0,4 posto). Nasuprot tome, Sjeverna Amerika ostvarila je dobar organski rast od 2,4 posto (drugo tromjesečje: +3,9 posto). U regijama IMEA i Azija i Pacifik Henkel je ostvario dvoznamenkasti organski rast prodaje od 14,9 posto (drugo tromjesečje: +17,4 posto), odnosno 10,3 posto (drugo tromjesečje: +10,3 posto). Regija Latinska Amerika zabilježila je blagi organski pad prodaje od -1,3 posto (drugo tromjesečje: +0,5 posto).</w:t>
      </w:r>
    </w:p>
    <w:p w14:paraId="64A4394F" w14:textId="77777777" w:rsidR="00630197" w:rsidRDefault="00630197" w:rsidP="0057566B">
      <w:pPr>
        <w:rPr>
          <w:bCs/>
          <w:lang w:val="hr-HR" w:bidi="hr-HR"/>
        </w:rPr>
      </w:pPr>
    </w:p>
    <w:p w14:paraId="19F75ED4" w14:textId="77777777" w:rsidR="009D31A0" w:rsidRPr="009D31A0" w:rsidRDefault="009D31A0" w:rsidP="009D31A0">
      <w:pPr>
        <w:rPr>
          <w:bCs/>
          <w:lang w:val="hr-HR" w:bidi="hr-HR"/>
        </w:rPr>
      </w:pPr>
      <w:r w:rsidRPr="003A16AE">
        <w:rPr>
          <w:b/>
          <w:lang w:val="hr-HR" w:bidi="hr-HR"/>
        </w:rPr>
        <w:t>Prilagođena operativna dobit (prilagođeni EBIT)</w:t>
      </w:r>
      <w:r w:rsidRPr="009D31A0">
        <w:rPr>
          <w:bCs/>
          <w:lang w:val="hr-HR" w:bidi="hr-HR"/>
        </w:rPr>
        <w:t xml:space="preserve"> iznosila je 1.620 milijuna eura, što je neznatno više u odnosu na 1.614 milijuna eura ostvarenih u istom razdoblju prethodne godine.</w:t>
      </w:r>
    </w:p>
    <w:p w14:paraId="41FDAE74" w14:textId="77777777" w:rsidR="009D31A0" w:rsidRPr="009D31A0" w:rsidRDefault="009D31A0" w:rsidP="009D31A0">
      <w:pPr>
        <w:rPr>
          <w:bCs/>
          <w:lang w:val="hr-HR" w:bidi="hr-HR"/>
        </w:rPr>
      </w:pPr>
    </w:p>
    <w:p w14:paraId="5A911E83" w14:textId="361A6084" w:rsidR="009D31A0" w:rsidRDefault="007753D6" w:rsidP="009D31A0">
      <w:pPr>
        <w:rPr>
          <w:bCs/>
          <w:lang w:bidi="hr-HR"/>
        </w:rPr>
      </w:pPr>
      <w:r w:rsidRPr="007753D6">
        <w:rPr>
          <w:b/>
          <w:lang w:bidi="hr-HR"/>
        </w:rPr>
        <w:t>Prilagođeni prinos od prodaje (prilagođena EBIT marža)</w:t>
      </w:r>
      <w:r w:rsidRPr="007753D6">
        <w:rPr>
          <w:bCs/>
          <w:lang w:bidi="hr-HR"/>
        </w:rPr>
        <w:t xml:space="preserve"> Grupe Henkel povećan je na 15,7 posto (prethodna godina: 15,5 posto).</w:t>
      </w:r>
    </w:p>
    <w:p w14:paraId="17C52E8D" w14:textId="77777777" w:rsidR="007753D6" w:rsidRPr="009D31A0" w:rsidRDefault="007753D6" w:rsidP="009D31A0">
      <w:pPr>
        <w:rPr>
          <w:bCs/>
          <w:lang w:val="hr-HR" w:bidi="hr-HR"/>
        </w:rPr>
      </w:pPr>
    </w:p>
    <w:p w14:paraId="0C4C7F41" w14:textId="77777777" w:rsidR="009D31A0" w:rsidRPr="009D31A0" w:rsidRDefault="009D31A0" w:rsidP="009D31A0">
      <w:pPr>
        <w:rPr>
          <w:bCs/>
          <w:lang w:val="hr-HR" w:bidi="hr-HR"/>
        </w:rPr>
      </w:pPr>
      <w:r w:rsidRPr="007753D6">
        <w:rPr>
          <w:b/>
          <w:lang w:val="hr-HR" w:bidi="hr-HR"/>
        </w:rPr>
        <w:t>Prilagođena dobit po povlaštenoj dionici</w:t>
      </w:r>
      <w:r w:rsidRPr="009D31A0">
        <w:rPr>
          <w:bCs/>
          <w:lang w:val="hr-HR" w:bidi="hr-HR"/>
        </w:rPr>
        <w:t xml:space="preserve"> porasla je za 1,8 posto i iznosila je 2,86 eura (prethodna godina: 2,81 eura). Pri stalnim tečajevima, prilagođena dobit po povlaštenoj dionici zabilježila je rast od 7,1 posto.</w:t>
      </w:r>
    </w:p>
    <w:p w14:paraId="6DBA9729" w14:textId="77777777" w:rsidR="009D31A0" w:rsidRPr="009D31A0" w:rsidRDefault="009D31A0" w:rsidP="009D31A0">
      <w:pPr>
        <w:rPr>
          <w:bCs/>
          <w:lang w:val="hr-HR" w:bidi="hr-HR"/>
        </w:rPr>
      </w:pPr>
    </w:p>
    <w:p w14:paraId="2A45E2BA" w14:textId="77777777" w:rsidR="009D31A0" w:rsidRPr="009D31A0" w:rsidRDefault="009D31A0" w:rsidP="009D31A0">
      <w:pPr>
        <w:rPr>
          <w:bCs/>
          <w:lang w:val="hr-HR" w:bidi="hr-HR"/>
        </w:rPr>
      </w:pPr>
      <w:r w:rsidRPr="007753D6">
        <w:rPr>
          <w:b/>
          <w:lang w:val="hr-HR" w:bidi="hr-HR"/>
        </w:rPr>
        <w:t>Neto obrtni kapital</w:t>
      </w:r>
      <w:r w:rsidRPr="009D31A0">
        <w:rPr>
          <w:bCs/>
          <w:lang w:val="hr-HR" w:bidi="hr-HR"/>
        </w:rPr>
        <w:t>, iskazan kao postotak prodaje ostvarene u drugom tromjesečju, povećan je sa 6,0 na 7,0 posto u odnosu na isto razdoblje prethodne godine, djelomično kao rezultat provedenih akvizicija.</w:t>
      </w:r>
    </w:p>
    <w:p w14:paraId="5617C386" w14:textId="77777777" w:rsidR="009D31A0" w:rsidRPr="009D31A0" w:rsidRDefault="009D31A0" w:rsidP="009D31A0">
      <w:pPr>
        <w:rPr>
          <w:bCs/>
          <w:lang w:val="hr-HR" w:bidi="hr-HR"/>
        </w:rPr>
      </w:pPr>
    </w:p>
    <w:p w14:paraId="68B4D03B" w14:textId="77777777" w:rsidR="009D31A0" w:rsidRPr="009D31A0" w:rsidRDefault="009D31A0" w:rsidP="009D31A0">
      <w:pPr>
        <w:rPr>
          <w:bCs/>
          <w:lang w:val="hr-HR" w:bidi="hr-HR"/>
        </w:rPr>
      </w:pPr>
      <w:r w:rsidRPr="007753D6">
        <w:rPr>
          <w:b/>
          <w:lang w:val="hr-HR" w:bidi="hr-HR"/>
        </w:rPr>
        <w:t>Slobodni novčani tok</w:t>
      </w:r>
      <w:r w:rsidRPr="009D31A0">
        <w:rPr>
          <w:bCs/>
          <w:lang w:val="hr-HR" w:bidi="hr-HR"/>
        </w:rPr>
        <w:t xml:space="preserve"> povećan je na 612 milijuna eura (prva polovica 2025. godine: 485 milijuna eura), ponajprije zahvaljujući većim novčanim priljevima iz poslovnih aktivnosti.</w:t>
      </w:r>
    </w:p>
    <w:p w14:paraId="7BA55E7E" w14:textId="77777777" w:rsidR="009D31A0" w:rsidRPr="009D31A0" w:rsidRDefault="009D31A0" w:rsidP="009D31A0">
      <w:pPr>
        <w:rPr>
          <w:bCs/>
          <w:lang w:val="hr-HR" w:bidi="hr-HR"/>
        </w:rPr>
      </w:pPr>
    </w:p>
    <w:p w14:paraId="5EB4B325" w14:textId="1226F9AB" w:rsidR="009D31A0" w:rsidRDefault="009D31A0" w:rsidP="009D31A0">
      <w:pPr>
        <w:rPr>
          <w:bCs/>
          <w:lang w:val="hr-HR" w:bidi="hr-HR"/>
        </w:rPr>
      </w:pPr>
      <w:r w:rsidRPr="009D31A0">
        <w:rPr>
          <w:bCs/>
          <w:lang w:val="hr-HR" w:bidi="hr-HR"/>
        </w:rPr>
        <w:t>Na dan 30. lipnja 2026. godine neto financijska pozicija iznosila je -1.855 milijuna eura (31. prosinca 2025.: 109 milijuna eura), ponajprije kao rezultat novčanih odljeva povezanih s nedavno dovršenim akvizicijama i programom otkupa vlastitih dionica.</w:t>
      </w:r>
    </w:p>
    <w:p w14:paraId="665EDAC0" w14:textId="77777777" w:rsidR="00AE0F56" w:rsidRDefault="00AE0F56" w:rsidP="009D31A0">
      <w:pPr>
        <w:rPr>
          <w:bCs/>
          <w:lang w:val="hr-HR" w:bidi="hr-HR"/>
        </w:rPr>
      </w:pPr>
    </w:p>
    <w:p w14:paraId="5EEA400A" w14:textId="6C70A925" w:rsidR="00AE0F56" w:rsidRPr="00AE0F56" w:rsidRDefault="00AE0F56" w:rsidP="00AE0F56">
      <w:pPr>
        <w:rPr>
          <w:b/>
          <w:bCs/>
          <w:lang w:val="sr-SP" w:bidi="hr-HR"/>
        </w:rPr>
      </w:pPr>
      <w:r w:rsidRPr="00AE0F56">
        <w:rPr>
          <w:b/>
          <w:bCs/>
          <w:lang w:val="sr-SP" w:bidi="hr-HR"/>
        </w:rPr>
        <w:t>Rezultati poslovn</w:t>
      </w:r>
      <w:r w:rsidR="00601D90">
        <w:rPr>
          <w:b/>
          <w:bCs/>
          <w:lang w:val="sr-SP" w:bidi="hr-HR"/>
        </w:rPr>
        <w:t>ih</w:t>
      </w:r>
      <w:r w:rsidRPr="00AE0F56">
        <w:rPr>
          <w:b/>
          <w:bCs/>
          <w:lang w:val="sr-SP" w:bidi="hr-HR"/>
        </w:rPr>
        <w:t xml:space="preserve"> jedinic</w:t>
      </w:r>
      <w:r w:rsidR="00601D90">
        <w:rPr>
          <w:b/>
          <w:bCs/>
          <w:lang w:val="sr-SP" w:bidi="hr-HR"/>
        </w:rPr>
        <w:t>a</w:t>
      </w:r>
      <w:r w:rsidRPr="00AE0F56">
        <w:rPr>
          <w:b/>
          <w:bCs/>
          <w:lang w:val="sr-SP" w:bidi="hr-HR"/>
        </w:rPr>
        <w:t xml:space="preserve"> u prvoj polovici poslovne 2026. godine</w:t>
      </w:r>
    </w:p>
    <w:p w14:paraId="5BA7B6D8" w14:textId="77777777" w:rsidR="00AE0F56" w:rsidRDefault="00AE0F56" w:rsidP="00AE0F56">
      <w:pPr>
        <w:rPr>
          <w:bCs/>
          <w:lang w:val="sr-SP" w:bidi="hr-HR"/>
        </w:rPr>
      </w:pPr>
      <w:r w:rsidRPr="00AE0F56">
        <w:rPr>
          <w:bCs/>
          <w:lang w:val="sr-SP" w:bidi="hr-HR"/>
        </w:rPr>
        <w:t xml:space="preserve">Poslovna jedinica </w:t>
      </w:r>
      <w:r w:rsidRPr="00AE0F56">
        <w:rPr>
          <w:b/>
          <w:bCs/>
          <w:lang w:val="sr-SP" w:bidi="hr-HR"/>
        </w:rPr>
        <w:t>Ljepila i tehnologije</w:t>
      </w:r>
      <w:r w:rsidRPr="00AE0F56">
        <w:rPr>
          <w:bCs/>
          <w:lang w:val="sr-SP" w:bidi="hr-HR"/>
        </w:rPr>
        <w:t xml:space="preserve"> ostvarila je u prvoj polovici 2026. godine nominalni rast prodaje od 2,2 posto, na ukupno 5.534 milijuna eura (drugo tromjesečje: 2.908 milijuna eura, +7,6 posto). Organski promatrano, poslovna jedinica </w:t>
      </w:r>
      <w:r w:rsidRPr="00AE0F56">
        <w:rPr>
          <w:b/>
          <w:bCs/>
          <w:lang w:val="sr-SP" w:bidi="hr-HR"/>
        </w:rPr>
        <w:t>Ljepila i tehnologije</w:t>
      </w:r>
      <w:r w:rsidRPr="00AE0F56">
        <w:rPr>
          <w:bCs/>
          <w:lang w:val="sr-SP" w:bidi="hr-HR"/>
        </w:rPr>
        <w:t xml:space="preserve"> zabilježila je vrlo snažan rast prodaje od 4,5 posto (drugo tromjesečje: +7,4 posto), zahvaljujući pozitivnom razvoju cijena i obujma prodaje.</w:t>
      </w:r>
    </w:p>
    <w:p w14:paraId="763DA942" w14:textId="77777777" w:rsidR="003C5F88" w:rsidRDefault="003C5F88" w:rsidP="00AE0F56">
      <w:pPr>
        <w:rPr>
          <w:bCs/>
          <w:lang w:val="sr-SP" w:bidi="hr-HR"/>
        </w:rPr>
      </w:pPr>
    </w:p>
    <w:p w14:paraId="47496B0D" w14:textId="77777777" w:rsidR="003C5F88" w:rsidRDefault="003C5F88" w:rsidP="00AE0F56">
      <w:pPr>
        <w:rPr>
          <w:bCs/>
          <w:lang w:val="sr-SP" w:bidi="hr-HR"/>
        </w:rPr>
      </w:pPr>
    </w:p>
    <w:p w14:paraId="21B6B8C6" w14:textId="77777777" w:rsidR="003C5F88" w:rsidRDefault="003C5F88" w:rsidP="00AE0F56">
      <w:pPr>
        <w:rPr>
          <w:bCs/>
          <w:lang w:val="sr-SP" w:bidi="hr-HR"/>
        </w:rPr>
      </w:pPr>
    </w:p>
    <w:p w14:paraId="1B43B316" w14:textId="77777777" w:rsidR="003C5F88" w:rsidRPr="003C5F88" w:rsidRDefault="003C5F88" w:rsidP="003C5F88">
      <w:pPr>
        <w:rPr>
          <w:bCs/>
          <w:lang w:val="sr-SP" w:bidi="hr-HR"/>
        </w:rPr>
      </w:pPr>
      <w:r w:rsidRPr="003C5F88">
        <w:rPr>
          <w:bCs/>
          <w:lang w:val="sr-SP" w:bidi="hr-HR"/>
        </w:rPr>
        <w:lastRenderedPageBreak/>
        <w:t>Promatrano po poslovnim područjima, organski rast prodaje u poslovnoj jedinici Ljepila i tehnologije u prvoj polovici godine prvenstveno je ostvaren zahvaljujući značajnom organskom rastu prodaje od 7,8 posto u poslovnom području Mobilnost i elektronika (drugo tromjesečje: +8,8 posto).</w:t>
      </w:r>
    </w:p>
    <w:p w14:paraId="0F3A20C5" w14:textId="77777777" w:rsidR="003C5F88" w:rsidRPr="003C5F88" w:rsidRDefault="003C5F88" w:rsidP="003C5F88">
      <w:pPr>
        <w:rPr>
          <w:bCs/>
          <w:lang w:val="sr-SP" w:bidi="hr-HR"/>
        </w:rPr>
      </w:pPr>
    </w:p>
    <w:p w14:paraId="4407EDDF" w14:textId="77777777" w:rsidR="003C5F88" w:rsidRPr="003C5F88" w:rsidRDefault="003C5F88" w:rsidP="003C5F88">
      <w:pPr>
        <w:rPr>
          <w:bCs/>
          <w:lang w:val="sr-SP" w:bidi="hr-HR"/>
        </w:rPr>
      </w:pPr>
      <w:r w:rsidRPr="003C5F88">
        <w:rPr>
          <w:bCs/>
          <w:lang w:val="sr-SP" w:bidi="hr-HR"/>
        </w:rPr>
        <w:t>Takvom rezultatu pridonio je dvoznamenkasti organski rast prodaje u području Electronics, kao i značajan organski rast prodaje u području Industrial. Nasuprot tome, područje Automotive zabilježilo je pad u prvoj polovici godine, ali je u drugom tromjesečju ostvarilo oporavak uz dobar organski rast prodaje.</w:t>
      </w:r>
    </w:p>
    <w:p w14:paraId="7F3D68B6" w14:textId="77777777" w:rsidR="003C5F88" w:rsidRPr="003C5F88" w:rsidRDefault="003C5F88" w:rsidP="003C5F88">
      <w:pPr>
        <w:rPr>
          <w:bCs/>
          <w:lang w:val="sr-SP" w:bidi="hr-HR"/>
        </w:rPr>
      </w:pPr>
    </w:p>
    <w:p w14:paraId="71E7131D" w14:textId="77777777" w:rsidR="003C5F88" w:rsidRPr="003C5F88" w:rsidRDefault="003C5F88" w:rsidP="003C5F88">
      <w:pPr>
        <w:rPr>
          <w:bCs/>
          <w:lang w:val="sr-SP" w:bidi="hr-HR"/>
        </w:rPr>
      </w:pPr>
      <w:r w:rsidRPr="003C5F88">
        <w:rPr>
          <w:bCs/>
          <w:lang w:val="sr-SP" w:bidi="hr-HR"/>
        </w:rPr>
        <w:t>Poslovno područje Ambalaža i potrošačka roba ostvarilo je vrlo snažan organski rast prodaje od 4,7 posto, zahvaljujući snažnom rastu u području Packaging i vrlo snažnom organskom rastu prodaje u području Consumer Goods (drugo tromjesečje: +9,1 posto). Ovom rezultatu pridonijela je i povećana kupnja kupaca unaprijed kao odgovor na geopolitičke neizvjesnosti.</w:t>
      </w:r>
    </w:p>
    <w:p w14:paraId="48D52942" w14:textId="77777777" w:rsidR="003C5F88" w:rsidRPr="003C5F88" w:rsidRDefault="003C5F88" w:rsidP="003C5F88">
      <w:pPr>
        <w:rPr>
          <w:bCs/>
          <w:lang w:val="sr-SP" w:bidi="hr-HR"/>
        </w:rPr>
      </w:pPr>
    </w:p>
    <w:p w14:paraId="1D7F38FA" w14:textId="349CAE35" w:rsidR="00695A20" w:rsidRDefault="003C5F88" w:rsidP="003C5F88">
      <w:pPr>
        <w:rPr>
          <w:bCs/>
          <w:lang w:val="sr-SP" w:bidi="hr-HR"/>
        </w:rPr>
      </w:pPr>
      <w:r w:rsidRPr="003C5F88">
        <w:rPr>
          <w:bCs/>
          <w:lang w:val="sr-SP" w:bidi="hr-HR"/>
        </w:rPr>
        <w:t>Poslovno područje Obrtnici, građevinarstvo i profesionalci ostvarilo je organski rast prodaje od 1,0 posto (drugo tromjesečje: +4,4 posto). Taj rast prvenstveno je rezultat snažnog organskog rasta prodaje u području General Manufacturing &amp; Maintenance, dok je područje Consumer &amp; Construction zabilježilo blagi organski pad prodaje.</w:t>
      </w:r>
    </w:p>
    <w:p w14:paraId="52BCFFD6" w14:textId="77777777" w:rsidR="00276573" w:rsidRPr="00AE0F56" w:rsidRDefault="00276573" w:rsidP="003C5F88">
      <w:pPr>
        <w:rPr>
          <w:bCs/>
          <w:lang w:val="sr-SP" w:bidi="hr-HR"/>
        </w:rPr>
      </w:pPr>
    </w:p>
    <w:p w14:paraId="69943E84" w14:textId="77777777" w:rsidR="00276573" w:rsidRPr="00276573" w:rsidRDefault="00276573" w:rsidP="00276573">
      <w:pPr>
        <w:rPr>
          <w:bCs/>
          <w:lang w:val="sr-SP" w:bidi="hr-HR"/>
        </w:rPr>
      </w:pPr>
      <w:r w:rsidRPr="00276573">
        <w:rPr>
          <w:bCs/>
          <w:lang w:val="sr-SP" w:bidi="hr-HR"/>
        </w:rPr>
        <w:t>Prilagođena operativna dobit bila je iznad razine prethodne godine i iznosila je 982 milijuna eura, unatoč negativnom utjecaju tečajnih razlika. Prilagođeni prinos od prodaje povećan je na 17,7 posto, u odnosu na 17,2 posto u istom razdoblju prethodne godine. Na ovaj rezultat pozitivno su utjecali učinci ekonomije razmjera proizašli iz rasta obujma prodaje, kao i poslovni miks.</w:t>
      </w:r>
    </w:p>
    <w:p w14:paraId="772F4769" w14:textId="77777777" w:rsidR="00276573" w:rsidRDefault="00276573" w:rsidP="00276573">
      <w:pPr>
        <w:rPr>
          <w:bCs/>
          <w:lang w:val="sr-SP" w:bidi="hr-HR"/>
        </w:rPr>
      </w:pPr>
      <w:r w:rsidRPr="00276573">
        <w:rPr>
          <w:bCs/>
          <w:lang w:val="sr-SP" w:bidi="hr-HR"/>
        </w:rPr>
        <w:t xml:space="preserve">Poslovna jedinica </w:t>
      </w:r>
      <w:r w:rsidRPr="00276573">
        <w:rPr>
          <w:b/>
          <w:bCs/>
          <w:lang w:val="sr-SP" w:bidi="hr-HR"/>
        </w:rPr>
        <w:t>Consumer Brands</w:t>
      </w:r>
      <w:r w:rsidRPr="00276573">
        <w:rPr>
          <w:bCs/>
          <w:lang w:val="sr-SP" w:bidi="hr-HR"/>
        </w:rPr>
        <w:t xml:space="preserve"> ostvarila je u prvoj polovici 2026. godine prodaju u iznosu od 4.733 milijuna eura, što predstavlja nominalni pad od -3,5 posto u usporedbi s istim razdobljem prethodne godine (drugo tromjesečje: 2.448 milijuna eura, +1,1 posto). Organski promatrano, prodaja je porasla za 1,7 posto (drugo tromjesečje: +1,6 posto), pri čemu je ova poslovna jedinica zabilježila pozitivan razvoj i cijena i obujma prodaje u usporedbi s prvom polovicom 2025. godine.</w:t>
      </w:r>
    </w:p>
    <w:p w14:paraId="62767B22" w14:textId="77777777" w:rsidR="00ED3C7D" w:rsidRDefault="00ED3C7D" w:rsidP="00276573">
      <w:pPr>
        <w:rPr>
          <w:bCs/>
          <w:lang w:val="sr-SP" w:bidi="hr-HR"/>
        </w:rPr>
      </w:pPr>
    </w:p>
    <w:p w14:paraId="1B7EB94F" w14:textId="77777777" w:rsidR="00ED3C7D" w:rsidRPr="00ED3C7D" w:rsidRDefault="00ED3C7D" w:rsidP="00ED3C7D">
      <w:pPr>
        <w:rPr>
          <w:bCs/>
          <w:lang w:val="sr-SP" w:bidi="hr-HR"/>
        </w:rPr>
      </w:pPr>
      <w:r w:rsidRPr="00ED3C7D">
        <w:rPr>
          <w:bCs/>
          <w:lang w:val="sr-SP" w:bidi="hr-HR"/>
        </w:rPr>
        <w:t xml:space="preserve">U prvoj polovici godine poslovna jedinica </w:t>
      </w:r>
      <w:r w:rsidRPr="00ED3C7D">
        <w:rPr>
          <w:b/>
          <w:bCs/>
          <w:lang w:val="sr-SP" w:bidi="hr-HR"/>
        </w:rPr>
        <w:t>Consumer Brands</w:t>
      </w:r>
      <w:r w:rsidRPr="00ED3C7D">
        <w:rPr>
          <w:bCs/>
          <w:lang w:val="sr-SP" w:bidi="hr-HR"/>
        </w:rPr>
        <w:t xml:space="preserve"> ostvarila je pozitivan organski razvoj prodaje od 0,7 posto u području </w:t>
      </w:r>
      <w:r w:rsidRPr="00ED3C7D">
        <w:rPr>
          <w:b/>
          <w:bCs/>
          <w:lang w:val="sr-SP" w:bidi="hr-HR"/>
        </w:rPr>
        <w:t>Deterdženti i kućna njega</w:t>
      </w:r>
      <w:r w:rsidRPr="00ED3C7D">
        <w:rPr>
          <w:bCs/>
          <w:lang w:val="sr-SP" w:bidi="hr-HR"/>
        </w:rPr>
        <w:t xml:space="preserve"> (drugo tromjesečje: +1,3 posto). Područje </w:t>
      </w:r>
      <w:r w:rsidRPr="00ED3C7D">
        <w:rPr>
          <w:b/>
          <w:bCs/>
          <w:lang w:val="sr-SP" w:bidi="hr-HR"/>
        </w:rPr>
        <w:t>Njega rublja</w:t>
      </w:r>
      <w:r w:rsidRPr="00ED3C7D">
        <w:rPr>
          <w:bCs/>
          <w:lang w:val="sr-SP" w:bidi="hr-HR"/>
        </w:rPr>
        <w:t xml:space="preserve"> ostvarilo je pozitivan organski rast prodaje, prvenstveno zahvaljujući značajnom povećanju prodaje u kategoriji </w:t>
      </w:r>
      <w:r w:rsidRPr="00ED3C7D">
        <w:rPr>
          <w:b/>
          <w:bCs/>
          <w:lang w:val="sr-SP" w:bidi="hr-HR"/>
        </w:rPr>
        <w:t>Deterdženti za rublje</w:t>
      </w:r>
      <w:r w:rsidRPr="00ED3C7D">
        <w:rPr>
          <w:bCs/>
          <w:lang w:val="sr-SP" w:bidi="hr-HR"/>
        </w:rPr>
        <w:t xml:space="preserve"> i pozitivnom rastu u kategoriji </w:t>
      </w:r>
      <w:r w:rsidRPr="00ED3C7D">
        <w:rPr>
          <w:b/>
          <w:bCs/>
          <w:lang w:val="sr-SP" w:bidi="hr-HR"/>
        </w:rPr>
        <w:t>Proizvodi za završnu njegu rublja</w:t>
      </w:r>
      <w:r w:rsidRPr="00ED3C7D">
        <w:rPr>
          <w:bCs/>
          <w:lang w:val="sr-SP" w:bidi="hr-HR"/>
        </w:rPr>
        <w:t xml:space="preserve">. Nasuprot tome, kategorija </w:t>
      </w:r>
      <w:r w:rsidRPr="00ED3C7D">
        <w:rPr>
          <w:b/>
          <w:bCs/>
          <w:lang w:val="sr-SP" w:bidi="hr-HR"/>
        </w:rPr>
        <w:t xml:space="preserve">Čišćenje </w:t>
      </w:r>
      <w:r w:rsidRPr="00ED3C7D">
        <w:rPr>
          <w:b/>
          <w:bCs/>
          <w:lang w:val="sr-SP" w:bidi="hr-HR"/>
        </w:rPr>
        <w:lastRenderedPageBreak/>
        <w:t>rublja</w:t>
      </w:r>
      <w:r w:rsidRPr="00ED3C7D">
        <w:rPr>
          <w:bCs/>
          <w:lang w:val="sr-SP" w:bidi="hr-HR"/>
        </w:rPr>
        <w:t xml:space="preserve"> zabilježila je blagi pad. Područje </w:t>
      </w:r>
      <w:r w:rsidRPr="00ED3C7D">
        <w:rPr>
          <w:b/>
          <w:bCs/>
          <w:lang w:val="sr-SP" w:bidi="hr-HR"/>
        </w:rPr>
        <w:t>Kućna njega</w:t>
      </w:r>
      <w:r w:rsidRPr="00ED3C7D">
        <w:rPr>
          <w:bCs/>
          <w:lang w:val="sr-SP" w:bidi="hr-HR"/>
        </w:rPr>
        <w:t xml:space="preserve"> ostvarilo je dobar organski rast prodaje, prije svega zahvaljujući dvoznamenkastom rastu u kategoriji </w:t>
      </w:r>
      <w:r w:rsidRPr="00ED3C7D">
        <w:rPr>
          <w:b/>
          <w:bCs/>
          <w:lang w:val="sr-SP" w:bidi="hr-HR"/>
        </w:rPr>
        <w:t>Sredstva za pranje posuđa</w:t>
      </w:r>
      <w:r w:rsidRPr="00ED3C7D">
        <w:rPr>
          <w:bCs/>
          <w:lang w:val="sr-SP" w:bidi="hr-HR"/>
        </w:rPr>
        <w:t>.</w:t>
      </w:r>
    </w:p>
    <w:p w14:paraId="6797BFA0" w14:textId="77777777" w:rsidR="00ED3C7D" w:rsidRPr="00ED3C7D" w:rsidRDefault="00ED3C7D" w:rsidP="00ED3C7D">
      <w:pPr>
        <w:rPr>
          <w:bCs/>
          <w:lang w:val="sr-SP" w:bidi="hr-HR"/>
        </w:rPr>
      </w:pPr>
      <w:r w:rsidRPr="00ED3C7D">
        <w:rPr>
          <w:bCs/>
          <w:lang w:val="sr-SP" w:bidi="hr-HR"/>
        </w:rPr>
        <w:t xml:space="preserve">Poslovno područje </w:t>
      </w:r>
      <w:r w:rsidRPr="00ED3C7D">
        <w:rPr>
          <w:b/>
          <w:bCs/>
          <w:lang w:val="sr-SP" w:bidi="hr-HR"/>
        </w:rPr>
        <w:t>Njega kose</w:t>
      </w:r>
      <w:r w:rsidRPr="00ED3C7D">
        <w:rPr>
          <w:bCs/>
          <w:lang w:val="sr-SP" w:bidi="hr-HR"/>
        </w:rPr>
        <w:t xml:space="preserve"> ostvarilo je vrlo snažan organski rast prodaje od 4,2 posto (drugo tromjesečje: +3,3 posto) i time bilo glavni pokretač rasta poslovne jedinice </w:t>
      </w:r>
      <w:r w:rsidRPr="00ED3C7D">
        <w:rPr>
          <w:b/>
          <w:bCs/>
          <w:lang w:val="sr-SP" w:bidi="hr-HR"/>
        </w:rPr>
        <w:t>Consumer Brands</w:t>
      </w:r>
      <w:r w:rsidRPr="00ED3C7D">
        <w:rPr>
          <w:bCs/>
          <w:lang w:val="sr-SP" w:bidi="hr-HR"/>
        </w:rPr>
        <w:t xml:space="preserve">. Ovaj pozitivan rezultat podržan je snažnim organskim rastom prodaje u okviru poslovanja </w:t>
      </w:r>
      <w:r w:rsidRPr="00ED3C7D">
        <w:rPr>
          <w:b/>
          <w:bCs/>
          <w:lang w:val="sr-SP" w:bidi="hr-HR"/>
        </w:rPr>
        <w:t>Consumer</w:t>
      </w:r>
      <w:r w:rsidRPr="00ED3C7D">
        <w:rPr>
          <w:bCs/>
          <w:lang w:val="sr-SP" w:bidi="hr-HR"/>
        </w:rPr>
        <w:t xml:space="preserve">, kao i vrlo snažnim rastom u okviru poslovanja </w:t>
      </w:r>
      <w:r w:rsidRPr="00ED3C7D">
        <w:rPr>
          <w:b/>
          <w:bCs/>
          <w:lang w:val="sr-SP" w:bidi="hr-HR"/>
        </w:rPr>
        <w:t>Professional</w:t>
      </w:r>
      <w:r w:rsidRPr="00ED3C7D">
        <w:rPr>
          <w:bCs/>
          <w:lang w:val="sr-SP" w:bidi="hr-HR"/>
        </w:rPr>
        <w:t xml:space="preserve">. U okviru poslovanja </w:t>
      </w:r>
      <w:r w:rsidRPr="00ED3C7D">
        <w:rPr>
          <w:b/>
          <w:bCs/>
          <w:lang w:val="sr-SP" w:bidi="hr-HR"/>
        </w:rPr>
        <w:t>Consumer</w:t>
      </w:r>
      <w:r w:rsidRPr="00ED3C7D">
        <w:rPr>
          <w:bCs/>
          <w:lang w:val="sr-SP" w:bidi="hr-HR"/>
        </w:rPr>
        <w:t xml:space="preserve">, sve kategorije pridonijele su rastu, pri čemu su kategorije </w:t>
      </w:r>
      <w:r w:rsidRPr="00ED3C7D">
        <w:rPr>
          <w:b/>
          <w:bCs/>
          <w:lang w:val="sr-SP" w:bidi="hr-HR"/>
        </w:rPr>
        <w:t>Hair Colorants</w:t>
      </w:r>
      <w:r w:rsidRPr="00ED3C7D">
        <w:rPr>
          <w:bCs/>
          <w:lang w:val="sr-SP" w:bidi="hr-HR"/>
        </w:rPr>
        <w:t xml:space="preserve"> i </w:t>
      </w:r>
      <w:r w:rsidRPr="00ED3C7D">
        <w:rPr>
          <w:b/>
          <w:bCs/>
          <w:lang w:val="sr-SP" w:bidi="hr-HR"/>
        </w:rPr>
        <w:t>Hair Styling</w:t>
      </w:r>
      <w:r w:rsidRPr="00ED3C7D">
        <w:rPr>
          <w:bCs/>
          <w:lang w:val="sr-SP" w:bidi="hr-HR"/>
        </w:rPr>
        <w:t xml:space="preserve"> ostvarile najveći doprinos.</w:t>
      </w:r>
    </w:p>
    <w:p w14:paraId="439F493F" w14:textId="77777777" w:rsidR="00ED3C7D" w:rsidRDefault="00ED3C7D" w:rsidP="00ED3C7D">
      <w:pPr>
        <w:rPr>
          <w:bCs/>
          <w:lang w:val="sr-SP" w:bidi="hr-HR"/>
        </w:rPr>
      </w:pPr>
      <w:r w:rsidRPr="00ED3C7D">
        <w:rPr>
          <w:bCs/>
          <w:lang w:val="sr-SP" w:bidi="hr-HR"/>
        </w:rPr>
        <w:t xml:space="preserve">Nasuprot tome, poslovno područje </w:t>
      </w:r>
      <w:r w:rsidRPr="00ED3C7D">
        <w:rPr>
          <w:b/>
          <w:bCs/>
          <w:lang w:val="sr-SP" w:bidi="hr-HR"/>
        </w:rPr>
        <w:t>Ostali potrošački proizvodi</w:t>
      </w:r>
      <w:r w:rsidRPr="00ED3C7D">
        <w:rPr>
          <w:bCs/>
          <w:lang w:val="sr-SP" w:bidi="hr-HR"/>
        </w:rPr>
        <w:t xml:space="preserve"> zabilježilo je negativan organski razvoj prodaje od -2,1 posto (drugo tromjesečje: -4,6 posto) u prvoj polovici godine, prvenstveno zbog razvoja poslovanja </w:t>
      </w:r>
      <w:r w:rsidRPr="00ED3C7D">
        <w:rPr>
          <w:b/>
          <w:bCs/>
          <w:lang w:val="sr-SP" w:bidi="hr-HR"/>
        </w:rPr>
        <w:t>Njega tijela</w:t>
      </w:r>
      <w:r w:rsidRPr="00ED3C7D">
        <w:rPr>
          <w:bCs/>
          <w:lang w:val="sr-SP" w:bidi="hr-HR"/>
        </w:rPr>
        <w:t xml:space="preserve"> u regiji Europe. Međutim, regija Sjeverna Amerika ostvarila je dobar organski rast prodaje.</w:t>
      </w:r>
    </w:p>
    <w:p w14:paraId="068D233D" w14:textId="77777777" w:rsidR="00092D2F" w:rsidRDefault="00092D2F" w:rsidP="00ED3C7D">
      <w:pPr>
        <w:rPr>
          <w:bCs/>
          <w:lang w:val="sr-SP" w:bidi="hr-HR"/>
        </w:rPr>
      </w:pPr>
    </w:p>
    <w:p w14:paraId="0043F855" w14:textId="77777777" w:rsidR="00092D2F" w:rsidRDefault="00092D2F" w:rsidP="00092D2F">
      <w:pPr>
        <w:rPr>
          <w:bCs/>
          <w:lang w:val="sr-SP" w:bidi="hr-HR"/>
        </w:rPr>
      </w:pPr>
      <w:r w:rsidRPr="00092D2F">
        <w:rPr>
          <w:bCs/>
          <w:lang w:val="sr-SP" w:bidi="hr-HR"/>
        </w:rPr>
        <w:t>Prilagođena operativna dobit iznosila je 724 milijuna eura i bila je blago ispod razine prethodne godine, prvenstveno zbog prodaje poslovanja s robnim markama trgovačkih lanaca u Sjevernoj Americi u travnju 2025. godine, kao i negativnog utjecaja tečajnih razlika. Nasuprot tome, prilagođeni prinos od prodaje ostao je nepromijenjen i iznosio je 15,3 posto u usporedbi s istim razdobljem prethodne godine.</w:t>
      </w:r>
    </w:p>
    <w:p w14:paraId="38C1E096" w14:textId="77777777" w:rsidR="00092D2F" w:rsidRPr="00092D2F" w:rsidRDefault="00092D2F" w:rsidP="00092D2F">
      <w:pPr>
        <w:rPr>
          <w:bCs/>
          <w:lang w:val="sr-SP" w:bidi="hr-HR"/>
        </w:rPr>
      </w:pPr>
    </w:p>
    <w:p w14:paraId="4A9A971D" w14:textId="77777777" w:rsidR="00092D2F" w:rsidRPr="00092D2F" w:rsidRDefault="00092D2F" w:rsidP="00092D2F">
      <w:pPr>
        <w:rPr>
          <w:b/>
          <w:bCs/>
          <w:lang w:val="sr-SP" w:bidi="hr-HR"/>
        </w:rPr>
      </w:pPr>
      <w:r w:rsidRPr="00092D2F">
        <w:rPr>
          <w:b/>
          <w:bCs/>
          <w:lang w:val="sr-SP" w:bidi="hr-HR"/>
        </w:rPr>
        <w:t>Prognoza za poslovnu godinu 2026.: Unaprijeđena očekivanja rasta prihoda za Grupu i poslovnu jedinicu Ljepila i tehnologije</w:t>
      </w:r>
    </w:p>
    <w:p w14:paraId="27A42342" w14:textId="77777777" w:rsidR="00092D2F" w:rsidRDefault="00092D2F" w:rsidP="00092D2F">
      <w:pPr>
        <w:rPr>
          <w:bCs/>
          <w:lang w:val="sr-SP" w:bidi="hr-HR"/>
        </w:rPr>
      </w:pPr>
      <w:r w:rsidRPr="00092D2F">
        <w:rPr>
          <w:bCs/>
          <w:lang w:val="sr-SP" w:bidi="hr-HR"/>
        </w:rPr>
        <w:t xml:space="preserve">Na temelju snažnih rezultata ostvarenih u prvoj polovici godine, Henkel je unaprijedio očekivanja u pogledu prihoda za Grupu i poslovnu jedinicu </w:t>
      </w:r>
      <w:r w:rsidRPr="00092D2F">
        <w:rPr>
          <w:b/>
          <w:bCs/>
          <w:lang w:val="sr-SP" w:bidi="hr-HR"/>
        </w:rPr>
        <w:t>Ljepila i tehnologije</w:t>
      </w:r>
      <w:r w:rsidRPr="00092D2F">
        <w:rPr>
          <w:bCs/>
          <w:lang w:val="sr-SP" w:bidi="hr-HR"/>
        </w:rPr>
        <w:t>, dok su očekivanja za prilagođenu EBIT maržu i rast prilagođene dobiti po povlaštenoj dionici (EPS) pri stalnim tečajevima ostala nepromijenjena.</w:t>
      </w:r>
    </w:p>
    <w:p w14:paraId="23C2CA9A" w14:textId="77777777" w:rsidR="00092D2F" w:rsidRPr="00092D2F" w:rsidRDefault="00092D2F" w:rsidP="00092D2F">
      <w:pPr>
        <w:rPr>
          <w:bCs/>
          <w:lang w:val="sr-SP" w:bidi="hr-HR"/>
        </w:rPr>
      </w:pPr>
    </w:p>
    <w:p w14:paraId="5EE9562B" w14:textId="2ADE9300" w:rsidR="00092D2F" w:rsidRDefault="00092D2F" w:rsidP="00092D2F">
      <w:pPr>
        <w:rPr>
          <w:bCs/>
          <w:lang w:val="sr-SP" w:bidi="hr-HR"/>
        </w:rPr>
      </w:pPr>
      <w:r w:rsidRPr="00092D2F">
        <w:rPr>
          <w:bCs/>
          <w:lang w:val="sr-SP" w:bidi="hr-HR"/>
        </w:rPr>
        <w:t xml:space="preserve">Za tekuću godinu Henkel sada očekuje organski rast prodaje u rasponu od 1,5 do 3,5 posto (prethodno: od 1,0 do 3,0 posto). Za poslovnu jedinicu </w:t>
      </w:r>
      <w:r w:rsidRPr="00092D2F">
        <w:rPr>
          <w:b/>
          <w:bCs/>
          <w:lang w:val="sr-SP" w:bidi="hr-HR"/>
        </w:rPr>
        <w:t>Ljepila i tehnologije</w:t>
      </w:r>
      <w:r w:rsidRPr="00092D2F">
        <w:rPr>
          <w:bCs/>
          <w:lang w:val="sr-SP" w:bidi="hr-HR"/>
        </w:rPr>
        <w:t xml:space="preserve"> očekuje se organski rast prodaje između 2,0 i 4,0 posto (prethodno: od 1,0 do 3,0 posto). Za poslovnu jedinicu </w:t>
      </w:r>
      <w:r w:rsidRPr="00092D2F">
        <w:rPr>
          <w:b/>
          <w:bCs/>
          <w:lang w:val="sr-SP" w:bidi="hr-HR"/>
        </w:rPr>
        <w:t>Consumer Brands</w:t>
      </w:r>
      <w:r w:rsidRPr="00092D2F">
        <w:rPr>
          <w:bCs/>
          <w:lang w:val="sr-SP" w:bidi="hr-HR"/>
        </w:rPr>
        <w:t>, Henkel i dalje očekuje organski rast prodaje u rasponu od 0,5 do 2,5 posto.</w:t>
      </w:r>
    </w:p>
    <w:p w14:paraId="36F0D839" w14:textId="77777777" w:rsidR="006501E3" w:rsidRDefault="006501E3" w:rsidP="00092D2F">
      <w:pPr>
        <w:rPr>
          <w:bCs/>
          <w:lang w:val="sr-SP" w:bidi="hr-HR"/>
        </w:rPr>
      </w:pPr>
    </w:p>
    <w:p w14:paraId="2BB10822" w14:textId="77777777" w:rsidR="006501E3" w:rsidRPr="006501E3" w:rsidRDefault="006501E3" w:rsidP="006501E3">
      <w:pPr>
        <w:rPr>
          <w:bCs/>
          <w:lang w:val="sr-SP" w:bidi="hr-HR"/>
        </w:rPr>
      </w:pPr>
      <w:r w:rsidRPr="006501E3">
        <w:rPr>
          <w:bCs/>
          <w:lang w:val="sr-SP" w:bidi="hr-HR"/>
        </w:rPr>
        <w:t>Očekuje se da će prilagođeni prinos od prodaje (</w:t>
      </w:r>
      <w:r w:rsidRPr="006501E3">
        <w:rPr>
          <w:b/>
          <w:bCs/>
          <w:lang w:val="sr-SP" w:bidi="hr-HR"/>
        </w:rPr>
        <w:t>prilagođena EBIT marža</w:t>
      </w:r>
      <w:r w:rsidRPr="006501E3">
        <w:rPr>
          <w:bCs/>
          <w:lang w:val="sr-SP" w:bidi="hr-HR"/>
        </w:rPr>
        <w:t xml:space="preserve">) biti u rasponu od 14,5 do 16,0 posto. Za poslovnu jedinicu </w:t>
      </w:r>
      <w:r w:rsidRPr="006501E3">
        <w:rPr>
          <w:b/>
          <w:bCs/>
          <w:lang w:val="sr-SP" w:bidi="hr-HR"/>
        </w:rPr>
        <w:t>Ljepila i tehnologije</w:t>
      </w:r>
      <w:r w:rsidRPr="006501E3">
        <w:rPr>
          <w:bCs/>
          <w:lang w:val="sr-SP" w:bidi="hr-HR"/>
        </w:rPr>
        <w:t xml:space="preserve"> očekuje se prilagođeni prinos od prodaje između 16,5 i 18,0 posto, dok se za poslovnu jedinicu </w:t>
      </w:r>
      <w:r w:rsidRPr="006501E3">
        <w:rPr>
          <w:b/>
          <w:bCs/>
          <w:lang w:val="sr-SP" w:bidi="hr-HR"/>
        </w:rPr>
        <w:t>Consumer Brands</w:t>
      </w:r>
      <w:r w:rsidRPr="006501E3">
        <w:rPr>
          <w:bCs/>
          <w:lang w:val="sr-SP" w:bidi="hr-HR"/>
        </w:rPr>
        <w:t xml:space="preserve"> očekuje između 14,0 i 15,5 posto.</w:t>
      </w:r>
    </w:p>
    <w:p w14:paraId="4191DA7E" w14:textId="77777777" w:rsidR="006501E3" w:rsidRPr="006501E3" w:rsidRDefault="006501E3" w:rsidP="006501E3">
      <w:pPr>
        <w:rPr>
          <w:bCs/>
          <w:lang w:val="sr-SP" w:bidi="hr-HR"/>
        </w:rPr>
      </w:pPr>
      <w:r w:rsidRPr="006501E3">
        <w:rPr>
          <w:bCs/>
          <w:lang w:val="sr-SP" w:bidi="hr-HR"/>
        </w:rPr>
        <w:t>Očekuje se da će prilagođena dobit po povlaštenoj dionici (</w:t>
      </w:r>
      <w:r w:rsidRPr="006501E3">
        <w:rPr>
          <w:b/>
          <w:bCs/>
          <w:lang w:val="sr-SP" w:bidi="hr-HR"/>
        </w:rPr>
        <w:t>EPS</w:t>
      </w:r>
      <w:r w:rsidRPr="006501E3">
        <w:rPr>
          <w:bCs/>
          <w:lang w:val="sr-SP" w:bidi="hr-HR"/>
        </w:rPr>
        <w:t>) pri stalnim tečajevima porasti u rasponu od niskog do visokog jednoznamenkastog postotnog rasta.</w:t>
      </w:r>
    </w:p>
    <w:p w14:paraId="1377DAF5" w14:textId="77777777" w:rsidR="006501E3" w:rsidRPr="006501E3" w:rsidRDefault="006501E3" w:rsidP="006501E3">
      <w:pPr>
        <w:rPr>
          <w:bCs/>
          <w:lang w:val="sr-SP" w:bidi="hr-HR"/>
        </w:rPr>
      </w:pPr>
      <w:r w:rsidRPr="006501E3">
        <w:rPr>
          <w:bCs/>
          <w:lang w:val="sr-SP" w:bidi="hr-HR"/>
        </w:rPr>
        <w:lastRenderedPageBreak/>
        <w:t>„Vrlo snažni poslovni rezultati ostvareni u prvoj polovici 2026. godine, obilježeni snažnim organskim rastom prodaje te daljnjim napretkom u pogledu marže i dobiti, potvrđuju da Henkelova transformacija donosi rezultate. Nastavit ćemo unapređivati ovaj proces kako bismo dodatno ojačali dugoročnu konkurentnost tvrtke i pozicionirali je za budući uspjeh. Transformiramo Henkel za uspješnu budućnost i, uz jasnu strategiju, čvrsto smo na putu prema daljnjem profitabilnom rastu“, izjavio je Carsten Knobel.</w:t>
      </w:r>
    </w:p>
    <w:p w14:paraId="2D7F8F2D" w14:textId="77777777" w:rsidR="00072125" w:rsidRDefault="00072125" w:rsidP="003A7C4B">
      <w:pPr>
        <w:rPr>
          <w:bCs/>
          <w:lang w:val="sr-SP" w:bidi="hr-HR"/>
        </w:rPr>
      </w:pPr>
    </w:p>
    <w:p w14:paraId="5A1EC5E5" w14:textId="77777777" w:rsidR="006821A5" w:rsidRPr="00F979FB" w:rsidRDefault="006821A5" w:rsidP="003A7C4B">
      <w:pPr>
        <w:rPr>
          <w:rStyle w:val="AboutandContactHeadline"/>
          <w:szCs w:val="18"/>
          <w:lang w:val="sr-Latn-RS"/>
        </w:rPr>
      </w:pPr>
    </w:p>
    <w:p w14:paraId="16F06151" w14:textId="77777777" w:rsidR="00695672" w:rsidRPr="00695672" w:rsidRDefault="00695672" w:rsidP="00695672">
      <w:pPr>
        <w:spacing w:line="240" w:lineRule="auto"/>
        <w:jc w:val="left"/>
        <w:rPr>
          <w:b/>
          <w:bCs/>
          <w:sz w:val="18"/>
          <w:szCs w:val="18"/>
          <w:lang w:val="hr-HR"/>
        </w:rPr>
      </w:pPr>
      <w:r w:rsidRPr="00695672">
        <w:rPr>
          <w:b/>
          <w:bCs/>
          <w:sz w:val="18"/>
          <w:szCs w:val="18"/>
          <w:lang w:val="hr-HR" w:bidi="hr-HR"/>
        </w:rPr>
        <w:t>O Henkelu</w:t>
      </w:r>
    </w:p>
    <w:p w14:paraId="3084BC40" w14:textId="77777777" w:rsidR="00CC2939" w:rsidRPr="00CC2939" w:rsidRDefault="00CC2939" w:rsidP="00CC2939">
      <w:pPr>
        <w:rPr>
          <w:sz w:val="18"/>
          <w:lang w:val="hr-HR" w:bidi="hr-HR"/>
        </w:rPr>
      </w:pPr>
      <w:r w:rsidRPr="00CC2939">
        <w:rPr>
          <w:sz w:val="18"/>
          <w:lang w:val="hr-HR" w:bidi="hr-HR"/>
        </w:rPr>
        <w:t>O Henkelu</w:t>
      </w:r>
    </w:p>
    <w:p w14:paraId="0CE0246D" w14:textId="59D65500" w:rsidR="003A7C4B" w:rsidRDefault="00CC2939" w:rsidP="00CC2939">
      <w:pPr>
        <w:rPr>
          <w:sz w:val="18"/>
          <w:lang w:val="hr-HR" w:bidi="hr-HR"/>
        </w:rPr>
      </w:pPr>
      <w:r w:rsidRPr="00CC2939">
        <w:rPr>
          <w:sz w:val="18"/>
          <w:lang w:val="hr-HR" w:bidi="hr-HR"/>
        </w:rPr>
        <w:t xml:space="preserve">Zahvaljujući svojim brendovima, inovacijama i tehnologijama, društvo Henkel drži vodeća mjesta na tržištu diljem svijeta u poslovanju s industrijskim proizvodima i robom široke potrošnje. Poslovna jedinica Ljepila i tehnologije društva Henkel svjetski je predvodnik na tržištu ljepila, brtvila i premaza. Poslovna jedinica Consumer Brands zauzima vodeći položaj na brojnim tržištima i u brojnim kategorijama diljem svijeta, osobito u poslovnim područjima s proizvodima za rublje i održavanje kućanstva te kosu. Tri su najjača brenda društva Henkel Loctite, Persil i Schwarzkopf. Henkel je tijekom poslovne godine 2025. zabilježio prodaju u iznosu od približno 20,5 milijardi eura i prilagođenu operativnu dobit od približno 3,0 milijarde eura. Povlaštene dionice društva Henkel upisane su u njemački burzovni indeks DAX. U Henkelu postoji duga tradicija održivosti i društvo ima jasnu strategiju održivosti s konkretnim ciljevima. Henkel je osnovan 1876. i danas zapošljava raznolik tim od približno 47 000 ljudi širom svijeta koji su ujedinjeni snažnom korporativnom kulturom, zajedničkim vrijednostima i zajedničkom svrhom: „Pioneers at heart for the good of generations. Za dodatne pojedinosti posjetite </w:t>
      </w:r>
      <w:hyperlink r:id="rId12" w:history="1">
        <w:r w:rsidR="00F8581F" w:rsidRPr="00760BC2">
          <w:rPr>
            <w:rStyle w:val="Hyperlink"/>
            <w:szCs w:val="24"/>
            <w:lang w:val="hr-HR" w:bidi="hr-HR"/>
          </w:rPr>
          <w:t>www.henkel.hr</w:t>
        </w:r>
      </w:hyperlink>
      <w:r w:rsidRPr="00CC2939">
        <w:rPr>
          <w:sz w:val="18"/>
          <w:lang w:val="hr-HR" w:bidi="hr-HR"/>
        </w:rPr>
        <w:t>.</w:t>
      </w:r>
      <w:r>
        <w:rPr>
          <w:sz w:val="18"/>
          <w:lang w:val="hr-HR" w:bidi="hr-HR"/>
        </w:rPr>
        <w:t xml:space="preserve"> </w:t>
      </w:r>
    </w:p>
    <w:p w14:paraId="29FE43BB" w14:textId="77777777" w:rsidR="000D0730" w:rsidRPr="00F979FB" w:rsidRDefault="000D0730" w:rsidP="00CC2939">
      <w:pPr>
        <w:rPr>
          <w:rFonts w:asciiTheme="majorHAnsi" w:hAnsiTheme="majorHAnsi" w:cstheme="majorHAnsi"/>
          <w:bCs/>
          <w:sz w:val="14"/>
          <w:szCs w:val="14"/>
          <w:lang w:val="sr-Latn-RS"/>
        </w:rPr>
      </w:pPr>
    </w:p>
    <w:p w14:paraId="7253497D" w14:textId="77777777" w:rsidR="00217C13" w:rsidRPr="00217C13" w:rsidRDefault="00217C13" w:rsidP="00217C13">
      <w:pPr>
        <w:spacing w:line="240" w:lineRule="auto"/>
        <w:jc w:val="left"/>
        <w:rPr>
          <w:sz w:val="14"/>
          <w:lang w:bidi="hr-HR"/>
        </w:rPr>
      </w:pPr>
      <w:r w:rsidRPr="00217C13">
        <w:rPr>
          <w:sz w:val="14"/>
          <w:lang w:bidi="hr-HR"/>
        </w:rPr>
        <w:t>Ovaj dokument sadržava izjave koje se odnose na budući poslovni razvoj, financijske rezultate i druge događaje ili razvoje od budućeg značaja za Henkel koji mogu predstavljati izjave o budućnosti. Izjave o budućnosti odlikuju se uporabom riječi kao što su: „očekuje se, namjerava, planira, predviđa, vjeruje, procjenjuje” i sličnih pojmova. Takve se izjave temelje na trenutačnim procjenama i pretpostavkama korporativnog vodstva društva Henkel AG &amp; Co. KGaA. Te izjave ne smiju se tumačiti kao ikakvo jamstvo da će ta očekivanja biti točna. Budući učinak i rezultati koje Henkel AG &amp; Co. KGaA i pridružena društva zaista ostvare ovise o brojnim rizicima i nesigurnostima te se stoga mogu bitno razlikovati (pozitivno i negativno) od izjava o budućnosti. Henkel ne može utjecati na mnoge od tih čimbenika niti ih unaprijed točno procijeniti, a među njima su buduće gospodarsko okruženje i djelovanje konkurenata i drugih sudionika na tržištu. Henkel ne planira niti se obvezuje ažurirati izjave o budućnosti.</w:t>
      </w:r>
    </w:p>
    <w:p w14:paraId="003730F5" w14:textId="77777777" w:rsidR="00217C13" w:rsidRPr="00217C13" w:rsidRDefault="00217C13" w:rsidP="00217C13">
      <w:pPr>
        <w:spacing w:line="240" w:lineRule="auto"/>
        <w:jc w:val="left"/>
        <w:rPr>
          <w:sz w:val="14"/>
          <w:lang w:bidi="hr-HR"/>
        </w:rPr>
      </w:pPr>
      <w:r w:rsidRPr="00217C13">
        <w:rPr>
          <w:sz w:val="14"/>
          <w:lang w:bidi="hr-HR"/>
        </w:rPr>
        <w:t>Ovaj dokument uključuje dodatne financijske pokazatelje koji nisu jasno definirani u primjenjivom okviru financijskog izvještavanja i koji jesu ili mogu biti alternativne mjere uspješnosti. Te dopunske financijske pokazatelje ne treba promatrati zasebno ili kao alternativu mjerenjima Henkelove neto imovine i financijskog položaja ili rezultata poslovanja prikazanih u skladu s primjenjivim okvirom financijskog izvještavanja u njegovim Konsolidiranim financijskim izvješćima. Druga društva koja izvještavaju o slično naslovljenim alternativnim mjerama učinka ili ih opisuju mogu ih izračunati drugačije.</w:t>
      </w:r>
    </w:p>
    <w:p w14:paraId="53C8889A" w14:textId="605DD3E2" w:rsidR="00B17A51" w:rsidRDefault="00217C13" w:rsidP="00217C13">
      <w:pPr>
        <w:spacing w:line="240" w:lineRule="auto"/>
        <w:jc w:val="left"/>
        <w:rPr>
          <w:rStyle w:val="AboutandContactBody"/>
          <w:rFonts w:asciiTheme="majorHAnsi" w:hAnsiTheme="majorHAnsi" w:cstheme="majorHAnsi"/>
          <w:b/>
          <w:szCs w:val="18"/>
          <w:lang w:val="sr-Latn-RS"/>
        </w:rPr>
      </w:pPr>
      <w:r w:rsidRPr="00217C13">
        <w:rPr>
          <w:sz w:val="14"/>
          <w:lang w:bidi="hr-HR"/>
        </w:rPr>
        <w:t>Ovaj dokument izdaje se isključivo u informativne svrhe i nije mu svrha nuditi savjet o ulaganju, ponudu za prodaju ili traženje ponude za kupnju bilo kojih vrijednosnih papira.</w:t>
      </w:r>
    </w:p>
    <w:p w14:paraId="07A5C7E5" w14:textId="77777777" w:rsidR="00072125" w:rsidRDefault="00072125">
      <w:pPr>
        <w:spacing w:line="240" w:lineRule="auto"/>
        <w:jc w:val="left"/>
        <w:rPr>
          <w:rStyle w:val="AboutandContactBody"/>
          <w:rFonts w:asciiTheme="majorHAnsi" w:hAnsiTheme="majorHAnsi" w:cstheme="majorHAnsi"/>
          <w:b/>
          <w:szCs w:val="18"/>
          <w:lang w:val="sr-Latn-RS"/>
        </w:rPr>
      </w:pPr>
    </w:p>
    <w:p w14:paraId="51B0DE45" w14:textId="77777777" w:rsidR="00072125" w:rsidRPr="00F979FB" w:rsidRDefault="00072125">
      <w:pPr>
        <w:spacing w:line="240" w:lineRule="auto"/>
        <w:jc w:val="left"/>
        <w:rPr>
          <w:rStyle w:val="AboutandContactBody"/>
          <w:rFonts w:asciiTheme="majorHAnsi" w:hAnsiTheme="majorHAnsi" w:cstheme="majorHAnsi"/>
          <w:b/>
          <w:szCs w:val="18"/>
          <w:lang w:val="sr-Latn-RS"/>
        </w:rPr>
      </w:pPr>
    </w:p>
    <w:p w14:paraId="4F2D5EC6" w14:textId="77777777" w:rsidR="00A9535D" w:rsidRPr="00F979FB" w:rsidRDefault="00A9535D" w:rsidP="003A7C4B">
      <w:pPr>
        <w:tabs>
          <w:tab w:val="left" w:pos="1080"/>
          <w:tab w:val="left" w:pos="4500"/>
        </w:tabs>
        <w:spacing w:line="264" w:lineRule="auto"/>
        <w:rPr>
          <w:rStyle w:val="AboutandContactBody"/>
          <w:rFonts w:asciiTheme="majorHAnsi" w:hAnsiTheme="majorHAnsi" w:cs="Calibri Light"/>
          <w:b/>
          <w:szCs w:val="18"/>
          <w:lang w:val="sr-Latn-RS"/>
        </w:rPr>
      </w:pPr>
    </w:p>
    <w:p w14:paraId="36F2C409" w14:textId="2BA94D66" w:rsidR="00695672" w:rsidRPr="00695672" w:rsidRDefault="00695672" w:rsidP="00695672">
      <w:pPr>
        <w:tabs>
          <w:tab w:val="left" w:pos="1080"/>
          <w:tab w:val="left" w:pos="4500"/>
        </w:tabs>
        <w:spacing w:line="264" w:lineRule="auto"/>
        <w:rPr>
          <w:sz w:val="18"/>
          <w:lang w:val="pt-PT" w:bidi="hr-HR"/>
        </w:rPr>
      </w:pPr>
      <w:r w:rsidRPr="00695672">
        <w:rPr>
          <w:sz w:val="18"/>
          <w:lang w:val="hr-HR" w:bidi="hr-HR"/>
        </w:rPr>
        <w:t>Kontakt</w:t>
      </w:r>
      <w:r w:rsidRPr="00695672">
        <w:rPr>
          <w:sz w:val="18"/>
          <w:lang w:val="hr-HR" w:bidi="hr-HR"/>
        </w:rPr>
        <w:tab/>
        <w:t>Jelena Gavrilović Šarenac</w:t>
      </w:r>
      <w:r w:rsidRPr="00695672">
        <w:rPr>
          <w:sz w:val="18"/>
          <w:lang w:val="hr-HR" w:bidi="hr-HR"/>
        </w:rPr>
        <w:tab/>
      </w:r>
      <w:r w:rsidRPr="00695672">
        <w:rPr>
          <w:sz w:val="18"/>
          <w:lang w:val="hr-HR" w:bidi="hr-HR"/>
        </w:rPr>
        <w:tab/>
      </w:r>
    </w:p>
    <w:p w14:paraId="1A5753A1" w14:textId="77777777" w:rsidR="00695672" w:rsidRPr="00695672" w:rsidRDefault="00695672" w:rsidP="00695672">
      <w:pPr>
        <w:tabs>
          <w:tab w:val="left" w:pos="1080"/>
          <w:tab w:val="left" w:pos="4500"/>
        </w:tabs>
        <w:spacing w:line="264" w:lineRule="auto"/>
        <w:rPr>
          <w:sz w:val="18"/>
          <w:lang w:val="hr-HR" w:bidi="hr-HR"/>
        </w:rPr>
      </w:pPr>
      <w:r w:rsidRPr="00695672">
        <w:rPr>
          <w:sz w:val="18"/>
          <w:lang w:val="hr-HR" w:bidi="hr-HR"/>
        </w:rPr>
        <w:t>E-pošta</w:t>
      </w:r>
      <w:r w:rsidRPr="00695672">
        <w:rPr>
          <w:sz w:val="18"/>
          <w:lang w:val="hr-HR" w:bidi="hr-HR"/>
        </w:rPr>
        <w:tab/>
      </w:r>
      <w:hyperlink r:id="rId13" w:history="1">
        <w:r w:rsidRPr="00695672">
          <w:rPr>
            <w:rStyle w:val="Hyperlink"/>
            <w:szCs w:val="24"/>
            <w:lang w:val="hr-HR" w:bidi="hr-HR"/>
          </w:rPr>
          <w:t>jelena.sarenac@henkel.com</w:t>
        </w:r>
      </w:hyperlink>
    </w:p>
    <w:p w14:paraId="23301078" w14:textId="77777777" w:rsidR="00695672" w:rsidRPr="00695672" w:rsidRDefault="00695672" w:rsidP="00695672">
      <w:pPr>
        <w:tabs>
          <w:tab w:val="left" w:pos="1080"/>
          <w:tab w:val="left" w:pos="4500"/>
        </w:tabs>
        <w:spacing w:line="264" w:lineRule="auto"/>
        <w:rPr>
          <w:sz w:val="18"/>
          <w:lang w:val="it-IT" w:bidi="hr-HR"/>
        </w:rPr>
      </w:pPr>
      <w:r w:rsidRPr="00695672">
        <w:rPr>
          <w:sz w:val="18"/>
          <w:lang w:val="hr-HR" w:bidi="hr-HR"/>
        </w:rPr>
        <w:tab/>
      </w:r>
    </w:p>
    <w:p w14:paraId="05F4A24A" w14:textId="77777777" w:rsidR="00695672" w:rsidRPr="00695672" w:rsidRDefault="00695672" w:rsidP="00695672">
      <w:pPr>
        <w:tabs>
          <w:tab w:val="left" w:pos="1080"/>
          <w:tab w:val="left" w:pos="4500"/>
        </w:tabs>
        <w:spacing w:line="264" w:lineRule="auto"/>
        <w:rPr>
          <w:sz w:val="18"/>
          <w:lang w:val="hr-HR" w:bidi="hr-HR"/>
        </w:rPr>
      </w:pPr>
      <w:hyperlink r:id="rId14" w:history="1">
        <w:r w:rsidRPr="00695672">
          <w:rPr>
            <w:rStyle w:val="Hyperlink"/>
            <w:szCs w:val="24"/>
            <w:lang w:val="hr-HR" w:bidi="hr-HR"/>
          </w:rPr>
          <w:t>www.henkel.hr</w:t>
        </w:r>
      </w:hyperlink>
    </w:p>
    <w:p w14:paraId="1A99C22D" w14:textId="5BB75FD3" w:rsidR="00EA1752" w:rsidRPr="00FA36E8" w:rsidRDefault="00EA1752" w:rsidP="003A7C4B">
      <w:pPr>
        <w:tabs>
          <w:tab w:val="left" w:pos="1080"/>
          <w:tab w:val="left" w:pos="4500"/>
        </w:tabs>
        <w:spacing w:line="264" w:lineRule="auto"/>
        <w:rPr>
          <w:rStyle w:val="AboutandContactBody"/>
          <w:szCs w:val="18"/>
        </w:rPr>
      </w:pPr>
    </w:p>
    <w:sectPr w:rsidR="00EA1752" w:rsidRPr="00FA36E8" w:rsidSect="00350F04">
      <w:footerReference w:type="default" r:id="rId15"/>
      <w:headerReference w:type="first" r:id="rId16"/>
      <w:footerReference w:type="first" r:id="rId17"/>
      <w:pgSz w:w="11907" w:h="16840" w:code="9"/>
      <w:pgMar w:top="1944" w:right="1411" w:bottom="1987" w:left="1411" w:header="1253" w:footer="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27CB1" w14:textId="77777777" w:rsidR="00AD79E8" w:rsidRDefault="00AD79E8">
      <w:r>
        <w:separator/>
      </w:r>
    </w:p>
  </w:endnote>
  <w:endnote w:type="continuationSeparator" w:id="0">
    <w:p w14:paraId="2A8A8042" w14:textId="77777777" w:rsidR="00AD79E8" w:rsidRDefault="00AD79E8">
      <w:r>
        <w:continuationSeparator/>
      </w:r>
    </w:p>
  </w:endnote>
  <w:endnote w:type="continuationNotice" w:id="1">
    <w:p w14:paraId="7799252B" w14:textId="77777777" w:rsidR="00AD79E8" w:rsidRDefault="00AD79E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nkel GT Flexa Bl">
    <w:panose1 w:val="00000000000000000000"/>
    <w:charset w:val="00"/>
    <w:family w:val="modern"/>
    <w:notTrueType/>
    <w:pitch w:val="variable"/>
    <w:sig w:usb0="A10000FF" w:usb1="4200A47B" w:usb2="00000000" w:usb3="00000000" w:csb0="00000093" w:csb1="00000000"/>
  </w:font>
  <w:font w:name="Henkel GT Flexa Rg">
    <w:panose1 w:val="00000000000000000000"/>
    <w:charset w:val="00"/>
    <w:family w:val="modern"/>
    <w:notTrueType/>
    <w:pitch w:val="variable"/>
    <w:sig w:usb0="A10000FF" w:usb1="4200A47B" w:usb2="00000000" w:usb3="00000000" w:csb0="00000093"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68C5B" w14:textId="77777777" w:rsidR="00CF6F33" w:rsidRPr="00BF6E82" w:rsidRDefault="00CF6F33" w:rsidP="004D7D58">
    <w:pPr>
      <w:pStyle w:val="Footer"/>
      <w:tabs>
        <w:tab w:val="clear" w:pos="7083"/>
        <w:tab w:val="clear" w:pos="8640"/>
        <w:tab w:val="right" w:pos="9071"/>
      </w:tabs>
      <w:jc w:val="left"/>
      <w:rPr>
        <w:lang w:val="en-US"/>
      </w:rPr>
    </w:pPr>
    <w:r w:rsidRPr="00BF6E82">
      <w:rPr>
        <w:lang w:val="hr-HR" w:bidi="hr-HR"/>
      </w:rPr>
      <w:t>Henkel AG &amp; Co. KGaA</w:t>
    </w:r>
    <w:r w:rsidRPr="00BF6E82">
      <w:rPr>
        <w:lang w:val="hr-HR" w:bidi="hr-HR"/>
      </w:rPr>
      <w:tab/>
      <w:t xml:space="preserve">Stranica </w:t>
    </w:r>
    <w:r w:rsidR="00F2583C" w:rsidRPr="00992A11">
      <w:rPr>
        <w:lang w:val="hr-HR" w:bidi="hr-HR"/>
      </w:rPr>
      <w:fldChar w:fldCharType="begin"/>
    </w:r>
    <w:r w:rsidR="005B5CFE" w:rsidRPr="00992A11">
      <w:rPr>
        <w:lang w:val="hr-HR" w:bidi="hr-HR"/>
      </w:rPr>
      <w:instrText xml:space="preserve"> PAGE  \* Arabic  \* MERGEFORMAT </w:instrText>
    </w:r>
    <w:r w:rsidR="00F2583C" w:rsidRPr="00992A11">
      <w:rPr>
        <w:lang w:val="hr-HR" w:bidi="hr-HR"/>
      </w:rPr>
      <w:fldChar w:fldCharType="separate"/>
    </w:r>
    <w:r w:rsidR="00AC20BE">
      <w:rPr>
        <w:lang w:val="hr-HR" w:bidi="hr-HR"/>
      </w:rPr>
      <w:t>6</w:t>
    </w:r>
    <w:r w:rsidR="00F2583C" w:rsidRPr="00992A11">
      <w:rPr>
        <w:lang w:val="hr-HR" w:bidi="hr-HR"/>
      </w:rPr>
      <w:fldChar w:fldCharType="end"/>
    </w:r>
    <w:r w:rsidRPr="00BF6E82">
      <w:rPr>
        <w:lang w:val="hr-HR" w:bidi="hr-HR"/>
      </w:rPr>
      <w:t>/</w:t>
    </w:r>
    <w:r w:rsidR="00510591">
      <w:rPr>
        <w:lang w:val="hr-HR" w:bidi="hr-HR"/>
      </w:rPr>
      <w:fldChar w:fldCharType="begin"/>
    </w:r>
    <w:r w:rsidR="00510591">
      <w:rPr>
        <w:lang w:val="hr-HR" w:bidi="hr-HR"/>
      </w:rPr>
      <w:instrText xml:space="preserve"> NUMPAGES  \* Arabic  \* MERGEFORMAT </w:instrText>
    </w:r>
    <w:r w:rsidR="00510591">
      <w:rPr>
        <w:lang w:val="hr-HR" w:bidi="hr-HR"/>
      </w:rPr>
      <w:fldChar w:fldCharType="separate"/>
    </w:r>
    <w:r w:rsidR="00AC20BE">
      <w:rPr>
        <w:lang w:val="hr-HR" w:bidi="hr-HR"/>
      </w:rPr>
      <w:t>6</w:t>
    </w:r>
    <w:r w:rsidR="00510591">
      <w:rPr>
        <w:lang w:val="hr-HR" w:bidi="hr-H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9352B" w14:textId="77777777" w:rsidR="00EE6745" w:rsidRDefault="0059722C" w:rsidP="00EE6745">
    <w:pPr>
      <w:pStyle w:val="Footer"/>
      <w:rPr>
        <w:lang w:val="hr-HR" w:bidi="hr-HR"/>
      </w:rPr>
    </w:pPr>
    <w:bookmarkStart w:id="1" w:name="_Hlk505758583"/>
    <w:r w:rsidRPr="00992A11">
      <w:rPr>
        <w:lang w:val="hr-HR" w:bidi="hr-HR"/>
      </w:rPr>
      <w:drawing>
        <wp:anchor distT="0" distB="0" distL="114300" distR="114300" simplePos="0" relativeHeight="251658242" behindDoc="0" locked="0" layoutInCell="1" allowOverlap="1" wp14:anchorId="5EFE3E60" wp14:editId="45CF401A">
          <wp:simplePos x="0" y="0"/>
          <wp:positionH relativeFrom="margin">
            <wp:align>left</wp:align>
          </wp:positionH>
          <wp:positionV relativeFrom="paragraph">
            <wp:posOffset>-381138</wp:posOffset>
          </wp:positionV>
          <wp:extent cx="5756910" cy="38481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910" cy="384810"/>
                  </a:xfrm>
                  <a:prstGeom prst="rect">
                    <a:avLst/>
                  </a:prstGeom>
                  <a:noFill/>
                  <a:ln>
                    <a:noFill/>
                  </a:ln>
                </pic:spPr>
              </pic:pic>
            </a:graphicData>
          </a:graphic>
        </wp:anchor>
      </w:drawing>
    </w:r>
    <w:bookmarkEnd w:id="1"/>
    <w:r w:rsidR="0021390B">
      <w:rPr>
        <w:lang w:val="hr-HR" w:bidi="hr-HR"/>
      </w:rPr>
      <w:t xml:space="preserve">Stranica </w:t>
    </w:r>
    <w:r w:rsidR="00F2583C" w:rsidRPr="00992A11">
      <w:rPr>
        <w:lang w:val="hr-HR" w:bidi="hr-HR"/>
      </w:rPr>
      <w:fldChar w:fldCharType="begin"/>
    </w:r>
    <w:r w:rsidR="00CF6F33" w:rsidRPr="00992A11">
      <w:rPr>
        <w:lang w:val="hr-HR" w:bidi="hr-HR"/>
      </w:rPr>
      <w:instrText xml:space="preserve"> </w:instrText>
    </w:r>
    <w:r w:rsidR="00262C05" w:rsidRPr="00992A11">
      <w:rPr>
        <w:lang w:val="hr-HR" w:bidi="hr-HR"/>
      </w:rPr>
      <w:instrText>PAGE</w:instrText>
    </w:r>
    <w:r w:rsidR="00CF6F33" w:rsidRPr="00992A11">
      <w:rPr>
        <w:lang w:val="hr-HR" w:bidi="hr-HR"/>
      </w:rPr>
      <w:instrText xml:space="preserve">  \* Arabic  \* MERGEFORMAT </w:instrText>
    </w:r>
    <w:r w:rsidR="00F2583C" w:rsidRPr="00992A11">
      <w:rPr>
        <w:lang w:val="hr-HR" w:bidi="hr-HR"/>
      </w:rPr>
      <w:fldChar w:fldCharType="separate"/>
    </w:r>
    <w:r w:rsidR="00496B20">
      <w:rPr>
        <w:lang w:val="hr-HR" w:bidi="hr-HR"/>
      </w:rPr>
      <w:t>1</w:t>
    </w:r>
    <w:r w:rsidR="00F2583C" w:rsidRPr="00992A11">
      <w:rPr>
        <w:lang w:val="hr-HR" w:bidi="hr-HR"/>
      </w:rPr>
      <w:fldChar w:fldCharType="end"/>
    </w:r>
    <w:r w:rsidR="0021390B">
      <w:rPr>
        <w:lang w:val="hr-HR" w:bidi="hr-HR"/>
      </w:rPr>
      <w:t>/</w:t>
    </w:r>
    <w:r w:rsidR="00510591">
      <w:rPr>
        <w:lang w:val="hr-HR" w:bidi="hr-HR"/>
      </w:rPr>
      <w:fldChar w:fldCharType="begin"/>
    </w:r>
    <w:r w:rsidR="00510591">
      <w:rPr>
        <w:lang w:val="hr-HR" w:bidi="hr-HR"/>
      </w:rPr>
      <w:instrText xml:space="preserve"> NUMPAGES  \* Arabic  \* MERGEFORMAT </w:instrText>
    </w:r>
    <w:r w:rsidR="00510591">
      <w:rPr>
        <w:lang w:val="hr-HR" w:bidi="hr-HR"/>
      </w:rPr>
      <w:fldChar w:fldCharType="separate"/>
    </w:r>
    <w:r w:rsidR="00496B20">
      <w:rPr>
        <w:lang w:val="hr-HR" w:bidi="hr-HR"/>
      </w:rPr>
      <w:t>6</w:t>
    </w:r>
    <w:r w:rsidR="00510591">
      <w:rPr>
        <w:lang w:val="hr-HR" w:bidi="hr-HR"/>
      </w:rPr>
      <w:fldChar w:fldCharType="end"/>
    </w:r>
  </w:p>
  <w:p w14:paraId="331A0D57" w14:textId="598628D4" w:rsidR="00EB2552" w:rsidRPr="00EB2552" w:rsidRDefault="00EB2552" w:rsidP="00EE6745">
    <w:pPr>
      <w:pStyle w:val="Footer"/>
      <w:jc w:val="left"/>
      <w:rPr>
        <w:lang w:val="sr-SP"/>
      </w:rPr>
    </w:pPr>
    <w:r w:rsidRPr="00EB2552">
      <w:rPr>
        <w:lang w:val="sr-SP"/>
      </w:rPr>
      <w:t>*Prilagođeno za jednokratne troškove i prihode, kao i troškove restrukturiranja.</w:t>
    </w:r>
  </w:p>
  <w:p w14:paraId="179DC138" w14:textId="097E8333" w:rsidR="00CF6F33" w:rsidRPr="00992A11" w:rsidRDefault="00CF6F33" w:rsidP="00992A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80B0D" w14:textId="77777777" w:rsidR="00AD79E8" w:rsidRDefault="00AD79E8">
      <w:r>
        <w:separator/>
      </w:r>
    </w:p>
  </w:footnote>
  <w:footnote w:type="continuationSeparator" w:id="0">
    <w:p w14:paraId="3AF809DD" w14:textId="77777777" w:rsidR="00AD79E8" w:rsidRDefault="00AD79E8">
      <w:r>
        <w:continuationSeparator/>
      </w:r>
    </w:p>
  </w:footnote>
  <w:footnote w:type="continuationNotice" w:id="1">
    <w:p w14:paraId="6C63CF8D" w14:textId="77777777" w:rsidR="00AD79E8" w:rsidRDefault="00AD79E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79B68" w14:textId="36F64A81" w:rsidR="00CF6F33" w:rsidRPr="00EB46D9" w:rsidRDefault="0059722C" w:rsidP="006362AD">
    <w:pPr>
      <w:pStyle w:val="Header"/>
    </w:pPr>
    <w:r w:rsidRPr="00EB46D9">
      <w:rPr>
        <w:lang w:val="hr-HR" w:bidi="hr-HR"/>
      </w:rPr>
      <w:drawing>
        <wp:anchor distT="0" distB="0" distL="114300" distR="114300" simplePos="0" relativeHeight="251658241" behindDoc="0" locked="1" layoutInCell="1" allowOverlap="1" wp14:anchorId="08355DA9" wp14:editId="0256D7D1">
          <wp:simplePos x="0" y="0"/>
          <wp:positionH relativeFrom="margin">
            <wp:posOffset>5036820</wp:posOffset>
          </wp:positionH>
          <wp:positionV relativeFrom="margin">
            <wp:posOffset>-1478915</wp:posOffset>
          </wp:positionV>
          <wp:extent cx="1051560" cy="60325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l="4736" t="10539" r="5063" b="12550"/>
                  <a:stretch>
                    <a:fillRect/>
                  </a:stretch>
                </pic:blipFill>
                <pic:spPr bwMode="auto">
                  <a:xfrm>
                    <a:off x="0" y="0"/>
                    <a:ext cx="1051560" cy="603250"/>
                  </a:xfrm>
                  <a:prstGeom prst="rect">
                    <a:avLst/>
                  </a:prstGeom>
                  <a:noFill/>
                </pic:spPr>
              </pic:pic>
            </a:graphicData>
          </a:graphic>
        </wp:anchor>
      </w:drawing>
    </w:r>
    <w:r w:rsidR="00510591">
      <w:rPr>
        <w:lang w:val="hr-HR" w:bidi="hr-HR"/>
      </w:rPr>
      <mc:AlternateContent>
        <mc:Choice Requires="wpg">
          <w:drawing>
            <wp:anchor distT="0" distB="0" distL="114300" distR="114300" simplePos="0" relativeHeight="251658240" behindDoc="0" locked="0" layoutInCell="1" allowOverlap="1" wp14:anchorId="58A221F9" wp14:editId="421DD2C3">
              <wp:simplePos x="0" y="0"/>
              <wp:positionH relativeFrom="page">
                <wp:posOffset>180340</wp:posOffset>
              </wp:positionH>
              <wp:positionV relativeFrom="page">
                <wp:posOffset>3780790</wp:posOffset>
              </wp:positionV>
              <wp:extent cx="179705" cy="378015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705" cy="3780155"/>
                        <a:chOff x="0" y="5954"/>
                        <a:chExt cx="283" cy="5953"/>
                      </a:xfrm>
                    </wpg:grpSpPr>
                    <wps:wsp>
                      <wps:cNvPr id="4" name="Line 17"/>
                      <wps:cNvCnPr>
                        <a:cxnSpLocks noChangeShapeType="1"/>
                      </wps:cNvCnPr>
                      <wps:spPr bwMode="auto">
                        <a:xfrm>
                          <a:off x="0" y="5954"/>
                          <a:ext cx="283" cy="0"/>
                        </a:xfrm>
                        <a:prstGeom prst="line">
                          <a:avLst/>
                        </a:prstGeom>
                        <a:noFill/>
                        <a:ln>
                          <a:noFill/>
                        </a:ln>
                      </wps:spPr>
                      <wps:bodyPr/>
                    </wps:wsp>
                    <wps:wsp>
                      <wps:cNvPr id="5" name="Line 18"/>
                      <wps:cNvCnPr>
                        <a:cxnSpLocks noChangeShapeType="1"/>
                      </wps:cNvCnPr>
                      <wps:spPr bwMode="auto">
                        <a:xfrm>
                          <a:off x="0" y="8420"/>
                          <a:ext cx="283" cy="0"/>
                        </a:xfrm>
                        <a:prstGeom prst="line">
                          <a:avLst/>
                        </a:prstGeom>
                        <a:noFill/>
                        <a:ln>
                          <a:noFill/>
                        </a:ln>
                      </wps:spPr>
                      <wps:bodyPr/>
                    </wps:wsp>
                    <wps:wsp>
                      <wps:cNvPr id="6" name="Line 19"/>
                      <wps:cNvCnPr>
                        <a:cxnSpLocks noChangeShapeType="1"/>
                      </wps:cNvCnPr>
                      <wps:spPr bwMode="auto">
                        <a:xfrm>
                          <a:off x="0" y="11907"/>
                          <a:ext cx="283" cy="0"/>
                        </a:xfrm>
                        <a:prstGeom prst="line">
                          <a:avLst/>
                        </a:prstGeom>
                        <a:noFill/>
                        <a:ln>
                          <a:noFill/>
                        </a:ln>
                      </wps:spPr>
                      <wps:bodyPr/>
                    </wps:wsp>
                  </wpg:wgp>
                </a:graphicData>
              </a:graphic>
              <wp14:sizeRelH relativeFrom="page">
                <wp14:pctWidth>0</wp14:pctWidth>
              </wp14:sizeRelH>
              <wp14:sizeRelV relativeFrom="page">
                <wp14:pctHeight>0</wp14:pctHeight>
              </wp14:sizeRelV>
            </wp:anchor>
          </w:drawing>
        </mc:Choice>
        <mc:Fallback>
          <w:pict>
            <v:group w14:anchorId="77B7E310" id="Group 3" o:spid="_x0000_s1026" style="position:absolute;margin-left:14.2pt;margin-top:297.7pt;width:14.15pt;height:297.65pt;z-index:251658240;mso-position-horizontal-relative:page;mso-position-vertical-relative:page" coordorigin=",5954" coordsize="283,5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">
              <v:line id="Line 17" o:spid="_x0000_s1027" style="position:absolute;visibility:visible;mso-wrap-style:square" from="0,5954" to="283,5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" stroked="f"/>
              <v:line id="Line 18" o:spid="_x0000_s1028" style="position:absolute;visibility:visible;mso-wrap-style:square" from="0,8420" to="283,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" stroked="f"/>
              <v:line id="Line 19" o:spid="_x0000_s1029" style="position:absolute;visibility:visible;mso-wrap-style:square" from="0,11907" to="283,11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" stroked="f"/>
              <w10:wrap anchorx="page" anchory="page"/>
            </v:group>
          </w:pict>
        </mc:Fallback>
      </mc:AlternateContent>
    </w:r>
    <w:r w:rsidR="0021390B">
      <w:rPr>
        <w:lang w:val="hr-HR" w:bidi="hr-HR"/>
      </w:rPr>
      <w:t xml:space="preserve">Priopćenje za </w:t>
    </w:r>
    <w:r w:rsidR="0057566B">
      <w:rPr>
        <w:lang w:val="hr-HR" w:bidi="hr-HR"/>
      </w:rPr>
      <w:t>medije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865"/>
    <w:multiLevelType w:val="hybridMultilevel"/>
    <w:tmpl w:val="4A063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F4270"/>
    <w:multiLevelType w:val="hybridMultilevel"/>
    <w:tmpl w:val="12EC31FA"/>
    <w:lvl w:ilvl="0" w:tplc="785A8864">
      <w:start w:val="1"/>
      <w:numFmt w:val="bullet"/>
      <w:pStyle w:val="NumBullet"/>
      <w:lvlText w:val="•"/>
      <w:lvlJc w:val="left"/>
      <w:pPr>
        <w:tabs>
          <w:tab w:val="num" w:pos="567"/>
        </w:tabs>
        <w:ind w:left="567" w:hanging="567"/>
      </w:pPr>
      <w:rPr>
        <w:rFonts w:ascii="Times New Roman" w:hAnsi="Times New Roman" w:cs="Times New Roman" w:hint="default"/>
        <w:color w:val="E1000F"/>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0B585C"/>
    <w:multiLevelType w:val="hybridMultilevel"/>
    <w:tmpl w:val="70D4F3A4"/>
    <w:lvl w:ilvl="0" w:tplc="68061C8C">
      <w:start w:val="1"/>
      <w:numFmt w:val="bullet"/>
      <w:lvlText w:val=""/>
      <w:lvlJc w:val="left"/>
      <w:pPr>
        <w:ind w:left="1004" w:hanging="360"/>
      </w:pPr>
      <w:rPr>
        <w:rFonts w:ascii="Wingdings" w:hAnsi="Wingdings" w:hint="default"/>
        <w:sz w:val="24"/>
        <w:szCs w:val="24"/>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29880658"/>
    <w:multiLevelType w:val="hybridMultilevel"/>
    <w:tmpl w:val="6038AD86"/>
    <w:lvl w:ilvl="0" w:tplc="86E44E4A">
      <w:numFmt w:val="bullet"/>
      <w:lvlText w:val="•"/>
      <w:lvlJc w:val="left"/>
      <w:pPr>
        <w:ind w:left="361" w:hanging="360"/>
      </w:pPr>
      <w:rPr>
        <w:rFonts w:ascii="Henkel GT Flexa Bl" w:eastAsia="Henkel GT Flexa Bl" w:hAnsi="Henkel GT Flexa Bl" w:cs="Henkel GT Flexa Bl" w:hint="default"/>
        <w:b/>
        <w:bCs/>
        <w:i w:val="0"/>
        <w:iCs w:val="0"/>
        <w:color w:val="E0000E"/>
        <w:spacing w:val="0"/>
        <w:w w:val="100"/>
        <w:sz w:val="22"/>
        <w:szCs w:val="22"/>
        <w:lang w:val="en-US" w:eastAsia="en-US" w:bidi="ar-SA"/>
      </w:rPr>
    </w:lvl>
    <w:lvl w:ilvl="1" w:tplc="E31C3386">
      <w:numFmt w:val="bullet"/>
      <w:lvlText w:val="•"/>
      <w:lvlJc w:val="left"/>
      <w:pPr>
        <w:ind w:left="1316" w:hanging="360"/>
      </w:pPr>
      <w:rPr>
        <w:rFonts w:hint="default"/>
        <w:lang w:val="en-US" w:eastAsia="en-US" w:bidi="ar-SA"/>
      </w:rPr>
    </w:lvl>
    <w:lvl w:ilvl="2" w:tplc="27EE5B78">
      <w:numFmt w:val="bullet"/>
      <w:lvlText w:val="•"/>
      <w:lvlJc w:val="left"/>
      <w:pPr>
        <w:ind w:left="2272" w:hanging="360"/>
      </w:pPr>
      <w:rPr>
        <w:rFonts w:hint="default"/>
        <w:lang w:val="en-US" w:eastAsia="en-US" w:bidi="ar-SA"/>
      </w:rPr>
    </w:lvl>
    <w:lvl w:ilvl="3" w:tplc="A1BA0B7E">
      <w:numFmt w:val="bullet"/>
      <w:lvlText w:val="•"/>
      <w:lvlJc w:val="left"/>
      <w:pPr>
        <w:ind w:left="3229" w:hanging="360"/>
      </w:pPr>
      <w:rPr>
        <w:rFonts w:hint="default"/>
        <w:lang w:val="en-US" w:eastAsia="en-US" w:bidi="ar-SA"/>
      </w:rPr>
    </w:lvl>
    <w:lvl w:ilvl="4" w:tplc="52F299DA">
      <w:numFmt w:val="bullet"/>
      <w:lvlText w:val="•"/>
      <w:lvlJc w:val="left"/>
      <w:pPr>
        <w:ind w:left="4185" w:hanging="360"/>
      </w:pPr>
      <w:rPr>
        <w:rFonts w:hint="default"/>
        <w:lang w:val="en-US" w:eastAsia="en-US" w:bidi="ar-SA"/>
      </w:rPr>
    </w:lvl>
    <w:lvl w:ilvl="5" w:tplc="C34E301E">
      <w:numFmt w:val="bullet"/>
      <w:lvlText w:val="•"/>
      <w:lvlJc w:val="left"/>
      <w:pPr>
        <w:ind w:left="5141" w:hanging="360"/>
      </w:pPr>
      <w:rPr>
        <w:rFonts w:hint="default"/>
        <w:lang w:val="en-US" w:eastAsia="en-US" w:bidi="ar-SA"/>
      </w:rPr>
    </w:lvl>
    <w:lvl w:ilvl="6" w:tplc="7D021B9C">
      <w:numFmt w:val="bullet"/>
      <w:lvlText w:val="•"/>
      <w:lvlJc w:val="left"/>
      <w:pPr>
        <w:ind w:left="6098" w:hanging="360"/>
      </w:pPr>
      <w:rPr>
        <w:rFonts w:hint="default"/>
        <w:lang w:val="en-US" w:eastAsia="en-US" w:bidi="ar-SA"/>
      </w:rPr>
    </w:lvl>
    <w:lvl w:ilvl="7" w:tplc="752C8518">
      <w:numFmt w:val="bullet"/>
      <w:lvlText w:val="•"/>
      <w:lvlJc w:val="left"/>
      <w:pPr>
        <w:ind w:left="7054" w:hanging="360"/>
      </w:pPr>
      <w:rPr>
        <w:rFonts w:hint="default"/>
        <w:lang w:val="en-US" w:eastAsia="en-US" w:bidi="ar-SA"/>
      </w:rPr>
    </w:lvl>
    <w:lvl w:ilvl="8" w:tplc="7CBA7576">
      <w:numFmt w:val="bullet"/>
      <w:lvlText w:val="•"/>
      <w:lvlJc w:val="left"/>
      <w:pPr>
        <w:ind w:left="8010" w:hanging="360"/>
      </w:pPr>
      <w:rPr>
        <w:rFonts w:hint="default"/>
        <w:lang w:val="en-US" w:eastAsia="en-US" w:bidi="ar-SA"/>
      </w:rPr>
    </w:lvl>
  </w:abstractNum>
  <w:abstractNum w:abstractNumId="4" w15:restartNumberingAfterBreak="0">
    <w:nsid w:val="3F4B6752"/>
    <w:multiLevelType w:val="hybridMultilevel"/>
    <w:tmpl w:val="1DAEF754"/>
    <w:lvl w:ilvl="0" w:tplc="36002C28">
      <w:start w:val="1"/>
      <w:numFmt w:val="bullet"/>
      <w:lvlText w:val=""/>
      <w:lvlJc w:val="left"/>
      <w:pPr>
        <w:ind w:left="360" w:hanging="360"/>
      </w:pPr>
      <w:rPr>
        <w:rFonts w:ascii="Wingdings" w:hAnsi="Wingdings" w:hint="default"/>
        <w:color w:val="E1000F"/>
        <w:sz w:val="24"/>
        <w:szCs w:val="24"/>
      </w:rPr>
    </w:lvl>
    <w:lvl w:ilvl="1" w:tplc="645A6B9C">
      <w:numFmt w:val="bullet"/>
      <w:lvlText w:val="-"/>
      <w:lvlJc w:val="left"/>
      <w:pPr>
        <w:ind w:left="1080" w:hanging="360"/>
      </w:pPr>
      <w:rPr>
        <w:rFonts w:ascii="Arial" w:hAnsi="Arial" w:hint="default"/>
        <w:color w:val="FF0000"/>
      </w:rPr>
    </w:lvl>
    <w:lvl w:ilvl="2" w:tplc="04070005" w:tentative="1">
      <w:start w:val="1"/>
      <w:numFmt w:val="bullet"/>
      <w:lvlText w:val=""/>
      <w:lvlJc w:val="left"/>
      <w:pPr>
        <w:ind w:left="1800" w:hanging="360"/>
      </w:pPr>
      <w:rPr>
        <w:rFonts w:ascii="Wingdings" w:hAnsi="Wingdings" w:cs="Wingdings" w:hint="default"/>
      </w:rPr>
    </w:lvl>
    <w:lvl w:ilvl="3" w:tplc="04070001" w:tentative="1">
      <w:start w:val="1"/>
      <w:numFmt w:val="bullet"/>
      <w:lvlText w:val=""/>
      <w:lvlJc w:val="left"/>
      <w:pPr>
        <w:ind w:left="2520" w:hanging="360"/>
      </w:pPr>
      <w:rPr>
        <w:rFonts w:ascii="Symbol" w:hAnsi="Symbol" w:cs="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cs="Wingdings" w:hint="default"/>
      </w:rPr>
    </w:lvl>
    <w:lvl w:ilvl="6" w:tplc="04070001" w:tentative="1">
      <w:start w:val="1"/>
      <w:numFmt w:val="bullet"/>
      <w:lvlText w:val=""/>
      <w:lvlJc w:val="left"/>
      <w:pPr>
        <w:ind w:left="4680" w:hanging="360"/>
      </w:pPr>
      <w:rPr>
        <w:rFonts w:ascii="Symbol" w:hAnsi="Symbol" w:cs="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cs="Wingdings" w:hint="default"/>
      </w:rPr>
    </w:lvl>
  </w:abstractNum>
  <w:abstractNum w:abstractNumId="5" w15:restartNumberingAfterBreak="0">
    <w:nsid w:val="40C5131F"/>
    <w:multiLevelType w:val="hybridMultilevel"/>
    <w:tmpl w:val="8F8421BE"/>
    <w:lvl w:ilvl="0" w:tplc="04070005">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6" w15:restartNumberingAfterBreak="0">
    <w:nsid w:val="549B0C97"/>
    <w:multiLevelType w:val="hybridMultilevel"/>
    <w:tmpl w:val="DCD2F366"/>
    <w:lvl w:ilvl="0" w:tplc="53A0857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BB3CAC"/>
    <w:multiLevelType w:val="hybridMultilevel"/>
    <w:tmpl w:val="A7AA9142"/>
    <w:lvl w:ilvl="0" w:tplc="38B253D2">
      <w:numFmt w:val="bullet"/>
      <w:lvlText w:val="•"/>
      <w:lvlJc w:val="left"/>
      <w:pPr>
        <w:ind w:left="229" w:hanging="228"/>
      </w:pPr>
      <w:rPr>
        <w:rFonts w:ascii="Henkel GT Flexa Bl" w:eastAsia="Henkel GT Flexa Bl" w:hAnsi="Henkel GT Flexa Bl" w:cs="Henkel GT Flexa Bl" w:hint="default"/>
        <w:b/>
        <w:bCs/>
        <w:i w:val="0"/>
        <w:iCs w:val="0"/>
        <w:color w:val="E0000E"/>
        <w:spacing w:val="0"/>
        <w:w w:val="100"/>
        <w:sz w:val="22"/>
        <w:szCs w:val="22"/>
        <w:lang w:val="en-US" w:eastAsia="en-US" w:bidi="ar-SA"/>
      </w:rPr>
    </w:lvl>
    <w:lvl w:ilvl="1" w:tplc="F404FC3E">
      <w:numFmt w:val="bullet"/>
      <w:lvlText w:val="–"/>
      <w:lvlJc w:val="left"/>
      <w:pPr>
        <w:ind w:left="568" w:hanging="226"/>
      </w:pPr>
      <w:rPr>
        <w:rFonts w:ascii="Henkel GT Flexa Rg" w:eastAsia="Henkel GT Flexa Rg" w:hAnsi="Henkel GT Flexa Rg" w:cs="Henkel GT Flexa Rg" w:hint="default"/>
        <w:b w:val="0"/>
        <w:bCs w:val="0"/>
        <w:i w:val="0"/>
        <w:iCs w:val="0"/>
        <w:color w:val="E0000E"/>
        <w:spacing w:val="0"/>
        <w:w w:val="100"/>
        <w:sz w:val="22"/>
        <w:szCs w:val="22"/>
        <w:lang w:val="en-US" w:eastAsia="en-US" w:bidi="ar-SA"/>
      </w:rPr>
    </w:lvl>
    <w:lvl w:ilvl="2" w:tplc="9D54331A">
      <w:numFmt w:val="bullet"/>
      <w:lvlText w:val="•"/>
      <w:lvlJc w:val="left"/>
      <w:pPr>
        <w:ind w:left="1600" w:hanging="226"/>
      </w:pPr>
      <w:rPr>
        <w:rFonts w:hint="default"/>
        <w:lang w:val="en-US" w:eastAsia="en-US" w:bidi="ar-SA"/>
      </w:rPr>
    </w:lvl>
    <w:lvl w:ilvl="3" w:tplc="D27A5090">
      <w:numFmt w:val="bullet"/>
      <w:lvlText w:val="•"/>
      <w:lvlJc w:val="left"/>
      <w:pPr>
        <w:ind w:left="2640" w:hanging="226"/>
      </w:pPr>
      <w:rPr>
        <w:rFonts w:hint="default"/>
        <w:lang w:val="en-US" w:eastAsia="en-US" w:bidi="ar-SA"/>
      </w:rPr>
    </w:lvl>
    <w:lvl w:ilvl="4" w:tplc="0FA8FA3E">
      <w:numFmt w:val="bullet"/>
      <w:lvlText w:val="•"/>
      <w:lvlJc w:val="left"/>
      <w:pPr>
        <w:ind w:left="3681" w:hanging="226"/>
      </w:pPr>
      <w:rPr>
        <w:rFonts w:hint="default"/>
        <w:lang w:val="en-US" w:eastAsia="en-US" w:bidi="ar-SA"/>
      </w:rPr>
    </w:lvl>
    <w:lvl w:ilvl="5" w:tplc="A0AC80D4">
      <w:numFmt w:val="bullet"/>
      <w:lvlText w:val="•"/>
      <w:lvlJc w:val="left"/>
      <w:pPr>
        <w:ind w:left="4721" w:hanging="226"/>
      </w:pPr>
      <w:rPr>
        <w:rFonts w:hint="default"/>
        <w:lang w:val="en-US" w:eastAsia="en-US" w:bidi="ar-SA"/>
      </w:rPr>
    </w:lvl>
    <w:lvl w:ilvl="6" w:tplc="DE16A5F2">
      <w:numFmt w:val="bullet"/>
      <w:lvlText w:val="•"/>
      <w:lvlJc w:val="left"/>
      <w:pPr>
        <w:ind w:left="5761" w:hanging="226"/>
      </w:pPr>
      <w:rPr>
        <w:rFonts w:hint="default"/>
        <w:lang w:val="en-US" w:eastAsia="en-US" w:bidi="ar-SA"/>
      </w:rPr>
    </w:lvl>
    <w:lvl w:ilvl="7" w:tplc="B79431E4">
      <w:numFmt w:val="bullet"/>
      <w:lvlText w:val="•"/>
      <w:lvlJc w:val="left"/>
      <w:pPr>
        <w:ind w:left="6802" w:hanging="226"/>
      </w:pPr>
      <w:rPr>
        <w:rFonts w:hint="default"/>
        <w:lang w:val="en-US" w:eastAsia="en-US" w:bidi="ar-SA"/>
      </w:rPr>
    </w:lvl>
    <w:lvl w:ilvl="8" w:tplc="66C86776">
      <w:numFmt w:val="bullet"/>
      <w:lvlText w:val="•"/>
      <w:lvlJc w:val="left"/>
      <w:pPr>
        <w:ind w:left="7842" w:hanging="226"/>
      </w:pPr>
      <w:rPr>
        <w:rFonts w:hint="default"/>
        <w:lang w:val="en-US" w:eastAsia="en-US" w:bidi="ar-SA"/>
      </w:rPr>
    </w:lvl>
  </w:abstractNum>
  <w:abstractNum w:abstractNumId="8" w15:restartNumberingAfterBreak="0">
    <w:nsid w:val="6A89532E"/>
    <w:multiLevelType w:val="hybridMultilevel"/>
    <w:tmpl w:val="357663A0"/>
    <w:lvl w:ilvl="0" w:tplc="5FB28F00">
      <w:start w:val="1"/>
      <w:numFmt w:val="bullet"/>
      <w:lvlText w:val=""/>
      <w:lvlJc w:val="left"/>
      <w:pPr>
        <w:ind w:left="786" w:hanging="360"/>
      </w:pPr>
      <w:rPr>
        <w:rFonts w:ascii="Wingdings" w:hAnsi="Wingdings" w:hint="default"/>
        <w:sz w:val="24"/>
        <w:szCs w:val="24"/>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8497354">
    <w:abstractNumId w:val="1"/>
  </w:num>
  <w:num w:numId="2" w16cid:durableId="1127969685">
    <w:abstractNumId w:val="0"/>
  </w:num>
  <w:num w:numId="3" w16cid:durableId="514999107">
    <w:abstractNumId w:val="8"/>
  </w:num>
  <w:num w:numId="4" w16cid:durableId="893664721">
    <w:abstractNumId w:val="5"/>
  </w:num>
  <w:num w:numId="5" w16cid:durableId="1878076908">
    <w:abstractNumId w:val="2"/>
  </w:num>
  <w:num w:numId="6" w16cid:durableId="889998512">
    <w:abstractNumId w:val="6"/>
  </w:num>
  <w:num w:numId="7" w16cid:durableId="783307311">
    <w:abstractNumId w:val="4"/>
  </w:num>
  <w:num w:numId="8" w16cid:durableId="416637553">
    <w:abstractNumId w:val="7"/>
  </w:num>
  <w:num w:numId="9" w16cid:durableId="255695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F27FF1"/>
    <w:rsid w:val="0000219D"/>
    <w:rsid w:val="00002AA4"/>
    <w:rsid w:val="00005267"/>
    <w:rsid w:val="00006346"/>
    <w:rsid w:val="00006BB1"/>
    <w:rsid w:val="00011C19"/>
    <w:rsid w:val="00021C67"/>
    <w:rsid w:val="00021F63"/>
    <w:rsid w:val="00023422"/>
    <w:rsid w:val="00030557"/>
    <w:rsid w:val="00030F51"/>
    <w:rsid w:val="00040CC9"/>
    <w:rsid w:val="00044785"/>
    <w:rsid w:val="00051E86"/>
    <w:rsid w:val="00053230"/>
    <w:rsid w:val="000542D8"/>
    <w:rsid w:val="00055BAE"/>
    <w:rsid w:val="000575F9"/>
    <w:rsid w:val="00060254"/>
    <w:rsid w:val="0006146E"/>
    <w:rsid w:val="000618FC"/>
    <w:rsid w:val="00065C4C"/>
    <w:rsid w:val="00067071"/>
    <w:rsid w:val="00072125"/>
    <w:rsid w:val="00076984"/>
    <w:rsid w:val="000772CF"/>
    <w:rsid w:val="00080D10"/>
    <w:rsid w:val="000811DE"/>
    <w:rsid w:val="00091C91"/>
    <w:rsid w:val="000925DF"/>
    <w:rsid w:val="00092D2F"/>
    <w:rsid w:val="00093FB6"/>
    <w:rsid w:val="00094112"/>
    <w:rsid w:val="000A51D1"/>
    <w:rsid w:val="000B695A"/>
    <w:rsid w:val="000C210A"/>
    <w:rsid w:val="000C2551"/>
    <w:rsid w:val="000C54B8"/>
    <w:rsid w:val="000C56DD"/>
    <w:rsid w:val="000C67A1"/>
    <w:rsid w:val="000D0730"/>
    <w:rsid w:val="000D1672"/>
    <w:rsid w:val="000D2740"/>
    <w:rsid w:val="000D49E3"/>
    <w:rsid w:val="000E1188"/>
    <w:rsid w:val="000E2925"/>
    <w:rsid w:val="000E2F62"/>
    <w:rsid w:val="000E38ED"/>
    <w:rsid w:val="000E57C7"/>
    <w:rsid w:val="000E778E"/>
    <w:rsid w:val="000E7F24"/>
    <w:rsid w:val="000F03BE"/>
    <w:rsid w:val="000F225B"/>
    <w:rsid w:val="000F4451"/>
    <w:rsid w:val="000F625B"/>
    <w:rsid w:val="000F7FAF"/>
    <w:rsid w:val="00101934"/>
    <w:rsid w:val="00102598"/>
    <w:rsid w:val="00105975"/>
    <w:rsid w:val="00110193"/>
    <w:rsid w:val="00111F4D"/>
    <w:rsid w:val="00115230"/>
    <w:rsid w:val="00115B5F"/>
    <w:rsid w:val="001162B4"/>
    <w:rsid w:val="00116337"/>
    <w:rsid w:val="00117DB0"/>
    <w:rsid w:val="00122CBC"/>
    <w:rsid w:val="00126D4A"/>
    <w:rsid w:val="00127A64"/>
    <w:rsid w:val="00132DA9"/>
    <w:rsid w:val="0013305B"/>
    <w:rsid w:val="00133B99"/>
    <w:rsid w:val="0014223A"/>
    <w:rsid w:val="001443BD"/>
    <w:rsid w:val="00145680"/>
    <w:rsid w:val="00150BB0"/>
    <w:rsid w:val="0015214C"/>
    <w:rsid w:val="00152BC0"/>
    <w:rsid w:val="00161862"/>
    <w:rsid w:val="00164B8A"/>
    <w:rsid w:val="001731CE"/>
    <w:rsid w:val="001745B9"/>
    <w:rsid w:val="00185BD9"/>
    <w:rsid w:val="00187BC0"/>
    <w:rsid w:val="00187E4E"/>
    <w:rsid w:val="00190CEB"/>
    <w:rsid w:val="00196B86"/>
    <w:rsid w:val="001A0989"/>
    <w:rsid w:val="001A220E"/>
    <w:rsid w:val="001B12FA"/>
    <w:rsid w:val="001B3769"/>
    <w:rsid w:val="001B3781"/>
    <w:rsid w:val="001C0B32"/>
    <w:rsid w:val="001C4BE1"/>
    <w:rsid w:val="001D3EAA"/>
    <w:rsid w:val="001D4C9F"/>
    <w:rsid w:val="001E0F71"/>
    <w:rsid w:val="001E1075"/>
    <w:rsid w:val="001E3031"/>
    <w:rsid w:val="001E6D05"/>
    <w:rsid w:val="001E7C28"/>
    <w:rsid w:val="001F1BDF"/>
    <w:rsid w:val="001F7110"/>
    <w:rsid w:val="001F740D"/>
    <w:rsid w:val="001F7E96"/>
    <w:rsid w:val="002014B0"/>
    <w:rsid w:val="00202284"/>
    <w:rsid w:val="00212439"/>
    <w:rsid w:val="00212488"/>
    <w:rsid w:val="0021390B"/>
    <w:rsid w:val="0021752F"/>
    <w:rsid w:val="00217C13"/>
    <w:rsid w:val="00220628"/>
    <w:rsid w:val="00223075"/>
    <w:rsid w:val="00223EAE"/>
    <w:rsid w:val="002249B3"/>
    <w:rsid w:val="0022513C"/>
    <w:rsid w:val="002304D2"/>
    <w:rsid w:val="002333E5"/>
    <w:rsid w:val="00236E2A"/>
    <w:rsid w:val="00237F62"/>
    <w:rsid w:val="00240F8A"/>
    <w:rsid w:val="002436D4"/>
    <w:rsid w:val="0024398A"/>
    <w:rsid w:val="0024586A"/>
    <w:rsid w:val="00254F65"/>
    <w:rsid w:val="00256F0C"/>
    <w:rsid w:val="002601C3"/>
    <w:rsid w:val="00262757"/>
    <w:rsid w:val="00262C05"/>
    <w:rsid w:val="00263768"/>
    <w:rsid w:val="0027160A"/>
    <w:rsid w:val="00273DA7"/>
    <w:rsid w:val="00275981"/>
    <w:rsid w:val="00276573"/>
    <w:rsid w:val="00276F9F"/>
    <w:rsid w:val="0028035A"/>
    <w:rsid w:val="002808C9"/>
    <w:rsid w:val="00281D14"/>
    <w:rsid w:val="002829E7"/>
    <w:rsid w:val="00282C13"/>
    <w:rsid w:val="00290CD3"/>
    <w:rsid w:val="002946E7"/>
    <w:rsid w:val="00294CC6"/>
    <w:rsid w:val="00295715"/>
    <w:rsid w:val="002958B1"/>
    <w:rsid w:val="00295B5D"/>
    <w:rsid w:val="002A0DF7"/>
    <w:rsid w:val="002A1528"/>
    <w:rsid w:val="002A32B0"/>
    <w:rsid w:val="002A5606"/>
    <w:rsid w:val="002A5AD9"/>
    <w:rsid w:val="002A60E0"/>
    <w:rsid w:val="002B7C01"/>
    <w:rsid w:val="002B7C38"/>
    <w:rsid w:val="002C0335"/>
    <w:rsid w:val="002C1B2D"/>
    <w:rsid w:val="002C252E"/>
    <w:rsid w:val="002C6773"/>
    <w:rsid w:val="002C6B5E"/>
    <w:rsid w:val="002D2A3D"/>
    <w:rsid w:val="002D533B"/>
    <w:rsid w:val="002D657C"/>
    <w:rsid w:val="002D6841"/>
    <w:rsid w:val="002E0B17"/>
    <w:rsid w:val="002E1100"/>
    <w:rsid w:val="002E40D3"/>
    <w:rsid w:val="002E4FFB"/>
    <w:rsid w:val="002E7DED"/>
    <w:rsid w:val="002F4AFD"/>
    <w:rsid w:val="002F7E11"/>
    <w:rsid w:val="003016AD"/>
    <w:rsid w:val="00304087"/>
    <w:rsid w:val="003064C3"/>
    <w:rsid w:val="00310ACD"/>
    <w:rsid w:val="00311C78"/>
    <w:rsid w:val="0031201F"/>
    <w:rsid w:val="0031379F"/>
    <w:rsid w:val="00314913"/>
    <w:rsid w:val="00320407"/>
    <w:rsid w:val="00320A26"/>
    <w:rsid w:val="00320C48"/>
    <w:rsid w:val="00321344"/>
    <w:rsid w:val="00321450"/>
    <w:rsid w:val="003237C0"/>
    <w:rsid w:val="00325341"/>
    <w:rsid w:val="00326912"/>
    <w:rsid w:val="00327FEC"/>
    <w:rsid w:val="00330AEF"/>
    <w:rsid w:val="0033739A"/>
    <w:rsid w:val="003400F9"/>
    <w:rsid w:val="0034015C"/>
    <w:rsid w:val="003415E9"/>
    <w:rsid w:val="003442F4"/>
    <w:rsid w:val="00350F04"/>
    <w:rsid w:val="00353705"/>
    <w:rsid w:val="003562E8"/>
    <w:rsid w:val="0036357D"/>
    <w:rsid w:val="003649BC"/>
    <w:rsid w:val="00365E44"/>
    <w:rsid w:val="00367AA1"/>
    <w:rsid w:val="00372E36"/>
    <w:rsid w:val="00376EE9"/>
    <w:rsid w:val="00377CBB"/>
    <w:rsid w:val="00382B01"/>
    <w:rsid w:val="00383810"/>
    <w:rsid w:val="003840D8"/>
    <w:rsid w:val="003850D3"/>
    <w:rsid w:val="003877B6"/>
    <w:rsid w:val="0039007E"/>
    <w:rsid w:val="00391BBD"/>
    <w:rsid w:val="00392077"/>
    <w:rsid w:val="00393887"/>
    <w:rsid w:val="00393A6C"/>
    <w:rsid w:val="00394C6B"/>
    <w:rsid w:val="003977A6"/>
    <w:rsid w:val="003A16AE"/>
    <w:rsid w:val="003A4E62"/>
    <w:rsid w:val="003A7279"/>
    <w:rsid w:val="003A7C4B"/>
    <w:rsid w:val="003B003E"/>
    <w:rsid w:val="003B1069"/>
    <w:rsid w:val="003B326A"/>
    <w:rsid w:val="003B390A"/>
    <w:rsid w:val="003B5697"/>
    <w:rsid w:val="003C0249"/>
    <w:rsid w:val="003C15DE"/>
    <w:rsid w:val="003C18AB"/>
    <w:rsid w:val="003C4EB2"/>
    <w:rsid w:val="003C5F88"/>
    <w:rsid w:val="003D0BBE"/>
    <w:rsid w:val="003D5755"/>
    <w:rsid w:val="003D5B33"/>
    <w:rsid w:val="003D7EE7"/>
    <w:rsid w:val="003E32CD"/>
    <w:rsid w:val="003E4B73"/>
    <w:rsid w:val="003E7458"/>
    <w:rsid w:val="003F1AF3"/>
    <w:rsid w:val="003F3A43"/>
    <w:rsid w:val="003F4D8D"/>
    <w:rsid w:val="003F653D"/>
    <w:rsid w:val="0040040A"/>
    <w:rsid w:val="00403F2C"/>
    <w:rsid w:val="00406592"/>
    <w:rsid w:val="0042101B"/>
    <w:rsid w:val="0042796C"/>
    <w:rsid w:val="004313E7"/>
    <w:rsid w:val="00431CEA"/>
    <w:rsid w:val="0044763B"/>
    <w:rsid w:val="00450243"/>
    <w:rsid w:val="00452BFE"/>
    <w:rsid w:val="00453E99"/>
    <w:rsid w:val="004540FE"/>
    <w:rsid w:val="00454AE9"/>
    <w:rsid w:val="00455C34"/>
    <w:rsid w:val="004629B3"/>
    <w:rsid w:val="0046376E"/>
    <w:rsid w:val="0046690F"/>
    <w:rsid w:val="0047224B"/>
    <w:rsid w:val="00472A09"/>
    <w:rsid w:val="00472FEC"/>
    <w:rsid w:val="00477934"/>
    <w:rsid w:val="004823E4"/>
    <w:rsid w:val="00485334"/>
    <w:rsid w:val="004863FF"/>
    <w:rsid w:val="004874BA"/>
    <w:rsid w:val="00490A03"/>
    <w:rsid w:val="00490CFE"/>
    <w:rsid w:val="00493327"/>
    <w:rsid w:val="00494DBE"/>
    <w:rsid w:val="00495CE6"/>
    <w:rsid w:val="00496B20"/>
    <w:rsid w:val="00497AE6"/>
    <w:rsid w:val="004A1D94"/>
    <w:rsid w:val="004A323C"/>
    <w:rsid w:val="004A4F37"/>
    <w:rsid w:val="004A6AD7"/>
    <w:rsid w:val="004A6F00"/>
    <w:rsid w:val="004B54E8"/>
    <w:rsid w:val="004C02B5"/>
    <w:rsid w:val="004C09EC"/>
    <w:rsid w:val="004C4FEB"/>
    <w:rsid w:val="004C6B79"/>
    <w:rsid w:val="004D059B"/>
    <w:rsid w:val="004D3AA6"/>
    <w:rsid w:val="004D4360"/>
    <w:rsid w:val="004D4CB6"/>
    <w:rsid w:val="004D5B36"/>
    <w:rsid w:val="004D7D58"/>
    <w:rsid w:val="004E18C1"/>
    <w:rsid w:val="004E18C9"/>
    <w:rsid w:val="004E3341"/>
    <w:rsid w:val="004E4FE6"/>
    <w:rsid w:val="004E5170"/>
    <w:rsid w:val="004F10C1"/>
    <w:rsid w:val="00502C67"/>
    <w:rsid w:val="00502E62"/>
    <w:rsid w:val="00505522"/>
    <w:rsid w:val="0050762C"/>
    <w:rsid w:val="00510591"/>
    <w:rsid w:val="00513DB0"/>
    <w:rsid w:val="0052212B"/>
    <w:rsid w:val="005256C2"/>
    <w:rsid w:val="00533F73"/>
    <w:rsid w:val="00534899"/>
    <w:rsid w:val="00534B46"/>
    <w:rsid w:val="00534DCB"/>
    <w:rsid w:val="00535284"/>
    <w:rsid w:val="00537682"/>
    <w:rsid w:val="00540358"/>
    <w:rsid w:val="0054573C"/>
    <w:rsid w:val="00545E41"/>
    <w:rsid w:val="0055571E"/>
    <w:rsid w:val="00556F67"/>
    <w:rsid w:val="005576B0"/>
    <w:rsid w:val="00561313"/>
    <w:rsid w:val="00563834"/>
    <w:rsid w:val="00564B38"/>
    <w:rsid w:val="005650B0"/>
    <w:rsid w:val="00573A36"/>
    <w:rsid w:val="0057566B"/>
    <w:rsid w:val="00575823"/>
    <w:rsid w:val="00576654"/>
    <w:rsid w:val="00583051"/>
    <w:rsid w:val="005833F0"/>
    <w:rsid w:val="005856B9"/>
    <w:rsid w:val="00586CAF"/>
    <w:rsid w:val="00591180"/>
    <w:rsid w:val="00595C06"/>
    <w:rsid w:val="0059722C"/>
    <w:rsid w:val="00597B54"/>
    <w:rsid w:val="00597D07"/>
    <w:rsid w:val="005A0561"/>
    <w:rsid w:val="005A3846"/>
    <w:rsid w:val="005B17E1"/>
    <w:rsid w:val="005B1FD1"/>
    <w:rsid w:val="005B3AB0"/>
    <w:rsid w:val="005B5CFE"/>
    <w:rsid w:val="005B6A58"/>
    <w:rsid w:val="005C0425"/>
    <w:rsid w:val="005C7112"/>
    <w:rsid w:val="005D0561"/>
    <w:rsid w:val="005D0AD9"/>
    <w:rsid w:val="005D22F6"/>
    <w:rsid w:val="005E0C30"/>
    <w:rsid w:val="005E2E46"/>
    <w:rsid w:val="005E3772"/>
    <w:rsid w:val="005E69D9"/>
    <w:rsid w:val="005F27F4"/>
    <w:rsid w:val="005F3239"/>
    <w:rsid w:val="005F517D"/>
    <w:rsid w:val="005F6567"/>
    <w:rsid w:val="00601D90"/>
    <w:rsid w:val="006046D6"/>
    <w:rsid w:val="00606089"/>
    <w:rsid w:val="00607256"/>
    <w:rsid w:val="0061442A"/>
    <w:rsid w:val="006144B1"/>
    <w:rsid w:val="00615ABA"/>
    <w:rsid w:val="0062593D"/>
    <w:rsid w:val="006266ED"/>
    <w:rsid w:val="00627E2B"/>
    <w:rsid w:val="00630197"/>
    <w:rsid w:val="00630F44"/>
    <w:rsid w:val="006335F1"/>
    <w:rsid w:val="00633C90"/>
    <w:rsid w:val="00634135"/>
    <w:rsid w:val="006345B6"/>
    <w:rsid w:val="00635712"/>
    <w:rsid w:val="00635C09"/>
    <w:rsid w:val="006362AD"/>
    <w:rsid w:val="006377C7"/>
    <w:rsid w:val="00643D8A"/>
    <w:rsid w:val="006444AF"/>
    <w:rsid w:val="006501E3"/>
    <w:rsid w:val="00650722"/>
    <w:rsid w:val="006518BC"/>
    <w:rsid w:val="00652021"/>
    <w:rsid w:val="00652229"/>
    <w:rsid w:val="00652793"/>
    <w:rsid w:val="00657FB6"/>
    <w:rsid w:val="006626CA"/>
    <w:rsid w:val="00663487"/>
    <w:rsid w:val="00665FA0"/>
    <w:rsid w:val="00670D3C"/>
    <w:rsid w:val="00672382"/>
    <w:rsid w:val="00672E10"/>
    <w:rsid w:val="00677F8A"/>
    <w:rsid w:val="006821A5"/>
    <w:rsid w:val="00682EB9"/>
    <w:rsid w:val="0068441A"/>
    <w:rsid w:val="0068728E"/>
    <w:rsid w:val="00690B19"/>
    <w:rsid w:val="0069483F"/>
    <w:rsid w:val="00695672"/>
    <w:rsid w:val="00695A20"/>
    <w:rsid w:val="00695F34"/>
    <w:rsid w:val="006972BC"/>
    <w:rsid w:val="006A0A3C"/>
    <w:rsid w:val="006A42A9"/>
    <w:rsid w:val="006A79F0"/>
    <w:rsid w:val="006B1888"/>
    <w:rsid w:val="006B499F"/>
    <w:rsid w:val="006B50E6"/>
    <w:rsid w:val="006C1121"/>
    <w:rsid w:val="006C6AEB"/>
    <w:rsid w:val="006D251E"/>
    <w:rsid w:val="006D4996"/>
    <w:rsid w:val="006D54AB"/>
    <w:rsid w:val="006D6E15"/>
    <w:rsid w:val="006E0626"/>
    <w:rsid w:val="006E0FDB"/>
    <w:rsid w:val="006E3006"/>
    <w:rsid w:val="006E3C30"/>
    <w:rsid w:val="006E5032"/>
    <w:rsid w:val="006E5BDA"/>
    <w:rsid w:val="006F099D"/>
    <w:rsid w:val="006F0FC7"/>
    <w:rsid w:val="006F3356"/>
    <w:rsid w:val="006F4875"/>
    <w:rsid w:val="006F670F"/>
    <w:rsid w:val="00703272"/>
    <w:rsid w:val="007034D7"/>
    <w:rsid w:val="007062CE"/>
    <w:rsid w:val="0070733C"/>
    <w:rsid w:val="00710B89"/>
    <w:rsid w:val="00710C5D"/>
    <w:rsid w:val="00711653"/>
    <w:rsid w:val="0071348C"/>
    <w:rsid w:val="0071535E"/>
    <w:rsid w:val="00716A39"/>
    <w:rsid w:val="00717273"/>
    <w:rsid w:val="007177D2"/>
    <w:rsid w:val="00720FD4"/>
    <w:rsid w:val="00721643"/>
    <w:rsid w:val="00721A98"/>
    <w:rsid w:val="007241E7"/>
    <w:rsid w:val="00724AF2"/>
    <w:rsid w:val="0073096C"/>
    <w:rsid w:val="0073342D"/>
    <w:rsid w:val="007334EE"/>
    <w:rsid w:val="00735F7D"/>
    <w:rsid w:val="007365F6"/>
    <w:rsid w:val="00740131"/>
    <w:rsid w:val="00742398"/>
    <w:rsid w:val="00747C37"/>
    <w:rsid w:val="007507B5"/>
    <w:rsid w:val="00753A24"/>
    <w:rsid w:val="00753ECB"/>
    <w:rsid w:val="00754B91"/>
    <w:rsid w:val="00754D7A"/>
    <w:rsid w:val="00760637"/>
    <w:rsid w:val="0076759B"/>
    <w:rsid w:val="00767C62"/>
    <w:rsid w:val="00772188"/>
    <w:rsid w:val="00772703"/>
    <w:rsid w:val="007753D6"/>
    <w:rsid w:val="007813D0"/>
    <w:rsid w:val="00783912"/>
    <w:rsid w:val="007844D2"/>
    <w:rsid w:val="00785277"/>
    <w:rsid w:val="00785993"/>
    <w:rsid w:val="00786BA3"/>
    <w:rsid w:val="00791A00"/>
    <w:rsid w:val="0079202F"/>
    <w:rsid w:val="00794909"/>
    <w:rsid w:val="00794E7D"/>
    <w:rsid w:val="00795AF2"/>
    <w:rsid w:val="00797E23"/>
    <w:rsid w:val="007A0FF6"/>
    <w:rsid w:val="007A33FD"/>
    <w:rsid w:val="007A4432"/>
    <w:rsid w:val="007A531B"/>
    <w:rsid w:val="007A784E"/>
    <w:rsid w:val="007B499C"/>
    <w:rsid w:val="007B4D4B"/>
    <w:rsid w:val="007B6F8D"/>
    <w:rsid w:val="007C3520"/>
    <w:rsid w:val="007C489B"/>
    <w:rsid w:val="007D2A02"/>
    <w:rsid w:val="007D384C"/>
    <w:rsid w:val="007D6168"/>
    <w:rsid w:val="007E6EA1"/>
    <w:rsid w:val="007F0F63"/>
    <w:rsid w:val="007F2B1E"/>
    <w:rsid w:val="007F3D56"/>
    <w:rsid w:val="007F62B4"/>
    <w:rsid w:val="0080044D"/>
    <w:rsid w:val="00800A9A"/>
    <w:rsid w:val="00801517"/>
    <w:rsid w:val="00802AFB"/>
    <w:rsid w:val="00814F49"/>
    <w:rsid w:val="00817AE8"/>
    <w:rsid w:val="00817DE8"/>
    <w:rsid w:val="008229F5"/>
    <w:rsid w:val="00824D55"/>
    <w:rsid w:val="0082699A"/>
    <w:rsid w:val="00833CEB"/>
    <w:rsid w:val="00835CAB"/>
    <w:rsid w:val="00836F33"/>
    <w:rsid w:val="008372D2"/>
    <w:rsid w:val="008377BC"/>
    <w:rsid w:val="00840C3E"/>
    <w:rsid w:val="00842500"/>
    <w:rsid w:val="00844C17"/>
    <w:rsid w:val="00845D29"/>
    <w:rsid w:val="00847726"/>
    <w:rsid w:val="00847BFD"/>
    <w:rsid w:val="00852511"/>
    <w:rsid w:val="00853BD4"/>
    <w:rsid w:val="00854333"/>
    <w:rsid w:val="00857390"/>
    <w:rsid w:val="00857FB7"/>
    <w:rsid w:val="008614F1"/>
    <w:rsid w:val="008639B3"/>
    <w:rsid w:val="00863C1A"/>
    <w:rsid w:val="0087142D"/>
    <w:rsid w:val="00873956"/>
    <w:rsid w:val="00873963"/>
    <w:rsid w:val="0087407D"/>
    <w:rsid w:val="008764AB"/>
    <w:rsid w:val="00877110"/>
    <w:rsid w:val="00877602"/>
    <w:rsid w:val="00880611"/>
    <w:rsid w:val="00880F62"/>
    <w:rsid w:val="00881A56"/>
    <w:rsid w:val="008825EE"/>
    <w:rsid w:val="0088596E"/>
    <w:rsid w:val="00890532"/>
    <w:rsid w:val="00891166"/>
    <w:rsid w:val="00892702"/>
    <w:rsid w:val="008962FA"/>
    <w:rsid w:val="0089796A"/>
    <w:rsid w:val="008A1908"/>
    <w:rsid w:val="008A2375"/>
    <w:rsid w:val="008A24FC"/>
    <w:rsid w:val="008A3B2C"/>
    <w:rsid w:val="008A7219"/>
    <w:rsid w:val="008C02C0"/>
    <w:rsid w:val="008D1AA9"/>
    <w:rsid w:val="008D5BE8"/>
    <w:rsid w:val="008D76C5"/>
    <w:rsid w:val="008D7B87"/>
    <w:rsid w:val="008E01AD"/>
    <w:rsid w:val="008E0AFA"/>
    <w:rsid w:val="008E75D3"/>
    <w:rsid w:val="008F0292"/>
    <w:rsid w:val="008F125E"/>
    <w:rsid w:val="008F3097"/>
    <w:rsid w:val="008F42BA"/>
    <w:rsid w:val="008F4D2F"/>
    <w:rsid w:val="008F677C"/>
    <w:rsid w:val="009036C9"/>
    <w:rsid w:val="009067AF"/>
    <w:rsid w:val="00917162"/>
    <w:rsid w:val="009221D8"/>
    <w:rsid w:val="00924B24"/>
    <w:rsid w:val="00924EB8"/>
    <w:rsid w:val="009251CC"/>
    <w:rsid w:val="00926E17"/>
    <w:rsid w:val="0092714E"/>
    <w:rsid w:val="00937A98"/>
    <w:rsid w:val="00942002"/>
    <w:rsid w:val="00947396"/>
    <w:rsid w:val="00947885"/>
    <w:rsid w:val="00952168"/>
    <w:rsid w:val="009527FE"/>
    <w:rsid w:val="0095343A"/>
    <w:rsid w:val="00961C72"/>
    <w:rsid w:val="00963F25"/>
    <w:rsid w:val="009707D9"/>
    <w:rsid w:val="009714F3"/>
    <w:rsid w:val="009739A0"/>
    <w:rsid w:val="00974F84"/>
    <w:rsid w:val="009767C7"/>
    <w:rsid w:val="0098147B"/>
    <w:rsid w:val="00984766"/>
    <w:rsid w:val="009851D7"/>
    <w:rsid w:val="0098579A"/>
    <w:rsid w:val="0099195A"/>
    <w:rsid w:val="00992A11"/>
    <w:rsid w:val="00994681"/>
    <w:rsid w:val="0099486A"/>
    <w:rsid w:val="00997DC6"/>
    <w:rsid w:val="009A0E26"/>
    <w:rsid w:val="009A0ED7"/>
    <w:rsid w:val="009A16EC"/>
    <w:rsid w:val="009B061F"/>
    <w:rsid w:val="009B3B37"/>
    <w:rsid w:val="009B7D1F"/>
    <w:rsid w:val="009C088E"/>
    <w:rsid w:val="009C1735"/>
    <w:rsid w:val="009C1876"/>
    <w:rsid w:val="009C3E7B"/>
    <w:rsid w:val="009C4D35"/>
    <w:rsid w:val="009C6A37"/>
    <w:rsid w:val="009D1522"/>
    <w:rsid w:val="009D1E0C"/>
    <w:rsid w:val="009D31A0"/>
    <w:rsid w:val="009D7519"/>
    <w:rsid w:val="009E4279"/>
    <w:rsid w:val="009E5EB4"/>
    <w:rsid w:val="009E6623"/>
    <w:rsid w:val="009F15E4"/>
    <w:rsid w:val="009F1F5D"/>
    <w:rsid w:val="009F2C52"/>
    <w:rsid w:val="00A00FA0"/>
    <w:rsid w:val="00A01A7E"/>
    <w:rsid w:val="00A036D6"/>
    <w:rsid w:val="00A03749"/>
    <w:rsid w:val="00A044D6"/>
    <w:rsid w:val="00A04ADB"/>
    <w:rsid w:val="00A11E0F"/>
    <w:rsid w:val="00A233BC"/>
    <w:rsid w:val="00A24FBF"/>
    <w:rsid w:val="00A26CB6"/>
    <w:rsid w:val="00A31A1D"/>
    <w:rsid w:val="00A32F82"/>
    <w:rsid w:val="00A32F8B"/>
    <w:rsid w:val="00A34D35"/>
    <w:rsid w:val="00A36154"/>
    <w:rsid w:val="00A3756F"/>
    <w:rsid w:val="00A42D6F"/>
    <w:rsid w:val="00A43ACC"/>
    <w:rsid w:val="00A45A62"/>
    <w:rsid w:val="00A54AC5"/>
    <w:rsid w:val="00A55DC3"/>
    <w:rsid w:val="00A56919"/>
    <w:rsid w:val="00A56D41"/>
    <w:rsid w:val="00A61353"/>
    <w:rsid w:val="00A615A8"/>
    <w:rsid w:val="00A62AA2"/>
    <w:rsid w:val="00A63B18"/>
    <w:rsid w:val="00A654C0"/>
    <w:rsid w:val="00A658E7"/>
    <w:rsid w:val="00A66DB1"/>
    <w:rsid w:val="00A67A92"/>
    <w:rsid w:val="00A73DF0"/>
    <w:rsid w:val="00A75B01"/>
    <w:rsid w:val="00A8294B"/>
    <w:rsid w:val="00A86FF2"/>
    <w:rsid w:val="00A87870"/>
    <w:rsid w:val="00A91A70"/>
    <w:rsid w:val="00A92384"/>
    <w:rsid w:val="00A9535D"/>
    <w:rsid w:val="00A97390"/>
    <w:rsid w:val="00AA1854"/>
    <w:rsid w:val="00AA1B85"/>
    <w:rsid w:val="00AB1CB6"/>
    <w:rsid w:val="00AB1D9A"/>
    <w:rsid w:val="00AB26D7"/>
    <w:rsid w:val="00AB59CC"/>
    <w:rsid w:val="00AC20BE"/>
    <w:rsid w:val="00AC3CAA"/>
    <w:rsid w:val="00AD44FE"/>
    <w:rsid w:val="00AD5064"/>
    <w:rsid w:val="00AD79E8"/>
    <w:rsid w:val="00AE0F56"/>
    <w:rsid w:val="00AE3D63"/>
    <w:rsid w:val="00AE49F1"/>
    <w:rsid w:val="00B04609"/>
    <w:rsid w:val="00B053E3"/>
    <w:rsid w:val="00B05CCA"/>
    <w:rsid w:val="00B14271"/>
    <w:rsid w:val="00B14B85"/>
    <w:rsid w:val="00B15676"/>
    <w:rsid w:val="00B16270"/>
    <w:rsid w:val="00B17A51"/>
    <w:rsid w:val="00B26265"/>
    <w:rsid w:val="00B2685D"/>
    <w:rsid w:val="00B30351"/>
    <w:rsid w:val="00B33C2A"/>
    <w:rsid w:val="00B41F9C"/>
    <w:rsid w:val="00B422EC"/>
    <w:rsid w:val="00B43CE3"/>
    <w:rsid w:val="00B442F2"/>
    <w:rsid w:val="00B47C34"/>
    <w:rsid w:val="00B53CF2"/>
    <w:rsid w:val="00B54A6C"/>
    <w:rsid w:val="00B6283F"/>
    <w:rsid w:val="00B62D6C"/>
    <w:rsid w:val="00B63EA0"/>
    <w:rsid w:val="00B7211F"/>
    <w:rsid w:val="00B72466"/>
    <w:rsid w:val="00B726D4"/>
    <w:rsid w:val="00B73BB6"/>
    <w:rsid w:val="00B80B7B"/>
    <w:rsid w:val="00B8214F"/>
    <w:rsid w:val="00B851DB"/>
    <w:rsid w:val="00B86A4F"/>
    <w:rsid w:val="00B928B7"/>
    <w:rsid w:val="00B93035"/>
    <w:rsid w:val="00B958E8"/>
    <w:rsid w:val="00BA09B2"/>
    <w:rsid w:val="00BA5521"/>
    <w:rsid w:val="00BA5B46"/>
    <w:rsid w:val="00BB11EA"/>
    <w:rsid w:val="00BB6BB8"/>
    <w:rsid w:val="00BC0995"/>
    <w:rsid w:val="00BC226F"/>
    <w:rsid w:val="00BC300D"/>
    <w:rsid w:val="00BC64ED"/>
    <w:rsid w:val="00BC77F7"/>
    <w:rsid w:val="00BD3DF3"/>
    <w:rsid w:val="00BD5F1E"/>
    <w:rsid w:val="00BD78F0"/>
    <w:rsid w:val="00BE5D03"/>
    <w:rsid w:val="00BE793A"/>
    <w:rsid w:val="00BF2B82"/>
    <w:rsid w:val="00BF432A"/>
    <w:rsid w:val="00BF6E82"/>
    <w:rsid w:val="00C060C7"/>
    <w:rsid w:val="00C10DB0"/>
    <w:rsid w:val="00C21375"/>
    <w:rsid w:val="00C24C17"/>
    <w:rsid w:val="00C27EA9"/>
    <w:rsid w:val="00C31CBA"/>
    <w:rsid w:val="00C321E1"/>
    <w:rsid w:val="00C40B88"/>
    <w:rsid w:val="00C42E72"/>
    <w:rsid w:val="00C47D87"/>
    <w:rsid w:val="00C5376E"/>
    <w:rsid w:val="00C54882"/>
    <w:rsid w:val="00C71109"/>
    <w:rsid w:val="00C726B9"/>
    <w:rsid w:val="00C816A8"/>
    <w:rsid w:val="00C8173A"/>
    <w:rsid w:val="00C97091"/>
    <w:rsid w:val="00C97260"/>
    <w:rsid w:val="00CA2001"/>
    <w:rsid w:val="00CA602B"/>
    <w:rsid w:val="00CA74E7"/>
    <w:rsid w:val="00CB1510"/>
    <w:rsid w:val="00CB5B6C"/>
    <w:rsid w:val="00CC0F98"/>
    <w:rsid w:val="00CC2094"/>
    <w:rsid w:val="00CC2939"/>
    <w:rsid w:val="00CC56CC"/>
    <w:rsid w:val="00CC6C55"/>
    <w:rsid w:val="00CC715B"/>
    <w:rsid w:val="00CD16BE"/>
    <w:rsid w:val="00CD4616"/>
    <w:rsid w:val="00CE0E81"/>
    <w:rsid w:val="00CE33D5"/>
    <w:rsid w:val="00CF445E"/>
    <w:rsid w:val="00CF5D37"/>
    <w:rsid w:val="00CF6795"/>
    <w:rsid w:val="00CF6F33"/>
    <w:rsid w:val="00D02248"/>
    <w:rsid w:val="00D02B40"/>
    <w:rsid w:val="00D05A37"/>
    <w:rsid w:val="00D063B8"/>
    <w:rsid w:val="00D06675"/>
    <w:rsid w:val="00D06825"/>
    <w:rsid w:val="00D15AA3"/>
    <w:rsid w:val="00D17E3B"/>
    <w:rsid w:val="00D23C09"/>
    <w:rsid w:val="00D23CED"/>
    <w:rsid w:val="00D24BD2"/>
    <w:rsid w:val="00D2573D"/>
    <w:rsid w:val="00D260A2"/>
    <w:rsid w:val="00D30CC6"/>
    <w:rsid w:val="00D3260C"/>
    <w:rsid w:val="00D35790"/>
    <w:rsid w:val="00D360F1"/>
    <w:rsid w:val="00D424E9"/>
    <w:rsid w:val="00D4682F"/>
    <w:rsid w:val="00D5653B"/>
    <w:rsid w:val="00D62EF1"/>
    <w:rsid w:val="00D6309D"/>
    <w:rsid w:val="00D644CA"/>
    <w:rsid w:val="00D66FC2"/>
    <w:rsid w:val="00D718B1"/>
    <w:rsid w:val="00D73897"/>
    <w:rsid w:val="00D748A7"/>
    <w:rsid w:val="00D76C7E"/>
    <w:rsid w:val="00D7776D"/>
    <w:rsid w:val="00D814CD"/>
    <w:rsid w:val="00D83A0C"/>
    <w:rsid w:val="00D853AD"/>
    <w:rsid w:val="00D9293F"/>
    <w:rsid w:val="00D93168"/>
    <w:rsid w:val="00D93598"/>
    <w:rsid w:val="00D97EAD"/>
    <w:rsid w:val="00DA1E18"/>
    <w:rsid w:val="00DA2009"/>
    <w:rsid w:val="00DA4A28"/>
    <w:rsid w:val="00DB05B1"/>
    <w:rsid w:val="00DB5A79"/>
    <w:rsid w:val="00DB6420"/>
    <w:rsid w:val="00DB67ED"/>
    <w:rsid w:val="00DD0916"/>
    <w:rsid w:val="00DD4874"/>
    <w:rsid w:val="00DD512E"/>
    <w:rsid w:val="00DD7289"/>
    <w:rsid w:val="00DE04C1"/>
    <w:rsid w:val="00DE1177"/>
    <w:rsid w:val="00DE2CEA"/>
    <w:rsid w:val="00DE6A3C"/>
    <w:rsid w:val="00DE74F4"/>
    <w:rsid w:val="00DE7F97"/>
    <w:rsid w:val="00DF1010"/>
    <w:rsid w:val="00DF5583"/>
    <w:rsid w:val="00DF5AEA"/>
    <w:rsid w:val="00DF5CFC"/>
    <w:rsid w:val="00DF63F6"/>
    <w:rsid w:val="00E01AF5"/>
    <w:rsid w:val="00E060CB"/>
    <w:rsid w:val="00E075D3"/>
    <w:rsid w:val="00E10792"/>
    <w:rsid w:val="00E13747"/>
    <w:rsid w:val="00E153D1"/>
    <w:rsid w:val="00E153FB"/>
    <w:rsid w:val="00E253A0"/>
    <w:rsid w:val="00E25AEA"/>
    <w:rsid w:val="00E30DEF"/>
    <w:rsid w:val="00E30ED2"/>
    <w:rsid w:val="00E31276"/>
    <w:rsid w:val="00E37F70"/>
    <w:rsid w:val="00E43351"/>
    <w:rsid w:val="00E4411C"/>
    <w:rsid w:val="00E4417F"/>
    <w:rsid w:val="00E446C1"/>
    <w:rsid w:val="00E47A27"/>
    <w:rsid w:val="00E548CF"/>
    <w:rsid w:val="00E549ED"/>
    <w:rsid w:val="00E61244"/>
    <w:rsid w:val="00E7387A"/>
    <w:rsid w:val="00E758B9"/>
    <w:rsid w:val="00E75CFE"/>
    <w:rsid w:val="00E808D3"/>
    <w:rsid w:val="00E85569"/>
    <w:rsid w:val="00E856AF"/>
    <w:rsid w:val="00E86B83"/>
    <w:rsid w:val="00E86FFD"/>
    <w:rsid w:val="00E87C64"/>
    <w:rsid w:val="00E906D7"/>
    <w:rsid w:val="00E915DB"/>
    <w:rsid w:val="00E91869"/>
    <w:rsid w:val="00E93A01"/>
    <w:rsid w:val="00E93FF8"/>
    <w:rsid w:val="00E969F8"/>
    <w:rsid w:val="00E96A72"/>
    <w:rsid w:val="00E96EAF"/>
    <w:rsid w:val="00EA1752"/>
    <w:rsid w:val="00EA25AE"/>
    <w:rsid w:val="00EA47F0"/>
    <w:rsid w:val="00EA53A3"/>
    <w:rsid w:val="00EA5A89"/>
    <w:rsid w:val="00EA5BDB"/>
    <w:rsid w:val="00EA7C98"/>
    <w:rsid w:val="00EB1A62"/>
    <w:rsid w:val="00EB2552"/>
    <w:rsid w:val="00EB46D9"/>
    <w:rsid w:val="00EC0509"/>
    <w:rsid w:val="00EC0F98"/>
    <w:rsid w:val="00EC142D"/>
    <w:rsid w:val="00EC1E16"/>
    <w:rsid w:val="00ED0F85"/>
    <w:rsid w:val="00ED2B5C"/>
    <w:rsid w:val="00ED3269"/>
    <w:rsid w:val="00ED3C7D"/>
    <w:rsid w:val="00ED5954"/>
    <w:rsid w:val="00EE1A8C"/>
    <w:rsid w:val="00EE6745"/>
    <w:rsid w:val="00EF06C5"/>
    <w:rsid w:val="00EF15FF"/>
    <w:rsid w:val="00EF7111"/>
    <w:rsid w:val="00EF7D1A"/>
    <w:rsid w:val="00F016EC"/>
    <w:rsid w:val="00F0292F"/>
    <w:rsid w:val="00F035A7"/>
    <w:rsid w:val="00F0448F"/>
    <w:rsid w:val="00F13245"/>
    <w:rsid w:val="00F13DDF"/>
    <w:rsid w:val="00F14509"/>
    <w:rsid w:val="00F152B7"/>
    <w:rsid w:val="00F16FB6"/>
    <w:rsid w:val="00F255F6"/>
    <w:rsid w:val="00F2583C"/>
    <w:rsid w:val="00F2646F"/>
    <w:rsid w:val="00F270E9"/>
    <w:rsid w:val="00F275C0"/>
    <w:rsid w:val="00F27FF1"/>
    <w:rsid w:val="00F346B6"/>
    <w:rsid w:val="00F36145"/>
    <w:rsid w:val="00F37BDD"/>
    <w:rsid w:val="00F41503"/>
    <w:rsid w:val="00F416CD"/>
    <w:rsid w:val="00F43D80"/>
    <w:rsid w:val="00F440FE"/>
    <w:rsid w:val="00F466C8"/>
    <w:rsid w:val="00F469A9"/>
    <w:rsid w:val="00F50B46"/>
    <w:rsid w:val="00F50D1F"/>
    <w:rsid w:val="00F5298D"/>
    <w:rsid w:val="00F559BC"/>
    <w:rsid w:val="00F635FC"/>
    <w:rsid w:val="00F63D03"/>
    <w:rsid w:val="00F65C29"/>
    <w:rsid w:val="00F65E2F"/>
    <w:rsid w:val="00F668D8"/>
    <w:rsid w:val="00F67DF1"/>
    <w:rsid w:val="00F73049"/>
    <w:rsid w:val="00F73993"/>
    <w:rsid w:val="00F8309B"/>
    <w:rsid w:val="00F833C9"/>
    <w:rsid w:val="00F83CAB"/>
    <w:rsid w:val="00F8581F"/>
    <w:rsid w:val="00F90064"/>
    <w:rsid w:val="00F937AE"/>
    <w:rsid w:val="00F96AFD"/>
    <w:rsid w:val="00F979FB"/>
    <w:rsid w:val="00FA1398"/>
    <w:rsid w:val="00FA2E19"/>
    <w:rsid w:val="00FA3337"/>
    <w:rsid w:val="00FA36E8"/>
    <w:rsid w:val="00FA375F"/>
    <w:rsid w:val="00FA697F"/>
    <w:rsid w:val="00FA6DDC"/>
    <w:rsid w:val="00FB5521"/>
    <w:rsid w:val="00FB610D"/>
    <w:rsid w:val="00FC4477"/>
    <w:rsid w:val="00FC46FB"/>
    <w:rsid w:val="00FC49E3"/>
    <w:rsid w:val="00FD2BD3"/>
    <w:rsid w:val="00FD3537"/>
    <w:rsid w:val="00FD453A"/>
    <w:rsid w:val="00FD49E2"/>
    <w:rsid w:val="00FD4CCA"/>
    <w:rsid w:val="00FE0AAD"/>
    <w:rsid w:val="00FE28A9"/>
    <w:rsid w:val="00FE2A9E"/>
    <w:rsid w:val="00FF12C3"/>
    <w:rsid w:val="00FF416C"/>
    <w:rsid w:val="00FF69B6"/>
    <w:rsid w:val="00FF7D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85660"/>
  <w15:docId w15:val="{1B2C3B35-17D5-4A04-B599-A6ABA33B9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1"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21D8"/>
    <w:pPr>
      <w:spacing w:line="276" w:lineRule="auto"/>
      <w:jc w:val="both"/>
    </w:pPr>
    <w:rPr>
      <w:rFonts w:ascii="Segoe UI" w:hAnsi="Segoe UI"/>
      <w:sz w:val="22"/>
      <w:szCs w:val="24"/>
      <w:lang w:val="de-DE"/>
    </w:rPr>
  </w:style>
  <w:style w:type="paragraph" w:styleId="Heading1">
    <w:name w:val="heading 1"/>
    <w:basedOn w:val="Normal"/>
    <w:next w:val="Normal"/>
    <w:link w:val="Heading1Char"/>
    <w:uiPriority w:val="99"/>
    <w:qFormat/>
    <w:rsid w:val="00097261"/>
    <w:pPr>
      <w:keepNext/>
      <w:spacing w:line="420" w:lineRule="atLeast"/>
      <w:outlineLvl w:val="0"/>
    </w:pPr>
    <w:rPr>
      <w:rFonts w:cs="Arial"/>
      <w:b/>
      <w:bCs/>
      <w:kern w:val="32"/>
      <w:sz w:val="36"/>
      <w:szCs w:val="32"/>
    </w:rPr>
  </w:style>
  <w:style w:type="paragraph" w:styleId="Heading2">
    <w:name w:val="heading 2"/>
    <w:basedOn w:val="Normal"/>
    <w:next w:val="Normal"/>
    <w:qFormat/>
    <w:rsid w:val="003F46B0"/>
    <w:pPr>
      <w:keepNext/>
      <w:outlineLvl w:val="1"/>
    </w:pPr>
    <w:rPr>
      <w:rFonts w:cs="Arial"/>
      <w:bCs/>
      <w:iCs/>
      <w:color w:val="E1000F"/>
      <w:szCs w:val="28"/>
    </w:rPr>
  </w:style>
  <w:style w:type="paragraph" w:styleId="Heading3">
    <w:name w:val="heading 3"/>
    <w:basedOn w:val="Heading2"/>
    <w:next w:val="Normal"/>
    <w:qFormat/>
    <w:rsid w:val="006F1596"/>
    <w:pPr>
      <w:outlineLvl w:val="2"/>
    </w:pPr>
    <w:rPr>
      <w:color w:val="aut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362AD"/>
    <w:pPr>
      <w:tabs>
        <w:tab w:val="left" w:pos="2607"/>
        <w:tab w:val="center" w:pos="4320"/>
        <w:tab w:val="right" w:pos="9356"/>
      </w:tabs>
      <w:spacing w:before="1440" w:line="100" w:lineRule="atLeast"/>
      <w:jc w:val="right"/>
    </w:pPr>
    <w:rPr>
      <w:rFonts w:cs="Segoe UI"/>
      <w:b/>
      <w:bCs/>
      <w:noProof/>
      <w:color w:val="3E3C3C"/>
      <w:sz w:val="40"/>
      <w:szCs w:val="40"/>
    </w:rPr>
  </w:style>
  <w:style w:type="paragraph" w:styleId="Footer">
    <w:name w:val="footer"/>
    <w:basedOn w:val="Normal"/>
    <w:link w:val="FooterChar"/>
    <w:uiPriority w:val="99"/>
    <w:rsid w:val="00992A11"/>
    <w:pPr>
      <w:tabs>
        <w:tab w:val="right" w:pos="7083"/>
        <w:tab w:val="right" w:pos="8640"/>
      </w:tabs>
      <w:spacing w:line="180" w:lineRule="atLeast"/>
      <w:jc w:val="right"/>
    </w:pPr>
    <w:rPr>
      <w:bCs/>
      <w:noProof/>
      <w:sz w:val="12"/>
    </w:rPr>
  </w:style>
  <w:style w:type="paragraph" w:customStyle="1" w:styleId="Intro">
    <w:name w:val="Intro"/>
    <w:basedOn w:val="Normal"/>
    <w:rsid w:val="006F1596"/>
    <w:pPr>
      <w:spacing w:after="300"/>
    </w:pPr>
    <w:rPr>
      <w:color w:val="415055"/>
      <w:sz w:val="24"/>
    </w:rPr>
  </w:style>
  <w:style w:type="paragraph" w:customStyle="1" w:styleId="NumBullet">
    <w:name w:val="Num_Bullet"/>
    <w:basedOn w:val="Normal"/>
    <w:rsid w:val="00576BC8"/>
    <w:pPr>
      <w:numPr>
        <w:numId w:val="1"/>
      </w:numPr>
      <w:tabs>
        <w:tab w:val="clear" w:pos="567"/>
        <w:tab w:val="left" w:pos="357"/>
      </w:tabs>
      <w:ind w:left="357" w:hanging="357"/>
    </w:pPr>
  </w:style>
  <w:style w:type="paragraph" w:customStyle="1" w:styleId="Page1Name">
    <w:name w:val="Page1_Name"/>
    <w:basedOn w:val="Normal"/>
    <w:rsid w:val="004F237B"/>
    <w:pPr>
      <w:spacing w:after="420" w:line="360" w:lineRule="atLeast"/>
    </w:pPr>
    <w:rPr>
      <w:b/>
      <w:sz w:val="30"/>
    </w:rPr>
  </w:style>
  <w:style w:type="paragraph" w:customStyle="1" w:styleId="Page1Title">
    <w:name w:val="Page1_Title"/>
    <w:basedOn w:val="Normal"/>
    <w:rsid w:val="004F237B"/>
    <w:pPr>
      <w:spacing w:line="228" w:lineRule="auto"/>
    </w:pPr>
    <w:rPr>
      <w:color w:val="E1000F"/>
      <w:sz w:val="90"/>
    </w:rPr>
  </w:style>
  <w:style w:type="paragraph" w:customStyle="1" w:styleId="Page1Author">
    <w:name w:val="Page1_Author"/>
    <w:basedOn w:val="Page1Name"/>
    <w:rsid w:val="004F237B"/>
    <w:pPr>
      <w:spacing w:before="240" w:after="0"/>
    </w:pPr>
    <w:rPr>
      <w:b w:val="0"/>
      <w:bCs/>
    </w:rPr>
  </w:style>
  <w:style w:type="table" w:styleId="TableGrid">
    <w:name w:val="Table Grid"/>
    <w:basedOn w:val="TableNormal"/>
    <w:rsid w:val="004F237B"/>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link w:val="InfoZchn"/>
    <w:rsid w:val="00EE59A4"/>
    <w:pPr>
      <w:spacing w:line="240" w:lineRule="atLeast"/>
    </w:pPr>
    <w:rPr>
      <w:sz w:val="13"/>
    </w:rPr>
  </w:style>
  <w:style w:type="character" w:customStyle="1" w:styleId="InfoZchn">
    <w:name w:val="Info Zchn"/>
    <w:link w:val="Info"/>
    <w:rsid w:val="003F6218"/>
    <w:rPr>
      <w:rFonts w:ascii="Arial" w:hAnsi="Arial"/>
      <w:sz w:val="13"/>
      <w:szCs w:val="24"/>
      <w:lang w:val="de-DE" w:eastAsia="en-US" w:bidi="ar-SA"/>
    </w:rPr>
  </w:style>
  <w:style w:type="paragraph" w:customStyle="1" w:styleId="Standard12pt">
    <w:name w:val="Standard_12pt"/>
    <w:basedOn w:val="Normal"/>
    <w:rsid w:val="0048435F"/>
    <w:pPr>
      <w:spacing w:line="300" w:lineRule="atLeast"/>
    </w:pPr>
    <w:rPr>
      <w:sz w:val="24"/>
    </w:rPr>
  </w:style>
  <w:style w:type="character" w:customStyle="1" w:styleId="Heading1Char">
    <w:name w:val="Heading 1 Char"/>
    <w:link w:val="Heading1"/>
    <w:uiPriority w:val="99"/>
    <w:locked/>
    <w:rsid w:val="00B422EC"/>
    <w:rPr>
      <w:rFonts w:ascii="Arial" w:hAnsi="Arial" w:cs="Arial"/>
      <w:b/>
      <w:bCs/>
      <w:kern w:val="32"/>
      <w:sz w:val="36"/>
      <w:szCs w:val="32"/>
      <w:lang w:val="de-DE"/>
    </w:rPr>
  </w:style>
  <w:style w:type="character" w:styleId="Hyperlink">
    <w:name w:val="Hyperlink"/>
    <w:rsid w:val="00C97260"/>
    <w:rPr>
      <w:color w:val="0000FF"/>
      <w:sz w:val="18"/>
      <w:szCs w:val="18"/>
      <w:u w:val="single"/>
    </w:rPr>
  </w:style>
  <w:style w:type="paragraph" w:customStyle="1" w:styleId="MittleresRaster1-Akzent21">
    <w:name w:val="Mittleres Raster 1 - Akzent 21"/>
    <w:basedOn w:val="Normal"/>
    <w:uiPriority w:val="34"/>
    <w:qFormat/>
    <w:rsid w:val="00B422EC"/>
    <w:pPr>
      <w:ind w:left="720"/>
    </w:pPr>
  </w:style>
  <w:style w:type="paragraph" w:styleId="BalloonText">
    <w:name w:val="Balloon Text"/>
    <w:basedOn w:val="Normal"/>
    <w:link w:val="BalloonTextChar"/>
    <w:rsid w:val="00273DA7"/>
    <w:pPr>
      <w:spacing w:line="240" w:lineRule="auto"/>
    </w:pPr>
    <w:rPr>
      <w:sz w:val="18"/>
      <w:szCs w:val="18"/>
    </w:rPr>
  </w:style>
  <w:style w:type="character" w:customStyle="1" w:styleId="BalloonTextChar">
    <w:name w:val="Balloon Text Char"/>
    <w:link w:val="BalloonText"/>
    <w:rsid w:val="00273DA7"/>
    <w:rPr>
      <w:rFonts w:ascii="Segoe UI" w:hAnsi="Segoe UI"/>
      <w:sz w:val="18"/>
      <w:szCs w:val="18"/>
      <w:lang w:val="de-DE"/>
    </w:rPr>
  </w:style>
  <w:style w:type="paragraph" w:customStyle="1" w:styleId="MittlereListe2-Akzent21">
    <w:name w:val="Mittlere Liste 2 - Akzent 21"/>
    <w:hidden/>
    <w:uiPriority w:val="99"/>
    <w:semiHidden/>
    <w:rsid w:val="002E0B17"/>
    <w:rPr>
      <w:rFonts w:ascii="Arial" w:hAnsi="Arial"/>
      <w:szCs w:val="24"/>
      <w:lang w:val="de-DE"/>
    </w:rPr>
  </w:style>
  <w:style w:type="character" w:customStyle="1" w:styleId="FooterChar">
    <w:name w:val="Footer Char"/>
    <w:link w:val="Footer"/>
    <w:uiPriority w:val="99"/>
    <w:rsid w:val="00992A11"/>
    <w:rPr>
      <w:rFonts w:ascii="Segoe UI" w:hAnsi="Segoe UI"/>
      <w:bCs/>
      <w:noProof/>
      <w:sz w:val="12"/>
      <w:szCs w:val="24"/>
      <w:lang w:val="de-DE"/>
    </w:rPr>
  </w:style>
  <w:style w:type="character" w:customStyle="1" w:styleId="UnresolvedMention1">
    <w:name w:val="Unresolved Mention1"/>
    <w:uiPriority w:val="99"/>
    <w:semiHidden/>
    <w:unhideWhenUsed/>
    <w:rsid w:val="000C210A"/>
    <w:rPr>
      <w:color w:val="605E5C"/>
      <w:shd w:val="clear" w:color="auto" w:fill="E1DFDD"/>
    </w:rPr>
  </w:style>
  <w:style w:type="paragraph" w:customStyle="1" w:styleId="Style12ptJustifiedLinespacing15lines">
    <w:name w:val="Style 12 pt Justified Line spacing:  1.5 lines"/>
    <w:basedOn w:val="Normal"/>
    <w:rsid w:val="00974F84"/>
    <w:rPr>
      <w:szCs w:val="20"/>
    </w:rPr>
  </w:style>
  <w:style w:type="paragraph" w:customStyle="1" w:styleId="Style12ptJustifiedLinespacing15lines1">
    <w:name w:val="Style 12 pt Justified Line spacing:  1.5 lines1"/>
    <w:basedOn w:val="Normal"/>
    <w:rsid w:val="00974F84"/>
    <w:pPr>
      <w:spacing w:before="120"/>
    </w:pPr>
    <w:rPr>
      <w:szCs w:val="20"/>
    </w:rPr>
  </w:style>
  <w:style w:type="character" w:customStyle="1" w:styleId="Headline">
    <w:name w:val="Headline"/>
    <w:basedOn w:val="DefaultParagraphFont"/>
    <w:rsid w:val="00273DA7"/>
    <w:rPr>
      <w:rFonts w:ascii="Segoe UI" w:hAnsi="Segoe UI"/>
      <w:b/>
      <w:bCs/>
      <w:sz w:val="32"/>
    </w:rPr>
  </w:style>
  <w:style w:type="paragraph" w:customStyle="1" w:styleId="MonthDayYear">
    <w:name w:val="Month Day Year"/>
    <w:basedOn w:val="Normal"/>
    <w:rsid w:val="00643D8A"/>
    <w:pPr>
      <w:spacing w:before="120"/>
      <w:ind w:right="-1"/>
      <w:jc w:val="right"/>
    </w:pPr>
    <w:rPr>
      <w:szCs w:val="20"/>
    </w:rPr>
  </w:style>
  <w:style w:type="paragraph" w:customStyle="1" w:styleId="Topline">
    <w:name w:val="Topline"/>
    <w:basedOn w:val="Normal"/>
    <w:qFormat/>
    <w:rsid w:val="00472FEC"/>
    <w:pPr>
      <w:spacing w:before="560" w:after="560"/>
    </w:pPr>
    <w:rPr>
      <w:rFonts w:cs="Segoe UI"/>
      <w:szCs w:val="22"/>
      <w:lang w:val="en-US"/>
    </w:rPr>
  </w:style>
  <w:style w:type="character" w:customStyle="1" w:styleId="AboutandContactBody">
    <w:name w:val="About and Contact Body"/>
    <w:basedOn w:val="DefaultParagraphFont"/>
    <w:rsid w:val="00273DA7"/>
    <w:rPr>
      <w:rFonts w:ascii="Segoe UI" w:hAnsi="Segoe UI"/>
      <w:sz w:val="18"/>
    </w:rPr>
  </w:style>
  <w:style w:type="character" w:customStyle="1" w:styleId="AboutandContactHeadline">
    <w:name w:val="About and Contact Headline"/>
    <w:basedOn w:val="DefaultParagraphFont"/>
    <w:rsid w:val="00273DA7"/>
    <w:rPr>
      <w:rFonts w:ascii="Segoe UI" w:hAnsi="Segoe UI"/>
      <w:b/>
      <w:bCs/>
      <w:sz w:val="18"/>
    </w:rPr>
  </w:style>
  <w:style w:type="paragraph" w:styleId="Revision">
    <w:name w:val="Revision"/>
    <w:hidden/>
    <w:uiPriority w:val="62"/>
    <w:unhideWhenUsed/>
    <w:rsid w:val="00711653"/>
    <w:rPr>
      <w:rFonts w:ascii="Segoe UI" w:hAnsi="Segoe UI"/>
      <w:sz w:val="22"/>
      <w:szCs w:val="24"/>
      <w:lang w:val="de-DE"/>
    </w:rPr>
  </w:style>
  <w:style w:type="paragraph" w:customStyle="1" w:styleId="He01Flietext">
    <w:name w:val="_He_01_Fließtext"/>
    <w:qFormat/>
    <w:rsid w:val="003A7C4B"/>
    <w:pPr>
      <w:spacing w:after="160"/>
    </w:pPr>
    <w:rPr>
      <w:rFonts w:ascii="Segoe UI" w:eastAsiaTheme="minorHAnsi" w:hAnsi="Segoe UI" w:cstheme="minorBidi"/>
      <w:sz w:val="22"/>
      <w:szCs w:val="22"/>
      <w:lang w:val="de-DE"/>
    </w:rPr>
  </w:style>
  <w:style w:type="paragraph" w:customStyle="1" w:styleId="pf0">
    <w:name w:val="pf0"/>
    <w:basedOn w:val="Normal"/>
    <w:rsid w:val="003B5697"/>
    <w:pPr>
      <w:spacing w:before="100" w:beforeAutospacing="1" w:after="100" w:afterAutospacing="1" w:line="240" w:lineRule="auto"/>
      <w:jc w:val="left"/>
    </w:pPr>
    <w:rPr>
      <w:rFonts w:ascii="Times New Roman" w:hAnsi="Times New Roman"/>
      <w:sz w:val="24"/>
      <w:lang w:eastAsia="de-DE"/>
    </w:rPr>
  </w:style>
  <w:style w:type="character" w:customStyle="1" w:styleId="cf01">
    <w:name w:val="cf01"/>
    <w:basedOn w:val="DefaultParagraphFont"/>
    <w:rsid w:val="003B5697"/>
    <w:rPr>
      <w:rFonts w:ascii="Segoe UI" w:hAnsi="Segoe UI" w:cs="Segoe UI" w:hint="default"/>
      <w:sz w:val="18"/>
      <w:szCs w:val="18"/>
    </w:rPr>
  </w:style>
  <w:style w:type="paragraph" w:styleId="HTMLPreformatted">
    <w:name w:val="HTML Preformatted"/>
    <w:basedOn w:val="Normal"/>
    <w:link w:val="HTMLPreformattedChar"/>
    <w:uiPriority w:val="99"/>
    <w:semiHidden/>
    <w:unhideWhenUsed/>
    <w:rsid w:val="00B47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lang w:eastAsia="de-DE"/>
    </w:rPr>
  </w:style>
  <w:style w:type="character" w:customStyle="1" w:styleId="HTMLPreformattedChar">
    <w:name w:val="HTML Preformatted Char"/>
    <w:basedOn w:val="DefaultParagraphFont"/>
    <w:link w:val="HTMLPreformatted"/>
    <w:uiPriority w:val="99"/>
    <w:semiHidden/>
    <w:rsid w:val="00B47C34"/>
    <w:rPr>
      <w:rFonts w:ascii="Courier New" w:hAnsi="Courier New" w:cs="Courier New"/>
      <w:lang w:val="de-DE" w:eastAsia="de-DE"/>
    </w:rPr>
  </w:style>
  <w:style w:type="character" w:customStyle="1" w:styleId="y2iqfc">
    <w:name w:val="y2iqfc"/>
    <w:basedOn w:val="DefaultParagraphFont"/>
    <w:rsid w:val="00B47C34"/>
  </w:style>
  <w:style w:type="paragraph" w:customStyle="1" w:styleId="He04Funote">
    <w:name w:val="_He_04_Fußnote"/>
    <w:next w:val="Normal"/>
    <w:qFormat/>
    <w:rsid w:val="00295715"/>
    <w:pPr>
      <w:tabs>
        <w:tab w:val="left" w:pos="85"/>
      </w:tabs>
      <w:spacing w:line="256" w:lineRule="auto"/>
      <w:ind w:left="85" w:hanging="85"/>
    </w:pPr>
    <w:rPr>
      <w:rFonts w:ascii="Segoe UI" w:eastAsiaTheme="minorHAnsi" w:hAnsi="Segoe UI" w:cstheme="minorBidi"/>
      <w:sz w:val="15"/>
      <w:szCs w:val="22"/>
      <w:lang w:val="de-DE"/>
    </w:rPr>
  </w:style>
  <w:style w:type="paragraph" w:styleId="ListParagraph">
    <w:name w:val="List Paragraph"/>
    <w:basedOn w:val="Normal"/>
    <w:uiPriority w:val="1"/>
    <w:qFormat/>
    <w:rsid w:val="00F16FB6"/>
    <w:pPr>
      <w:ind w:left="720"/>
      <w:contextualSpacing/>
    </w:pPr>
  </w:style>
  <w:style w:type="character" w:styleId="CommentReference">
    <w:name w:val="annotation reference"/>
    <w:basedOn w:val="DefaultParagraphFont"/>
    <w:rsid w:val="0015214C"/>
    <w:rPr>
      <w:sz w:val="16"/>
      <w:szCs w:val="16"/>
    </w:rPr>
  </w:style>
  <w:style w:type="paragraph" w:styleId="CommentText">
    <w:name w:val="annotation text"/>
    <w:basedOn w:val="Normal"/>
    <w:link w:val="CommentTextChar"/>
    <w:rsid w:val="0015214C"/>
    <w:pPr>
      <w:spacing w:line="240" w:lineRule="auto"/>
    </w:pPr>
    <w:rPr>
      <w:sz w:val="20"/>
      <w:szCs w:val="20"/>
    </w:rPr>
  </w:style>
  <w:style w:type="character" w:customStyle="1" w:styleId="CommentTextChar">
    <w:name w:val="Comment Text Char"/>
    <w:basedOn w:val="DefaultParagraphFont"/>
    <w:link w:val="CommentText"/>
    <w:rsid w:val="0015214C"/>
    <w:rPr>
      <w:rFonts w:ascii="Segoe UI" w:hAnsi="Segoe UI"/>
      <w:lang w:val="de-DE"/>
    </w:rPr>
  </w:style>
  <w:style w:type="paragraph" w:styleId="CommentSubject">
    <w:name w:val="annotation subject"/>
    <w:basedOn w:val="CommentText"/>
    <w:next w:val="CommentText"/>
    <w:link w:val="CommentSubjectChar"/>
    <w:rsid w:val="0015214C"/>
    <w:rPr>
      <w:b/>
      <w:bCs/>
    </w:rPr>
  </w:style>
  <w:style w:type="character" w:customStyle="1" w:styleId="CommentSubjectChar">
    <w:name w:val="Comment Subject Char"/>
    <w:basedOn w:val="CommentTextChar"/>
    <w:link w:val="CommentSubject"/>
    <w:rsid w:val="0015214C"/>
    <w:rPr>
      <w:rFonts w:ascii="Segoe UI" w:hAnsi="Segoe UI"/>
      <w:b/>
      <w:bCs/>
      <w:lang w:val="de-DE"/>
    </w:rPr>
  </w:style>
  <w:style w:type="paragraph" w:styleId="NormalWeb">
    <w:name w:val="Normal (Web)"/>
    <w:basedOn w:val="Normal"/>
    <w:uiPriority w:val="99"/>
    <w:unhideWhenUsed/>
    <w:rsid w:val="00873963"/>
    <w:pPr>
      <w:spacing w:before="100" w:beforeAutospacing="1" w:after="100" w:afterAutospacing="1" w:line="240" w:lineRule="auto"/>
      <w:jc w:val="left"/>
    </w:pPr>
    <w:rPr>
      <w:rFonts w:ascii="Times New Roman" w:hAnsi="Times New Roman"/>
      <w:sz w:val="24"/>
      <w:lang w:val="en-US"/>
    </w:rPr>
  </w:style>
  <w:style w:type="character" w:styleId="UnresolvedMention">
    <w:name w:val="Unresolved Mention"/>
    <w:basedOn w:val="DefaultParagraphFont"/>
    <w:uiPriority w:val="99"/>
    <w:semiHidden/>
    <w:unhideWhenUsed/>
    <w:rsid w:val="00FA36E8"/>
    <w:rPr>
      <w:color w:val="605E5C"/>
      <w:shd w:val="clear" w:color="auto" w:fill="E1DFDD"/>
    </w:rPr>
  </w:style>
  <w:style w:type="character" w:customStyle="1" w:styleId="contentpasted0">
    <w:name w:val="contentpasted0"/>
    <w:basedOn w:val="DefaultParagraphFont"/>
    <w:rsid w:val="00A00FA0"/>
  </w:style>
  <w:style w:type="paragraph" w:styleId="BodyText">
    <w:name w:val="Body Text"/>
    <w:basedOn w:val="Normal"/>
    <w:link w:val="BodyTextChar"/>
    <w:uiPriority w:val="1"/>
    <w:qFormat/>
    <w:rsid w:val="008A1908"/>
    <w:pPr>
      <w:widowControl w:val="0"/>
      <w:autoSpaceDE w:val="0"/>
      <w:autoSpaceDN w:val="0"/>
      <w:spacing w:line="240" w:lineRule="auto"/>
      <w:jc w:val="left"/>
    </w:pPr>
    <w:rPr>
      <w:rFonts w:eastAsia="Segoe UI" w:cs="Segoe UI"/>
      <w:szCs w:val="22"/>
      <w:lang w:val="hr-HR"/>
    </w:rPr>
  </w:style>
  <w:style w:type="character" w:customStyle="1" w:styleId="BodyTextChar">
    <w:name w:val="Body Text Char"/>
    <w:basedOn w:val="DefaultParagraphFont"/>
    <w:link w:val="BodyText"/>
    <w:uiPriority w:val="1"/>
    <w:rsid w:val="008A1908"/>
    <w:rPr>
      <w:rFonts w:ascii="Segoe UI" w:eastAsia="Segoe UI" w:hAnsi="Segoe UI" w:cs="Segoe U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437208">
      <w:bodyDiv w:val="1"/>
      <w:marLeft w:val="0"/>
      <w:marRight w:val="0"/>
      <w:marTop w:val="0"/>
      <w:marBottom w:val="0"/>
      <w:divBdr>
        <w:top w:val="none" w:sz="0" w:space="0" w:color="auto"/>
        <w:left w:val="none" w:sz="0" w:space="0" w:color="auto"/>
        <w:bottom w:val="none" w:sz="0" w:space="0" w:color="auto"/>
        <w:right w:val="none" w:sz="0" w:space="0" w:color="auto"/>
      </w:divBdr>
    </w:div>
    <w:div w:id="562719479">
      <w:bodyDiv w:val="1"/>
      <w:marLeft w:val="0"/>
      <w:marRight w:val="0"/>
      <w:marTop w:val="0"/>
      <w:marBottom w:val="0"/>
      <w:divBdr>
        <w:top w:val="none" w:sz="0" w:space="0" w:color="auto"/>
        <w:left w:val="none" w:sz="0" w:space="0" w:color="auto"/>
        <w:bottom w:val="none" w:sz="0" w:space="0" w:color="auto"/>
        <w:right w:val="none" w:sz="0" w:space="0" w:color="auto"/>
      </w:divBdr>
    </w:div>
    <w:div w:id="644625058">
      <w:bodyDiv w:val="1"/>
      <w:marLeft w:val="0"/>
      <w:marRight w:val="0"/>
      <w:marTop w:val="0"/>
      <w:marBottom w:val="0"/>
      <w:divBdr>
        <w:top w:val="none" w:sz="0" w:space="0" w:color="auto"/>
        <w:left w:val="none" w:sz="0" w:space="0" w:color="auto"/>
        <w:bottom w:val="none" w:sz="0" w:space="0" w:color="auto"/>
        <w:right w:val="none" w:sz="0" w:space="0" w:color="auto"/>
      </w:divBdr>
    </w:div>
    <w:div w:id="774860894">
      <w:bodyDiv w:val="1"/>
      <w:marLeft w:val="0"/>
      <w:marRight w:val="0"/>
      <w:marTop w:val="0"/>
      <w:marBottom w:val="0"/>
      <w:divBdr>
        <w:top w:val="none" w:sz="0" w:space="0" w:color="auto"/>
        <w:left w:val="none" w:sz="0" w:space="0" w:color="auto"/>
        <w:bottom w:val="none" w:sz="0" w:space="0" w:color="auto"/>
        <w:right w:val="none" w:sz="0" w:space="0" w:color="auto"/>
      </w:divBdr>
    </w:div>
    <w:div w:id="830367474">
      <w:bodyDiv w:val="1"/>
      <w:marLeft w:val="0"/>
      <w:marRight w:val="0"/>
      <w:marTop w:val="0"/>
      <w:marBottom w:val="0"/>
      <w:divBdr>
        <w:top w:val="none" w:sz="0" w:space="0" w:color="auto"/>
        <w:left w:val="none" w:sz="0" w:space="0" w:color="auto"/>
        <w:bottom w:val="none" w:sz="0" w:space="0" w:color="auto"/>
        <w:right w:val="none" w:sz="0" w:space="0" w:color="auto"/>
      </w:divBdr>
    </w:div>
    <w:div w:id="904998688">
      <w:bodyDiv w:val="1"/>
      <w:marLeft w:val="0"/>
      <w:marRight w:val="0"/>
      <w:marTop w:val="0"/>
      <w:marBottom w:val="0"/>
      <w:divBdr>
        <w:top w:val="none" w:sz="0" w:space="0" w:color="auto"/>
        <w:left w:val="none" w:sz="0" w:space="0" w:color="auto"/>
        <w:bottom w:val="none" w:sz="0" w:space="0" w:color="auto"/>
        <w:right w:val="none" w:sz="0" w:space="0" w:color="auto"/>
      </w:divBdr>
    </w:div>
    <w:div w:id="1266379544">
      <w:bodyDiv w:val="1"/>
      <w:marLeft w:val="0"/>
      <w:marRight w:val="0"/>
      <w:marTop w:val="0"/>
      <w:marBottom w:val="0"/>
      <w:divBdr>
        <w:top w:val="none" w:sz="0" w:space="0" w:color="auto"/>
        <w:left w:val="none" w:sz="0" w:space="0" w:color="auto"/>
        <w:bottom w:val="none" w:sz="0" w:space="0" w:color="auto"/>
        <w:right w:val="none" w:sz="0" w:space="0" w:color="auto"/>
      </w:divBdr>
    </w:div>
    <w:div w:id="1303580746">
      <w:bodyDiv w:val="1"/>
      <w:marLeft w:val="0"/>
      <w:marRight w:val="0"/>
      <w:marTop w:val="0"/>
      <w:marBottom w:val="0"/>
      <w:divBdr>
        <w:top w:val="none" w:sz="0" w:space="0" w:color="auto"/>
        <w:left w:val="none" w:sz="0" w:space="0" w:color="auto"/>
        <w:bottom w:val="none" w:sz="0" w:space="0" w:color="auto"/>
        <w:right w:val="none" w:sz="0" w:space="0" w:color="auto"/>
      </w:divBdr>
    </w:div>
    <w:div w:id="1374620896">
      <w:bodyDiv w:val="1"/>
      <w:marLeft w:val="0"/>
      <w:marRight w:val="0"/>
      <w:marTop w:val="0"/>
      <w:marBottom w:val="0"/>
      <w:divBdr>
        <w:top w:val="none" w:sz="0" w:space="0" w:color="auto"/>
        <w:left w:val="none" w:sz="0" w:space="0" w:color="auto"/>
        <w:bottom w:val="none" w:sz="0" w:space="0" w:color="auto"/>
        <w:right w:val="none" w:sz="0" w:space="0" w:color="auto"/>
      </w:divBdr>
    </w:div>
    <w:div w:id="1455756817">
      <w:bodyDiv w:val="1"/>
      <w:marLeft w:val="0"/>
      <w:marRight w:val="0"/>
      <w:marTop w:val="0"/>
      <w:marBottom w:val="0"/>
      <w:divBdr>
        <w:top w:val="none" w:sz="0" w:space="0" w:color="auto"/>
        <w:left w:val="none" w:sz="0" w:space="0" w:color="auto"/>
        <w:bottom w:val="none" w:sz="0" w:space="0" w:color="auto"/>
        <w:right w:val="none" w:sz="0" w:space="0" w:color="auto"/>
      </w:divBdr>
    </w:div>
    <w:div w:id="1513179238">
      <w:bodyDiv w:val="1"/>
      <w:marLeft w:val="0"/>
      <w:marRight w:val="0"/>
      <w:marTop w:val="0"/>
      <w:marBottom w:val="0"/>
      <w:divBdr>
        <w:top w:val="none" w:sz="0" w:space="0" w:color="auto"/>
        <w:left w:val="none" w:sz="0" w:space="0" w:color="auto"/>
        <w:bottom w:val="none" w:sz="0" w:space="0" w:color="auto"/>
        <w:right w:val="none" w:sz="0" w:space="0" w:color="auto"/>
      </w:divBdr>
    </w:div>
    <w:div w:id="1659576655">
      <w:bodyDiv w:val="1"/>
      <w:marLeft w:val="0"/>
      <w:marRight w:val="0"/>
      <w:marTop w:val="0"/>
      <w:marBottom w:val="0"/>
      <w:divBdr>
        <w:top w:val="none" w:sz="0" w:space="0" w:color="auto"/>
        <w:left w:val="none" w:sz="0" w:space="0" w:color="auto"/>
        <w:bottom w:val="none" w:sz="0" w:space="0" w:color="auto"/>
        <w:right w:val="none" w:sz="0" w:space="0" w:color="auto"/>
      </w:divBdr>
    </w:div>
    <w:div w:id="1747142110">
      <w:bodyDiv w:val="1"/>
      <w:marLeft w:val="0"/>
      <w:marRight w:val="0"/>
      <w:marTop w:val="0"/>
      <w:marBottom w:val="0"/>
      <w:divBdr>
        <w:top w:val="none" w:sz="0" w:space="0" w:color="auto"/>
        <w:left w:val="none" w:sz="0" w:space="0" w:color="auto"/>
        <w:bottom w:val="none" w:sz="0" w:space="0" w:color="auto"/>
        <w:right w:val="none" w:sz="0" w:space="0" w:color="auto"/>
      </w:divBdr>
    </w:div>
    <w:div w:id="1812819968">
      <w:bodyDiv w:val="1"/>
      <w:marLeft w:val="0"/>
      <w:marRight w:val="0"/>
      <w:marTop w:val="0"/>
      <w:marBottom w:val="0"/>
      <w:divBdr>
        <w:top w:val="none" w:sz="0" w:space="0" w:color="auto"/>
        <w:left w:val="none" w:sz="0" w:space="0" w:color="auto"/>
        <w:bottom w:val="none" w:sz="0" w:space="0" w:color="auto"/>
        <w:right w:val="none" w:sz="0" w:space="0" w:color="auto"/>
      </w:divBdr>
    </w:div>
    <w:div w:id="1903129972">
      <w:bodyDiv w:val="1"/>
      <w:marLeft w:val="0"/>
      <w:marRight w:val="0"/>
      <w:marTop w:val="0"/>
      <w:marBottom w:val="0"/>
      <w:divBdr>
        <w:top w:val="none" w:sz="0" w:space="0" w:color="auto"/>
        <w:left w:val="none" w:sz="0" w:space="0" w:color="auto"/>
        <w:bottom w:val="none" w:sz="0" w:space="0" w:color="auto"/>
        <w:right w:val="none" w:sz="0" w:space="0" w:color="auto"/>
      </w:divBdr>
    </w:div>
    <w:div w:id="2045251432">
      <w:bodyDiv w:val="1"/>
      <w:marLeft w:val="0"/>
      <w:marRight w:val="0"/>
      <w:marTop w:val="0"/>
      <w:marBottom w:val="0"/>
      <w:divBdr>
        <w:top w:val="none" w:sz="0" w:space="0" w:color="auto"/>
        <w:left w:val="none" w:sz="0" w:space="0" w:color="auto"/>
        <w:bottom w:val="none" w:sz="0" w:space="0" w:color="auto"/>
        <w:right w:val="none" w:sz="0" w:space="0" w:color="auto"/>
      </w:divBdr>
    </w:div>
    <w:div w:id="2112165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elena.sarenac@henkel.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henkel.hr"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henkelgroup-my.sharepoint.com/personal/tijana_antic_henkel_com/Documents/Documents/KORPORATIVNE%20KOMUNIKACIJE/Saop&#353;tenja/Hrvatska/www.henkel.hr"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Henkel Theme">
  <a:themeElements>
    <a:clrScheme name="Custom 4">
      <a:dk1>
        <a:srgbClr val="000000"/>
      </a:dk1>
      <a:lt1>
        <a:srgbClr val="FFFFFF"/>
      </a:lt1>
      <a:dk2>
        <a:srgbClr val="E1000F"/>
      </a:dk2>
      <a:lt2>
        <a:srgbClr val="E6E7E7"/>
      </a:lt2>
      <a:accent1>
        <a:srgbClr val="5F6973"/>
      </a:accent1>
      <a:accent2>
        <a:srgbClr val="AFB4B9"/>
      </a:accent2>
      <a:accent3>
        <a:srgbClr val="00AA75"/>
      </a:accent3>
      <a:accent4>
        <a:srgbClr val="004C79"/>
      </a:accent4>
      <a:accent5>
        <a:srgbClr val="9A141B"/>
      </a:accent5>
      <a:accent6>
        <a:srgbClr val="FFDB23"/>
      </a:accent6>
      <a:hlink>
        <a:srgbClr val="0563C1"/>
      </a:hlink>
      <a:folHlink>
        <a:srgbClr val="954F72"/>
      </a:folHlink>
    </a:clrScheme>
    <a:fontScheme name="Henkel Template">
      <a:majorFont>
        <a:latin typeface="Segoe UI"/>
        <a:ea typeface=""/>
        <a:cs typeface=""/>
      </a:majorFont>
      <a:minorFont>
        <a:latin typeface="Segoe U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ED1C24"/>
        </a:solidFill>
        <a:ln>
          <a:noFill/>
        </a:ln>
        <a:extLst>
          <a:ext uri="{91240B29-F687-4F45-9708-019B960494DF}">
            <a14:hiddenLine xmlns:a14="http://schemas.microsoft.com/office/drawing/2010/main" w="9525">
              <a:solidFill>
                <a:srgbClr val="000000"/>
              </a:solidFill>
              <a:round/>
              <a:headEnd/>
              <a:tailEnd/>
            </a14:hiddenLine>
          </a:ext>
        </a:extLst>
      </a:spPr>
      <a:bodyPr rot="0" vert="horz" wrap="square" lIns="91440" tIns="45720" rIns="91440" bIns="45720" anchor="t" anchorCtr="0" upright="1">
        <a:noAutofit/>
      </a:bodyPr>
      <a:lstStyle/>
    </a:spDef>
    <a:lnDef>
      <a:spPr bwMode="auto">
        <a:xfrm>
          <a:off x="0" y="0"/>
          <a:ext cx="1" cy="1"/>
        </a:xfrm>
        <a:custGeom>
          <a:avLst/>
          <a:gdLst/>
          <a:ahLst/>
          <a:cxnLst/>
          <a:rect l="0" t="0" r="0" b="0"/>
          <a:pathLst/>
        </a:custGeom>
        <a:solidFill>
          <a:schemeClr val="bg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vert="horz" wrap="none" lIns="90000" tIns="46800" rIns="90000" bIns="46800" numCol="1" anchor="ctr" anchorCtr="0" compatLnSpc="1">
        <a:prstTxWarp prst="textNoShape">
          <a:avLst/>
        </a:prstTxWarp>
      </a:bodyPr>
      <a:lstStyle>
        <a:defPPr marL="0" marR="0" indent="0" algn="ctr" defTabSz="914400" rtl="0" eaLnBrk="1" fontAlgn="base" latinLnBrk="0" hangingPunct="1">
          <a:lnSpc>
            <a:spcPct val="105000"/>
          </a:lnSpc>
          <a:spcBef>
            <a:spcPct val="0"/>
          </a:spcBef>
          <a:spcAft>
            <a:spcPct val="0"/>
          </a:spcAft>
          <a:buClr>
            <a:schemeClr val="tx2"/>
          </a:buClr>
          <a:buSzPct val="120000"/>
          <a:buFontTx/>
          <a:buNone/>
          <a:tabLst/>
          <a:defRPr kumimoji="0" lang="de-DE" sz="2000" b="0" i="0" u="none" strike="noStrike" cap="none" normalizeH="0" baseline="0" smtClean="0">
            <a:ln>
              <a:noFill/>
            </a:ln>
            <a:solidFill>
              <a:schemeClr val="tx1"/>
            </a:solidFill>
            <a:effectLst/>
            <a:latin typeface="Arial" charset="0"/>
            <a:cs typeface="Arial" charset="0"/>
          </a:defRPr>
        </a:defPPr>
      </a:lstStyle>
    </a:lnDef>
  </a:objectDefaults>
  <a:extraClrSchemeLst>
    <a:extraClrScheme>
      <a:clrScheme name="Standarddesign 1">
        <a:dk1>
          <a:srgbClr val="000000"/>
        </a:dk1>
        <a:lt1>
          <a:srgbClr val="FFFFFF"/>
        </a:lt1>
        <a:dk2>
          <a:srgbClr val="E1000F"/>
        </a:dk2>
        <a:lt2>
          <a:srgbClr val="CDD2D2"/>
        </a:lt2>
        <a:accent1>
          <a:srgbClr val="AFB4B9"/>
        </a:accent1>
        <a:accent2>
          <a:srgbClr val="828C96"/>
        </a:accent2>
        <a:accent3>
          <a:srgbClr val="FFFFFF"/>
        </a:accent3>
        <a:accent4>
          <a:srgbClr val="000000"/>
        </a:accent4>
        <a:accent5>
          <a:srgbClr val="D4D6D9"/>
        </a:accent5>
        <a:accent6>
          <a:srgbClr val="757E87"/>
        </a:accent6>
        <a:hlink>
          <a:srgbClr val="5F6973"/>
        </a:hlink>
        <a:folHlink>
          <a:srgbClr val="0078C8"/>
        </a:folHlink>
      </a:clrScheme>
      <a:clrMap bg1="lt1" tx1="dk1" bg2="lt2" tx2="dk2" accent1="accent1" accent2="accent2" accent3="accent3" accent4="accent4" accent5="accent5" accent6="accent6" hlink="hlink" folHlink="folHlink"/>
    </a:extraClrScheme>
  </a:extraClrSchemeLst>
  <a:custClrLst>
    <a:custClr name="Henkel Red">
      <a:srgbClr val="E1000F"/>
    </a:custClr>
    <a:custClr name="White">
      <a:srgbClr val="FFFFFF"/>
    </a:custClr>
    <a:custClr name="Black">
      <a:srgbClr val="000000"/>
    </a:custClr>
    <a:custClr name="Grey 1">
      <a:srgbClr val="5F6973"/>
    </a:custClr>
    <a:custClr name="Grey 2">
      <a:srgbClr val="AFB4B9"/>
    </a:custClr>
    <a:custClr name="Grey 3">
      <a:srgbClr val="E6E7E7"/>
    </a:custClr>
    <a:custClr name="Green">
      <a:srgbClr val="00AA75"/>
    </a:custClr>
    <a:custClr name="Blue">
      <a:srgbClr val="004C79"/>
    </a:custClr>
    <a:custClr name="Accent Dark Red">
      <a:srgbClr val="9A141B"/>
    </a:custClr>
    <a:custClr name="Accent Yellow 1">
      <a:srgbClr val="FFDB23"/>
    </a:custClr>
    <a:custClr name="Accent Yellow 2">
      <a:srgbClr val="FCF092"/>
    </a:custClr>
    <a:custClr name="Accent Green">
      <a:srgbClr val="A7DC92"/>
    </a:custClr>
    <a:custClr name="Accent Blue 1">
      <a:srgbClr val="55CAD3"/>
    </a:custClr>
    <a:custClr name="Accent Blue 2">
      <a:srgbClr val="0078C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3C925157EE074095811C87522C7BC7" ma:contentTypeVersion="19" ma:contentTypeDescription="Create a new document." ma:contentTypeScope="" ma:versionID="825475ee42d6d3916f0f035df9a60211">
  <xsd:schema xmlns:xsd="http://www.w3.org/2001/XMLSchema" xmlns:xs="http://www.w3.org/2001/XMLSchema" xmlns:p="http://schemas.microsoft.com/office/2006/metadata/properties" xmlns:ns2="487aa4a8-6e08-4624-a126-3644f60fbb35" xmlns:ns3="cec4b484-d643-4c02-a873-288aa5369532" xmlns:ns4="ef406d6b-70e0-427c-b08d-4edfc77771aa" targetNamespace="http://schemas.microsoft.com/office/2006/metadata/properties" ma:root="true" ma:fieldsID="42fdeaaf15d4786a8267b6cc6b9b50c2" ns2:_="" ns3:_="" ns4:_="">
    <xsd:import namespace="487aa4a8-6e08-4624-a126-3644f60fbb35"/>
    <xsd:import namespace="cec4b484-d643-4c02-a873-288aa5369532"/>
    <xsd:import namespace="ef406d6b-70e0-427c-b08d-4edfc77771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Datum"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aa4a8-6e08-4624-a126-3644f60fbb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Datum" ma:index="20" nillable="true" ma:displayName="Datum" ma:format="DateOnly" ma:internalName="Datum">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2f792e8-4dad-42c1-ad63-44982727bf4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c4b484-d643-4c02-a873-288aa53695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406d6b-70e0-427c-b08d-4edfc77771a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099daea-b67b-4b58-9130-be82b407cc11}" ma:internalName="TaxCatchAll" ma:showField="CatchAllData" ma:web="cec4b484-d643-4c02-a873-288aa53695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f406d6b-70e0-427c-b08d-4edfc77771aa" xsi:nil="true"/>
    <lcf76f155ced4ddcb4097134ff3c332f xmlns="487aa4a8-6e08-4624-a126-3644f60fbb35">
      <Terms xmlns="http://schemas.microsoft.com/office/infopath/2007/PartnerControls"/>
    </lcf76f155ced4ddcb4097134ff3c332f>
    <Datum xmlns="487aa4a8-6e08-4624-a126-3644f60fbb35" xsi:nil="true"/>
  </documentManagement>
</p:properties>
</file>

<file path=customXml/item3.xml><?xml version="1.0" encoding="utf-8"?>
<?mso-contentType ?>
<SharedContentType xmlns="Microsoft.SharePoint.Taxonomy.ContentTypeSync" SourceId="72f792e8-4dad-42c1-ad63-44982727bf4d" ContentTypeId="0x01"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6117A7-D8F3-443A-8A2E-395190B79D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aa4a8-6e08-4624-a126-3644f60fbb35"/>
    <ds:schemaRef ds:uri="cec4b484-d643-4c02-a873-288aa5369532"/>
    <ds:schemaRef ds:uri="ef406d6b-70e0-427c-b08d-4edfc7777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245D12-BDB4-413F-ABB3-2AF0CF323A38}">
  <ds:schemaRefs>
    <ds:schemaRef ds:uri="http://schemas.microsoft.com/office/2006/metadata/properties"/>
    <ds:schemaRef ds:uri="http://schemas.microsoft.com/office/infopath/2007/PartnerControls"/>
    <ds:schemaRef ds:uri="ef406d6b-70e0-427c-b08d-4edfc77771aa"/>
    <ds:schemaRef ds:uri="487aa4a8-6e08-4624-a126-3644f60fbb35"/>
  </ds:schemaRefs>
</ds:datastoreItem>
</file>

<file path=customXml/itemProps3.xml><?xml version="1.0" encoding="utf-8"?>
<ds:datastoreItem xmlns:ds="http://schemas.openxmlformats.org/officeDocument/2006/customXml" ds:itemID="{70E590B4-7A0D-4F62-ACD8-2A023F14A264}">
  <ds:schemaRefs>
    <ds:schemaRef ds:uri="Microsoft.SharePoint.Taxonomy.ContentTypeSync"/>
  </ds:schemaRefs>
</ds:datastoreItem>
</file>

<file path=customXml/itemProps4.xml><?xml version="1.0" encoding="utf-8"?>
<ds:datastoreItem xmlns:ds="http://schemas.openxmlformats.org/officeDocument/2006/customXml" ds:itemID="{743E789E-3AB0-4D45-A055-404F221EF1C6}">
  <ds:schemaRefs>
    <ds:schemaRef ds:uri="http://schemas.openxmlformats.org/officeDocument/2006/bibliography"/>
  </ds:schemaRefs>
</ds:datastoreItem>
</file>

<file path=customXml/itemProps5.xml><?xml version="1.0" encoding="utf-8"?>
<ds:datastoreItem xmlns:ds="http://schemas.openxmlformats.org/officeDocument/2006/customXml" ds:itemID="{EC226D13-73FC-4A7A-93C2-AC11939BB4A9}">
  <ds:schemaRefs>
    <ds:schemaRef ds:uri="http://schemas.microsoft.com/sharepoint/v3/contenttype/forms"/>
  </ds:schemaRefs>
</ds:datastoreItem>
</file>

<file path=docMetadata/LabelInfo.xml><?xml version="1.0" encoding="utf-8"?>
<clbl:labelList xmlns:clbl="http://schemas.microsoft.com/office/2020/mipLabelMetadata">
  <clbl:label id="{e8701075-0d9e-4ea1-991d-5a0d110a5d29}" enabled="0" method="" siteId="{e8701075-0d9e-4ea1-991d-5a0d110a5d29}"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2292</Words>
  <Characters>13666</Characters>
  <Application>Microsoft Office Word</Application>
  <DocSecurity>0</DocSecurity>
  <Lines>248</Lines>
  <Paragraphs>67</Paragraphs>
  <ScaleCrop>false</ScaleCrop>
  <HeadingPairs>
    <vt:vector size="6" baseType="variant">
      <vt:variant>
        <vt:lpstr>Naslov</vt:lpstr>
      </vt:variant>
      <vt:variant>
        <vt:i4>1</vt:i4>
      </vt:variant>
      <vt:variant>
        <vt:lpstr>Title</vt:lpstr>
      </vt:variant>
      <vt:variant>
        <vt:i4>1</vt:i4>
      </vt:variant>
      <vt:variant>
        <vt:lpstr>Titel</vt:lpstr>
      </vt:variant>
      <vt:variant>
        <vt:i4>1</vt:i4>
      </vt:variant>
    </vt:vector>
  </HeadingPairs>
  <TitlesOfParts>
    <vt:vector size="3" baseType="lpstr">
      <vt:lpstr>Pressemitteilung</vt:lpstr>
      <vt:lpstr>Pressemitteilung</vt:lpstr>
      <vt:lpstr>Pressemitteilung</vt:lpstr>
    </vt:vector>
  </TitlesOfParts>
  <Company>Henkel AG &amp; Co. KGaA</Company>
  <LinksUpToDate>false</LinksUpToDate>
  <CharactersWithSpaces>15891</CharactersWithSpaces>
  <SharedDoc>false</SharedDoc>
  <HLinks>
    <vt:vector size="6" baseType="variant">
      <vt:variant>
        <vt:i4>2490428</vt:i4>
      </vt:variant>
      <vt:variant>
        <vt:i4>0</vt:i4>
      </vt:variant>
      <vt:variant>
        <vt:i4>0</vt:i4>
      </vt:variant>
      <vt:variant>
        <vt:i4>5</vt:i4>
      </vt:variant>
      <vt:variant>
        <vt:lpwstr>http://www.henkel.com/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Henkel</dc:creator>
  <cp:keywords/>
  <dc:description/>
  <cp:lastModifiedBy>Ana Krezic (Ext)</cp:lastModifiedBy>
  <cp:revision>87</cp:revision>
  <cp:lastPrinted>2023-03-03T14:50:00Z</cp:lastPrinted>
  <dcterms:created xsi:type="dcterms:W3CDTF">2025-11-25T13:59:00Z</dcterms:created>
  <dcterms:modified xsi:type="dcterms:W3CDTF">2026-08-27T13:43:00Z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0x01010078C412AB7BD75244A4AD465861CD4C6E</vt:lpwstr>
  </property>
  <property fmtid="{D5CDD505-2E9C-101B-9397-08002B2CF9AE}" pid="3" name="MediaServiceImageTags">
    <vt:lpwstr/>
  </property>
</Properties>
</file>