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C9A" w:rsidRPr="005C3D3F" w:rsidRDefault="00525C9A">
      <w:pPr>
        <w:rPr>
          <w:b/>
          <w:i/>
          <w:lang w:val="pl-PL"/>
        </w:rPr>
      </w:pPr>
    </w:p>
    <w:p w:rsidR="00525C9A" w:rsidRPr="005C3D3F" w:rsidRDefault="00525C9A">
      <w:pPr>
        <w:pStyle w:val="Standard12pt"/>
        <w:jc w:val="right"/>
        <w:rPr>
          <w:lang w:val="pl-PL"/>
        </w:rPr>
      </w:pPr>
      <w:r w:rsidRPr="005C3D3F">
        <w:rPr>
          <w:lang w:val="pl-PL"/>
        </w:rPr>
        <w:t>4 marca 2015 r.</w:t>
      </w:r>
    </w:p>
    <w:p w:rsidR="00525C9A" w:rsidRPr="005C3D3F" w:rsidRDefault="00525C9A">
      <w:pPr>
        <w:pStyle w:val="Standard12pt"/>
        <w:rPr>
          <w:lang w:val="pl-PL"/>
        </w:rPr>
      </w:pPr>
    </w:p>
    <w:p w:rsidR="00525C9A" w:rsidRPr="005C3D3F" w:rsidRDefault="00525C9A">
      <w:pPr>
        <w:pStyle w:val="Standard12pt"/>
        <w:rPr>
          <w:lang w:val="pl-PL"/>
        </w:rPr>
      </w:pPr>
      <w:r w:rsidRPr="005C3D3F">
        <w:rPr>
          <w:lang w:val="pl-PL"/>
        </w:rPr>
        <w:t>Henkel zrealizował cele finansowe na 2014 r.</w:t>
      </w:r>
    </w:p>
    <w:p w:rsidR="00525C9A" w:rsidRPr="005C3D3F" w:rsidRDefault="00525C9A">
      <w:pPr>
        <w:pStyle w:val="Standard12pt"/>
        <w:rPr>
          <w:lang w:val="pl-PL"/>
        </w:rPr>
      </w:pPr>
    </w:p>
    <w:p w:rsidR="00525C9A" w:rsidRPr="005C3D3F" w:rsidRDefault="00525C9A">
      <w:pPr>
        <w:pStyle w:val="Standard12pt"/>
        <w:rPr>
          <w:sz w:val="36"/>
          <w:szCs w:val="36"/>
          <w:lang w:val="pl-PL"/>
        </w:rPr>
      </w:pPr>
      <w:r w:rsidRPr="005C3D3F">
        <w:rPr>
          <w:b/>
          <w:sz w:val="36"/>
          <w:lang w:val="pl-PL"/>
        </w:rPr>
        <w:t>Dobre wyniki pomimo trudnych warunków rynkowych</w:t>
      </w:r>
    </w:p>
    <w:p w:rsidR="00525C9A" w:rsidRPr="005C3D3F" w:rsidRDefault="00525C9A">
      <w:pPr>
        <w:pStyle w:val="Standard12pt"/>
        <w:rPr>
          <w:lang w:val="pl-PL"/>
        </w:rPr>
      </w:pPr>
    </w:p>
    <w:p w:rsidR="00525C9A" w:rsidRPr="005C3D3F" w:rsidRDefault="00525C9A">
      <w:pPr>
        <w:pStyle w:val="Tekstpodstawowy"/>
        <w:numPr>
          <w:ilvl w:val="0"/>
          <w:numId w:val="2"/>
        </w:numPr>
        <w:tabs>
          <w:tab w:val="clear" w:pos="720"/>
          <w:tab w:val="num" w:pos="400"/>
        </w:tabs>
        <w:spacing w:after="0" w:line="360" w:lineRule="auto"/>
        <w:ind w:hanging="620"/>
        <w:rPr>
          <w:b/>
          <w:sz w:val="24"/>
          <w:lang w:val="pl-PL"/>
        </w:rPr>
      </w:pPr>
      <w:r w:rsidRPr="005C3D3F">
        <w:rPr>
          <w:b/>
          <w:sz w:val="24"/>
          <w:lang w:val="pl-PL"/>
        </w:rPr>
        <w:t xml:space="preserve">Przychody ze sprzedaży: </w:t>
      </w:r>
      <w:r w:rsidR="007E2D84">
        <w:rPr>
          <w:b/>
          <w:sz w:val="24"/>
          <w:lang w:val="pl-PL"/>
        </w:rPr>
        <w:t xml:space="preserve">wzrost o 0,4% do poziomu </w:t>
      </w:r>
      <w:r w:rsidRPr="005C3D3F">
        <w:rPr>
          <w:b/>
          <w:sz w:val="24"/>
          <w:lang w:val="pl-PL"/>
        </w:rPr>
        <w:t>16,4</w:t>
      </w:r>
      <w:r w:rsidR="007E2D84">
        <w:rPr>
          <w:b/>
          <w:sz w:val="24"/>
          <w:lang w:val="pl-PL"/>
        </w:rPr>
        <w:t>28</w:t>
      </w:r>
      <w:r w:rsidRPr="005C3D3F">
        <w:rPr>
          <w:b/>
          <w:sz w:val="24"/>
          <w:lang w:val="pl-PL"/>
        </w:rPr>
        <w:t xml:space="preserve"> ml</w:t>
      </w:r>
      <w:r w:rsidR="004A5226">
        <w:rPr>
          <w:b/>
          <w:sz w:val="24"/>
          <w:lang w:val="pl-PL"/>
        </w:rPr>
        <w:t>d</w:t>
      </w:r>
      <w:r w:rsidR="007E2D84">
        <w:rPr>
          <w:b/>
          <w:sz w:val="24"/>
          <w:lang w:val="pl-PL"/>
        </w:rPr>
        <w:t xml:space="preserve"> euro </w:t>
      </w:r>
      <w:r w:rsidRPr="005C3D3F">
        <w:rPr>
          <w:b/>
          <w:sz w:val="24"/>
          <w:lang w:val="pl-PL"/>
        </w:rPr>
        <w:t>(w ujęciu organicznym +3,4%)</w:t>
      </w:r>
    </w:p>
    <w:p w:rsidR="00525C9A" w:rsidRPr="005C3D3F" w:rsidRDefault="00525C9A">
      <w:pPr>
        <w:pStyle w:val="Tekstpodstawowy"/>
        <w:numPr>
          <w:ilvl w:val="0"/>
          <w:numId w:val="2"/>
        </w:numPr>
        <w:tabs>
          <w:tab w:val="clear" w:pos="720"/>
          <w:tab w:val="num" w:pos="400"/>
        </w:tabs>
        <w:spacing w:after="0" w:line="360" w:lineRule="auto"/>
        <w:ind w:hanging="620"/>
        <w:rPr>
          <w:b/>
          <w:color w:val="000000"/>
          <w:sz w:val="24"/>
          <w:lang w:val="pl-PL"/>
        </w:rPr>
      </w:pPr>
      <w:r w:rsidRPr="005C3D3F">
        <w:rPr>
          <w:b/>
          <w:sz w:val="24"/>
          <w:lang w:val="pl-PL"/>
        </w:rPr>
        <w:t xml:space="preserve">Zysk operacyjny*: </w:t>
      </w:r>
      <w:r w:rsidR="007E2D84" w:rsidRPr="005C3D3F">
        <w:rPr>
          <w:b/>
          <w:sz w:val="24"/>
          <w:lang w:val="pl-PL"/>
        </w:rPr>
        <w:t xml:space="preserve">wzrost o 2,9% </w:t>
      </w:r>
      <w:r w:rsidR="007E2D84">
        <w:rPr>
          <w:b/>
          <w:sz w:val="24"/>
          <w:lang w:val="pl-PL"/>
        </w:rPr>
        <w:t xml:space="preserve">do poziomu </w:t>
      </w:r>
      <w:r w:rsidRPr="005C3D3F">
        <w:rPr>
          <w:b/>
          <w:sz w:val="24"/>
          <w:lang w:val="pl-PL"/>
        </w:rPr>
        <w:t>2</w:t>
      </w:r>
      <w:r w:rsidR="004A5226">
        <w:rPr>
          <w:b/>
          <w:sz w:val="24"/>
          <w:lang w:val="pl-PL"/>
        </w:rPr>
        <w:t>,</w:t>
      </w:r>
      <w:r w:rsidRPr="005C3D3F">
        <w:rPr>
          <w:b/>
          <w:sz w:val="24"/>
          <w:lang w:val="pl-PL"/>
        </w:rPr>
        <w:t>5</w:t>
      </w:r>
      <w:r w:rsidR="007E2D84">
        <w:rPr>
          <w:b/>
          <w:sz w:val="24"/>
          <w:lang w:val="pl-PL"/>
        </w:rPr>
        <w:t>88</w:t>
      </w:r>
      <w:r w:rsidRPr="005C3D3F">
        <w:rPr>
          <w:b/>
          <w:sz w:val="24"/>
          <w:lang w:val="pl-PL"/>
        </w:rPr>
        <w:t xml:space="preserve"> ml</w:t>
      </w:r>
      <w:r w:rsidR="004A5226">
        <w:rPr>
          <w:b/>
          <w:sz w:val="24"/>
          <w:lang w:val="pl-PL"/>
        </w:rPr>
        <w:t>d</w:t>
      </w:r>
      <w:r w:rsidR="007E2D84">
        <w:rPr>
          <w:b/>
          <w:sz w:val="24"/>
          <w:lang w:val="pl-PL"/>
        </w:rPr>
        <w:t xml:space="preserve"> euro</w:t>
      </w:r>
    </w:p>
    <w:p w:rsidR="00525C9A" w:rsidRPr="005C3D3F" w:rsidRDefault="00525C9A">
      <w:pPr>
        <w:numPr>
          <w:ilvl w:val="0"/>
          <w:numId w:val="2"/>
        </w:numPr>
        <w:tabs>
          <w:tab w:val="clear" w:pos="720"/>
          <w:tab w:val="num" w:pos="400"/>
        </w:tabs>
        <w:spacing w:line="360" w:lineRule="auto"/>
        <w:ind w:hanging="620"/>
        <w:rPr>
          <w:b/>
          <w:color w:val="000000"/>
          <w:sz w:val="24"/>
          <w:lang w:val="pl-PL"/>
        </w:rPr>
      </w:pPr>
      <w:r w:rsidRPr="005C3D3F">
        <w:rPr>
          <w:b/>
          <w:sz w:val="24"/>
          <w:lang w:val="pl-PL"/>
        </w:rPr>
        <w:t xml:space="preserve">Marża EBIT*: </w:t>
      </w:r>
      <w:r w:rsidR="007E2D84" w:rsidRPr="005C3D3F">
        <w:rPr>
          <w:b/>
          <w:sz w:val="24"/>
          <w:lang w:val="pl-PL"/>
        </w:rPr>
        <w:t>wzrost o 0,4 p</w:t>
      </w:r>
      <w:r w:rsidR="007E2D84">
        <w:rPr>
          <w:b/>
          <w:sz w:val="24"/>
          <w:lang w:val="pl-PL"/>
        </w:rPr>
        <w:t xml:space="preserve">kt. </w:t>
      </w:r>
      <w:r w:rsidR="007E2D84" w:rsidRPr="005C3D3F">
        <w:rPr>
          <w:b/>
          <w:sz w:val="24"/>
          <w:lang w:val="pl-PL"/>
        </w:rPr>
        <w:t>p</w:t>
      </w:r>
      <w:r w:rsidR="007E2D84">
        <w:rPr>
          <w:b/>
          <w:sz w:val="24"/>
          <w:lang w:val="pl-PL"/>
        </w:rPr>
        <w:t>roc. Do poziomu 15,8%</w:t>
      </w:r>
      <w:r w:rsidRPr="005C3D3F">
        <w:rPr>
          <w:b/>
          <w:sz w:val="24"/>
          <w:lang w:val="pl-PL"/>
        </w:rPr>
        <w:t xml:space="preserve"> </w:t>
      </w:r>
    </w:p>
    <w:p w:rsidR="00525C9A" w:rsidRPr="005C3D3F" w:rsidRDefault="00525C9A">
      <w:pPr>
        <w:numPr>
          <w:ilvl w:val="0"/>
          <w:numId w:val="2"/>
        </w:numPr>
        <w:tabs>
          <w:tab w:val="clear" w:pos="720"/>
          <w:tab w:val="num" w:pos="400"/>
        </w:tabs>
        <w:spacing w:line="360" w:lineRule="auto"/>
        <w:ind w:right="-109" w:hanging="620"/>
        <w:rPr>
          <w:b/>
          <w:sz w:val="24"/>
          <w:lang w:val="pl-PL"/>
        </w:rPr>
      </w:pPr>
      <w:r w:rsidRPr="005C3D3F">
        <w:rPr>
          <w:b/>
          <w:sz w:val="24"/>
          <w:lang w:val="pl-PL"/>
        </w:rPr>
        <w:t xml:space="preserve">Zysk na akcję uprzywilejowaną* (EPS): </w:t>
      </w:r>
      <w:r w:rsidR="007E2D84" w:rsidRPr="005C3D3F">
        <w:rPr>
          <w:b/>
          <w:sz w:val="24"/>
          <w:lang w:val="pl-PL"/>
        </w:rPr>
        <w:t>wzrost o 7,6%</w:t>
      </w:r>
      <w:r w:rsidR="007E2D84">
        <w:rPr>
          <w:b/>
          <w:sz w:val="24"/>
          <w:lang w:val="pl-PL"/>
        </w:rPr>
        <w:t xml:space="preserve"> do poziomu 4,38 euro</w:t>
      </w:r>
      <w:r w:rsidRPr="005C3D3F">
        <w:rPr>
          <w:b/>
          <w:sz w:val="24"/>
          <w:lang w:val="pl-PL"/>
        </w:rPr>
        <w:t xml:space="preserve"> </w:t>
      </w:r>
    </w:p>
    <w:p w:rsidR="00525C9A" w:rsidRPr="005C3D3F" w:rsidRDefault="00525C9A">
      <w:pPr>
        <w:numPr>
          <w:ilvl w:val="0"/>
          <w:numId w:val="2"/>
        </w:numPr>
        <w:tabs>
          <w:tab w:val="clear" w:pos="720"/>
          <w:tab w:val="num" w:pos="400"/>
        </w:tabs>
        <w:spacing w:line="360" w:lineRule="auto"/>
        <w:ind w:right="-109" w:hanging="620"/>
        <w:rPr>
          <w:b/>
          <w:color w:val="000000"/>
          <w:sz w:val="24"/>
          <w:lang w:val="pl-PL"/>
        </w:rPr>
      </w:pPr>
      <w:r w:rsidRPr="005C3D3F">
        <w:rPr>
          <w:b/>
          <w:sz w:val="24"/>
          <w:lang w:val="pl-PL"/>
        </w:rPr>
        <w:t xml:space="preserve">Kwota proponowanej dywidendy: </w:t>
      </w:r>
      <w:r w:rsidR="007E2D84" w:rsidRPr="005C3D3F">
        <w:rPr>
          <w:b/>
          <w:sz w:val="24"/>
          <w:lang w:val="pl-PL"/>
        </w:rPr>
        <w:t>wzrost o 7,4%</w:t>
      </w:r>
      <w:r w:rsidR="007E2D84">
        <w:rPr>
          <w:b/>
          <w:sz w:val="24"/>
          <w:lang w:val="pl-PL"/>
        </w:rPr>
        <w:t xml:space="preserve"> do 1,31 euro</w:t>
      </w:r>
      <w:r w:rsidRPr="005C3D3F">
        <w:rPr>
          <w:b/>
          <w:sz w:val="24"/>
          <w:lang w:val="pl-PL"/>
        </w:rPr>
        <w:t xml:space="preserve"> </w:t>
      </w:r>
    </w:p>
    <w:p w:rsidR="00525C9A" w:rsidRPr="005C3D3F" w:rsidRDefault="00525C9A">
      <w:pPr>
        <w:pStyle w:val="Tekstpodstawowy"/>
        <w:spacing w:after="0" w:line="360" w:lineRule="auto"/>
        <w:rPr>
          <w:b/>
          <w:sz w:val="24"/>
          <w:lang w:val="pl-PL"/>
        </w:rPr>
      </w:pPr>
    </w:p>
    <w:p w:rsidR="00525C9A" w:rsidRPr="005C3D3F" w:rsidRDefault="00525C9A">
      <w:pPr>
        <w:autoSpaceDE w:val="0"/>
        <w:autoSpaceDN w:val="0"/>
        <w:adjustRightInd w:val="0"/>
        <w:spacing w:line="360" w:lineRule="auto"/>
        <w:jc w:val="both"/>
        <w:rPr>
          <w:sz w:val="24"/>
          <w:lang w:val="pl-PL"/>
        </w:rPr>
      </w:pPr>
      <w:r w:rsidRPr="005C3D3F">
        <w:rPr>
          <w:b/>
          <w:sz w:val="24"/>
          <w:lang w:val="pl-PL"/>
        </w:rPr>
        <w:t xml:space="preserve">Düsseldorf, Niemcy – </w:t>
      </w:r>
      <w:r w:rsidR="00B2436D">
        <w:rPr>
          <w:b/>
          <w:sz w:val="24"/>
          <w:lang w:val="pl-PL"/>
        </w:rPr>
        <w:t>„</w:t>
      </w:r>
      <w:r w:rsidRPr="00A56A8C">
        <w:rPr>
          <w:b/>
          <w:i/>
          <w:sz w:val="24"/>
          <w:lang w:val="pl-PL"/>
        </w:rPr>
        <w:t>2014 był udanym rokiem dla naszej firmy. Działając na trudnym rynku, charakteryzującym się wysokim poziomem konkurencji, Henkel zrealizował założone cele finansowe i poczynił duże postępy w realizacji strategii do 2016 r.</w:t>
      </w:r>
      <w:r w:rsidR="00B2436D">
        <w:rPr>
          <w:b/>
          <w:sz w:val="24"/>
          <w:lang w:val="pl-PL"/>
        </w:rPr>
        <w:t>”</w:t>
      </w:r>
      <w:r w:rsidRPr="005C3D3F">
        <w:rPr>
          <w:b/>
          <w:sz w:val="24"/>
          <w:lang w:val="pl-PL"/>
        </w:rPr>
        <w:t xml:space="preserve"> – powiedział Kasper Rorsted, </w:t>
      </w:r>
      <w:r w:rsidR="007E2D84">
        <w:rPr>
          <w:b/>
          <w:sz w:val="24"/>
          <w:lang w:val="pl-PL"/>
        </w:rPr>
        <w:t>prezes zarządu</w:t>
      </w:r>
      <w:r w:rsidR="00B2436D" w:rsidRPr="005C3D3F">
        <w:rPr>
          <w:b/>
          <w:sz w:val="24"/>
          <w:lang w:val="pl-PL"/>
        </w:rPr>
        <w:t xml:space="preserve"> </w:t>
      </w:r>
      <w:r w:rsidRPr="005C3D3F">
        <w:rPr>
          <w:b/>
          <w:sz w:val="24"/>
          <w:lang w:val="pl-PL"/>
        </w:rPr>
        <w:t xml:space="preserve">Henkel.  </w:t>
      </w:r>
      <w:r w:rsidR="00B2436D">
        <w:rPr>
          <w:b/>
          <w:sz w:val="24"/>
          <w:lang w:val="pl-PL"/>
        </w:rPr>
        <w:t>„</w:t>
      </w:r>
      <w:r w:rsidRPr="00A56A8C">
        <w:rPr>
          <w:b/>
          <w:i/>
          <w:sz w:val="24"/>
          <w:lang w:val="pl-PL"/>
        </w:rPr>
        <w:t>Do dobrego wyniku firmy przyczyniły się wszystkie trzy se</w:t>
      </w:r>
      <w:r w:rsidR="007E2D84">
        <w:rPr>
          <w:b/>
          <w:i/>
          <w:sz w:val="24"/>
          <w:lang w:val="pl-PL"/>
        </w:rPr>
        <w:t>ktory</w:t>
      </w:r>
      <w:r w:rsidRPr="00A56A8C">
        <w:rPr>
          <w:b/>
          <w:i/>
          <w:sz w:val="24"/>
          <w:lang w:val="pl-PL"/>
        </w:rPr>
        <w:t xml:space="preserve"> działalności, które osiągnęły rentowny wzrost w ujęciu organicznym.</w:t>
      </w:r>
      <w:r w:rsidRPr="00A56A8C">
        <w:rPr>
          <w:b/>
          <w:i/>
          <w:color w:val="000000"/>
          <w:sz w:val="24"/>
          <w:lang w:val="pl-PL"/>
        </w:rPr>
        <w:t xml:space="preserve"> Największy udział we wzroście przychodów firmy miały ponownie rynki wschodzące, gdzie zanotowano wysokie tempo wzrostu sprzedaży w ujęciu organicznym</w:t>
      </w:r>
      <w:r w:rsidR="00B2436D" w:rsidRPr="00A56A8C">
        <w:rPr>
          <w:b/>
          <w:i/>
          <w:color w:val="000000"/>
          <w:sz w:val="24"/>
          <w:lang w:val="pl-PL"/>
        </w:rPr>
        <w:t>,</w:t>
      </w:r>
      <w:r w:rsidRPr="00A56A8C">
        <w:rPr>
          <w:b/>
          <w:i/>
          <w:color w:val="000000"/>
          <w:sz w:val="24"/>
          <w:lang w:val="pl-PL"/>
        </w:rPr>
        <w:t xml:space="preserve"> na poziomie blisko 8%. Niewielki wzrost sprzedaży w ujęciu organicznym odnotowano również na rynkach rozwiniętych</w:t>
      </w:r>
      <w:r w:rsidRPr="005C3D3F">
        <w:rPr>
          <w:b/>
          <w:color w:val="000000"/>
          <w:sz w:val="24"/>
          <w:lang w:val="pl-PL"/>
        </w:rPr>
        <w:t>.</w:t>
      </w:r>
      <w:r w:rsidR="00B2436D">
        <w:rPr>
          <w:b/>
          <w:color w:val="000000"/>
          <w:sz w:val="24"/>
          <w:lang w:val="pl-PL"/>
        </w:rPr>
        <w:t>”</w:t>
      </w:r>
    </w:p>
    <w:p w:rsidR="00525C9A" w:rsidRPr="005C3D3F" w:rsidRDefault="00525C9A">
      <w:pPr>
        <w:autoSpaceDE w:val="0"/>
        <w:autoSpaceDN w:val="0"/>
        <w:adjustRightInd w:val="0"/>
        <w:spacing w:line="360" w:lineRule="auto"/>
        <w:jc w:val="both"/>
        <w:rPr>
          <w:b/>
          <w:sz w:val="24"/>
          <w:lang w:val="pl-PL"/>
        </w:rPr>
      </w:pPr>
    </w:p>
    <w:p w:rsidR="005C3D3F" w:rsidRDefault="005C3D3F" w:rsidP="005C3D3F">
      <w:pPr>
        <w:autoSpaceDE w:val="0"/>
        <w:autoSpaceDN w:val="0"/>
        <w:adjustRightInd w:val="0"/>
        <w:spacing w:line="360" w:lineRule="auto"/>
        <w:jc w:val="both"/>
        <w:rPr>
          <w:b/>
          <w:sz w:val="16"/>
          <w:lang w:val="pl-PL"/>
        </w:rPr>
      </w:pPr>
    </w:p>
    <w:p w:rsidR="005C3D3F" w:rsidRDefault="005C3D3F" w:rsidP="005C3D3F">
      <w:pPr>
        <w:autoSpaceDE w:val="0"/>
        <w:autoSpaceDN w:val="0"/>
        <w:adjustRightInd w:val="0"/>
        <w:spacing w:line="360" w:lineRule="auto"/>
        <w:jc w:val="both"/>
        <w:rPr>
          <w:b/>
          <w:sz w:val="16"/>
          <w:lang w:val="pl-PL"/>
        </w:rPr>
      </w:pPr>
    </w:p>
    <w:p w:rsidR="005C3D3F" w:rsidRDefault="005C3D3F" w:rsidP="005C3D3F">
      <w:pPr>
        <w:autoSpaceDE w:val="0"/>
        <w:autoSpaceDN w:val="0"/>
        <w:adjustRightInd w:val="0"/>
        <w:spacing w:line="360" w:lineRule="auto"/>
        <w:jc w:val="both"/>
        <w:rPr>
          <w:b/>
          <w:sz w:val="16"/>
          <w:lang w:val="pl-PL"/>
        </w:rPr>
      </w:pPr>
    </w:p>
    <w:p w:rsidR="005C3D3F" w:rsidRDefault="005C3D3F" w:rsidP="005C3D3F">
      <w:pPr>
        <w:autoSpaceDE w:val="0"/>
        <w:autoSpaceDN w:val="0"/>
        <w:adjustRightInd w:val="0"/>
        <w:spacing w:line="360" w:lineRule="auto"/>
        <w:jc w:val="both"/>
        <w:rPr>
          <w:b/>
          <w:sz w:val="16"/>
          <w:lang w:val="pl-PL"/>
        </w:rPr>
      </w:pPr>
    </w:p>
    <w:p w:rsidR="005C3D3F" w:rsidRPr="005C3D3F" w:rsidRDefault="005C3D3F" w:rsidP="005C3D3F">
      <w:pPr>
        <w:autoSpaceDE w:val="0"/>
        <w:autoSpaceDN w:val="0"/>
        <w:adjustRightInd w:val="0"/>
        <w:spacing w:line="360" w:lineRule="auto"/>
        <w:jc w:val="both"/>
        <w:rPr>
          <w:b/>
          <w:i/>
          <w:color w:val="000000"/>
          <w:sz w:val="16"/>
          <w:szCs w:val="16"/>
          <w:lang w:val="pl-PL"/>
        </w:rPr>
      </w:pPr>
      <w:r w:rsidRPr="005C3D3F">
        <w:rPr>
          <w:b/>
          <w:sz w:val="16"/>
          <w:lang w:val="pl-PL"/>
        </w:rPr>
        <w:t>* Po uwzględnieniu kosztów/zysków o charakterze jednorazowym oraz kosztów restrukturyzacji.</w:t>
      </w:r>
    </w:p>
    <w:p w:rsidR="00525C9A" w:rsidRPr="005C3D3F" w:rsidRDefault="00525C9A" w:rsidP="00525C9A">
      <w:pPr>
        <w:autoSpaceDE w:val="0"/>
        <w:autoSpaceDN w:val="0"/>
        <w:adjustRightInd w:val="0"/>
        <w:spacing w:line="360" w:lineRule="auto"/>
        <w:jc w:val="both"/>
        <w:rPr>
          <w:color w:val="000000"/>
          <w:sz w:val="24"/>
          <w:lang w:val="pl-PL"/>
        </w:rPr>
      </w:pPr>
      <w:r w:rsidRPr="005C3D3F">
        <w:rPr>
          <w:b/>
          <w:sz w:val="24"/>
          <w:lang w:val="pl-PL"/>
        </w:rPr>
        <w:lastRenderedPageBreak/>
        <w:t xml:space="preserve">Odnosząc się do roku obrotowego 2015, Kasper Rorsted stwierdził: </w:t>
      </w:r>
      <w:bookmarkStart w:id="0" w:name="OLE_LINK4"/>
      <w:r w:rsidR="00B2436D">
        <w:rPr>
          <w:b/>
          <w:color w:val="000000"/>
          <w:sz w:val="24"/>
          <w:lang w:val="pl-PL"/>
        </w:rPr>
        <w:t>„</w:t>
      </w:r>
      <w:r w:rsidRPr="00A56A8C">
        <w:rPr>
          <w:b/>
          <w:i/>
          <w:color w:val="000000"/>
          <w:sz w:val="24"/>
          <w:lang w:val="pl-PL"/>
        </w:rPr>
        <w:t>Otoczenie gospodarcze jest nadal trudne i charakteryzuje się dużą zmiennością. Ze względu na trwający konflikt rosyjsko-ukraiński przewidujemy stagnację na rynkach Europy Wschodniej w 2015 r. oraz dalsze pogłębienie trudnej sytuacji gospodarczej i walutowej Rosji.</w:t>
      </w:r>
      <w:r w:rsidR="005C3D3F" w:rsidRPr="00A56A8C">
        <w:rPr>
          <w:b/>
          <w:i/>
          <w:color w:val="000000"/>
          <w:sz w:val="24"/>
          <w:lang w:val="pl-PL"/>
        </w:rPr>
        <w:t xml:space="preserve"> </w:t>
      </w:r>
      <w:r w:rsidRPr="00A56A8C">
        <w:rPr>
          <w:b/>
          <w:i/>
          <w:color w:val="000000"/>
          <w:sz w:val="24"/>
          <w:lang w:val="pl-PL"/>
        </w:rPr>
        <w:t>W związku z tym będziemy nadal dostosowywać wewnętrzne procesy i struktury w celu zwiększenia elastyczności i efektywności naszych działań. Będziemy się koncentrować na realizacji strategii, której celem jest osiągnięcie założonych ambitnych celów finansowych w perspektywie 2016 r.</w:t>
      </w:r>
      <w:bookmarkEnd w:id="0"/>
      <w:r w:rsidR="00B2436D">
        <w:rPr>
          <w:b/>
          <w:color w:val="000000"/>
          <w:sz w:val="24"/>
          <w:lang w:val="pl-PL"/>
        </w:rPr>
        <w:t>”</w:t>
      </w:r>
    </w:p>
    <w:p w:rsidR="00525C9A" w:rsidRPr="005C3D3F" w:rsidRDefault="00525C9A">
      <w:pPr>
        <w:autoSpaceDE w:val="0"/>
        <w:autoSpaceDN w:val="0"/>
        <w:adjustRightInd w:val="0"/>
        <w:spacing w:line="360" w:lineRule="auto"/>
        <w:jc w:val="both"/>
        <w:rPr>
          <w:b/>
          <w:i/>
          <w:color w:val="000000"/>
          <w:sz w:val="24"/>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b/>
          <w:color w:val="000000"/>
          <w:sz w:val="24"/>
          <w:lang w:val="pl-PL"/>
        </w:rPr>
        <w:t>Perspektywy działalności w 2015 r.</w:t>
      </w:r>
    </w:p>
    <w:p w:rsidR="00525C9A" w:rsidRPr="005C3D3F" w:rsidRDefault="00525C9A">
      <w:pPr>
        <w:autoSpaceDE w:val="0"/>
        <w:autoSpaceDN w:val="0"/>
        <w:adjustRightInd w:val="0"/>
        <w:spacing w:line="360" w:lineRule="auto"/>
        <w:jc w:val="both"/>
        <w:rPr>
          <w:color w:val="000000"/>
          <w:sz w:val="24"/>
          <w:lang w:val="pl-PL"/>
        </w:rPr>
      </w:pPr>
      <w:r w:rsidRPr="005C3D3F">
        <w:rPr>
          <w:b/>
          <w:color w:val="000000"/>
          <w:sz w:val="24"/>
          <w:lang w:val="pl-PL"/>
        </w:rPr>
        <w:t xml:space="preserve"> </w:t>
      </w:r>
      <w:r w:rsidR="00B2436D">
        <w:rPr>
          <w:b/>
          <w:color w:val="000000"/>
          <w:sz w:val="24"/>
          <w:lang w:val="pl-PL"/>
        </w:rPr>
        <w:t>„</w:t>
      </w:r>
      <w:r w:rsidRPr="00A56A8C">
        <w:rPr>
          <w:b/>
          <w:i/>
          <w:color w:val="000000"/>
          <w:sz w:val="24"/>
          <w:lang w:val="pl-PL"/>
        </w:rPr>
        <w:t>W całym roku obrotowym 2015 oczekujemy wzrostu sprzedaży w ujęciu organicznym w granicach 3-5%. Przewidujemy również, że skorygowana marża EBIT wzrośnie do poziomu ok. 16%, natomiast skorygowany zysk na akcję uprzywilejowaną zwiększy się o ok. 10%</w:t>
      </w:r>
      <w:r w:rsidRPr="005C3D3F">
        <w:rPr>
          <w:b/>
          <w:color w:val="000000"/>
          <w:sz w:val="24"/>
          <w:lang w:val="pl-PL"/>
        </w:rPr>
        <w:t xml:space="preserve"> – dodał Kasper Rorsted, podsumowując założenia finansowe na 2015 r.</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pStyle w:val="Standard12pt"/>
        <w:spacing w:line="360" w:lineRule="auto"/>
        <w:jc w:val="both"/>
        <w:rPr>
          <w:b/>
          <w:lang w:val="pl-PL"/>
        </w:rPr>
      </w:pPr>
      <w:r w:rsidRPr="005C3D3F">
        <w:rPr>
          <w:b/>
          <w:lang w:val="pl-PL"/>
        </w:rPr>
        <w:t>Przychody ze sprzedaży i wynik finansowy za 2014 r.</w:t>
      </w:r>
    </w:p>
    <w:p w:rsidR="00525C9A" w:rsidRPr="005C3D3F" w:rsidRDefault="00525C9A">
      <w:pPr>
        <w:pStyle w:val="Standard12pt"/>
        <w:spacing w:line="360" w:lineRule="auto"/>
        <w:jc w:val="both"/>
        <w:rPr>
          <w:lang w:val="pl-PL"/>
        </w:rPr>
      </w:pPr>
    </w:p>
    <w:p w:rsidR="00525C9A" w:rsidRPr="005C3D3F" w:rsidRDefault="00525C9A">
      <w:pPr>
        <w:autoSpaceDE w:val="0"/>
        <w:autoSpaceDN w:val="0"/>
        <w:adjustRightInd w:val="0"/>
        <w:spacing w:line="360" w:lineRule="auto"/>
        <w:jc w:val="both"/>
        <w:rPr>
          <w:sz w:val="24"/>
          <w:lang w:val="pl-PL"/>
        </w:rPr>
      </w:pPr>
      <w:r w:rsidRPr="005C3D3F">
        <w:rPr>
          <w:b/>
          <w:sz w:val="24"/>
          <w:lang w:val="pl-PL"/>
        </w:rPr>
        <w:t>Przychody ze sprzedaży</w:t>
      </w:r>
      <w:r w:rsidRPr="005C3D3F">
        <w:rPr>
          <w:sz w:val="24"/>
          <w:lang w:val="pl-PL"/>
        </w:rPr>
        <w:t xml:space="preserve"> w roku obrotowym 2014 wyniosły 16</w:t>
      </w:r>
      <w:r w:rsidR="00B2436D">
        <w:rPr>
          <w:sz w:val="24"/>
          <w:lang w:val="pl-PL"/>
        </w:rPr>
        <w:t>,</w:t>
      </w:r>
      <w:r w:rsidRPr="005C3D3F">
        <w:rPr>
          <w:sz w:val="24"/>
          <w:lang w:val="pl-PL"/>
        </w:rPr>
        <w:t>4</w:t>
      </w:r>
      <w:r w:rsidR="007E2D84">
        <w:rPr>
          <w:sz w:val="24"/>
          <w:lang w:val="pl-PL"/>
        </w:rPr>
        <w:t>28</w:t>
      </w:r>
      <w:r w:rsidRPr="005C3D3F">
        <w:rPr>
          <w:sz w:val="24"/>
          <w:lang w:val="pl-PL"/>
        </w:rPr>
        <w:t xml:space="preserve"> ml</w:t>
      </w:r>
      <w:r w:rsidR="00B2436D">
        <w:rPr>
          <w:sz w:val="24"/>
          <w:lang w:val="pl-PL"/>
        </w:rPr>
        <w:t>d</w:t>
      </w:r>
      <w:r w:rsidRPr="005C3D3F">
        <w:rPr>
          <w:sz w:val="24"/>
          <w:lang w:val="pl-PL"/>
        </w:rPr>
        <w:t xml:space="preserve"> euro, co stanowi niewielki wzrost wobec roku poprzedniego.</w:t>
      </w:r>
      <w:r w:rsidRPr="005C3D3F">
        <w:rPr>
          <w:color w:val="000000"/>
          <w:sz w:val="24"/>
          <w:lang w:val="pl-PL"/>
        </w:rPr>
        <w:t xml:space="preserve"> Po skorygowaniu o niekorzystny wpływ wahań kursów wymiany (4,0%), wzrost przychodów ze sprzedaży wyniósł 4,4%.</w:t>
      </w:r>
      <w:r w:rsidRPr="005C3D3F">
        <w:rPr>
          <w:sz w:val="24"/>
          <w:lang w:val="pl-PL"/>
        </w:rPr>
        <w:t xml:space="preserve"> </w:t>
      </w:r>
      <w:r w:rsidRPr="005C3D3F">
        <w:rPr>
          <w:b/>
          <w:color w:val="000000"/>
          <w:sz w:val="24"/>
          <w:lang w:val="pl-PL"/>
        </w:rPr>
        <w:t>W ujęciu organicznym</w:t>
      </w:r>
      <w:r w:rsidRPr="005C3D3F">
        <w:rPr>
          <w:color w:val="000000"/>
          <w:sz w:val="24"/>
          <w:lang w:val="pl-PL"/>
        </w:rPr>
        <w:t xml:space="preserve">, tj. bez uwzględnienia wpływu różnic kursowych oraz efektów transakcji przejęć i zbycia aktywów, wzrost przychodów ze sprzedaży wyniósł </w:t>
      </w:r>
      <w:r w:rsidR="00B2436D">
        <w:rPr>
          <w:color w:val="000000"/>
          <w:sz w:val="24"/>
          <w:lang w:val="pl-PL"/>
        </w:rPr>
        <w:t xml:space="preserve">niebagatelne </w:t>
      </w:r>
      <w:r w:rsidRPr="005C3D3F">
        <w:rPr>
          <w:color w:val="000000"/>
          <w:sz w:val="24"/>
          <w:lang w:val="pl-PL"/>
        </w:rPr>
        <w:t>3,4%.</w:t>
      </w:r>
    </w:p>
    <w:p w:rsidR="00525C9A" w:rsidRPr="005C3D3F" w:rsidRDefault="00525C9A">
      <w:pPr>
        <w:autoSpaceDE w:val="0"/>
        <w:autoSpaceDN w:val="0"/>
        <w:adjustRightInd w:val="0"/>
        <w:spacing w:line="360" w:lineRule="auto"/>
        <w:jc w:val="both"/>
        <w:rPr>
          <w:sz w:val="24"/>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sz w:val="24"/>
          <w:lang w:val="pl-PL"/>
        </w:rPr>
        <w:t>Wszystkie se</w:t>
      </w:r>
      <w:r w:rsidR="00E27651">
        <w:rPr>
          <w:sz w:val="24"/>
          <w:lang w:val="pl-PL"/>
        </w:rPr>
        <w:t>ktory</w:t>
      </w:r>
      <w:r w:rsidRPr="005C3D3F">
        <w:rPr>
          <w:sz w:val="24"/>
          <w:lang w:val="pl-PL"/>
        </w:rPr>
        <w:t xml:space="preserve"> działalności odnotowały wysokie tempo wzrostu sprzedaży </w:t>
      </w:r>
      <w:r w:rsidR="00A56A8C">
        <w:rPr>
          <w:sz w:val="24"/>
          <w:lang w:val="pl-PL"/>
        </w:rPr>
        <w:br/>
      </w:r>
      <w:r w:rsidRPr="005C3D3F">
        <w:rPr>
          <w:sz w:val="24"/>
          <w:lang w:val="pl-PL"/>
        </w:rPr>
        <w:t xml:space="preserve">w ujęciu organicznym i zwiększyły </w:t>
      </w:r>
      <w:r w:rsidR="00B2436D">
        <w:rPr>
          <w:sz w:val="24"/>
          <w:lang w:val="pl-PL"/>
        </w:rPr>
        <w:t xml:space="preserve">swoje </w:t>
      </w:r>
      <w:r w:rsidRPr="005C3D3F">
        <w:rPr>
          <w:sz w:val="24"/>
          <w:lang w:val="pl-PL"/>
        </w:rPr>
        <w:t>udziały rynkowe.</w:t>
      </w:r>
      <w:r w:rsidRPr="005C3D3F">
        <w:rPr>
          <w:color w:val="000000"/>
          <w:sz w:val="24"/>
          <w:lang w:val="pl-PL"/>
        </w:rPr>
        <w:t xml:space="preserve"> W dziale </w:t>
      </w:r>
      <w:r w:rsidRPr="005C3D3F">
        <w:rPr>
          <w:b/>
          <w:color w:val="000000"/>
          <w:sz w:val="24"/>
          <w:lang w:val="pl-PL"/>
        </w:rPr>
        <w:t>Laundry &amp; Home Care</w:t>
      </w:r>
      <w:r w:rsidRPr="005C3D3F">
        <w:rPr>
          <w:color w:val="000000"/>
          <w:sz w:val="24"/>
          <w:lang w:val="pl-PL"/>
        </w:rPr>
        <w:t xml:space="preserve"> (środki piorące i czystości) odnotowano wzrost sprzedaży w ujęciu organicznym na poziomie 4,6%. Dział </w:t>
      </w:r>
      <w:r w:rsidRPr="005C3D3F">
        <w:rPr>
          <w:b/>
          <w:color w:val="000000"/>
          <w:sz w:val="24"/>
          <w:lang w:val="pl-PL"/>
        </w:rPr>
        <w:t>Beauty Care</w:t>
      </w:r>
      <w:r w:rsidRPr="005C3D3F">
        <w:rPr>
          <w:color w:val="000000"/>
          <w:sz w:val="24"/>
          <w:lang w:val="pl-PL"/>
        </w:rPr>
        <w:t xml:space="preserve"> (kosmetyki) odnotował wzrost sprzedaży w ujęciu organicznym na poziomie 2,0%, natomiast sprzedaż działu </w:t>
      </w:r>
      <w:r w:rsidRPr="005C3D3F">
        <w:rPr>
          <w:b/>
          <w:color w:val="000000"/>
          <w:sz w:val="24"/>
          <w:lang w:val="pl-PL"/>
        </w:rPr>
        <w:lastRenderedPageBreak/>
        <w:t>Adhesive Technologies</w:t>
      </w:r>
      <w:r w:rsidRPr="005C3D3F">
        <w:rPr>
          <w:color w:val="000000"/>
          <w:sz w:val="24"/>
          <w:lang w:val="pl-PL"/>
        </w:rPr>
        <w:t xml:space="preserve"> (kleje budowlane i konsumenckie oraz kleje i technologie dla przemysłu) wzrosła w ujęciu organicznym o 3,7%.</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b/>
          <w:color w:val="000000"/>
          <w:sz w:val="24"/>
          <w:lang w:val="pl-PL"/>
        </w:rPr>
        <w:t>Skorygowany zysk operacyjny (EBIT)</w:t>
      </w:r>
      <w:r w:rsidRPr="005C3D3F">
        <w:rPr>
          <w:color w:val="000000"/>
          <w:sz w:val="24"/>
          <w:lang w:val="pl-PL"/>
        </w:rPr>
        <w:t xml:space="preserve"> z wyłączeniem zysków i kosztów </w:t>
      </w:r>
      <w:r w:rsidR="00967D5B">
        <w:rPr>
          <w:color w:val="000000"/>
          <w:sz w:val="24"/>
          <w:lang w:val="pl-PL"/>
        </w:rPr>
        <w:br/>
      </w:r>
      <w:r w:rsidRPr="005C3D3F">
        <w:rPr>
          <w:color w:val="000000"/>
          <w:sz w:val="24"/>
          <w:lang w:val="pl-PL"/>
        </w:rPr>
        <w:t>o charakterze jednorazowym oraz kosztów restrukturyzacji wzrósł z 2</w:t>
      </w:r>
      <w:r w:rsidR="00D84A2D">
        <w:rPr>
          <w:color w:val="000000"/>
          <w:sz w:val="24"/>
          <w:lang w:val="pl-PL"/>
        </w:rPr>
        <w:t>,</w:t>
      </w:r>
      <w:r w:rsidRPr="005C3D3F">
        <w:rPr>
          <w:color w:val="000000"/>
          <w:sz w:val="24"/>
          <w:lang w:val="pl-PL"/>
        </w:rPr>
        <w:t>5</w:t>
      </w:r>
      <w:r w:rsidR="00E27651">
        <w:rPr>
          <w:color w:val="000000"/>
          <w:sz w:val="24"/>
          <w:lang w:val="pl-PL"/>
        </w:rPr>
        <w:t>16</w:t>
      </w:r>
      <w:r w:rsidRPr="005C3D3F">
        <w:rPr>
          <w:color w:val="000000"/>
          <w:sz w:val="24"/>
          <w:lang w:val="pl-PL"/>
        </w:rPr>
        <w:t xml:space="preserve"> ml</w:t>
      </w:r>
      <w:r w:rsidR="00D84A2D">
        <w:rPr>
          <w:color w:val="000000"/>
          <w:sz w:val="24"/>
          <w:lang w:val="pl-PL"/>
        </w:rPr>
        <w:t>d</w:t>
      </w:r>
      <w:r w:rsidRPr="005C3D3F">
        <w:rPr>
          <w:color w:val="000000"/>
          <w:sz w:val="24"/>
          <w:lang w:val="pl-PL"/>
        </w:rPr>
        <w:t xml:space="preserve"> euro do 2</w:t>
      </w:r>
      <w:r w:rsidR="00D84A2D">
        <w:rPr>
          <w:color w:val="000000"/>
          <w:sz w:val="24"/>
          <w:lang w:val="pl-PL"/>
        </w:rPr>
        <w:t>,</w:t>
      </w:r>
      <w:r w:rsidRPr="005C3D3F">
        <w:rPr>
          <w:color w:val="000000"/>
          <w:sz w:val="24"/>
          <w:lang w:val="pl-PL"/>
        </w:rPr>
        <w:t>5</w:t>
      </w:r>
      <w:r w:rsidR="00E27651">
        <w:rPr>
          <w:color w:val="000000"/>
          <w:sz w:val="24"/>
          <w:lang w:val="pl-PL"/>
        </w:rPr>
        <w:t>88</w:t>
      </w:r>
      <w:r w:rsidRPr="005C3D3F">
        <w:rPr>
          <w:color w:val="000000"/>
          <w:sz w:val="24"/>
          <w:lang w:val="pl-PL"/>
        </w:rPr>
        <w:t xml:space="preserve"> ml</w:t>
      </w:r>
      <w:r w:rsidR="00D84A2D">
        <w:rPr>
          <w:color w:val="000000"/>
          <w:sz w:val="24"/>
          <w:lang w:val="pl-PL"/>
        </w:rPr>
        <w:t>d</w:t>
      </w:r>
      <w:r w:rsidRPr="005C3D3F">
        <w:rPr>
          <w:color w:val="000000"/>
          <w:sz w:val="24"/>
          <w:lang w:val="pl-PL"/>
        </w:rPr>
        <w:t xml:space="preserve"> euro, czyli o 2,9%. </w:t>
      </w:r>
      <w:r w:rsidR="00E27651">
        <w:rPr>
          <w:color w:val="000000"/>
          <w:sz w:val="24"/>
          <w:lang w:val="pl-PL"/>
        </w:rPr>
        <w:t>Wszystkie trzy sektory działalności Henkla</w:t>
      </w:r>
      <w:r w:rsidR="00E27651" w:rsidRPr="005C3D3F">
        <w:rPr>
          <w:color w:val="000000"/>
          <w:sz w:val="24"/>
          <w:lang w:val="pl-PL"/>
        </w:rPr>
        <w:t xml:space="preserve"> </w:t>
      </w:r>
      <w:r w:rsidR="00E27651">
        <w:rPr>
          <w:color w:val="000000"/>
          <w:sz w:val="24"/>
          <w:lang w:val="pl-PL"/>
        </w:rPr>
        <w:t>miał swój udział w tym sukcesie.</w:t>
      </w:r>
      <w:r w:rsidRPr="005C3D3F">
        <w:rPr>
          <w:color w:val="000000"/>
          <w:sz w:val="24"/>
          <w:lang w:val="pl-PL"/>
        </w:rPr>
        <w:t xml:space="preserve"> Wykazany zysk operacyjny (EBIT) wyniósł 2</w:t>
      </w:r>
      <w:r w:rsidR="00D84A2D">
        <w:rPr>
          <w:color w:val="000000"/>
          <w:sz w:val="24"/>
          <w:lang w:val="pl-PL"/>
        </w:rPr>
        <w:t>,</w:t>
      </w:r>
      <w:r w:rsidRPr="005C3D3F">
        <w:rPr>
          <w:color w:val="000000"/>
          <w:sz w:val="24"/>
          <w:lang w:val="pl-PL"/>
        </w:rPr>
        <w:t>24</w:t>
      </w:r>
      <w:r w:rsidR="00E27651">
        <w:rPr>
          <w:color w:val="000000"/>
          <w:sz w:val="24"/>
          <w:lang w:val="pl-PL"/>
        </w:rPr>
        <w:t>4</w:t>
      </w:r>
      <w:r w:rsidRPr="005C3D3F">
        <w:rPr>
          <w:color w:val="000000"/>
          <w:sz w:val="24"/>
          <w:lang w:val="pl-PL"/>
        </w:rPr>
        <w:t xml:space="preserve"> ml</w:t>
      </w:r>
      <w:r w:rsidR="00D84A2D">
        <w:rPr>
          <w:color w:val="000000"/>
          <w:sz w:val="24"/>
          <w:lang w:val="pl-PL"/>
        </w:rPr>
        <w:t>d</w:t>
      </w:r>
      <w:r w:rsidRPr="005C3D3F">
        <w:rPr>
          <w:color w:val="000000"/>
          <w:sz w:val="24"/>
          <w:lang w:val="pl-PL"/>
        </w:rPr>
        <w:t xml:space="preserve"> euro w porównaniu z 2</w:t>
      </w:r>
      <w:r w:rsidR="00D84A2D">
        <w:rPr>
          <w:color w:val="000000"/>
          <w:sz w:val="24"/>
          <w:lang w:val="pl-PL"/>
        </w:rPr>
        <w:t>,</w:t>
      </w:r>
      <w:r w:rsidRPr="005C3D3F">
        <w:rPr>
          <w:color w:val="000000"/>
          <w:sz w:val="24"/>
          <w:lang w:val="pl-PL"/>
        </w:rPr>
        <w:t>28</w:t>
      </w:r>
      <w:r w:rsidR="00E27651">
        <w:rPr>
          <w:color w:val="000000"/>
          <w:sz w:val="24"/>
          <w:lang w:val="pl-PL"/>
        </w:rPr>
        <w:t>5</w:t>
      </w:r>
      <w:r w:rsidRPr="005C3D3F">
        <w:rPr>
          <w:color w:val="000000"/>
          <w:sz w:val="24"/>
          <w:lang w:val="pl-PL"/>
        </w:rPr>
        <w:t xml:space="preserve"> ml</w:t>
      </w:r>
      <w:r w:rsidR="00D84A2D">
        <w:rPr>
          <w:color w:val="000000"/>
          <w:sz w:val="24"/>
          <w:lang w:val="pl-PL"/>
        </w:rPr>
        <w:t>d</w:t>
      </w:r>
      <w:r w:rsidRPr="005C3D3F">
        <w:rPr>
          <w:color w:val="000000"/>
          <w:sz w:val="24"/>
          <w:lang w:val="pl-PL"/>
        </w:rPr>
        <w:t xml:space="preserve"> euro w 2013 r. </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E27651">
      <w:pPr>
        <w:autoSpaceDE w:val="0"/>
        <w:autoSpaceDN w:val="0"/>
        <w:adjustRightInd w:val="0"/>
        <w:spacing w:line="360" w:lineRule="auto"/>
        <w:jc w:val="both"/>
        <w:rPr>
          <w:color w:val="000000"/>
          <w:sz w:val="24"/>
          <w:lang w:val="pl-PL"/>
        </w:rPr>
      </w:pPr>
      <w:r>
        <w:rPr>
          <w:b/>
          <w:color w:val="000000"/>
          <w:sz w:val="24"/>
          <w:lang w:val="pl-PL"/>
        </w:rPr>
        <w:t>S</w:t>
      </w:r>
      <w:r w:rsidR="00525C9A" w:rsidRPr="005C3D3F">
        <w:rPr>
          <w:b/>
          <w:color w:val="000000"/>
          <w:sz w:val="24"/>
          <w:lang w:val="pl-PL"/>
        </w:rPr>
        <w:t>korygowan</w:t>
      </w:r>
      <w:r>
        <w:rPr>
          <w:b/>
          <w:color w:val="000000"/>
          <w:sz w:val="24"/>
          <w:lang w:val="pl-PL"/>
        </w:rPr>
        <w:t>a</w:t>
      </w:r>
      <w:r w:rsidR="00525C9A" w:rsidRPr="005C3D3F">
        <w:rPr>
          <w:b/>
          <w:color w:val="000000"/>
          <w:sz w:val="24"/>
          <w:lang w:val="pl-PL"/>
        </w:rPr>
        <w:t xml:space="preserve"> rentownoś</w:t>
      </w:r>
      <w:r>
        <w:rPr>
          <w:b/>
          <w:color w:val="000000"/>
          <w:sz w:val="24"/>
          <w:lang w:val="pl-PL"/>
        </w:rPr>
        <w:t>ć</w:t>
      </w:r>
      <w:r w:rsidR="00525C9A" w:rsidRPr="005C3D3F">
        <w:rPr>
          <w:b/>
          <w:color w:val="000000"/>
          <w:sz w:val="24"/>
          <w:lang w:val="pl-PL"/>
        </w:rPr>
        <w:t xml:space="preserve"> sprzedaży (marży EBIT) </w:t>
      </w:r>
      <w:r>
        <w:rPr>
          <w:b/>
          <w:color w:val="000000"/>
          <w:sz w:val="24"/>
          <w:lang w:val="pl-PL"/>
        </w:rPr>
        <w:t>wzrosła</w:t>
      </w:r>
      <w:r w:rsidR="00525C9A" w:rsidRPr="005C3D3F">
        <w:rPr>
          <w:b/>
          <w:color w:val="000000"/>
          <w:sz w:val="24"/>
          <w:lang w:val="pl-PL"/>
        </w:rPr>
        <w:t xml:space="preserve"> o 0,4 p</w:t>
      </w:r>
      <w:r w:rsidR="00D84A2D">
        <w:rPr>
          <w:b/>
          <w:color w:val="000000"/>
          <w:sz w:val="24"/>
          <w:lang w:val="pl-PL"/>
        </w:rPr>
        <w:t xml:space="preserve">kt. </w:t>
      </w:r>
      <w:r w:rsidR="00525C9A" w:rsidRPr="005C3D3F">
        <w:rPr>
          <w:b/>
          <w:color w:val="000000"/>
          <w:sz w:val="24"/>
          <w:lang w:val="pl-PL"/>
        </w:rPr>
        <w:t>p</w:t>
      </w:r>
      <w:r w:rsidR="00D84A2D">
        <w:rPr>
          <w:b/>
          <w:color w:val="000000"/>
          <w:sz w:val="24"/>
          <w:lang w:val="pl-PL"/>
        </w:rPr>
        <w:t>roc.</w:t>
      </w:r>
      <w:r w:rsidR="00525C9A" w:rsidRPr="005C3D3F">
        <w:rPr>
          <w:b/>
          <w:color w:val="000000"/>
          <w:sz w:val="24"/>
          <w:lang w:val="pl-PL"/>
        </w:rPr>
        <w:t>, z 15,4% do 15,8%.</w:t>
      </w:r>
      <w:r w:rsidR="00525C9A" w:rsidRPr="005C3D3F">
        <w:rPr>
          <w:color w:val="000000"/>
          <w:sz w:val="24"/>
          <w:lang w:val="pl-PL"/>
        </w:rPr>
        <w:t xml:space="preserve"> Wykazana rentowność sprzedaży była równa 13,7%, wobec rentowności na poziomie 14,0% odnotowanej rok wcześniej.</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b/>
          <w:color w:val="000000"/>
          <w:sz w:val="24"/>
          <w:lang w:val="pl-PL"/>
        </w:rPr>
        <w:t>Wynik na działalności finansowej</w:t>
      </w:r>
      <w:r w:rsidRPr="005C3D3F">
        <w:rPr>
          <w:color w:val="000000"/>
          <w:sz w:val="24"/>
          <w:lang w:val="pl-PL"/>
        </w:rPr>
        <w:t xml:space="preserve"> wzrósł o 64 mln euro, osiągając poziom -49 mln euro, do czego przyczynił się przede wszystkim wzrost wyniku odsetkowego netto, który częściowo był efektem wykupu obligacji uprzywilejowanych w czerwcu 2013 r. </w:t>
      </w:r>
      <w:r w:rsidR="00A56A8C">
        <w:rPr>
          <w:color w:val="000000"/>
          <w:sz w:val="24"/>
          <w:lang w:val="pl-PL"/>
        </w:rPr>
        <w:br/>
      </w:r>
      <w:r w:rsidRPr="005C3D3F">
        <w:rPr>
          <w:color w:val="000000"/>
          <w:sz w:val="24"/>
          <w:lang w:val="pl-PL"/>
        </w:rPr>
        <w:t xml:space="preserve">i marcu 2014 r., a także wygaśnięcia kontraktów terminowych na stopę procentową w marcu 2014 r. </w:t>
      </w:r>
      <w:r w:rsidRPr="005C3D3F">
        <w:rPr>
          <w:b/>
          <w:color w:val="000000"/>
          <w:sz w:val="24"/>
          <w:lang w:val="pl-PL"/>
        </w:rPr>
        <w:t xml:space="preserve">Stopa opodatkowania </w:t>
      </w:r>
      <w:r w:rsidRPr="005C3D3F">
        <w:rPr>
          <w:color w:val="000000"/>
          <w:sz w:val="24"/>
          <w:lang w:val="pl-PL"/>
        </w:rPr>
        <w:t>wyniosła 24,3%, wobec poziomu sprzed roku wynoszącego 25,2%.</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b/>
          <w:color w:val="000000"/>
          <w:sz w:val="24"/>
          <w:lang w:val="pl-PL"/>
        </w:rPr>
        <w:t>Skorygowany zysk netto</w:t>
      </w:r>
      <w:r w:rsidRPr="005C3D3F">
        <w:rPr>
          <w:color w:val="000000"/>
          <w:sz w:val="24"/>
          <w:lang w:val="pl-PL"/>
        </w:rPr>
        <w:t xml:space="preserve">, po odliczeniu części przypadającej na udziały </w:t>
      </w:r>
      <w:r w:rsidR="00D84A2D">
        <w:rPr>
          <w:color w:val="000000"/>
          <w:sz w:val="24"/>
          <w:lang w:val="pl-PL"/>
        </w:rPr>
        <w:t xml:space="preserve">akcjonariuszy </w:t>
      </w:r>
      <w:r w:rsidRPr="005C3D3F">
        <w:rPr>
          <w:color w:val="000000"/>
          <w:sz w:val="24"/>
          <w:lang w:val="pl-PL"/>
        </w:rPr>
        <w:t>niesprawując</w:t>
      </w:r>
      <w:r w:rsidR="00D84A2D">
        <w:rPr>
          <w:color w:val="000000"/>
          <w:sz w:val="24"/>
          <w:lang w:val="pl-PL"/>
        </w:rPr>
        <w:t>ych</w:t>
      </w:r>
      <w:r w:rsidRPr="005C3D3F">
        <w:rPr>
          <w:color w:val="000000"/>
          <w:sz w:val="24"/>
          <w:lang w:val="pl-PL"/>
        </w:rPr>
        <w:t xml:space="preserve"> kontroli, wzrósł o 7,5% względem poprzedniego roku, z 1</w:t>
      </w:r>
      <w:r w:rsidR="00D84A2D">
        <w:rPr>
          <w:color w:val="000000"/>
          <w:sz w:val="24"/>
          <w:lang w:val="pl-PL"/>
        </w:rPr>
        <w:t>,</w:t>
      </w:r>
      <w:r w:rsidRPr="005C3D3F">
        <w:rPr>
          <w:color w:val="000000"/>
          <w:sz w:val="24"/>
          <w:lang w:val="pl-PL"/>
        </w:rPr>
        <w:t>76</w:t>
      </w:r>
      <w:r w:rsidR="00E27651">
        <w:rPr>
          <w:color w:val="000000"/>
          <w:sz w:val="24"/>
          <w:lang w:val="pl-PL"/>
        </w:rPr>
        <w:t>4</w:t>
      </w:r>
      <w:r w:rsidRPr="005C3D3F">
        <w:rPr>
          <w:color w:val="000000"/>
          <w:sz w:val="24"/>
          <w:lang w:val="pl-PL"/>
        </w:rPr>
        <w:t xml:space="preserve"> </w:t>
      </w:r>
      <w:r w:rsidR="00D84A2D" w:rsidRPr="005C3D3F">
        <w:rPr>
          <w:color w:val="000000"/>
          <w:sz w:val="24"/>
          <w:lang w:val="pl-PL"/>
        </w:rPr>
        <w:t>ml</w:t>
      </w:r>
      <w:r w:rsidR="00D84A2D">
        <w:rPr>
          <w:color w:val="000000"/>
          <w:sz w:val="24"/>
          <w:lang w:val="pl-PL"/>
        </w:rPr>
        <w:t>d</w:t>
      </w:r>
      <w:r w:rsidR="00D84A2D" w:rsidRPr="005C3D3F">
        <w:rPr>
          <w:color w:val="000000"/>
          <w:sz w:val="24"/>
          <w:lang w:val="pl-PL"/>
        </w:rPr>
        <w:t xml:space="preserve"> </w:t>
      </w:r>
      <w:r w:rsidRPr="005C3D3F">
        <w:rPr>
          <w:color w:val="000000"/>
          <w:sz w:val="24"/>
          <w:lang w:val="pl-PL"/>
        </w:rPr>
        <w:t>euro do 1</w:t>
      </w:r>
      <w:r w:rsidR="00D84A2D">
        <w:rPr>
          <w:color w:val="000000"/>
          <w:sz w:val="24"/>
          <w:lang w:val="pl-PL"/>
        </w:rPr>
        <w:t>,</w:t>
      </w:r>
      <w:r w:rsidRPr="005C3D3F">
        <w:rPr>
          <w:color w:val="000000"/>
          <w:sz w:val="24"/>
          <w:lang w:val="pl-PL"/>
        </w:rPr>
        <w:t>89</w:t>
      </w:r>
      <w:r w:rsidR="00E27651">
        <w:rPr>
          <w:color w:val="000000"/>
          <w:sz w:val="24"/>
          <w:lang w:val="pl-PL"/>
        </w:rPr>
        <w:t>6</w:t>
      </w:r>
      <w:r w:rsidRPr="005C3D3F">
        <w:rPr>
          <w:color w:val="000000"/>
          <w:sz w:val="24"/>
          <w:lang w:val="pl-PL"/>
        </w:rPr>
        <w:t xml:space="preserve"> </w:t>
      </w:r>
      <w:r w:rsidR="00D84A2D" w:rsidRPr="005C3D3F">
        <w:rPr>
          <w:color w:val="000000"/>
          <w:sz w:val="24"/>
          <w:lang w:val="pl-PL"/>
        </w:rPr>
        <w:t>ml</w:t>
      </w:r>
      <w:r w:rsidR="00D84A2D">
        <w:rPr>
          <w:color w:val="000000"/>
          <w:sz w:val="24"/>
          <w:lang w:val="pl-PL"/>
        </w:rPr>
        <w:t>d</w:t>
      </w:r>
      <w:r w:rsidR="00D84A2D" w:rsidRPr="005C3D3F">
        <w:rPr>
          <w:color w:val="000000"/>
          <w:sz w:val="24"/>
          <w:lang w:val="pl-PL"/>
        </w:rPr>
        <w:t xml:space="preserve"> </w:t>
      </w:r>
      <w:r w:rsidRPr="005C3D3F">
        <w:rPr>
          <w:color w:val="000000"/>
          <w:sz w:val="24"/>
          <w:lang w:val="pl-PL"/>
        </w:rPr>
        <w:t>euro. Zysk netto za rok wzrósł o 2,3%, z 1</w:t>
      </w:r>
      <w:r w:rsidR="00D84A2D">
        <w:rPr>
          <w:color w:val="000000"/>
          <w:sz w:val="24"/>
          <w:lang w:val="pl-PL"/>
        </w:rPr>
        <w:t>,</w:t>
      </w:r>
      <w:r w:rsidRPr="005C3D3F">
        <w:rPr>
          <w:color w:val="000000"/>
          <w:sz w:val="24"/>
          <w:lang w:val="pl-PL"/>
        </w:rPr>
        <w:t>62</w:t>
      </w:r>
      <w:r w:rsidR="00E27651">
        <w:rPr>
          <w:color w:val="000000"/>
          <w:sz w:val="24"/>
          <w:lang w:val="pl-PL"/>
        </w:rPr>
        <w:t>5</w:t>
      </w:r>
      <w:r w:rsidRPr="005C3D3F">
        <w:rPr>
          <w:color w:val="000000"/>
          <w:sz w:val="24"/>
          <w:lang w:val="pl-PL"/>
        </w:rPr>
        <w:t xml:space="preserve"> ml</w:t>
      </w:r>
      <w:r w:rsidR="00D84A2D">
        <w:rPr>
          <w:color w:val="000000"/>
          <w:sz w:val="24"/>
          <w:lang w:val="pl-PL"/>
        </w:rPr>
        <w:t>d</w:t>
      </w:r>
      <w:r w:rsidRPr="005C3D3F">
        <w:rPr>
          <w:color w:val="000000"/>
          <w:sz w:val="24"/>
          <w:lang w:val="pl-PL"/>
        </w:rPr>
        <w:t xml:space="preserve"> euro do 1</w:t>
      </w:r>
      <w:r w:rsidR="00D84A2D">
        <w:rPr>
          <w:color w:val="000000"/>
          <w:sz w:val="24"/>
          <w:lang w:val="pl-PL"/>
        </w:rPr>
        <w:t>,</w:t>
      </w:r>
      <w:r w:rsidRPr="005C3D3F">
        <w:rPr>
          <w:color w:val="000000"/>
          <w:sz w:val="24"/>
          <w:lang w:val="pl-PL"/>
        </w:rPr>
        <w:t>66</w:t>
      </w:r>
      <w:r w:rsidR="00E27651">
        <w:rPr>
          <w:color w:val="000000"/>
          <w:sz w:val="24"/>
          <w:lang w:val="pl-PL"/>
        </w:rPr>
        <w:t>2</w:t>
      </w:r>
      <w:r w:rsidRPr="005C3D3F">
        <w:rPr>
          <w:color w:val="000000"/>
          <w:sz w:val="24"/>
          <w:lang w:val="pl-PL"/>
        </w:rPr>
        <w:t xml:space="preserve"> ml</w:t>
      </w:r>
      <w:r w:rsidR="00D84A2D">
        <w:rPr>
          <w:color w:val="000000"/>
          <w:sz w:val="24"/>
          <w:lang w:val="pl-PL"/>
        </w:rPr>
        <w:t>d</w:t>
      </w:r>
      <w:r w:rsidRPr="005C3D3F">
        <w:rPr>
          <w:color w:val="000000"/>
          <w:sz w:val="24"/>
          <w:lang w:val="pl-PL"/>
        </w:rPr>
        <w:t xml:space="preserve"> euro.</w:t>
      </w:r>
      <w:r w:rsidR="005C3D3F">
        <w:rPr>
          <w:color w:val="000000"/>
          <w:sz w:val="24"/>
          <w:lang w:val="pl-PL"/>
        </w:rPr>
        <w:t xml:space="preserve"> </w:t>
      </w:r>
      <w:r w:rsidRPr="005C3D3F">
        <w:rPr>
          <w:color w:val="000000"/>
          <w:sz w:val="24"/>
          <w:lang w:val="pl-PL"/>
        </w:rPr>
        <w:t xml:space="preserve">Po wyłączeniu kwoty 34 mln euro przypadającej na udziały </w:t>
      </w:r>
      <w:r w:rsidR="00D84A2D">
        <w:rPr>
          <w:color w:val="000000"/>
          <w:sz w:val="24"/>
          <w:lang w:val="pl-PL"/>
        </w:rPr>
        <w:t xml:space="preserve">akcjonariuszy </w:t>
      </w:r>
      <w:r w:rsidR="00D84A2D" w:rsidRPr="005C3D3F">
        <w:rPr>
          <w:color w:val="000000"/>
          <w:sz w:val="24"/>
          <w:lang w:val="pl-PL"/>
        </w:rPr>
        <w:t>niesprawując</w:t>
      </w:r>
      <w:r w:rsidR="00D84A2D">
        <w:rPr>
          <w:color w:val="000000"/>
          <w:sz w:val="24"/>
          <w:lang w:val="pl-PL"/>
        </w:rPr>
        <w:t>ych</w:t>
      </w:r>
      <w:r w:rsidR="00D84A2D" w:rsidRPr="005C3D3F">
        <w:rPr>
          <w:color w:val="000000"/>
          <w:sz w:val="24"/>
          <w:lang w:val="pl-PL"/>
        </w:rPr>
        <w:t xml:space="preserve"> kontroli</w:t>
      </w:r>
      <w:r w:rsidRPr="005C3D3F">
        <w:rPr>
          <w:color w:val="000000"/>
          <w:sz w:val="24"/>
          <w:lang w:val="pl-PL"/>
        </w:rPr>
        <w:t>, zysk netto wyniósł 1</w:t>
      </w:r>
      <w:r w:rsidR="00D84A2D">
        <w:rPr>
          <w:color w:val="000000"/>
          <w:sz w:val="24"/>
          <w:lang w:val="pl-PL"/>
        </w:rPr>
        <w:t>,</w:t>
      </w:r>
      <w:r w:rsidRPr="005C3D3F">
        <w:rPr>
          <w:color w:val="000000"/>
          <w:sz w:val="24"/>
          <w:lang w:val="pl-PL"/>
        </w:rPr>
        <w:t>6</w:t>
      </w:r>
      <w:r w:rsidR="00E27651">
        <w:rPr>
          <w:color w:val="000000"/>
          <w:sz w:val="24"/>
          <w:lang w:val="pl-PL"/>
        </w:rPr>
        <w:t>28</w:t>
      </w:r>
      <w:r w:rsidRPr="005C3D3F">
        <w:rPr>
          <w:color w:val="000000"/>
          <w:sz w:val="24"/>
          <w:lang w:val="pl-PL"/>
        </w:rPr>
        <w:t xml:space="preserve"> ml</w:t>
      </w:r>
      <w:r w:rsidR="00D84A2D">
        <w:rPr>
          <w:color w:val="000000"/>
          <w:sz w:val="24"/>
          <w:lang w:val="pl-PL"/>
        </w:rPr>
        <w:t>d</w:t>
      </w:r>
      <w:r w:rsidRPr="005C3D3F">
        <w:rPr>
          <w:color w:val="000000"/>
          <w:sz w:val="24"/>
          <w:lang w:val="pl-PL"/>
        </w:rPr>
        <w:t xml:space="preserve"> euro (wobec 1</w:t>
      </w:r>
      <w:r w:rsidR="00D84A2D">
        <w:rPr>
          <w:color w:val="000000"/>
          <w:sz w:val="24"/>
          <w:lang w:val="pl-PL"/>
        </w:rPr>
        <w:t>,</w:t>
      </w:r>
      <w:r w:rsidRPr="005C3D3F">
        <w:rPr>
          <w:color w:val="000000"/>
          <w:sz w:val="24"/>
          <w:lang w:val="pl-PL"/>
        </w:rPr>
        <w:t>5</w:t>
      </w:r>
      <w:r w:rsidR="00E27651">
        <w:rPr>
          <w:color w:val="000000"/>
          <w:sz w:val="24"/>
          <w:lang w:val="pl-PL"/>
        </w:rPr>
        <w:t>8</w:t>
      </w:r>
      <w:r w:rsidR="00D84A2D">
        <w:rPr>
          <w:color w:val="000000"/>
          <w:sz w:val="24"/>
          <w:lang w:val="pl-PL"/>
        </w:rPr>
        <w:t>9</w:t>
      </w:r>
      <w:r w:rsidRPr="005C3D3F">
        <w:rPr>
          <w:color w:val="000000"/>
          <w:sz w:val="24"/>
          <w:lang w:val="pl-PL"/>
        </w:rPr>
        <w:t xml:space="preserve"> ml</w:t>
      </w:r>
      <w:r w:rsidR="00D84A2D">
        <w:rPr>
          <w:color w:val="000000"/>
          <w:sz w:val="24"/>
          <w:lang w:val="pl-PL"/>
        </w:rPr>
        <w:t>d</w:t>
      </w:r>
      <w:r w:rsidRPr="005C3D3F">
        <w:rPr>
          <w:color w:val="000000"/>
          <w:sz w:val="24"/>
          <w:lang w:val="pl-PL"/>
        </w:rPr>
        <w:t xml:space="preserve"> euro w poprzednim roku).</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autoSpaceDE w:val="0"/>
        <w:autoSpaceDN w:val="0"/>
        <w:adjustRightInd w:val="0"/>
        <w:spacing w:line="360" w:lineRule="auto"/>
        <w:jc w:val="both"/>
        <w:rPr>
          <w:sz w:val="24"/>
          <w:lang w:val="pl-PL"/>
        </w:rPr>
      </w:pPr>
      <w:r w:rsidRPr="005C3D3F">
        <w:rPr>
          <w:b/>
          <w:color w:val="000000"/>
          <w:sz w:val="24"/>
          <w:lang w:val="pl-PL"/>
        </w:rPr>
        <w:t xml:space="preserve">Zysk skorygowany na akcję uprzywilejowaną </w:t>
      </w:r>
      <w:r w:rsidRPr="005C3D3F">
        <w:rPr>
          <w:color w:val="000000"/>
          <w:sz w:val="24"/>
          <w:lang w:val="pl-PL"/>
        </w:rPr>
        <w:t>(EPS) zwiększył się względem poprzedniego roku o 7,6%, z kwoty 4,07 euro do 4,38 euro. Wykazany EPS wzrósł z 3,67 euro do poziomu 3,76 euro.</w:t>
      </w:r>
    </w:p>
    <w:p w:rsidR="00525C9A" w:rsidRPr="005C3D3F" w:rsidRDefault="00525C9A">
      <w:pPr>
        <w:autoSpaceDE w:val="0"/>
        <w:autoSpaceDN w:val="0"/>
        <w:adjustRightInd w:val="0"/>
        <w:spacing w:line="360" w:lineRule="auto"/>
        <w:jc w:val="both"/>
        <w:rPr>
          <w:sz w:val="24"/>
          <w:lang w:val="pl-PL"/>
        </w:rPr>
      </w:pPr>
    </w:p>
    <w:p w:rsidR="00525C9A" w:rsidRPr="005C3D3F" w:rsidRDefault="00525C9A">
      <w:pPr>
        <w:pStyle w:val="Tekstpodstawowy3"/>
        <w:spacing w:after="0" w:line="360" w:lineRule="auto"/>
        <w:jc w:val="both"/>
        <w:rPr>
          <w:sz w:val="24"/>
          <w:szCs w:val="24"/>
          <w:lang w:val="pl-PL"/>
        </w:rPr>
      </w:pPr>
      <w:r w:rsidRPr="005C3D3F">
        <w:rPr>
          <w:sz w:val="24"/>
          <w:lang w:val="pl-PL"/>
        </w:rPr>
        <w:lastRenderedPageBreak/>
        <w:t xml:space="preserve">Zarząd, Rada Nadzorcza oraz Komitet Akcjonariuszy będą rekomendować na Walnym Zgromadzeniu Akcjonariuszy podwyższenie </w:t>
      </w:r>
      <w:r w:rsidRPr="005C3D3F">
        <w:rPr>
          <w:b/>
          <w:sz w:val="24"/>
          <w:szCs w:val="24"/>
          <w:lang w:val="pl-PL"/>
        </w:rPr>
        <w:t>dywidendy</w:t>
      </w:r>
      <w:r w:rsidRPr="005C3D3F">
        <w:rPr>
          <w:sz w:val="24"/>
          <w:lang w:val="pl-PL"/>
        </w:rPr>
        <w:t xml:space="preserve"> o 7,4% w wypadku akcji uprzywilejowanych, do 1,31 euro na akcję uprzywilejowaną (2013 r.: 1,22 euro), oraz o 7,5% w wypadku akcji zwykłych, do 1,29 euro na akcję zwykłą (2013 r.: 1,20 euro).</w:t>
      </w:r>
      <w:r w:rsidRPr="005C3D3F">
        <w:rPr>
          <w:color w:val="000000"/>
          <w:sz w:val="24"/>
          <w:szCs w:val="24"/>
          <w:lang w:val="pl-PL"/>
        </w:rPr>
        <w:t xml:space="preserve"> W wypadku przyjęcia rekomendacji wskaźnik wypłaty dywidendy wyniesie 30%, podobnie jak w roku poprzednim.</w:t>
      </w:r>
    </w:p>
    <w:p w:rsidR="00525C9A" w:rsidRPr="005C3D3F" w:rsidRDefault="00525C9A">
      <w:pPr>
        <w:pStyle w:val="Tekstpodstawowy3"/>
        <w:spacing w:after="0" w:line="360" w:lineRule="auto"/>
        <w:jc w:val="both"/>
        <w:rPr>
          <w:sz w:val="24"/>
          <w:szCs w:val="24"/>
          <w:lang w:val="pl-PL"/>
        </w:rPr>
      </w:pPr>
    </w:p>
    <w:p w:rsidR="00525C9A" w:rsidRPr="005C3D3F" w:rsidRDefault="00525C9A" w:rsidP="00525C9A">
      <w:pPr>
        <w:autoSpaceDE w:val="0"/>
        <w:autoSpaceDN w:val="0"/>
        <w:adjustRightInd w:val="0"/>
        <w:spacing w:line="360" w:lineRule="auto"/>
        <w:jc w:val="both"/>
        <w:rPr>
          <w:sz w:val="24"/>
          <w:lang w:val="pl-PL"/>
        </w:rPr>
      </w:pPr>
      <w:r w:rsidRPr="005C3D3F">
        <w:rPr>
          <w:b/>
          <w:sz w:val="24"/>
          <w:lang w:val="pl-PL"/>
        </w:rPr>
        <w:t>Stosunek kapitału obrotowego netto</w:t>
      </w:r>
      <w:r w:rsidRPr="005C3D3F">
        <w:rPr>
          <w:sz w:val="24"/>
          <w:lang w:val="pl-PL"/>
        </w:rPr>
        <w:t xml:space="preserve"> do przychodów ze sprzedaży po raz kolejny kształtował się na niskim poziomie 4,2%. Był on jednak o 1,9 p</w:t>
      </w:r>
      <w:r w:rsidR="00D84A2D">
        <w:rPr>
          <w:sz w:val="24"/>
          <w:lang w:val="pl-PL"/>
        </w:rPr>
        <w:t xml:space="preserve">kt. </w:t>
      </w:r>
      <w:r w:rsidRPr="005C3D3F">
        <w:rPr>
          <w:sz w:val="24"/>
          <w:lang w:val="pl-PL"/>
        </w:rPr>
        <w:t>p</w:t>
      </w:r>
      <w:r w:rsidR="00D84A2D">
        <w:rPr>
          <w:sz w:val="24"/>
          <w:lang w:val="pl-PL"/>
        </w:rPr>
        <w:t>roc.</w:t>
      </w:r>
      <w:r w:rsidRPr="005C3D3F">
        <w:rPr>
          <w:sz w:val="24"/>
          <w:lang w:val="pl-PL"/>
        </w:rPr>
        <w:t xml:space="preserve"> wyższy niż w roku poprzednim, przede wszystkim w związku z negatywnym wpływem różnic kursowych i przejęć.</w:t>
      </w:r>
    </w:p>
    <w:p w:rsidR="00525C9A" w:rsidRPr="005C3D3F" w:rsidRDefault="00525C9A" w:rsidP="00525C9A">
      <w:pPr>
        <w:autoSpaceDE w:val="0"/>
        <w:autoSpaceDN w:val="0"/>
        <w:adjustRightInd w:val="0"/>
        <w:spacing w:line="360" w:lineRule="auto"/>
        <w:jc w:val="both"/>
        <w:rPr>
          <w:sz w:val="24"/>
          <w:lang w:val="pl-PL"/>
        </w:rPr>
      </w:pPr>
    </w:p>
    <w:p w:rsidR="00525C9A" w:rsidRPr="005C3D3F" w:rsidRDefault="00525C9A" w:rsidP="00525C9A">
      <w:pPr>
        <w:autoSpaceDE w:val="0"/>
        <w:autoSpaceDN w:val="0"/>
        <w:adjustRightInd w:val="0"/>
        <w:spacing w:line="360" w:lineRule="auto"/>
        <w:jc w:val="both"/>
        <w:rPr>
          <w:sz w:val="24"/>
          <w:lang w:val="pl-PL"/>
        </w:rPr>
      </w:pPr>
      <w:r w:rsidRPr="005C3D3F">
        <w:rPr>
          <w:b/>
          <w:color w:val="000000"/>
          <w:sz w:val="24"/>
          <w:lang w:val="pl-PL"/>
        </w:rPr>
        <w:t>Pozycja finansowa netto</w:t>
      </w:r>
      <w:r w:rsidRPr="005C3D3F">
        <w:rPr>
          <w:color w:val="000000"/>
          <w:sz w:val="24"/>
          <w:lang w:val="pl-PL"/>
        </w:rPr>
        <w:t xml:space="preserve"> na koniec roku wyniosła -153 mln euro (2013 r.: 959 mln euro), na co wpływ miały szczególnie płatności dotyczące przejęć i dywidendy. </w:t>
      </w:r>
      <w:r w:rsidRPr="005C3D3F">
        <w:rPr>
          <w:b/>
          <w:bCs/>
          <w:color w:val="000000"/>
          <w:sz w:val="24"/>
          <w:lang w:val="pl-PL"/>
        </w:rPr>
        <w:t>Nakłady inwestycyjne</w:t>
      </w:r>
      <w:r w:rsidRPr="005C3D3F">
        <w:rPr>
          <w:color w:val="000000"/>
          <w:sz w:val="24"/>
          <w:lang w:val="pl-PL"/>
        </w:rPr>
        <w:t xml:space="preserve"> wzrosły o ok. 19%, z 436 mln euro w 2013 r. do 517 mln euro. Na rynkach wschodzących odnotowano wzrost nakładów inwestycyjnych o 30% w stosunku do poprzedniego roku, dzięki czemu </w:t>
      </w:r>
      <w:r w:rsidR="00D84A2D">
        <w:rPr>
          <w:color w:val="000000"/>
          <w:sz w:val="24"/>
          <w:lang w:val="pl-PL"/>
        </w:rPr>
        <w:t>po</w:t>
      </w:r>
      <w:r w:rsidRPr="005C3D3F">
        <w:rPr>
          <w:color w:val="000000"/>
          <w:sz w:val="24"/>
          <w:lang w:val="pl-PL"/>
        </w:rPr>
        <w:t>dział nakładów pomiędzy rynkami rozwiniętymi a wschodzącymi był w 2014 r. zrównoważony.</w:t>
      </w:r>
    </w:p>
    <w:p w:rsidR="00525C9A" w:rsidRPr="005C3D3F" w:rsidRDefault="00525C9A">
      <w:pPr>
        <w:spacing w:line="360" w:lineRule="auto"/>
        <w:jc w:val="both"/>
        <w:rPr>
          <w:sz w:val="24"/>
          <w:lang w:val="pl-PL"/>
        </w:rPr>
      </w:pPr>
    </w:p>
    <w:p w:rsidR="00525C9A" w:rsidRPr="005C3D3F" w:rsidRDefault="00525C9A">
      <w:pPr>
        <w:spacing w:line="360" w:lineRule="auto"/>
        <w:jc w:val="both"/>
        <w:rPr>
          <w:sz w:val="24"/>
          <w:lang w:val="pl-PL"/>
        </w:rPr>
      </w:pPr>
      <w:r w:rsidRPr="005C3D3F">
        <w:rPr>
          <w:b/>
          <w:sz w:val="24"/>
          <w:lang w:val="pl-PL"/>
        </w:rPr>
        <w:t>Wyniki w podziale na segmenty operacyjne</w:t>
      </w:r>
    </w:p>
    <w:p w:rsidR="00525C9A" w:rsidRPr="005C3D3F" w:rsidRDefault="00525C9A">
      <w:pPr>
        <w:spacing w:line="360" w:lineRule="auto"/>
        <w:jc w:val="both"/>
        <w:rPr>
          <w:sz w:val="24"/>
          <w:lang w:val="pl-PL"/>
        </w:rPr>
      </w:pPr>
    </w:p>
    <w:p w:rsidR="00525C9A" w:rsidRPr="005C3D3F" w:rsidRDefault="00525C9A">
      <w:pPr>
        <w:autoSpaceDE w:val="0"/>
        <w:autoSpaceDN w:val="0"/>
        <w:adjustRightInd w:val="0"/>
        <w:spacing w:line="360" w:lineRule="auto"/>
        <w:jc w:val="both"/>
        <w:rPr>
          <w:bCs/>
          <w:color w:val="000000"/>
          <w:sz w:val="24"/>
          <w:lang w:val="pl-PL"/>
        </w:rPr>
      </w:pPr>
      <w:r w:rsidRPr="005C3D3F">
        <w:rPr>
          <w:color w:val="000000"/>
          <w:sz w:val="24"/>
          <w:lang w:val="pl-PL"/>
        </w:rPr>
        <w:t xml:space="preserve">W 2014 r. segment </w:t>
      </w:r>
      <w:r w:rsidR="00927D00" w:rsidRPr="005C3D3F">
        <w:rPr>
          <w:b/>
          <w:color w:val="000000"/>
          <w:sz w:val="24"/>
          <w:lang w:val="pl-PL"/>
        </w:rPr>
        <w:t>Laundry &amp; Home Care</w:t>
      </w:r>
      <w:r w:rsidR="00927D00" w:rsidRPr="005C3D3F">
        <w:rPr>
          <w:color w:val="000000"/>
          <w:sz w:val="24"/>
          <w:lang w:val="pl-PL"/>
        </w:rPr>
        <w:t xml:space="preserve"> (środki piorące i czystości)</w:t>
      </w:r>
      <w:r w:rsidR="00C41F7A">
        <w:rPr>
          <w:color w:val="000000"/>
          <w:sz w:val="24"/>
          <w:lang w:val="pl-PL"/>
        </w:rPr>
        <w:t xml:space="preserve"> </w:t>
      </w:r>
      <w:r w:rsidRPr="005C3D3F">
        <w:rPr>
          <w:color w:val="000000"/>
          <w:sz w:val="24"/>
          <w:lang w:val="pl-PL"/>
        </w:rPr>
        <w:t xml:space="preserve">ponownie odnotował rentowny wzrost. Przy silnym wzroście organicznym sprzedaży na poziomie aż 4,6%, dynamika wzrostu </w:t>
      </w:r>
      <w:r w:rsidR="00880E23">
        <w:rPr>
          <w:color w:val="000000"/>
          <w:sz w:val="24"/>
          <w:lang w:val="pl-PL"/>
        </w:rPr>
        <w:t xml:space="preserve">tego </w:t>
      </w:r>
      <w:r w:rsidRPr="005C3D3F">
        <w:rPr>
          <w:color w:val="000000"/>
          <w:sz w:val="24"/>
          <w:lang w:val="pl-PL"/>
        </w:rPr>
        <w:t xml:space="preserve">segmentu </w:t>
      </w:r>
      <w:r w:rsidR="00880E23">
        <w:rPr>
          <w:color w:val="000000"/>
          <w:sz w:val="24"/>
          <w:lang w:val="pl-PL"/>
        </w:rPr>
        <w:t xml:space="preserve">firmy </w:t>
      </w:r>
      <w:r w:rsidRPr="005C3D3F">
        <w:rPr>
          <w:color w:val="000000"/>
          <w:sz w:val="24"/>
          <w:lang w:val="pl-PL"/>
        </w:rPr>
        <w:t xml:space="preserve">kształtowała się znacznie powyżej </w:t>
      </w:r>
      <w:r w:rsidR="00880E23">
        <w:rPr>
          <w:color w:val="000000"/>
          <w:sz w:val="24"/>
          <w:lang w:val="pl-PL"/>
        </w:rPr>
        <w:t>tempa rozwoju rynku, znajdującego się w stagnacji</w:t>
      </w:r>
      <w:r w:rsidRPr="005C3D3F">
        <w:rPr>
          <w:color w:val="000000"/>
          <w:sz w:val="24"/>
          <w:lang w:val="pl-PL"/>
        </w:rPr>
        <w:t xml:space="preserve">. Nominalnie wartość </w:t>
      </w:r>
      <w:r w:rsidRPr="005C3D3F">
        <w:rPr>
          <w:b/>
          <w:bCs/>
          <w:color w:val="000000"/>
          <w:sz w:val="24"/>
          <w:lang w:val="pl-PL"/>
        </w:rPr>
        <w:t>sprzedaży</w:t>
      </w:r>
      <w:r w:rsidRPr="005C3D3F">
        <w:rPr>
          <w:color w:val="000000"/>
          <w:sz w:val="24"/>
          <w:lang w:val="pl-PL"/>
        </w:rPr>
        <w:t xml:space="preserve"> wzrosła o 1,0%, do poziomu 4</w:t>
      </w:r>
      <w:r w:rsidR="00880E23">
        <w:rPr>
          <w:color w:val="000000"/>
          <w:sz w:val="24"/>
          <w:lang w:val="pl-PL"/>
        </w:rPr>
        <w:t>,</w:t>
      </w:r>
      <w:r w:rsidRPr="005C3D3F">
        <w:rPr>
          <w:color w:val="000000"/>
          <w:sz w:val="24"/>
          <w:lang w:val="pl-PL"/>
        </w:rPr>
        <w:t>6</w:t>
      </w:r>
      <w:r w:rsidR="00C41F7A">
        <w:rPr>
          <w:color w:val="000000"/>
          <w:sz w:val="24"/>
          <w:lang w:val="pl-PL"/>
        </w:rPr>
        <w:t>26</w:t>
      </w:r>
      <w:r w:rsidRPr="005C3D3F">
        <w:rPr>
          <w:color w:val="000000"/>
          <w:sz w:val="24"/>
          <w:lang w:val="pl-PL"/>
        </w:rPr>
        <w:t xml:space="preserve"> ml</w:t>
      </w:r>
      <w:r w:rsidR="00880E23">
        <w:rPr>
          <w:color w:val="000000"/>
          <w:sz w:val="24"/>
          <w:lang w:val="pl-PL"/>
        </w:rPr>
        <w:t>d</w:t>
      </w:r>
      <w:r w:rsidRPr="005C3D3F">
        <w:rPr>
          <w:color w:val="000000"/>
          <w:sz w:val="24"/>
          <w:lang w:val="pl-PL"/>
        </w:rPr>
        <w:t xml:space="preserve"> euro. </w:t>
      </w:r>
    </w:p>
    <w:p w:rsidR="00525C9A" w:rsidRPr="005C3D3F" w:rsidRDefault="00525C9A">
      <w:pPr>
        <w:autoSpaceDE w:val="0"/>
        <w:autoSpaceDN w:val="0"/>
        <w:adjustRightInd w:val="0"/>
        <w:spacing w:line="360" w:lineRule="auto"/>
        <w:jc w:val="both"/>
        <w:rPr>
          <w:bCs/>
          <w:color w:val="000000"/>
          <w:sz w:val="24"/>
          <w:lang w:val="pl-PL"/>
        </w:rPr>
      </w:pPr>
    </w:p>
    <w:p w:rsidR="00525C9A" w:rsidRPr="005C3D3F" w:rsidRDefault="00525C9A">
      <w:pPr>
        <w:autoSpaceDE w:val="0"/>
        <w:autoSpaceDN w:val="0"/>
        <w:adjustRightInd w:val="0"/>
        <w:spacing w:line="360" w:lineRule="auto"/>
        <w:jc w:val="both"/>
        <w:rPr>
          <w:bCs/>
          <w:color w:val="000000"/>
          <w:sz w:val="24"/>
          <w:lang w:val="pl-PL"/>
        </w:rPr>
      </w:pPr>
      <w:r w:rsidRPr="005C3D3F">
        <w:rPr>
          <w:color w:val="000000"/>
          <w:sz w:val="24"/>
          <w:lang w:val="pl-PL"/>
        </w:rPr>
        <w:t>Rynki wschodzące odnotowały dwucyfrowy wzrost</w:t>
      </w:r>
      <w:r w:rsidR="00880E23">
        <w:rPr>
          <w:color w:val="000000"/>
          <w:sz w:val="24"/>
          <w:lang w:val="pl-PL"/>
        </w:rPr>
        <w:t>,</w:t>
      </w:r>
      <w:r w:rsidRPr="005C3D3F">
        <w:rPr>
          <w:color w:val="000000"/>
          <w:sz w:val="24"/>
          <w:lang w:val="pl-PL"/>
        </w:rPr>
        <w:t xml:space="preserve"> </w:t>
      </w:r>
      <w:r w:rsidR="00880E23">
        <w:rPr>
          <w:color w:val="000000"/>
          <w:sz w:val="24"/>
          <w:lang w:val="pl-PL"/>
        </w:rPr>
        <w:t xml:space="preserve">ponownie przyczyniając się do </w:t>
      </w:r>
      <w:r w:rsidRPr="005C3D3F">
        <w:rPr>
          <w:color w:val="000000"/>
          <w:sz w:val="24"/>
          <w:lang w:val="pl-PL"/>
        </w:rPr>
        <w:t>wzrostu sprzedaży w ujęciu organicznym w 2014 r. Region Europy Wschodniej osiągnął dobre wyniki sprzedaży, mimo rosnącej konkurencji w poszczególnych krajach regionu. Dwucyfrową dynamikę sprzedaży zanotowano ponownie w regionie Afryki i Bliskiego Wschodu, pomimo utrzymującej się</w:t>
      </w:r>
      <w:r w:rsidR="00880E23">
        <w:rPr>
          <w:color w:val="000000"/>
          <w:sz w:val="24"/>
          <w:lang w:val="pl-PL"/>
        </w:rPr>
        <w:t>,</w:t>
      </w:r>
      <w:r w:rsidRPr="005C3D3F">
        <w:rPr>
          <w:color w:val="000000"/>
          <w:sz w:val="24"/>
          <w:lang w:val="pl-PL"/>
        </w:rPr>
        <w:t xml:space="preserve"> niepewnej sytuacji politycznej i trwającej w Syrii wojny domowej. Silny wzrost sprzedaży odnotowano w Ameryce Łacińskiej, do czego przyczynił się sukces marki Persil wprowadzonej w </w:t>
      </w:r>
      <w:r w:rsidR="00880E23">
        <w:rPr>
          <w:color w:val="000000"/>
          <w:sz w:val="24"/>
          <w:lang w:val="pl-PL"/>
        </w:rPr>
        <w:t xml:space="preserve">tym </w:t>
      </w:r>
      <w:r w:rsidRPr="005C3D3F">
        <w:rPr>
          <w:color w:val="000000"/>
          <w:sz w:val="24"/>
          <w:lang w:val="pl-PL"/>
        </w:rPr>
        <w:t>regionie w 2011 r. Bardzo wysoki wzrost sprzedaży odnotowano także w regionie Azji (</w:t>
      </w:r>
      <w:r w:rsidR="00880E23">
        <w:rPr>
          <w:color w:val="000000"/>
          <w:sz w:val="24"/>
          <w:lang w:val="pl-PL"/>
        </w:rPr>
        <w:t xml:space="preserve">nie uwzględniając </w:t>
      </w:r>
      <w:r w:rsidRPr="005C3D3F">
        <w:rPr>
          <w:color w:val="000000"/>
          <w:sz w:val="24"/>
          <w:lang w:val="pl-PL"/>
        </w:rPr>
        <w:t>Japonii).</w:t>
      </w:r>
    </w:p>
    <w:p w:rsidR="00525C9A" w:rsidRPr="005C3D3F" w:rsidRDefault="00525C9A">
      <w:pPr>
        <w:autoSpaceDE w:val="0"/>
        <w:autoSpaceDN w:val="0"/>
        <w:adjustRightInd w:val="0"/>
        <w:spacing w:line="360" w:lineRule="auto"/>
        <w:jc w:val="both"/>
        <w:rPr>
          <w:bCs/>
          <w:color w:val="000000"/>
          <w:sz w:val="24"/>
          <w:lang w:val="pl-PL"/>
        </w:rPr>
      </w:pPr>
    </w:p>
    <w:p w:rsidR="00525C9A" w:rsidRPr="005C3D3F" w:rsidRDefault="00525C9A">
      <w:pPr>
        <w:autoSpaceDE w:val="0"/>
        <w:autoSpaceDN w:val="0"/>
        <w:adjustRightInd w:val="0"/>
        <w:spacing w:line="360" w:lineRule="auto"/>
        <w:jc w:val="both"/>
        <w:rPr>
          <w:bCs/>
          <w:color w:val="000000"/>
          <w:sz w:val="24"/>
          <w:lang w:val="pl-PL"/>
        </w:rPr>
      </w:pPr>
      <w:r w:rsidRPr="005C3D3F">
        <w:rPr>
          <w:color w:val="000000"/>
          <w:sz w:val="24"/>
          <w:lang w:val="pl-PL"/>
        </w:rPr>
        <w:t xml:space="preserve">Na rynkach rozwiniętych przychody ze sprzedaży kształtowały się nieznacznie poniżej poziomu z roku poprzedniego, przy czym wyniki były zróżnicowane w zależności od regionu. </w:t>
      </w:r>
      <w:r w:rsidR="00927D00">
        <w:rPr>
          <w:color w:val="000000"/>
          <w:sz w:val="24"/>
          <w:lang w:val="pl-PL"/>
        </w:rPr>
        <w:t>O</w:t>
      </w:r>
      <w:r w:rsidRPr="005C3D3F">
        <w:rPr>
          <w:color w:val="000000"/>
          <w:sz w:val="24"/>
          <w:lang w:val="pl-PL"/>
        </w:rPr>
        <w:t>stra konkurencja cenowa i promocyjna przyczyniły się do niższej sprzedaży w Ameryce Północnej. Spadek ten został zrekompensowany silnym wzrostem sprzedaży w Europie Zachodniej.</w:t>
      </w:r>
    </w:p>
    <w:p w:rsidR="00525C9A" w:rsidRPr="005C3D3F" w:rsidRDefault="00525C9A">
      <w:pPr>
        <w:autoSpaceDE w:val="0"/>
        <w:autoSpaceDN w:val="0"/>
        <w:adjustRightInd w:val="0"/>
        <w:spacing w:line="360" w:lineRule="auto"/>
        <w:jc w:val="both"/>
        <w:rPr>
          <w:bCs/>
          <w:color w:val="000000"/>
          <w:sz w:val="24"/>
          <w:lang w:val="pl-PL"/>
        </w:rPr>
      </w:pPr>
    </w:p>
    <w:p w:rsidR="00525C9A" w:rsidRPr="005C3D3F" w:rsidRDefault="00525C9A">
      <w:pPr>
        <w:autoSpaceDE w:val="0"/>
        <w:autoSpaceDN w:val="0"/>
        <w:adjustRightInd w:val="0"/>
        <w:spacing w:line="360" w:lineRule="auto"/>
        <w:jc w:val="both"/>
        <w:rPr>
          <w:bCs/>
          <w:color w:val="000000"/>
          <w:sz w:val="24"/>
          <w:lang w:val="pl-PL"/>
        </w:rPr>
      </w:pPr>
      <w:r w:rsidRPr="005C3D3F">
        <w:rPr>
          <w:b/>
          <w:color w:val="000000"/>
          <w:sz w:val="24"/>
          <w:lang w:val="pl-PL"/>
        </w:rPr>
        <w:t>Skorygowany zysk operacyjny</w:t>
      </w:r>
      <w:r w:rsidRPr="005C3D3F">
        <w:rPr>
          <w:bCs/>
          <w:color w:val="000000"/>
          <w:sz w:val="24"/>
          <w:lang w:val="pl-PL"/>
        </w:rPr>
        <w:t xml:space="preserve"> wzrósł o 4,8%, do poziomu 749 mln euro. Skorygowana rentowność sprzedaży zwiększyła się o 0,6 p</w:t>
      </w:r>
      <w:r w:rsidR="00927D00">
        <w:rPr>
          <w:bCs/>
          <w:color w:val="000000"/>
          <w:sz w:val="24"/>
          <w:lang w:val="pl-PL"/>
        </w:rPr>
        <w:t xml:space="preserve">kt. </w:t>
      </w:r>
      <w:r w:rsidRPr="005C3D3F">
        <w:rPr>
          <w:bCs/>
          <w:color w:val="000000"/>
          <w:sz w:val="24"/>
          <w:lang w:val="pl-PL"/>
        </w:rPr>
        <w:t>p</w:t>
      </w:r>
      <w:r w:rsidR="00927D00">
        <w:rPr>
          <w:bCs/>
          <w:color w:val="000000"/>
          <w:sz w:val="24"/>
          <w:lang w:val="pl-PL"/>
        </w:rPr>
        <w:t>roc.</w:t>
      </w:r>
      <w:r w:rsidRPr="005C3D3F">
        <w:rPr>
          <w:bCs/>
          <w:color w:val="000000"/>
          <w:sz w:val="24"/>
          <w:lang w:val="pl-PL"/>
        </w:rPr>
        <w:t>, do rekordowego poziomu 16,2%. Wykazany zysk operacyjny wyniósł 615 mln euro, w porównaniu z kwotą 682 mln euro wykazaną w poprzednim roku obrotowym.</w:t>
      </w:r>
    </w:p>
    <w:p w:rsidR="00525C9A" w:rsidRPr="005C3D3F" w:rsidRDefault="00525C9A">
      <w:pPr>
        <w:autoSpaceDE w:val="0"/>
        <w:autoSpaceDN w:val="0"/>
        <w:adjustRightInd w:val="0"/>
        <w:spacing w:line="360" w:lineRule="auto"/>
        <w:jc w:val="both"/>
        <w:rPr>
          <w:bCs/>
          <w:color w:val="000000"/>
          <w:sz w:val="24"/>
          <w:lang w:val="pl-PL"/>
        </w:rPr>
      </w:pPr>
    </w:p>
    <w:p w:rsidR="00525C9A" w:rsidRDefault="00525C9A">
      <w:pPr>
        <w:autoSpaceDE w:val="0"/>
        <w:autoSpaceDN w:val="0"/>
        <w:adjustRightInd w:val="0"/>
        <w:spacing w:line="360" w:lineRule="auto"/>
        <w:jc w:val="both"/>
        <w:rPr>
          <w:color w:val="000000"/>
          <w:sz w:val="24"/>
          <w:lang w:val="pl-PL"/>
        </w:rPr>
      </w:pPr>
      <w:r w:rsidRPr="005C3D3F">
        <w:rPr>
          <w:color w:val="000000"/>
          <w:sz w:val="24"/>
          <w:lang w:val="pl-PL"/>
        </w:rPr>
        <w:t xml:space="preserve">W 2014 r. segment </w:t>
      </w:r>
      <w:r w:rsidRPr="005C3D3F">
        <w:rPr>
          <w:b/>
          <w:bCs/>
          <w:color w:val="000000"/>
          <w:sz w:val="24"/>
          <w:lang w:val="pl-PL"/>
        </w:rPr>
        <w:t>Beauty Care</w:t>
      </w:r>
      <w:r w:rsidRPr="005C3D3F">
        <w:rPr>
          <w:color w:val="000000"/>
          <w:sz w:val="24"/>
          <w:lang w:val="pl-PL"/>
        </w:rPr>
        <w:t xml:space="preserve"> (kosmetyki) utrzymał trend wzrostowy z lat ubiegłych. Przy wzroście organicznym sprzedaży na poziomie 2,0%, dynamika wzrostu segmentu ponownie kształtowała się znacznie powyżej </w:t>
      </w:r>
      <w:r w:rsidR="00927D00">
        <w:rPr>
          <w:color w:val="000000"/>
          <w:sz w:val="24"/>
          <w:lang w:val="pl-PL"/>
        </w:rPr>
        <w:t xml:space="preserve"> tempa rozwoju rynku</w:t>
      </w:r>
      <w:r w:rsidRPr="005C3D3F">
        <w:rPr>
          <w:color w:val="000000"/>
          <w:sz w:val="24"/>
          <w:lang w:val="pl-PL"/>
        </w:rPr>
        <w:t xml:space="preserve">. Nominalnie wartość </w:t>
      </w:r>
      <w:r w:rsidRPr="005C3D3F">
        <w:rPr>
          <w:b/>
          <w:bCs/>
          <w:color w:val="000000"/>
          <w:sz w:val="24"/>
          <w:lang w:val="pl-PL"/>
        </w:rPr>
        <w:t>sprzedaży</w:t>
      </w:r>
      <w:r w:rsidRPr="005C3D3F">
        <w:rPr>
          <w:color w:val="000000"/>
          <w:sz w:val="24"/>
          <w:lang w:val="pl-PL"/>
        </w:rPr>
        <w:t xml:space="preserve"> wzrosła o 1,0%, z 3</w:t>
      </w:r>
      <w:r w:rsidR="00927D00">
        <w:rPr>
          <w:color w:val="000000"/>
          <w:sz w:val="24"/>
          <w:lang w:val="pl-PL"/>
        </w:rPr>
        <w:t>,</w:t>
      </w:r>
      <w:r w:rsidRPr="005C3D3F">
        <w:rPr>
          <w:color w:val="000000"/>
          <w:sz w:val="24"/>
          <w:lang w:val="pl-PL"/>
        </w:rPr>
        <w:t>51 ml</w:t>
      </w:r>
      <w:r w:rsidR="00927D00">
        <w:rPr>
          <w:color w:val="000000"/>
          <w:sz w:val="24"/>
          <w:lang w:val="pl-PL"/>
        </w:rPr>
        <w:t>d</w:t>
      </w:r>
      <w:r w:rsidRPr="005C3D3F">
        <w:rPr>
          <w:color w:val="000000"/>
          <w:sz w:val="24"/>
          <w:lang w:val="pl-PL"/>
        </w:rPr>
        <w:t xml:space="preserve"> euro w roku poprzednim do 3</w:t>
      </w:r>
      <w:r w:rsidR="00927D00">
        <w:rPr>
          <w:color w:val="000000"/>
          <w:sz w:val="24"/>
          <w:lang w:val="pl-PL"/>
        </w:rPr>
        <w:t>,</w:t>
      </w:r>
      <w:r w:rsidRPr="005C3D3F">
        <w:rPr>
          <w:color w:val="000000"/>
          <w:sz w:val="24"/>
          <w:lang w:val="pl-PL"/>
        </w:rPr>
        <w:t>5</w:t>
      </w:r>
      <w:r w:rsidR="00C41F7A">
        <w:rPr>
          <w:color w:val="000000"/>
          <w:sz w:val="24"/>
          <w:lang w:val="pl-PL"/>
        </w:rPr>
        <w:t>47</w:t>
      </w:r>
      <w:r w:rsidRPr="005C3D3F">
        <w:rPr>
          <w:color w:val="000000"/>
          <w:sz w:val="24"/>
          <w:lang w:val="pl-PL"/>
        </w:rPr>
        <w:t xml:space="preserve"> ml</w:t>
      </w:r>
      <w:r w:rsidR="00927D00">
        <w:rPr>
          <w:color w:val="000000"/>
          <w:sz w:val="24"/>
          <w:lang w:val="pl-PL"/>
        </w:rPr>
        <w:t>d</w:t>
      </w:r>
      <w:r w:rsidRPr="005C3D3F">
        <w:rPr>
          <w:color w:val="000000"/>
          <w:sz w:val="24"/>
          <w:lang w:val="pl-PL"/>
        </w:rPr>
        <w:t xml:space="preserve"> euro.</w:t>
      </w:r>
    </w:p>
    <w:p w:rsidR="00927D00" w:rsidRPr="005C3D3F" w:rsidRDefault="00927D00">
      <w:pPr>
        <w:autoSpaceDE w:val="0"/>
        <w:autoSpaceDN w:val="0"/>
        <w:adjustRightInd w:val="0"/>
        <w:spacing w:line="360" w:lineRule="auto"/>
        <w:jc w:val="both"/>
        <w:rPr>
          <w:sz w:val="24"/>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sz w:val="24"/>
          <w:lang w:val="pl-PL"/>
        </w:rPr>
        <w:t>W ujęciu regionalnym, szczególnie dobre wyniki odnotowano na rynkach wschodzących.</w:t>
      </w:r>
      <w:r w:rsidRPr="005C3D3F">
        <w:rPr>
          <w:color w:val="000000"/>
          <w:sz w:val="24"/>
          <w:lang w:val="pl-PL"/>
        </w:rPr>
        <w:t xml:space="preserve"> Region Azji (z wyłączeniem Japonii) powtórzył sukces z lat ubiegłych, osiągając dwucyfrowe tempo wzrostu sprzedaży w ujęciu organicznym. Do dobrego wyniku przyczyniła się głównie działalność na rynku chińskim. Pomimo ni</w:t>
      </w:r>
      <w:r w:rsidR="00C41F7A">
        <w:rPr>
          <w:color w:val="000000"/>
          <w:sz w:val="24"/>
          <w:lang w:val="pl-PL"/>
        </w:rPr>
        <w:t>estabilnej sytuacji politycznej</w:t>
      </w:r>
      <w:r w:rsidRPr="005C3D3F">
        <w:rPr>
          <w:color w:val="000000"/>
          <w:sz w:val="24"/>
          <w:lang w:val="pl-PL"/>
        </w:rPr>
        <w:t xml:space="preserve"> bardzo wysoki wzrost odnotowano w regionie Afryki i Bliskiego Wschodu oraz dość dobry na rynkach Europy Wschodniej. W Ameryce Łacińskiej sprzedaż spadła, przede wszystkim w związku z trudną sytuacją rynkową </w:t>
      </w:r>
      <w:r w:rsidR="00B70D76">
        <w:rPr>
          <w:color w:val="000000"/>
          <w:sz w:val="24"/>
          <w:lang w:val="pl-PL"/>
        </w:rPr>
        <w:br/>
      </w:r>
      <w:r w:rsidRPr="005C3D3F">
        <w:rPr>
          <w:color w:val="000000"/>
          <w:sz w:val="24"/>
          <w:lang w:val="pl-PL"/>
        </w:rPr>
        <w:t>w Wenezueli.</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C41F7A">
      <w:pPr>
        <w:autoSpaceDE w:val="0"/>
        <w:autoSpaceDN w:val="0"/>
        <w:adjustRightInd w:val="0"/>
        <w:spacing w:line="360" w:lineRule="auto"/>
        <w:jc w:val="both"/>
        <w:rPr>
          <w:color w:val="000000"/>
          <w:sz w:val="24"/>
          <w:lang w:val="pl-PL"/>
        </w:rPr>
      </w:pPr>
      <w:r>
        <w:rPr>
          <w:color w:val="000000"/>
          <w:sz w:val="24"/>
          <w:lang w:val="pl-PL"/>
        </w:rPr>
        <w:t>Choć n</w:t>
      </w:r>
      <w:r w:rsidR="00525C9A" w:rsidRPr="005C3D3F">
        <w:rPr>
          <w:color w:val="000000"/>
          <w:sz w:val="24"/>
          <w:lang w:val="pl-PL"/>
        </w:rPr>
        <w:t xml:space="preserve">a rynkach rozwiniętych sprzedaż w ujęciu organicznym nieznacznie spadła, </w:t>
      </w:r>
      <w:r>
        <w:rPr>
          <w:color w:val="000000"/>
          <w:sz w:val="24"/>
          <w:lang w:val="pl-PL"/>
        </w:rPr>
        <w:t xml:space="preserve">to region </w:t>
      </w:r>
      <w:r w:rsidRPr="005C3D3F">
        <w:rPr>
          <w:color w:val="000000"/>
          <w:sz w:val="24"/>
          <w:lang w:val="pl-PL"/>
        </w:rPr>
        <w:t>Europy Zachodniej</w:t>
      </w:r>
      <w:r>
        <w:rPr>
          <w:color w:val="000000"/>
          <w:sz w:val="24"/>
          <w:lang w:val="pl-PL"/>
        </w:rPr>
        <w:t>,</w:t>
      </w:r>
      <w:r w:rsidRPr="005C3D3F">
        <w:rPr>
          <w:color w:val="000000"/>
          <w:sz w:val="24"/>
          <w:lang w:val="pl-PL"/>
        </w:rPr>
        <w:t xml:space="preserve"> mimo stagnacji, a w niektórych wypadkach nawet kurczenia się rynku</w:t>
      </w:r>
      <w:r>
        <w:rPr>
          <w:color w:val="000000"/>
          <w:sz w:val="24"/>
          <w:lang w:val="pl-PL"/>
        </w:rPr>
        <w:t>,</w:t>
      </w:r>
      <w:r w:rsidRPr="005C3D3F">
        <w:rPr>
          <w:color w:val="000000"/>
          <w:sz w:val="24"/>
          <w:lang w:val="pl-PL"/>
        </w:rPr>
        <w:t xml:space="preserve"> </w:t>
      </w:r>
      <w:r w:rsidR="00525C9A" w:rsidRPr="005C3D3F">
        <w:rPr>
          <w:color w:val="000000"/>
          <w:sz w:val="24"/>
          <w:lang w:val="pl-PL"/>
        </w:rPr>
        <w:t>odnotował wzrost</w:t>
      </w:r>
      <w:r>
        <w:rPr>
          <w:color w:val="000000"/>
          <w:sz w:val="24"/>
          <w:lang w:val="pl-PL"/>
        </w:rPr>
        <w:t>y</w:t>
      </w:r>
      <w:r w:rsidR="00525C9A" w:rsidRPr="005C3D3F">
        <w:rPr>
          <w:color w:val="000000"/>
          <w:sz w:val="24"/>
          <w:lang w:val="pl-PL"/>
        </w:rPr>
        <w:t xml:space="preserve">. Jednocześnie wynik </w:t>
      </w:r>
      <w:r w:rsidR="00927D00">
        <w:rPr>
          <w:color w:val="000000"/>
          <w:sz w:val="24"/>
          <w:lang w:val="pl-PL"/>
        </w:rPr>
        <w:t xml:space="preserve">ze </w:t>
      </w:r>
      <w:r w:rsidR="00525C9A" w:rsidRPr="005C3D3F">
        <w:rPr>
          <w:color w:val="000000"/>
          <w:sz w:val="24"/>
          <w:lang w:val="pl-PL"/>
        </w:rPr>
        <w:t>sprzedaży odnotowany na rynkac</w:t>
      </w:r>
      <w:r>
        <w:rPr>
          <w:color w:val="000000"/>
          <w:sz w:val="24"/>
          <w:lang w:val="pl-PL"/>
        </w:rPr>
        <w:t xml:space="preserve">h rozwiniętych </w:t>
      </w:r>
      <w:r w:rsidR="00525C9A" w:rsidRPr="005C3D3F">
        <w:rPr>
          <w:color w:val="000000"/>
          <w:sz w:val="24"/>
          <w:lang w:val="pl-PL"/>
        </w:rPr>
        <w:t xml:space="preserve">w regionie Azji i Pacyfiku oraz Ameryki Północnej był </w:t>
      </w:r>
      <w:r w:rsidR="00927D00">
        <w:rPr>
          <w:color w:val="000000"/>
          <w:sz w:val="24"/>
          <w:lang w:val="pl-PL"/>
        </w:rPr>
        <w:t xml:space="preserve">niższy od </w:t>
      </w:r>
      <w:r w:rsidR="00525C9A" w:rsidRPr="005C3D3F">
        <w:rPr>
          <w:color w:val="000000"/>
          <w:sz w:val="24"/>
          <w:lang w:val="pl-PL"/>
        </w:rPr>
        <w:t>zeszłorocznego.</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spacing w:line="360" w:lineRule="auto"/>
        <w:jc w:val="both"/>
        <w:rPr>
          <w:bCs/>
          <w:color w:val="000000"/>
          <w:sz w:val="24"/>
          <w:lang w:val="pl-PL"/>
        </w:rPr>
      </w:pPr>
      <w:r w:rsidRPr="005C3D3F">
        <w:rPr>
          <w:sz w:val="24"/>
          <w:lang w:val="pl-PL"/>
        </w:rPr>
        <w:t xml:space="preserve">Wyższy w porównaniu z rokiem poprzednim </w:t>
      </w:r>
      <w:r w:rsidRPr="005C3D3F">
        <w:rPr>
          <w:b/>
          <w:sz w:val="24"/>
          <w:lang w:val="pl-PL"/>
        </w:rPr>
        <w:t>skorygowany zysk operacyjny</w:t>
      </w:r>
      <w:r w:rsidRPr="005C3D3F">
        <w:rPr>
          <w:sz w:val="24"/>
          <w:lang w:val="pl-PL"/>
        </w:rPr>
        <w:t xml:space="preserve"> na poziomie 544 mln euro (wzrost o 3,5%) był najlepszym wynikiem </w:t>
      </w:r>
      <w:r w:rsidR="00C41F7A">
        <w:rPr>
          <w:sz w:val="24"/>
          <w:lang w:val="pl-PL"/>
        </w:rPr>
        <w:t>sektora Beauty Care</w:t>
      </w:r>
      <w:r w:rsidRPr="005C3D3F">
        <w:rPr>
          <w:sz w:val="24"/>
          <w:lang w:val="pl-PL"/>
        </w:rPr>
        <w:t xml:space="preserve"> w historii.</w:t>
      </w:r>
      <w:r w:rsidRPr="005C3D3F">
        <w:rPr>
          <w:bCs/>
          <w:color w:val="000000"/>
          <w:sz w:val="24"/>
          <w:lang w:val="pl-PL"/>
        </w:rPr>
        <w:t xml:space="preserve"> Skorygowana rentowność sprzedaży zwiększyła się o 0,3 p</w:t>
      </w:r>
      <w:r w:rsidR="00927D00">
        <w:rPr>
          <w:bCs/>
          <w:color w:val="000000"/>
          <w:sz w:val="24"/>
          <w:lang w:val="pl-PL"/>
        </w:rPr>
        <w:t xml:space="preserve">kt. </w:t>
      </w:r>
      <w:r w:rsidRPr="005C3D3F">
        <w:rPr>
          <w:bCs/>
          <w:color w:val="000000"/>
          <w:sz w:val="24"/>
          <w:lang w:val="pl-PL"/>
        </w:rPr>
        <w:t>p</w:t>
      </w:r>
      <w:r w:rsidR="00927D00">
        <w:rPr>
          <w:bCs/>
          <w:color w:val="000000"/>
          <w:sz w:val="24"/>
          <w:lang w:val="pl-PL"/>
        </w:rPr>
        <w:t>roc.</w:t>
      </w:r>
      <w:r w:rsidRPr="005C3D3F">
        <w:rPr>
          <w:bCs/>
          <w:color w:val="000000"/>
          <w:sz w:val="24"/>
          <w:lang w:val="pl-PL"/>
        </w:rPr>
        <w:t>, do 15,3%. Wykazany zysk operacyjny wyniósł 421 mln euro, w porównaniu z kwotą 474 mln euro wykazaną w poprzednim roku.</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autoSpaceDE w:val="0"/>
        <w:autoSpaceDN w:val="0"/>
        <w:adjustRightInd w:val="0"/>
        <w:spacing w:line="360" w:lineRule="auto"/>
        <w:jc w:val="both"/>
        <w:rPr>
          <w:bCs/>
          <w:color w:val="000000"/>
          <w:sz w:val="24"/>
          <w:lang w:val="pl-PL"/>
        </w:rPr>
      </w:pPr>
      <w:r w:rsidRPr="005C3D3F">
        <w:rPr>
          <w:sz w:val="24"/>
          <w:lang w:val="pl-PL"/>
        </w:rPr>
        <w:t xml:space="preserve">Rok 2014 był kolejnym okresem, w którym dział </w:t>
      </w:r>
      <w:r w:rsidRPr="005C3D3F">
        <w:rPr>
          <w:b/>
          <w:sz w:val="24"/>
          <w:lang w:val="pl-PL"/>
        </w:rPr>
        <w:t>Adhesive Technologies</w:t>
      </w:r>
      <w:r w:rsidRPr="005C3D3F">
        <w:rPr>
          <w:sz w:val="24"/>
          <w:lang w:val="pl-PL"/>
        </w:rPr>
        <w:t xml:space="preserve"> (</w:t>
      </w:r>
      <w:r w:rsidR="00C41F7A">
        <w:rPr>
          <w:sz w:val="24"/>
          <w:lang w:val="pl-PL"/>
        </w:rPr>
        <w:t>sektor</w:t>
      </w:r>
      <w:r w:rsidRPr="005C3D3F">
        <w:rPr>
          <w:sz w:val="24"/>
          <w:lang w:val="pl-PL"/>
        </w:rPr>
        <w:t xml:space="preserve"> klejów budowlanych i konsumenckich oraz klejów i technologii dla przemysłu) wypracował rentowny wzrost</w:t>
      </w:r>
      <w:r w:rsidR="00C41F7A">
        <w:rPr>
          <w:sz w:val="24"/>
          <w:lang w:val="pl-PL"/>
        </w:rPr>
        <w:t xml:space="preserve">. Sprzedaż wzrosła w </w:t>
      </w:r>
      <w:r w:rsidRPr="005C3D3F">
        <w:rPr>
          <w:sz w:val="24"/>
          <w:lang w:val="pl-PL"/>
        </w:rPr>
        <w:t>ujęciu organicznym o 3,7%</w:t>
      </w:r>
      <w:r w:rsidR="00C41F7A">
        <w:rPr>
          <w:sz w:val="24"/>
          <w:lang w:val="pl-PL"/>
        </w:rPr>
        <w:t>, co było wynikiem lepszym niż notowane tendencje rozwoju rynku.</w:t>
      </w:r>
      <w:r w:rsidRPr="005C3D3F">
        <w:rPr>
          <w:color w:val="000000"/>
          <w:sz w:val="24"/>
          <w:lang w:val="pl-PL"/>
        </w:rPr>
        <w:t xml:space="preserve"> </w:t>
      </w:r>
      <w:r w:rsidRPr="005C3D3F">
        <w:rPr>
          <w:b/>
          <w:color w:val="000000"/>
          <w:sz w:val="24"/>
          <w:lang w:val="pl-PL"/>
        </w:rPr>
        <w:t>Przychody ze sprzedaży</w:t>
      </w:r>
      <w:r w:rsidRPr="005C3D3F">
        <w:rPr>
          <w:sz w:val="24"/>
          <w:lang w:val="pl-PL"/>
        </w:rPr>
        <w:t xml:space="preserve"> wyniosły 8</w:t>
      </w:r>
      <w:r w:rsidR="00927D00">
        <w:rPr>
          <w:sz w:val="24"/>
          <w:lang w:val="pl-PL"/>
        </w:rPr>
        <w:t>,</w:t>
      </w:r>
      <w:r w:rsidRPr="005C3D3F">
        <w:rPr>
          <w:sz w:val="24"/>
          <w:lang w:val="pl-PL"/>
        </w:rPr>
        <w:t>1</w:t>
      </w:r>
      <w:r w:rsidR="00C41F7A">
        <w:rPr>
          <w:sz w:val="24"/>
          <w:lang w:val="pl-PL"/>
        </w:rPr>
        <w:t>27</w:t>
      </w:r>
      <w:r w:rsidRPr="005C3D3F">
        <w:rPr>
          <w:sz w:val="24"/>
          <w:lang w:val="pl-PL"/>
        </w:rPr>
        <w:t xml:space="preserve"> ml</w:t>
      </w:r>
      <w:r w:rsidR="00927D00">
        <w:rPr>
          <w:sz w:val="24"/>
          <w:lang w:val="pl-PL"/>
        </w:rPr>
        <w:t>d</w:t>
      </w:r>
      <w:r w:rsidRPr="005C3D3F">
        <w:rPr>
          <w:sz w:val="24"/>
          <w:lang w:val="pl-PL"/>
        </w:rPr>
        <w:t xml:space="preserve"> euro i były nieco powyżej poziomu 8</w:t>
      </w:r>
      <w:r w:rsidR="00927D00">
        <w:rPr>
          <w:sz w:val="24"/>
          <w:lang w:val="pl-PL"/>
        </w:rPr>
        <w:t>,</w:t>
      </w:r>
      <w:r w:rsidRPr="005C3D3F">
        <w:rPr>
          <w:sz w:val="24"/>
          <w:lang w:val="pl-PL"/>
        </w:rPr>
        <w:t>1</w:t>
      </w:r>
      <w:r w:rsidR="00C41F7A">
        <w:rPr>
          <w:sz w:val="24"/>
          <w:lang w:val="pl-PL"/>
        </w:rPr>
        <w:t>17</w:t>
      </w:r>
      <w:r w:rsidRPr="005C3D3F">
        <w:rPr>
          <w:sz w:val="24"/>
          <w:lang w:val="pl-PL"/>
        </w:rPr>
        <w:t xml:space="preserve"> ml</w:t>
      </w:r>
      <w:r w:rsidR="00927D00">
        <w:rPr>
          <w:sz w:val="24"/>
          <w:lang w:val="pl-PL"/>
        </w:rPr>
        <w:t>d</w:t>
      </w:r>
      <w:r w:rsidRPr="005C3D3F">
        <w:rPr>
          <w:sz w:val="24"/>
          <w:lang w:val="pl-PL"/>
        </w:rPr>
        <w:t xml:space="preserve"> euro odnotowanego w roku poprzednim.</w:t>
      </w:r>
    </w:p>
    <w:p w:rsidR="00525C9A" w:rsidRPr="005C3D3F" w:rsidRDefault="00525C9A">
      <w:pPr>
        <w:autoSpaceDE w:val="0"/>
        <w:autoSpaceDN w:val="0"/>
        <w:adjustRightInd w:val="0"/>
        <w:spacing w:line="360" w:lineRule="auto"/>
        <w:jc w:val="both"/>
        <w:rPr>
          <w:bCs/>
          <w:color w:val="000000"/>
          <w:sz w:val="24"/>
          <w:lang w:val="pl-PL"/>
        </w:rPr>
      </w:pPr>
    </w:p>
    <w:p w:rsidR="00525C9A" w:rsidRPr="005C3D3F" w:rsidRDefault="00525C9A">
      <w:pPr>
        <w:autoSpaceDE w:val="0"/>
        <w:autoSpaceDN w:val="0"/>
        <w:adjustRightInd w:val="0"/>
        <w:spacing w:line="360" w:lineRule="auto"/>
        <w:jc w:val="both"/>
        <w:rPr>
          <w:bCs/>
          <w:color w:val="000000"/>
          <w:sz w:val="24"/>
          <w:lang w:val="pl-PL"/>
        </w:rPr>
      </w:pPr>
      <w:r w:rsidRPr="005C3D3F">
        <w:rPr>
          <w:color w:val="000000"/>
          <w:sz w:val="24"/>
          <w:lang w:val="pl-PL"/>
        </w:rPr>
        <w:t>Do wzrostu sprzedaży w ujęciu organicznym przyczyniły się przede wszystkim dobre wyniki notowane na rynkach wschodzących. Skala wzrostu była największa w regionie Afryki i Bliskiego Wschodu, gdzie sprzedaż rosła w tempie dwucyfrowym. Wzrost sprzedaży był bardzo wysoki w regionie Azji (z wyłączeniem Japonii) i wysoki w Ameryce Łacińskiej. Mimo trudnej sytuacji politycznej oddziałującej niekorzystnie na działalność Henk</w:t>
      </w:r>
      <w:r w:rsidR="00F80892">
        <w:rPr>
          <w:color w:val="000000"/>
          <w:sz w:val="24"/>
          <w:lang w:val="pl-PL"/>
        </w:rPr>
        <w:t>la</w:t>
      </w:r>
      <w:r w:rsidRPr="005C3D3F">
        <w:rPr>
          <w:color w:val="000000"/>
          <w:sz w:val="24"/>
          <w:lang w:val="pl-PL"/>
        </w:rPr>
        <w:t xml:space="preserve"> w niektórych częściach Europy Wschodniej, solidny wzrost w ujęciu organicznym odnotowano także i w tym regionie.</w:t>
      </w:r>
    </w:p>
    <w:p w:rsidR="00525C9A" w:rsidRPr="005C3D3F" w:rsidRDefault="00525C9A">
      <w:pPr>
        <w:autoSpaceDE w:val="0"/>
        <w:autoSpaceDN w:val="0"/>
        <w:adjustRightInd w:val="0"/>
        <w:spacing w:line="360" w:lineRule="auto"/>
        <w:jc w:val="both"/>
        <w:rPr>
          <w:bCs/>
          <w:color w:val="000000"/>
          <w:sz w:val="24"/>
          <w:lang w:val="pl-PL"/>
        </w:rPr>
      </w:pPr>
    </w:p>
    <w:p w:rsidR="00525C9A" w:rsidRPr="005C3D3F" w:rsidRDefault="00525C9A">
      <w:pPr>
        <w:autoSpaceDE w:val="0"/>
        <w:autoSpaceDN w:val="0"/>
        <w:adjustRightInd w:val="0"/>
        <w:spacing w:line="360" w:lineRule="auto"/>
        <w:jc w:val="both"/>
        <w:rPr>
          <w:sz w:val="24"/>
          <w:lang w:val="pl-PL"/>
        </w:rPr>
      </w:pPr>
      <w:r w:rsidRPr="005C3D3F">
        <w:rPr>
          <w:color w:val="000000"/>
          <w:sz w:val="24"/>
          <w:lang w:val="pl-PL"/>
        </w:rPr>
        <w:t>Sprzedaż w ujęciu organicznym na rynkach rozwiniętych była wyższa od odnotowanej w poprzednim roku. Przychody ze sprzedaży w Ameryce Północnej były poniżej poziomu z roku poprzedniego, natomiast rynki rozwinięte regionu Azji i Pacyfiku odnotowały wysoki wzrost. W wynikach działalności w Europie Zachodniej panował trend wzrostowy.</w:t>
      </w:r>
    </w:p>
    <w:p w:rsidR="00525C9A" w:rsidRPr="005C3D3F" w:rsidRDefault="00525C9A">
      <w:pPr>
        <w:autoSpaceDE w:val="0"/>
        <w:autoSpaceDN w:val="0"/>
        <w:adjustRightInd w:val="0"/>
        <w:spacing w:line="360" w:lineRule="auto"/>
        <w:jc w:val="both"/>
        <w:rPr>
          <w:sz w:val="24"/>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b/>
          <w:sz w:val="24"/>
          <w:lang w:val="pl-PL"/>
        </w:rPr>
        <w:t>Skorygowany zysk operacyjny</w:t>
      </w:r>
      <w:r w:rsidRPr="005C3D3F">
        <w:rPr>
          <w:sz w:val="24"/>
          <w:lang w:val="pl-PL"/>
        </w:rPr>
        <w:t xml:space="preserve"> wzrósł o 2,3%, do rekordowego poziomu 1</w:t>
      </w:r>
      <w:r w:rsidR="00E246EB">
        <w:rPr>
          <w:sz w:val="24"/>
          <w:lang w:val="pl-PL"/>
        </w:rPr>
        <w:t>,</w:t>
      </w:r>
      <w:r w:rsidRPr="005C3D3F">
        <w:rPr>
          <w:sz w:val="24"/>
          <w:lang w:val="pl-PL"/>
        </w:rPr>
        <w:t>4</w:t>
      </w:r>
      <w:r w:rsidR="00F80892">
        <w:rPr>
          <w:sz w:val="24"/>
          <w:lang w:val="pl-PL"/>
        </w:rPr>
        <w:t>02</w:t>
      </w:r>
      <w:r w:rsidRPr="005C3D3F">
        <w:rPr>
          <w:sz w:val="24"/>
          <w:lang w:val="pl-PL"/>
        </w:rPr>
        <w:t xml:space="preserve"> ml</w:t>
      </w:r>
      <w:r w:rsidR="00E246EB">
        <w:rPr>
          <w:sz w:val="24"/>
          <w:lang w:val="pl-PL"/>
        </w:rPr>
        <w:t>d</w:t>
      </w:r>
      <w:r w:rsidRPr="005C3D3F">
        <w:rPr>
          <w:sz w:val="24"/>
          <w:lang w:val="pl-PL"/>
        </w:rPr>
        <w:t xml:space="preserve"> euro.</w:t>
      </w:r>
      <w:r w:rsidRPr="005C3D3F">
        <w:rPr>
          <w:color w:val="000000"/>
          <w:sz w:val="24"/>
          <w:lang w:val="pl-PL"/>
        </w:rPr>
        <w:t xml:space="preserve"> Skorygowana rentowność sprzedaży zwiększyła się o 0,3 p</w:t>
      </w:r>
      <w:r w:rsidR="00E246EB">
        <w:rPr>
          <w:color w:val="000000"/>
          <w:sz w:val="24"/>
          <w:lang w:val="pl-PL"/>
        </w:rPr>
        <w:t xml:space="preserve">kt. </w:t>
      </w:r>
      <w:r w:rsidRPr="005C3D3F">
        <w:rPr>
          <w:color w:val="000000"/>
          <w:sz w:val="24"/>
          <w:lang w:val="pl-PL"/>
        </w:rPr>
        <w:t>p</w:t>
      </w:r>
      <w:r w:rsidR="00E246EB">
        <w:rPr>
          <w:color w:val="000000"/>
          <w:sz w:val="24"/>
          <w:lang w:val="pl-PL"/>
        </w:rPr>
        <w:t>roc.</w:t>
      </w:r>
      <w:r w:rsidRPr="005C3D3F">
        <w:rPr>
          <w:color w:val="000000"/>
          <w:sz w:val="24"/>
          <w:lang w:val="pl-PL"/>
        </w:rPr>
        <w:t xml:space="preserve"> i wyniosła 17,2%. Zysk operacyjny wzrósł o 5,9%, do 1</w:t>
      </w:r>
      <w:r w:rsidR="00E246EB">
        <w:rPr>
          <w:color w:val="000000"/>
          <w:sz w:val="24"/>
          <w:lang w:val="pl-PL"/>
        </w:rPr>
        <w:t>,</w:t>
      </w:r>
      <w:r w:rsidRPr="005C3D3F">
        <w:rPr>
          <w:color w:val="000000"/>
          <w:sz w:val="24"/>
          <w:lang w:val="pl-PL"/>
        </w:rPr>
        <w:t>34</w:t>
      </w:r>
      <w:r w:rsidR="00F80892">
        <w:rPr>
          <w:color w:val="000000"/>
          <w:sz w:val="24"/>
          <w:lang w:val="pl-PL"/>
        </w:rPr>
        <w:t>5</w:t>
      </w:r>
      <w:r w:rsidRPr="005C3D3F">
        <w:rPr>
          <w:color w:val="000000"/>
          <w:sz w:val="24"/>
          <w:lang w:val="pl-PL"/>
        </w:rPr>
        <w:t xml:space="preserve"> ml</w:t>
      </w:r>
      <w:r w:rsidR="00E246EB">
        <w:rPr>
          <w:color w:val="000000"/>
          <w:sz w:val="24"/>
          <w:lang w:val="pl-PL"/>
        </w:rPr>
        <w:t>d</w:t>
      </w:r>
      <w:r w:rsidRPr="005C3D3F">
        <w:rPr>
          <w:color w:val="000000"/>
          <w:sz w:val="24"/>
          <w:lang w:val="pl-PL"/>
        </w:rPr>
        <w:t xml:space="preserve"> euro.</w:t>
      </w:r>
    </w:p>
    <w:p w:rsidR="005C3D3F" w:rsidRDefault="005C3D3F">
      <w:pPr>
        <w:spacing w:line="360" w:lineRule="auto"/>
        <w:jc w:val="both"/>
        <w:rPr>
          <w:b/>
          <w:sz w:val="24"/>
          <w:lang w:val="pl-PL"/>
        </w:rPr>
      </w:pPr>
    </w:p>
    <w:p w:rsidR="00525C9A" w:rsidRPr="005C3D3F" w:rsidRDefault="00525C9A">
      <w:pPr>
        <w:spacing w:line="360" w:lineRule="auto"/>
        <w:jc w:val="both"/>
        <w:rPr>
          <w:b/>
          <w:bCs/>
          <w:sz w:val="24"/>
          <w:szCs w:val="20"/>
          <w:lang w:val="pl-PL"/>
        </w:rPr>
      </w:pPr>
      <w:r w:rsidRPr="005C3D3F">
        <w:rPr>
          <w:b/>
          <w:sz w:val="24"/>
          <w:lang w:val="pl-PL"/>
        </w:rPr>
        <w:t>Wyniki w podziale na regiony</w:t>
      </w:r>
    </w:p>
    <w:p w:rsidR="00525C9A" w:rsidRPr="005C3D3F" w:rsidRDefault="00525C9A">
      <w:pPr>
        <w:spacing w:line="360" w:lineRule="auto"/>
        <w:rPr>
          <w:sz w:val="24"/>
          <w:lang w:val="pl-PL"/>
        </w:rPr>
      </w:pPr>
    </w:p>
    <w:p w:rsidR="00525C9A" w:rsidRPr="005C3D3F" w:rsidRDefault="00525C9A">
      <w:pPr>
        <w:autoSpaceDE w:val="0"/>
        <w:autoSpaceDN w:val="0"/>
        <w:adjustRightInd w:val="0"/>
        <w:spacing w:line="360" w:lineRule="auto"/>
        <w:jc w:val="both"/>
        <w:rPr>
          <w:bCs/>
          <w:color w:val="000000"/>
          <w:sz w:val="24"/>
          <w:lang w:val="pl-PL"/>
        </w:rPr>
      </w:pPr>
      <w:r w:rsidRPr="005C3D3F">
        <w:rPr>
          <w:sz w:val="24"/>
          <w:lang w:val="pl-PL"/>
        </w:rPr>
        <w:t xml:space="preserve">W regionie </w:t>
      </w:r>
      <w:r w:rsidRPr="005C3D3F">
        <w:rPr>
          <w:b/>
          <w:sz w:val="24"/>
          <w:lang w:val="pl-PL"/>
        </w:rPr>
        <w:t>Europy Zachodniej</w:t>
      </w:r>
      <w:r w:rsidRPr="005C3D3F">
        <w:rPr>
          <w:sz w:val="24"/>
          <w:lang w:val="pl-PL"/>
        </w:rPr>
        <w:t>, charakteryzującym się bardzo silną konkurencją, przychody ze sprzedaży wzrosły o 2,6%, do 5</w:t>
      </w:r>
      <w:r w:rsidR="00E246EB">
        <w:rPr>
          <w:sz w:val="24"/>
          <w:lang w:val="pl-PL"/>
        </w:rPr>
        <w:t>,</w:t>
      </w:r>
      <w:r w:rsidRPr="005C3D3F">
        <w:rPr>
          <w:sz w:val="24"/>
          <w:lang w:val="pl-PL"/>
        </w:rPr>
        <w:t>7</w:t>
      </w:r>
      <w:r w:rsidR="00F80892">
        <w:rPr>
          <w:sz w:val="24"/>
          <w:lang w:val="pl-PL"/>
        </w:rPr>
        <w:t>24</w:t>
      </w:r>
      <w:r w:rsidRPr="005C3D3F">
        <w:rPr>
          <w:sz w:val="24"/>
          <w:lang w:val="pl-PL"/>
        </w:rPr>
        <w:t xml:space="preserve"> ml</w:t>
      </w:r>
      <w:r w:rsidR="00E246EB">
        <w:rPr>
          <w:sz w:val="24"/>
          <w:lang w:val="pl-PL"/>
        </w:rPr>
        <w:t>d</w:t>
      </w:r>
      <w:r w:rsidRPr="005C3D3F">
        <w:rPr>
          <w:sz w:val="24"/>
          <w:lang w:val="pl-PL"/>
        </w:rPr>
        <w:t xml:space="preserve"> euro,</w:t>
      </w:r>
      <w:r w:rsidRPr="005C3D3F">
        <w:rPr>
          <w:color w:val="000000"/>
          <w:sz w:val="24"/>
          <w:lang w:val="pl-PL"/>
        </w:rPr>
        <w:t xml:space="preserve"> natomiast wzrost w ujęciu organicznym wyniósł 1,7%, co zniwelowało efekt recesji panującej w Europie Południowej. Przychody ze sprzedaży w regionie </w:t>
      </w:r>
      <w:r w:rsidRPr="005C3D3F">
        <w:rPr>
          <w:b/>
          <w:color w:val="000000"/>
          <w:sz w:val="24"/>
          <w:lang w:val="pl-PL"/>
        </w:rPr>
        <w:t>Europy Wschodniej</w:t>
      </w:r>
      <w:r w:rsidRPr="005C3D3F">
        <w:rPr>
          <w:color w:val="000000"/>
          <w:sz w:val="24"/>
          <w:lang w:val="pl-PL"/>
        </w:rPr>
        <w:t>, które ukształtowały się na poziomie 2</w:t>
      </w:r>
      <w:r w:rsidR="00E246EB">
        <w:rPr>
          <w:color w:val="000000"/>
          <w:sz w:val="24"/>
          <w:lang w:val="pl-PL"/>
        </w:rPr>
        <w:t>,</w:t>
      </w:r>
      <w:r w:rsidRPr="005C3D3F">
        <w:rPr>
          <w:color w:val="000000"/>
          <w:sz w:val="24"/>
          <w:lang w:val="pl-PL"/>
        </w:rPr>
        <w:t>8</w:t>
      </w:r>
      <w:r w:rsidR="00F80892">
        <w:rPr>
          <w:color w:val="000000"/>
          <w:sz w:val="24"/>
          <w:lang w:val="pl-PL"/>
        </w:rPr>
        <w:t>54</w:t>
      </w:r>
      <w:r w:rsidRPr="005C3D3F">
        <w:rPr>
          <w:color w:val="000000"/>
          <w:sz w:val="24"/>
          <w:lang w:val="pl-PL"/>
        </w:rPr>
        <w:t xml:space="preserve"> ml</w:t>
      </w:r>
      <w:r w:rsidR="00E246EB">
        <w:rPr>
          <w:color w:val="000000"/>
          <w:sz w:val="24"/>
          <w:lang w:val="pl-PL"/>
        </w:rPr>
        <w:t>d</w:t>
      </w:r>
      <w:r w:rsidRPr="005C3D3F">
        <w:rPr>
          <w:color w:val="000000"/>
          <w:sz w:val="24"/>
          <w:lang w:val="pl-PL"/>
        </w:rPr>
        <w:t xml:space="preserve"> euro, były niższe niż w poprzednim roku ze względu na znaczne osłabienie rubla i innych walut krajów regionu, jak również wpływ konfliktu rosyjsko-ukraińskiego. W ujęciu organicznym sprzedaż wzrosła mimo to o 4,5%, głównie dzięki wynikom działalności w Turcji i Rosji. Pomimo niekorzystnego efektu różnic kursowych oraz niestabilnej sytuacji politycznej </w:t>
      </w:r>
      <w:r w:rsidR="00B70D76">
        <w:rPr>
          <w:color w:val="000000"/>
          <w:sz w:val="24"/>
          <w:lang w:val="pl-PL"/>
        </w:rPr>
        <w:br/>
      </w:r>
      <w:r w:rsidRPr="005C3D3F">
        <w:rPr>
          <w:color w:val="000000"/>
          <w:sz w:val="24"/>
          <w:lang w:val="pl-PL"/>
        </w:rPr>
        <w:t>i społecznej w niektórych krajach tej części świata, sprzedaż w</w:t>
      </w:r>
      <w:r w:rsidRPr="005C3D3F">
        <w:rPr>
          <w:b/>
          <w:color w:val="000000"/>
          <w:sz w:val="24"/>
          <w:lang w:val="pl-PL"/>
        </w:rPr>
        <w:t xml:space="preserve"> Afryce i na Bliskim Wschodzie</w:t>
      </w:r>
      <w:r w:rsidRPr="005C3D3F">
        <w:rPr>
          <w:color w:val="000000"/>
          <w:sz w:val="24"/>
          <w:lang w:val="pl-PL"/>
        </w:rPr>
        <w:t xml:space="preserve"> wzrosła nominalnie o 4,9%, do 1</w:t>
      </w:r>
      <w:r w:rsidR="00E246EB">
        <w:rPr>
          <w:color w:val="000000"/>
          <w:sz w:val="24"/>
          <w:lang w:val="pl-PL"/>
        </w:rPr>
        <w:t>,</w:t>
      </w:r>
      <w:r w:rsidRPr="005C3D3F">
        <w:rPr>
          <w:color w:val="000000"/>
          <w:sz w:val="24"/>
          <w:lang w:val="pl-PL"/>
        </w:rPr>
        <w:t>13</w:t>
      </w:r>
      <w:r w:rsidR="00F80892">
        <w:rPr>
          <w:color w:val="000000"/>
          <w:sz w:val="24"/>
          <w:lang w:val="pl-PL"/>
        </w:rPr>
        <w:t>3</w:t>
      </w:r>
      <w:r w:rsidRPr="005C3D3F">
        <w:rPr>
          <w:color w:val="000000"/>
          <w:sz w:val="24"/>
          <w:lang w:val="pl-PL"/>
        </w:rPr>
        <w:t xml:space="preserve"> ml</w:t>
      </w:r>
      <w:r w:rsidR="00E246EB">
        <w:rPr>
          <w:color w:val="000000"/>
          <w:sz w:val="24"/>
          <w:lang w:val="pl-PL"/>
        </w:rPr>
        <w:t>d</w:t>
      </w:r>
      <w:r w:rsidRPr="005C3D3F">
        <w:rPr>
          <w:color w:val="000000"/>
          <w:sz w:val="24"/>
          <w:lang w:val="pl-PL"/>
        </w:rPr>
        <w:t xml:space="preserve"> euro. Dynamikę wzrostu sprzedaży w ujęciu organicznym na poziomie 16,9% osiągnięto dzięki wysokim przychodom wszystkich segmentów.</w:t>
      </w:r>
    </w:p>
    <w:p w:rsidR="00525C9A" w:rsidRPr="005C3D3F" w:rsidRDefault="00525C9A">
      <w:pPr>
        <w:autoSpaceDE w:val="0"/>
        <w:autoSpaceDN w:val="0"/>
        <w:adjustRightInd w:val="0"/>
        <w:spacing w:line="360" w:lineRule="auto"/>
        <w:jc w:val="both"/>
        <w:rPr>
          <w:bCs/>
          <w:color w:val="000000"/>
          <w:sz w:val="24"/>
          <w:lang w:val="pl-PL"/>
        </w:rPr>
      </w:pPr>
    </w:p>
    <w:p w:rsidR="00525C9A" w:rsidRDefault="00525C9A">
      <w:pPr>
        <w:autoSpaceDE w:val="0"/>
        <w:autoSpaceDN w:val="0"/>
        <w:adjustRightInd w:val="0"/>
        <w:spacing w:line="360" w:lineRule="auto"/>
        <w:jc w:val="both"/>
        <w:rPr>
          <w:color w:val="000000"/>
          <w:sz w:val="24"/>
          <w:lang w:val="pl-PL"/>
        </w:rPr>
      </w:pPr>
      <w:r w:rsidRPr="005C3D3F">
        <w:rPr>
          <w:color w:val="000000"/>
          <w:sz w:val="24"/>
          <w:lang w:val="pl-PL"/>
        </w:rPr>
        <w:t xml:space="preserve">Na sprzedaż w regionie </w:t>
      </w:r>
      <w:r w:rsidRPr="005C3D3F">
        <w:rPr>
          <w:b/>
          <w:bCs/>
          <w:color w:val="000000"/>
          <w:sz w:val="24"/>
          <w:lang w:val="pl-PL"/>
        </w:rPr>
        <w:t>Ameryki Północnej</w:t>
      </w:r>
      <w:r w:rsidRPr="005C3D3F">
        <w:rPr>
          <w:color w:val="000000"/>
          <w:sz w:val="24"/>
          <w:lang w:val="pl-PL"/>
        </w:rPr>
        <w:t xml:space="preserve"> negatywny wpływ miała utrzymująca się ostra konkurencja cenowa i promocyjna w segmencie dóbr konsumpcyjnych. Przychody ze sprzedaży w regionie kształtowały się na poziomie 2</w:t>
      </w:r>
      <w:r w:rsidR="008957C1">
        <w:rPr>
          <w:color w:val="000000"/>
          <w:sz w:val="24"/>
          <w:lang w:val="pl-PL"/>
        </w:rPr>
        <w:t>,</w:t>
      </w:r>
      <w:r w:rsidRPr="005C3D3F">
        <w:rPr>
          <w:color w:val="000000"/>
          <w:sz w:val="24"/>
          <w:lang w:val="pl-PL"/>
        </w:rPr>
        <w:t>88</w:t>
      </w:r>
      <w:r w:rsidR="00F80892">
        <w:rPr>
          <w:color w:val="000000"/>
          <w:sz w:val="24"/>
          <w:lang w:val="pl-PL"/>
        </w:rPr>
        <w:t>4</w:t>
      </w:r>
      <w:r w:rsidRPr="005C3D3F">
        <w:rPr>
          <w:color w:val="000000"/>
          <w:sz w:val="24"/>
          <w:lang w:val="pl-PL"/>
        </w:rPr>
        <w:t xml:space="preserve"> ml</w:t>
      </w:r>
      <w:r w:rsidR="008957C1">
        <w:rPr>
          <w:color w:val="000000"/>
          <w:sz w:val="24"/>
          <w:lang w:val="pl-PL"/>
        </w:rPr>
        <w:t>d</w:t>
      </w:r>
      <w:r w:rsidRPr="005C3D3F">
        <w:rPr>
          <w:color w:val="000000"/>
          <w:sz w:val="24"/>
          <w:lang w:val="pl-PL"/>
        </w:rPr>
        <w:t xml:space="preserve"> euro i były o 1,5% niższe w ujęciu rok do roku. Sprzedaż w ujęciu organicznym obniżyła się o 2,9%. Na skutek niekorzystnych różnic kursowych sprzedaż w </w:t>
      </w:r>
      <w:r w:rsidRPr="005C3D3F">
        <w:rPr>
          <w:b/>
          <w:bCs/>
          <w:color w:val="000000"/>
          <w:sz w:val="24"/>
          <w:lang w:val="pl-PL"/>
        </w:rPr>
        <w:t>Ameryce Łacińskiej</w:t>
      </w:r>
      <w:r w:rsidRPr="005C3D3F">
        <w:rPr>
          <w:color w:val="000000"/>
          <w:sz w:val="24"/>
          <w:lang w:val="pl-PL"/>
        </w:rPr>
        <w:t xml:space="preserve"> była niższa niż w zeszłym roku i osiągnęła poziom 1</w:t>
      </w:r>
      <w:r w:rsidR="008957C1">
        <w:rPr>
          <w:color w:val="000000"/>
          <w:sz w:val="24"/>
          <w:lang w:val="pl-PL"/>
        </w:rPr>
        <w:t>,</w:t>
      </w:r>
      <w:r w:rsidRPr="005C3D3F">
        <w:rPr>
          <w:color w:val="000000"/>
          <w:sz w:val="24"/>
          <w:lang w:val="pl-PL"/>
        </w:rPr>
        <w:t>0</w:t>
      </w:r>
      <w:r w:rsidR="00F80892">
        <w:rPr>
          <w:color w:val="000000"/>
          <w:sz w:val="24"/>
          <w:lang w:val="pl-PL"/>
        </w:rPr>
        <w:t>29</w:t>
      </w:r>
      <w:r w:rsidRPr="005C3D3F">
        <w:rPr>
          <w:color w:val="000000"/>
          <w:sz w:val="24"/>
          <w:lang w:val="pl-PL"/>
        </w:rPr>
        <w:t xml:space="preserve"> ml</w:t>
      </w:r>
      <w:r w:rsidR="008957C1">
        <w:rPr>
          <w:color w:val="000000"/>
          <w:sz w:val="24"/>
          <w:lang w:val="pl-PL"/>
        </w:rPr>
        <w:t>d</w:t>
      </w:r>
      <w:r w:rsidRPr="005C3D3F">
        <w:rPr>
          <w:color w:val="000000"/>
          <w:sz w:val="24"/>
          <w:lang w:val="pl-PL"/>
        </w:rPr>
        <w:t xml:space="preserve"> euro. W ujęciu organicznym sprzedaż wzrosła mimo to o 4,4%, głównie dzięki wynikom działalności w Meksyku. W regionie </w:t>
      </w:r>
      <w:r w:rsidRPr="005C3D3F">
        <w:rPr>
          <w:b/>
          <w:bCs/>
          <w:color w:val="000000"/>
          <w:sz w:val="24"/>
          <w:lang w:val="pl-PL"/>
        </w:rPr>
        <w:t>Azji i Pacyfiku</w:t>
      </w:r>
      <w:r w:rsidRPr="005C3D3F">
        <w:rPr>
          <w:color w:val="000000"/>
          <w:sz w:val="24"/>
          <w:lang w:val="pl-PL"/>
        </w:rPr>
        <w:t xml:space="preserve"> przychody ze sprzedaży wzrosły o 6,0% w ujęciu rok do roku, do 2</w:t>
      </w:r>
      <w:r w:rsidR="008957C1">
        <w:rPr>
          <w:color w:val="000000"/>
          <w:sz w:val="24"/>
          <w:lang w:val="pl-PL"/>
        </w:rPr>
        <w:t>,</w:t>
      </w:r>
      <w:r w:rsidRPr="005C3D3F">
        <w:rPr>
          <w:color w:val="000000"/>
          <w:sz w:val="24"/>
          <w:lang w:val="pl-PL"/>
        </w:rPr>
        <w:t>6</w:t>
      </w:r>
      <w:r w:rsidR="00F80892">
        <w:rPr>
          <w:color w:val="000000"/>
          <w:sz w:val="24"/>
          <w:lang w:val="pl-PL"/>
        </w:rPr>
        <w:t>76</w:t>
      </w:r>
      <w:r w:rsidRPr="005C3D3F">
        <w:rPr>
          <w:color w:val="000000"/>
          <w:sz w:val="24"/>
          <w:lang w:val="pl-PL"/>
        </w:rPr>
        <w:t xml:space="preserve"> ml</w:t>
      </w:r>
      <w:r w:rsidR="008957C1">
        <w:rPr>
          <w:color w:val="000000"/>
          <w:sz w:val="24"/>
          <w:lang w:val="pl-PL"/>
        </w:rPr>
        <w:t>d</w:t>
      </w:r>
      <w:r w:rsidRPr="005C3D3F">
        <w:rPr>
          <w:color w:val="000000"/>
          <w:sz w:val="24"/>
          <w:lang w:val="pl-PL"/>
        </w:rPr>
        <w:t xml:space="preserve"> euro, natomiast wzrost w ujęciu organicznym wyniósł 8,2%. Do tak dobrego wyniku przyczyniło się przede wszystkim dwucyfrowe tempo wzrostu notowane w Chinach oraz bardzo silny wzrost na rynku indyjskim.</w:t>
      </w:r>
    </w:p>
    <w:p w:rsidR="00E246EB" w:rsidRPr="005C3D3F" w:rsidRDefault="00E246EB">
      <w:pPr>
        <w:autoSpaceDE w:val="0"/>
        <w:autoSpaceDN w:val="0"/>
        <w:adjustRightInd w:val="0"/>
        <w:spacing w:line="360" w:lineRule="auto"/>
        <w:jc w:val="both"/>
        <w:rPr>
          <w:bCs/>
          <w:color w:val="000000"/>
          <w:sz w:val="24"/>
          <w:lang w:val="pl-PL"/>
        </w:rPr>
      </w:pPr>
    </w:p>
    <w:p w:rsidR="00525C9A" w:rsidRPr="005C3D3F" w:rsidRDefault="00525C9A">
      <w:pPr>
        <w:autoSpaceDE w:val="0"/>
        <w:autoSpaceDN w:val="0"/>
        <w:adjustRightInd w:val="0"/>
        <w:spacing w:line="360" w:lineRule="auto"/>
        <w:jc w:val="both"/>
        <w:rPr>
          <w:sz w:val="24"/>
          <w:lang w:val="pl-PL"/>
        </w:rPr>
      </w:pPr>
      <w:r w:rsidRPr="005C3D3F">
        <w:rPr>
          <w:color w:val="000000"/>
          <w:sz w:val="24"/>
          <w:lang w:val="pl-PL"/>
        </w:rPr>
        <w:t xml:space="preserve">Na skutek niekorzystnych różnic kursowych przychody ze sprzedaży na </w:t>
      </w:r>
      <w:r w:rsidRPr="005C3D3F">
        <w:rPr>
          <w:b/>
          <w:bCs/>
          <w:color w:val="000000"/>
          <w:sz w:val="24"/>
          <w:lang w:val="pl-PL"/>
        </w:rPr>
        <w:t>rynkach wschodzących</w:t>
      </w:r>
      <w:r w:rsidRPr="005C3D3F">
        <w:rPr>
          <w:color w:val="000000"/>
          <w:sz w:val="24"/>
          <w:lang w:val="pl-PL"/>
        </w:rPr>
        <w:t xml:space="preserve"> Europy Wschodniej, Afryki i Bliskiego Wschodu, Ameryki Łacińskiej i Azji (z wyłączeniem Japonii) wzrosły nieznacznie w ujęciu rok do roku i osiągnęły poziom 7</w:t>
      </w:r>
      <w:r w:rsidR="008957C1">
        <w:rPr>
          <w:color w:val="000000"/>
          <w:sz w:val="24"/>
          <w:lang w:val="pl-PL"/>
        </w:rPr>
        <w:t>,</w:t>
      </w:r>
      <w:r w:rsidRPr="005C3D3F">
        <w:rPr>
          <w:color w:val="000000"/>
          <w:sz w:val="24"/>
          <w:lang w:val="pl-PL"/>
        </w:rPr>
        <w:t>2</w:t>
      </w:r>
      <w:r w:rsidR="00F80892">
        <w:rPr>
          <w:color w:val="000000"/>
          <w:sz w:val="24"/>
          <w:lang w:val="pl-PL"/>
        </w:rPr>
        <w:t xml:space="preserve">49 </w:t>
      </w:r>
      <w:r w:rsidRPr="005C3D3F">
        <w:rPr>
          <w:color w:val="000000"/>
          <w:sz w:val="24"/>
          <w:lang w:val="pl-PL"/>
        </w:rPr>
        <w:t>ml</w:t>
      </w:r>
      <w:r w:rsidR="008957C1">
        <w:rPr>
          <w:color w:val="000000"/>
          <w:sz w:val="24"/>
          <w:lang w:val="pl-PL"/>
        </w:rPr>
        <w:t>d</w:t>
      </w:r>
      <w:r w:rsidRPr="005C3D3F">
        <w:rPr>
          <w:color w:val="000000"/>
          <w:sz w:val="24"/>
          <w:lang w:val="pl-PL"/>
        </w:rPr>
        <w:t xml:space="preserve"> euro. Jednak wzrost w ujęciu organicznym był wysoki, na poziomie 7,8%, i został osiągnięty dzięki dobrym wynikom wszystkich trzech segmentów.</w:t>
      </w:r>
      <w:r w:rsidR="005C3D3F" w:rsidRPr="005C3D3F">
        <w:rPr>
          <w:color w:val="000000"/>
          <w:sz w:val="24"/>
          <w:lang w:val="pl-PL"/>
        </w:rPr>
        <w:t xml:space="preserve"> </w:t>
      </w:r>
      <w:r w:rsidRPr="005C3D3F">
        <w:rPr>
          <w:color w:val="000000"/>
          <w:sz w:val="24"/>
          <w:lang w:val="pl-PL"/>
        </w:rPr>
        <w:t>Rynki wschodzące pozostały zatem istotnym czynnikiem wzrostu sprzedaży w ujęciu organicznym w 2014 r. Udział rynków wschodzących w przychodach ze sprzedaży pozostał na niezmienionym poziomie 44%.</w:t>
      </w:r>
    </w:p>
    <w:p w:rsidR="00525C9A" w:rsidRPr="005C3D3F" w:rsidRDefault="00525C9A">
      <w:pPr>
        <w:spacing w:after="120" w:line="360" w:lineRule="auto"/>
        <w:jc w:val="both"/>
        <w:rPr>
          <w:b/>
          <w:bCs/>
          <w:sz w:val="24"/>
          <w:lang w:val="pl-PL"/>
        </w:rPr>
      </w:pPr>
    </w:p>
    <w:p w:rsidR="00525C9A" w:rsidRPr="005C3D3F" w:rsidRDefault="00525C9A">
      <w:pPr>
        <w:spacing w:line="360" w:lineRule="auto"/>
        <w:jc w:val="both"/>
        <w:rPr>
          <w:b/>
          <w:bCs/>
          <w:sz w:val="24"/>
          <w:lang w:val="pl-PL"/>
        </w:rPr>
      </w:pPr>
      <w:r w:rsidRPr="005C3D3F">
        <w:rPr>
          <w:b/>
          <w:sz w:val="24"/>
          <w:lang w:val="pl-PL"/>
        </w:rPr>
        <w:t>Wyniki działalności w czwartym kwartale 2014 r.</w:t>
      </w:r>
    </w:p>
    <w:p w:rsidR="00525C9A" w:rsidRPr="005C3D3F" w:rsidRDefault="00525C9A">
      <w:pPr>
        <w:spacing w:line="360" w:lineRule="auto"/>
        <w:jc w:val="both"/>
        <w:rPr>
          <w:b/>
          <w:bCs/>
          <w:sz w:val="24"/>
          <w:szCs w:val="20"/>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b/>
          <w:color w:val="000000"/>
          <w:sz w:val="24"/>
          <w:lang w:val="pl-PL"/>
        </w:rPr>
        <w:t xml:space="preserve">W czwartym kwartale 2014 r. </w:t>
      </w:r>
      <w:r w:rsidRPr="005C3D3F">
        <w:rPr>
          <w:b/>
          <w:sz w:val="24"/>
          <w:lang w:val="pl-PL"/>
        </w:rPr>
        <w:t>przychody ze sprzedaży</w:t>
      </w:r>
      <w:r w:rsidRPr="005C3D3F">
        <w:rPr>
          <w:sz w:val="24"/>
          <w:lang w:val="pl-PL"/>
        </w:rPr>
        <w:t xml:space="preserve"> wzrosły o 7,1%, tj. </w:t>
      </w:r>
      <w:r w:rsidR="00E64CD5">
        <w:rPr>
          <w:sz w:val="24"/>
          <w:lang w:val="pl-PL"/>
        </w:rPr>
        <w:br/>
      </w:r>
      <w:r w:rsidRPr="005C3D3F">
        <w:rPr>
          <w:sz w:val="24"/>
          <w:lang w:val="pl-PL"/>
        </w:rPr>
        <w:t>z poziomu 3</w:t>
      </w:r>
      <w:r w:rsidR="008957C1">
        <w:rPr>
          <w:sz w:val="24"/>
          <w:lang w:val="pl-PL"/>
        </w:rPr>
        <w:t>,</w:t>
      </w:r>
      <w:r w:rsidRPr="005C3D3F">
        <w:rPr>
          <w:sz w:val="24"/>
          <w:lang w:val="pl-PL"/>
        </w:rPr>
        <w:t>8</w:t>
      </w:r>
      <w:r w:rsidR="00F80892">
        <w:rPr>
          <w:sz w:val="24"/>
          <w:lang w:val="pl-PL"/>
        </w:rPr>
        <w:t>52</w:t>
      </w:r>
      <w:r w:rsidRPr="005C3D3F">
        <w:rPr>
          <w:sz w:val="24"/>
          <w:lang w:val="pl-PL"/>
        </w:rPr>
        <w:t xml:space="preserve"> ml</w:t>
      </w:r>
      <w:r w:rsidR="008957C1">
        <w:rPr>
          <w:sz w:val="24"/>
          <w:lang w:val="pl-PL"/>
        </w:rPr>
        <w:t>d</w:t>
      </w:r>
      <w:r w:rsidRPr="005C3D3F">
        <w:rPr>
          <w:sz w:val="24"/>
          <w:lang w:val="pl-PL"/>
        </w:rPr>
        <w:t xml:space="preserve"> euro do 4</w:t>
      </w:r>
      <w:r w:rsidR="008957C1">
        <w:rPr>
          <w:sz w:val="24"/>
          <w:lang w:val="pl-PL"/>
        </w:rPr>
        <w:t>,</w:t>
      </w:r>
      <w:r w:rsidRPr="005C3D3F">
        <w:rPr>
          <w:sz w:val="24"/>
          <w:lang w:val="pl-PL"/>
        </w:rPr>
        <w:t>1</w:t>
      </w:r>
      <w:r w:rsidR="00F80892">
        <w:rPr>
          <w:sz w:val="24"/>
          <w:lang w:val="pl-PL"/>
        </w:rPr>
        <w:t>26</w:t>
      </w:r>
      <w:r w:rsidRPr="005C3D3F">
        <w:rPr>
          <w:sz w:val="24"/>
          <w:lang w:val="pl-PL"/>
        </w:rPr>
        <w:t xml:space="preserve"> ml</w:t>
      </w:r>
      <w:r w:rsidR="008957C1">
        <w:rPr>
          <w:sz w:val="24"/>
          <w:lang w:val="pl-PL"/>
        </w:rPr>
        <w:t>d</w:t>
      </w:r>
      <w:r w:rsidRPr="005C3D3F">
        <w:rPr>
          <w:sz w:val="24"/>
          <w:lang w:val="pl-PL"/>
        </w:rPr>
        <w:t xml:space="preserve"> euro.</w:t>
      </w:r>
      <w:r w:rsidRPr="005C3D3F">
        <w:rPr>
          <w:b/>
          <w:color w:val="000000"/>
          <w:sz w:val="24"/>
          <w:lang w:val="pl-PL"/>
        </w:rPr>
        <w:t xml:space="preserve"> W ujęciu organicznym</w:t>
      </w:r>
      <w:r w:rsidRPr="005C3D3F">
        <w:rPr>
          <w:color w:val="000000"/>
          <w:sz w:val="24"/>
          <w:lang w:val="pl-PL"/>
        </w:rPr>
        <w:t xml:space="preserve">, tj. bez uwzględnienia wpływu różnic kursowych oraz efektów transakcji przejęć i zbycia aktywów, wzrost przychodów ze sprzedaży wyniósł 3,9%. </w:t>
      </w:r>
      <w:r w:rsidRPr="005C3D3F">
        <w:rPr>
          <w:b/>
          <w:color w:val="000000"/>
          <w:sz w:val="24"/>
          <w:lang w:val="pl-PL"/>
        </w:rPr>
        <w:t>Skorygowany zysk operacyjny (EBIT)</w:t>
      </w:r>
      <w:r w:rsidR="002024D4">
        <w:rPr>
          <w:b/>
          <w:color w:val="000000"/>
          <w:sz w:val="24"/>
          <w:lang w:val="pl-PL"/>
        </w:rPr>
        <w:t>,</w:t>
      </w:r>
      <w:r w:rsidRPr="005C3D3F">
        <w:rPr>
          <w:color w:val="000000"/>
          <w:sz w:val="24"/>
          <w:lang w:val="pl-PL"/>
        </w:rPr>
        <w:t xml:space="preserve"> z wyłączeniem zysków i kosztów o charakterze jednorazowym oraz kosztów restrukturyzacji</w:t>
      </w:r>
      <w:r w:rsidR="008957C1">
        <w:rPr>
          <w:color w:val="000000"/>
          <w:sz w:val="24"/>
          <w:lang w:val="pl-PL"/>
        </w:rPr>
        <w:t>,</w:t>
      </w:r>
      <w:r w:rsidRPr="005C3D3F">
        <w:rPr>
          <w:color w:val="000000"/>
          <w:sz w:val="24"/>
          <w:lang w:val="pl-PL"/>
        </w:rPr>
        <w:t xml:space="preserve"> wzrósł z 584 mln euro do 602 mln euro (3,1%). Wykazany zysk operacyjny (EBIT) wyniósł 444 mln euro, w porównaniu z 464 mln euro w analogicznym okresie poprzedniego roku.</w:t>
      </w:r>
    </w:p>
    <w:p w:rsidR="00525C9A" w:rsidRPr="005C3D3F" w:rsidRDefault="00525C9A">
      <w:pPr>
        <w:autoSpaceDE w:val="0"/>
        <w:autoSpaceDN w:val="0"/>
        <w:adjustRightInd w:val="0"/>
        <w:spacing w:line="360" w:lineRule="auto"/>
        <w:jc w:val="both"/>
        <w:rPr>
          <w:color w:val="000000"/>
          <w:sz w:val="24"/>
          <w:lang w:val="pl-PL"/>
        </w:rPr>
      </w:pPr>
    </w:p>
    <w:p w:rsidR="00525C9A" w:rsidRDefault="00525C9A">
      <w:pPr>
        <w:autoSpaceDE w:val="0"/>
        <w:autoSpaceDN w:val="0"/>
        <w:adjustRightInd w:val="0"/>
        <w:spacing w:line="360" w:lineRule="auto"/>
        <w:jc w:val="both"/>
        <w:rPr>
          <w:color w:val="000000"/>
          <w:sz w:val="24"/>
          <w:lang w:val="pl-PL"/>
        </w:rPr>
      </w:pPr>
      <w:r w:rsidRPr="005C3D3F">
        <w:rPr>
          <w:b/>
          <w:color w:val="000000"/>
          <w:sz w:val="24"/>
          <w:lang w:val="pl-PL"/>
        </w:rPr>
        <w:t>Skorygowana rentowność sprzedaży</w:t>
      </w:r>
      <w:r w:rsidRPr="005C3D3F">
        <w:rPr>
          <w:color w:val="000000"/>
          <w:sz w:val="24"/>
          <w:lang w:val="pl-PL"/>
        </w:rPr>
        <w:t xml:space="preserve"> (marża EBIT) wyniosła 14,6%</w:t>
      </w:r>
      <w:r w:rsidR="002024D4">
        <w:rPr>
          <w:color w:val="000000"/>
          <w:sz w:val="24"/>
          <w:lang w:val="pl-PL"/>
        </w:rPr>
        <w:t>,</w:t>
      </w:r>
      <w:r w:rsidRPr="005C3D3F">
        <w:rPr>
          <w:color w:val="000000"/>
          <w:sz w:val="24"/>
          <w:lang w:val="pl-PL"/>
        </w:rPr>
        <w:t xml:space="preserve"> w porównaniu z 15,2% w czwartym kwartale 2013 r. Wykazana rentowność sprzedaży była równa 10,8%, wobec rentowności na poziomie 12,1% odnotowanej w tym samym okresie poprzedniego roku. </w:t>
      </w:r>
      <w:r w:rsidRPr="005C3D3F">
        <w:rPr>
          <w:b/>
          <w:color w:val="000000"/>
          <w:sz w:val="24"/>
          <w:lang w:val="pl-PL"/>
        </w:rPr>
        <w:t>Skorygowany zysk netto w ujęciu kwartalnym</w:t>
      </w:r>
      <w:r w:rsidR="002024D4">
        <w:rPr>
          <w:b/>
          <w:color w:val="000000"/>
          <w:sz w:val="24"/>
          <w:lang w:val="pl-PL"/>
        </w:rPr>
        <w:t>,</w:t>
      </w:r>
      <w:r w:rsidRPr="005C3D3F">
        <w:rPr>
          <w:b/>
          <w:color w:val="000000"/>
          <w:sz w:val="24"/>
          <w:lang w:val="pl-PL"/>
        </w:rPr>
        <w:t xml:space="preserve"> </w:t>
      </w:r>
      <w:r w:rsidRPr="005C3D3F">
        <w:rPr>
          <w:color w:val="000000"/>
          <w:sz w:val="24"/>
          <w:lang w:val="pl-PL"/>
        </w:rPr>
        <w:t xml:space="preserve">po odliczeniu udziałów </w:t>
      </w:r>
      <w:r w:rsidR="002024D4">
        <w:rPr>
          <w:color w:val="000000"/>
          <w:sz w:val="24"/>
          <w:lang w:val="pl-PL"/>
        </w:rPr>
        <w:t xml:space="preserve">akcjonariuszy </w:t>
      </w:r>
      <w:r w:rsidR="002024D4" w:rsidRPr="005C3D3F">
        <w:rPr>
          <w:color w:val="000000"/>
          <w:sz w:val="24"/>
          <w:lang w:val="pl-PL"/>
        </w:rPr>
        <w:t>niesprawując</w:t>
      </w:r>
      <w:r w:rsidR="002024D4">
        <w:rPr>
          <w:color w:val="000000"/>
          <w:sz w:val="24"/>
          <w:lang w:val="pl-PL"/>
        </w:rPr>
        <w:t>ych</w:t>
      </w:r>
      <w:r w:rsidR="002024D4" w:rsidRPr="005C3D3F">
        <w:rPr>
          <w:color w:val="000000"/>
          <w:sz w:val="24"/>
          <w:lang w:val="pl-PL"/>
        </w:rPr>
        <w:t xml:space="preserve"> kontroli</w:t>
      </w:r>
      <w:r w:rsidR="002024D4">
        <w:rPr>
          <w:color w:val="000000"/>
          <w:sz w:val="24"/>
          <w:lang w:val="pl-PL"/>
        </w:rPr>
        <w:t>,</w:t>
      </w:r>
      <w:r w:rsidRPr="005C3D3F">
        <w:rPr>
          <w:color w:val="000000"/>
          <w:sz w:val="24"/>
          <w:lang w:val="pl-PL"/>
        </w:rPr>
        <w:t xml:space="preserve"> wzrósł w ujęciu rok do roku o 6,6%, z 410 mln euro do poziomu 437 mln euro. Zysk netto za kwartał ukształtował się na poziomie 310 mln euro, wobec 321 mln euro w poprzednim roku.</w:t>
      </w:r>
      <w:r w:rsidR="005C3D3F">
        <w:rPr>
          <w:color w:val="000000"/>
          <w:sz w:val="24"/>
          <w:lang w:val="pl-PL"/>
        </w:rPr>
        <w:t xml:space="preserve"> </w:t>
      </w:r>
      <w:r w:rsidR="002024D4">
        <w:rPr>
          <w:sz w:val="24"/>
          <w:lang w:val="pl-PL"/>
        </w:rPr>
        <w:t>Z</w:t>
      </w:r>
      <w:r w:rsidRPr="005C3D3F">
        <w:rPr>
          <w:sz w:val="24"/>
          <w:lang w:val="pl-PL"/>
        </w:rPr>
        <w:t>ysk netto w ujęciu kwartalnym wyniósł 298 mln euro (320 mln euro</w:t>
      </w:r>
      <w:r w:rsidRPr="005C3D3F">
        <w:rPr>
          <w:color w:val="000000"/>
          <w:sz w:val="24"/>
          <w:lang w:val="pl-PL"/>
        </w:rPr>
        <w:t xml:space="preserve"> w czwartym kwartale 2013 r.)</w:t>
      </w:r>
      <w:r w:rsidR="002024D4">
        <w:rPr>
          <w:color w:val="000000"/>
          <w:sz w:val="24"/>
          <w:lang w:val="pl-PL"/>
        </w:rPr>
        <w:t>, p</w:t>
      </w:r>
      <w:r w:rsidR="002024D4" w:rsidRPr="005C3D3F">
        <w:rPr>
          <w:sz w:val="24"/>
          <w:lang w:val="pl-PL"/>
        </w:rPr>
        <w:t xml:space="preserve">o wyłączeniu </w:t>
      </w:r>
      <w:r w:rsidR="002024D4">
        <w:rPr>
          <w:sz w:val="24"/>
          <w:lang w:val="pl-PL"/>
        </w:rPr>
        <w:t xml:space="preserve">zysku przypadającego na </w:t>
      </w:r>
      <w:r w:rsidR="002024D4">
        <w:rPr>
          <w:color w:val="000000"/>
          <w:sz w:val="24"/>
          <w:lang w:val="pl-PL"/>
        </w:rPr>
        <w:t xml:space="preserve">akcjonariuszy </w:t>
      </w:r>
      <w:r w:rsidR="002024D4" w:rsidRPr="005C3D3F">
        <w:rPr>
          <w:color w:val="000000"/>
          <w:sz w:val="24"/>
          <w:lang w:val="pl-PL"/>
        </w:rPr>
        <w:t>niesprawując</w:t>
      </w:r>
      <w:r w:rsidR="002024D4">
        <w:rPr>
          <w:color w:val="000000"/>
          <w:sz w:val="24"/>
          <w:lang w:val="pl-PL"/>
        </w:rPr>
        <w:t>ych</w:t>
      </w:r>
      <w:r w:rsidR="002024D4" w:rsidRPr="005C3D3F">
        <w:rPr>
          <w:color w:val="000000"/>
          <w:sz w:val="24"/>
          <w:lang w:val="pl-PL"/>
        </w:rPr>
        <w:t xml:space="preserve"> kontroli</w:t>
      </w:r>
      <w:r w:rsidR="002024D4" w:rsidRPr="005C3D3F">
        <w:rPr>
          <w:sz w:val="24"/>
          <w:lang w:val="pl-PL"/>
        </w:rPr>
        <w:t xml:space="preserve"> w kwocie 12 mln euro</w:t>
      </w:r>
      <w:r w:rsidRPr="005C3D3F">
        <w:rPr>
          <w:color w:val="000000"/>
          <w:sz w:val="24"/>
          <w:lang w:val="pl-PL"/>
        </w:rPr>
        <w:t xml:space="preserve">. </w:t>
      </w:r>
      <w:r w:rsidRPr="005C3D3F">
        <w:rPr>
          <w:b/>
          <w:color w:val="000000"/>
          <w:sz w:val="24"/>
          <w:lang w:val="pl-PL"/>
        </w:rPr>
        <w:t xml:space="preserve">Zysk na akcję uprzywilejowaną </w:t>
      </w:r>
      <w:r w:rsidRPr="005C3D3F">
        <w:rPr>
          <w:color w:val="000000"/>
          <w:sz w:val="24"/>
          <w:lang w:val="pl-PL"/>
        </w:rPr>
        <w:t xml:space="preserve">(EPS) wyniósł 0,69 euro, </w:t>
      </w:r>
      <w:r w:rsidR="00E64CD5">
        <w:rPr>
          <w:color w:val="000000"/>
          <w:sz w:val="24"/>
          <w:lang w:val="pl-PL"/>
        </w:rPr>
        <w:br/>
      </w:r>
      <w:r w:rsidRPr="005C3D3F">
        <w:rPr>
          <w:color w:val="000000"/>
          <w:sz w:val="24"/>
          <w:lang w:val="pl-PL"/>
        </w:rPr>
        <w:t>w porównaniu z 0,74 euro w czwartym kwartale 2013 r., natomiast skorygowany zysk na akcję uprzywilejowaną wzrósł w ujęciu rok do roku o 7,4% − z 0,94 euro do 1,01 euro.</w:t>
      </w:r>
    </w:p>
    <w:p w:rsidR="00A836AA" w:rsidRPr="005C3D3F" w:rsidRDefault="00A836AA">
      <w:pPr>
        <w:autoSpaceDE w:val="0"/>
        <w:autoSpaceDN w:val="0"/>
        <w:adjustRightInd w:val="0"/>
        <w:spacing w:line="360" w:lineRule="auto"/>
        <w:jc w:val="both"/>
        <w:rPr>
          <w:sz w:val="24"/>
          <w:lang w:val="pl-PL"/>
        </w:rPr>
      </w:pPr>
    </w:p>
    <w:p w:rsidR="00525C9A" w:rsidRPr="005C3D3F" w:rsidRDefault="00525C9A">
      <w:pPr>
        <w:spacing w:line="360" w:lineRule="auto"/>
        <w:jc w:val="both"/>
        <w:rPr>
          <w:b/>
          <w:sz w:val="24"/>
          <w:lang w:val="pl-PL"/>
        </w:rPr>
      </w:pPr>
      <w:r w:rsidRPr="005C3D3F">
        <w:rPr>
          <w:b/>
          <w:sz w:val="24"/>
          <w:lang w:val="pl-PL"/>
        </w:rPr>
        <w:t>Postępy w realizacji strategii</w:t>
      </w:r>
    </w:p>
    <w:p w:rsidR="00525C9A" w:rsidRPr="005C3D3F" w:rsidRDefault="00525C9A">
      <w:pPr>
        <w:spacing w:line="360" w:lineRule="auto"/>
        <w:jc w:val="both"/>
        <w:rPr>
          <w:sz w:val="24"/>
          <w:lang w:val="pl-PL"/>
        </w:rPr>
      </w:pPr>
    </w:p>
    <w:p w:rsidR="00525C9A" w:rsidRPr="005C3D3F" w:rsidRDefault="00525C9A">
      <w:pPr>
        <w:spacing w:line="360" w:lineRule="auto"/>
        <w:jc w:val="both"/>
        <w:rPr>
          <w:color w:val="000000"/>
          <w:sz w:val="24"/>
          <w:lang w:val="pl-PL"/>
        </w:rPr>
      </w:pPr>
      <w:r w:rsidRPr="005C3D3F">
        <w:rPr>
          <w:sz w:val="24"/>
          <w:lang w:val="pl-PL"/>
        </w:rPr>
        <w:t xml:space="preserve">W roku obrotowym 2014 Henkel osiągnął znaczne postępy we wdrażaniu wszystkich czterech priorytetowych celów strategii </w:t>
      </w:r>
      <w:r w:rsidR="00425632">
        <w:rPr>
          <w:sz w:val="24"/>
          <w:lang w:val="pl-PL"/>
        </w:rPr>
        <w:t xml:space="preserve">na rok </w:t>
      </w:r>
      <w:r w:rsidRPr="005C3D3F">
        <w:rPr>
          <w:sz w:val="24"/>
          <w:lang w:val="pl-PL"/>
        </w:rPr>
        <w:t>2016. Te cele to:</w:t>
      </w:r>
      <w:r w:rsidR="005C3D3F">
        <w:rPr>
          <w:sz w:val="24"/>
          <w:lang w:val="pl-PL"/>
        </w:rPr>
        <w:t xml:space="preserve"> </w:t>
      </w:r>
      <w:r w:rsidR="00727B91">
        <w:rPr>
          <w:sz w:val="24"/>
          <w:lang w:val="pl-PL"/>
        </w:rPr>
        <w:t>zdystansować</w:t>
      </w:r>
      <w:r w:rsidR="00425632">
        <w:rPr>
          <w:color w:val="000000"/>
          <w:sz w:val="24"/>
          <w:lang w:val="pl-PL"/>
        </w:rPr>
        <w:t xml:space="preserve"> </w:t>
      </w:r>
      <w:r w:rsidRPr="005C3D3F">
        <w:rPr>
          <w:color w:val="000000"/>
          <w:sz w:val="24"/>
          <w:lang w:val="pl-PL"/>
        </w:rPr>
        <w:t>konkurencj</w:t>
      </w:r>
      <w:r w:rsidR="00727B91">
        <w:rPr>
          <w:color w:val="000000"/>
          <w:sz w:val="24"/>
          <w:lang w:val="pl-PL"/>
        </w:rPr>
        <w:t>ę</w:t>
      </w:r>
      <w:r w:rsidRPr="005C3D3F">
        <w:rPr>
          <w:color w:val="000000"/>
          <w:sz w:val="24"/>
          <w:lang w:val="pl-PL"/>
        </w:rPr>
        <w:t xml:space="preserve">, </w:t>
      </w:r>
      <w:r w:rsidR="00727B91">
        <w:rPr>
          <w:color w:val="000000"/>
          <w:sz w:val="24"/>
          <w:lang w:val="pl-PL"/>
        </w:rPr>
        <w:t>działać globalnie</w:t>
      </w:r>
      <w:r w:rsidRPr="005C3D3F">
        <w:rPr>
          <w:color w:val="000000"/>
          <w:sz w:val="24"/>
          <w:lang w:val="pl-PL"/>
        </w:rPr>
        <w:t>, upraszcza</w:t>
      </w:r>
      <w:r w:rsidR="00727B91">
        <w:rPr>
          <w:color w:val="000000"/>
          <w:sz w:val="24"/>
          <w:lang w:val="pl-PL"/>
        </w:rPr>
        <w:t>ć</w:t>
      </w:r>
      <w:r w:rsidRPr="005C3D3F">
        <w:rPr>
          <w:color w:val="000000"/>
          <w:sz w:val="24"/>
          <w:lang w:val="pl-PL"/>
        </w:rPr>
        <w:t xml:space="preserve"> </w:t>
      </w:r>
      <w:r w:rsidR="00727B91">
        <w:rPr>
          <w:color w:val="000000"/>
          <w:sz w:val="24"/>
          <w:lang w:val="pl-PL"/>
        </w:rPr>
        <w:t xml:space="preserve">procesy </w:t>
      </w:r>
      <w:r w:rsidRPr="005C3D3F">
        <w:rPr>
          <w:color w:val="000000"/>
          <w:sz w:val="24"/>
          <w:lang w:val="pl-PL"/>
        </w:rPr>
        <w:t xml:space="preserve">oraz </w:t>
      </w:r>
      <w:r w:rsidR="00727B91">
        <w:rPr>
          <w:color w:val="000000"/>
          <w:sz w:val="24"/>
          <w:lang w:val="pl-PL"/>
        </w:rPr>
        <w:t>inspirować</w:t>
      </w:r>
      <w:r w:rsidRPr="005C3D3F">
        <w:rPr>
          <w:color w:val="000000"/>
          <w:sz w:val="24"/>
          <w:lang w:val="pl-PL"/>
        </w:rPr>
        <w:t xml:space="preserve"> pracowników.</w:t>
      </w:r>
    </w:p>
    <w:p w:rsidR="00525C9A" w:rsidRPr="005C3D3F" w:rsidRDefault="00525C9A">
      <w:pPr>
        <w:spacing w:line="360" w:lineRule="auto"/>
        <w:jc w:val="both"/>
        <w:rPr>
          <w:b/>
          <w:color w:val="000000"/>
          <w:sz w:val="24"/>
          <w:lang w:val="pl-PL"/>
        </w:rPr>
      </w:pPr>
    </w:p>
    <w:p w:rsidR="00525C9A" w:rsidRPr="005C3D3F" w:rsidRDefault="00525C9A">
      <w:pPr>
        <w:spacing w:line="360" w:lineRule="auto"/>
        <w:jc w:val="both"/>
        <w:rPr>
          <w:color w:val="000000"/>
          <w:sz w:val="24"/>
          <w:lang w:val="pl-PL"/>
        </w:rPr>
      </w:pPr>
      <w:r w:rsidRPr="005C3D3F">
        <w:rPr>
          <w:b/>
          <w:color w:val="000000"/>
          <w:sz w:val="24"/>
          <w:lang w:val="pl-PL"/>
        </w:rPr>
        <w:t xml:space="preserve">1. </w:t>
      </w:r>
      <w:r w:rsidR="00727B91">
        <w:rPr>
          <w:b/>
          <w:color w:val="000000"/>
          <w:sz w:val="24"/>
          <w:lang w:val="pl-PL"/>
        </w:rPr>
        <w:t>Outperform: zdystansować</w:t>
      </w:r>
      <w:r w:rsidR="00425632">
        <w:rPr>
          <w:b/>
          <w:color w:val="000000"/>
          <w:sz w:val="24"/>
          <w:lang w:val="pl-PL"/>
        </w:rPr>
        <w:t xml:space="preserve"> konkurencj</w:t>
      </w:r>
      <w:r w:rsidR="00727B91">
        <w:rPr>
          <w:b/>
          <w:color w:val="000000"/>
          <w:sz w:val="24"/>
          <w:lang w:val="pl-PL"/>
        </w:rPr>
        <w:t>ę</w:t>
      </w:r>
    </w:p>
    <w:p w:rsidR="00525C9A" w:rsidRPr="005C3D3F" w:rsidRDefault="00525C9A" w:rsidP="00525C9A">
      <w:pPr>
        <w:autoSpaceDE w:val="0"/>
        <w:autoSpaceDN w:val="0"/>
        <w:adjustRightInd w:val="0"/>
        <w:spacing w:line="360" w:lineRule="auto"/>
        <w:jc w:val="both"/>
        <w:rPr>
          <w:color w:val="000000"/>
          <w:sz w:val="24"/>
          <w:lang w:val="pl-PL"/>
        </w:rPr>
      </w:pPr>
    </w:p>
    <w:p w:rsidR="00525C9A" w:rsidRPr="005C3D3F" w:rsidRDefault="00525C9A" w:rsidP="00525C9A">
      <w:pPr>
        <w:autoSpaceDE w:val="0"/>
        <w:autoSpaceDN w:val="0"/>
        <w:adjustRightInd w:val="0"/>
        <w:spacing w:line="360" w:lineRule="auto"/>
        <w:jc w:val="both"/>
        <w:rPr>
          <w:color w:val="000000"/>
          <w:sz w:val="24"/>
          <w:lang w:val="pl-PL"/>
        </w:rPr>
      </w:pPr>
      <w:r w:rsidRPr="005C3D3F">
        <w:rPr>
          <w:color w:val="000000"/>
          <w:sz w:val="24"/>
          <w:lang w:val="pl-PL"/>
        </w:rPr>
        <w:t xml:space="preserve">W 2014 r. Henkel podejmował dalsze działania mające na celu umocnienie pozycji głównych marek. Łączne przychody ze sprzedaży produktów Persil, Schwarzkopf i Loctite − trzech najważniejszych marek Henkel − wyniosły ok. 5 mld euro. Udział dziesięciu największych marek w przychodach ze sprzedaży wzrósł z 57% do 59%, </w:t>
      </w:r>
      <w:r w:rsidR="00E64CD5">
        <w:rPr>
          <w:color w:val="000000"/>
          <w:sz w:val="24"/>
          <w:lang w:val="pl-PL"/>
        </w:rPr>
        <w:br/>
      </w:r>
      <w:r w:rsidRPr="005C3D3F">
        <w:rPr>
          <w:color w:val="000000"/>
          <w:sz w:val="24"/>
          <w:lang w:val="pl-PL"/>
        </w:rPr>
        <w:t xml:space="preserve">a docelowo – w perspektywie 2016 r. – zakładany jest jego dalszy wzrost do 60%. Jednym z czynników decydujących o sukcesie firmy były efektywne innowacje produktowe wdrażane w wszystkich </w:t>
      </w:r>
      <w:r w:rsidR="00727B91">
        <w:rPr>
          <w:color w:val="000000"/>
          <w:sz w:val="24"/>
          <w:lang w:val="pl-PL"/>
        </w:rPr>
        <w:t xml:space="preserve">trzech sektorach </w:t>
      </w:r>
      <w:r w:rsidRPr="005C3D3F">
        <w:rPr>
          <w:color w:val="000000"/>
          <w:sz w:val="24"/>
          <w:lang w:val="pl-PL"/>
        </w:rPr>
        <w:t>działalności</w:t>
      </w:r>
      <w:r w:rsidR="00727B91">
        <w:rPr>
          <w:color w:val="000000"/>
          <w:sz w:val="24"/>
          <w:lang w:val="pl-PL"/>
        </w:rPr>
        <w:t xml:space="preserve"> firmy</w:t>
      </w:r>
      <w:r w:rsidRPr="005C3D3F">
        <w:rPr>
          <w:color w:val="000000"/>
          <w:sz w:val="24"/>
          <w:lang w:val="pl-PL"/>
        </w:rPr>
        <w:t xml:space="preserve">. W 2014 r. w segmencie dóbr konsumenckich (działy Laundry &amp; Home Care oraz Beauty Care) ponad 45% przychodów </w:t>
      </w:r>
      <w:r w:rsidR="00727B91">
        <w:rPr>
          <w:color w:val="000000"/>
          <w:sz w:val="24"/>
          <w:lang w:val="pl-PL"/>
        </w:rPr>
        <w:t>pochodziło ze</w:t>
      </w:r>
      <w:r w:rsidR="00EF7CD3" w:rsidRPr="005C3D3F">
        <w:rPr>
          <w:color w:val="000000"/>
          <w:sz w:val="24"/>
          <w:lang w:val="pl-PL"/>
        </w:rPr>
        <w:t xml:space="preserve"> </w:t>
      </w:r>
      <w:r w:rsidRPr="005C3D3F">
        <w:rPr>
          <w:color w:val="000000"/>
          <w:sz w:val="24"/>
          <w:lang w:val="pl-PL"/>
        </w:rPr>
        <w:t>sprzedaży produktów wprowadzonych na rynek w ciągu ostatnich trzech lat. Z kolei w segmencie Adhesive Technologies produkty obecne na rynku nie dłużej niż pięć lat były źródłem ponad 30% przychodów ze sprzedaży. W 2014 r. Henkel wzmacniał relacje z głównymi klientami detaliczn</w:t>
      </w:r>
      <w:r w:rsidR="00727B91">
        <w:rPr>
          <w:color w:val="000000"/>
          <w:sz w:val="24"/>
          <w:lang w:val="pl-PL"/>
        </w:rPr>
        <w:t>ymi i przemysłowymi, dążąc do</w:t>
      </w:r>
      <w:r w:rsidRPr="005C3D3F">
        <w:rPr>
          <w:color w:val="000000"/>
          <w:sz w:val="24"/>
          <w:lang w:val="pl-PL"/>
        </w:rPr>
        <w:t xml:space="preserve"> zwiększenia ich udziału w strukturze przychodów.</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autoSpaceDE w:val="0"/>
        <w:autoSpaceDN w:val="0"/>
        <w:adjustRightInd w:val="0"/>
        <w:spacing w:line="360" w:lineRule="auto"/>
        <w:jc w:val="both"/>
        <w:rPr>
          <w:sz w:val="24"/>
          <w:lang w:val="pl-PL"/>
        </w:rPr>
      </w:pPr>
      <w:r w:rsidRPr="005C3D3F">
        <w:rPr>
          <w:b/>
          <w:sz w:val="24"/>
          <w:lang w:val="pl-PL"/>
        </w:rPr>
        <w:t xml:space="preserve">2. </w:t>
      </w:r>
      <w:r w:rsidR="00727B91">
        <w:rPr>
          <w:b/>
          <w:sz w:val="24"/>
          <w:lang w:val="pl-PL"/>
        </w:rPr>
        <w:t>Globalize: działać globalnie</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color w:val="000000"/>
          <w:sz w:val="24"/>
          <w:lang w:val="pl-PL"/>
        </w:rPr>
        <w:t xml:space="preserve">Henkel stawia sobie za cel poszukiwanie i wykorzystywanie możliwości rozwoju na całym świecie. Pomimo </w:t>
      </w:r>
      <w:r w:rsidR="00727B91">
        <w:rPr>
          <w:color w:val="000000"/>
          <w:sz w:val="24"/>
          <w:lang w:val="pl-PL"/>
        </w:rPr>
        <w:t>rynkowej</w:t>
      </w:r>
      <w:r w:rsidRPr="005C3D3F">
        <w:rPr>
          <w:color w:val="000000"/>
          <w:sz w:val="24"/>
          <w:lang w:val="pl-PL"/>
        </w:rPr>
        <w:t xml:space="preserve"> zmienności i niekorzystnego wpływu kursów walutowych, Henkel zamierza rozwijać działalność na rynkach wschodzących, równocześnie wzmacniając swoją pozycję na rynkach rozwiniętych. W 2014 r. przychody ze sprzedaży na rynkach wschodzących wzrosły w ujęciu organicznym o 7,8%, jednak ich udział w łącznych przychodach utrzymał się na niezmienionym poziomie 44% ze względu na osłabienie kursów walut krajów z tego regionu. W tym samym okresie na rynkach rozwiniętych odnotowano nieznaczny wzrost w ujęciu organicznym w stosunku do 2013 r. W minionym roku Henkel rozszerzył zasięg działalności poprzez szereg strategicznych przejęć o łącznej wartości ok. 1,8 mld euro. Poprzez zakup Spotless Group Henkel wzmocnił swoją pozycję w segmencie Laundry &amp; Home Care na rynkach Europy Zachodniej. Natomiast przejęcie trzech amerykańskich producentów profesjonalnych kosmetyków do pielęgnacji włosów sprawiło, że Henkel stał się jednym z trzech kluczowych graczy na największym na świecie rynku kosmetyków do pielęgnacji włosów.</w:t>
      </w:r>
      <w:r w:rsidR="005C3D3F" w:rsidRPr="005C3D3F">
        <w:rPr>
          <w:color w:val="000000"/>
          <w:sz w:val="24"/>
          <w:lang w:val="pl-PL"/>
        </w:rPr>
        <w:t xml:space="preserve"> </w:t>
      </w:r>
      <w:r w:rsidRPr="005C3D3F">
        <w:rPr>
          <w:color w:val="000000"/>
          <w:sz w:val="24"/>
          <w:lang w:val="pl-PL"/>
        </w:rPr>
        <w:t>Ponadto, dzięki przejęciu amerykańskiej spółki Bergquist Henkel będzie mógł oferować klientom na całym świecie najnowocześniejsze rozwiązania z dziedziny zarządzania ciepłem (thermal management).</w:t>
      </w:r>
    </w:p>
    <w:p w:rsidR="00525C9A" w:rsidRPr="005C3D3F" w:rsidRDefault="00E64CD5">
      <w:pPr>
        <w:autoSpaceDE w:val="0"/>
        <w:autoSpaceDN w:val="0"/>
        <w:adjustRightInd w:val="0"/>
        <w:spacing w:line="360" w:lineRule="auto"/>
        <w:jc w:val="both"/>
        <w:rPr>
          <w:color w:val="000000"/>
          <w:sz w:val="24"/>
          <w:lang w:val="pl-PL"/>
        </w:rPr>
      </w:pPr>
      <w:r>
        <w:rPr>
          <w:noProof/>
          <w:lang w:val="pl-PL" w:eastAsia="pl-PL"/>
        </w:rPr>
        <mc:AlternateContent>
          <mc:Choice Requires="wps">
            <w:drawing>
              <wp:anchor distT="0" distB="0" distL="114300" distR="114300" simplePos="0" relativeHeight="251657728" behindDoc="0" locked="0" layoutInCell="1" allowOverlap="1">
                <wp:simplePos x="0" y="0"/>
                <wp:positionH relativeFrom="column">
                  <wp:posOffset>4572000</wp:posOffset>
                </wp:positionH>
                <wp:positionV relativeFrom="paragraph">
                  <wp:posOffset>18154650</wp:posOffset>
                </wp:positionV>
                <wp:extent cx="484505" cy="484505"/>
                <wp:effectExtent l="5080" t="13335" r="5715"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484505"/>
                        </a:xfrm>
                        <a:prstGeom prst="rect">
                          <a:avLst/>
                        </a:prstGeom>
                        <a:solidFill>
                          <a:srgbClr val="FFFFFF"/>
                        </a:solidFill>
                        <a:ln w="9525">
                          <a:solidFill>
                            <a:srgbClr val="000000"/>
                          </a:solidFill>
                          <a:miter lim="800000"/>
                          <a:headEnd/>
                          <a:tailEnd/>
                        </a:ln>
                      </wps:spPr>
                      <wps:txbx>
                        <w:txbxContent>
                          <w:p w:rsidR="00525C9A" w:rsidRDefault="00525C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in;margin-top:1429.5pt;width:38.15pt;height:3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">
                <v:textbox>
                  <w:txbxContent>
                    <w:p w:rsidR="00525C9A" w:rsidRDefault="00525C9A"/>
                  </w:txbxContent>
                </v:textbox>
              </v:shape>
            </w:pict>
          </mc:Fallback>
        </mc:AlternateContent>
      </w:r>
    </w:p>
    <w:p w:rsidR="00525C9A" w:rsidRPr="005C3D3F" w:rsidRDefault="00525C9A">
      <w:pPr>
        <w:autoSpaceDE w:val="0"/>
        <w:autoSpaceDN w:val="0"/>
        <w:adjustRightInd w:val="0"/>
        <w:spacing w:line="360" w:lineRule="auto"/>
        <w:jc w:val="both"/>
        <w:rPr>
          <w:color w:val="000000"/>
          <w:sz w:val="24"/>
          <w:lang w:val="pl-PL"/>
        </w:rPr>
      </w:pPr>
      <w:r w:rsidRPr="005C3D3F">
        <w:rPr>
          <w:b/>
          <w:sz w:val="24"/>
          <w:lang w:val="pl-PL"/>
        </w:rPr>
        <w:t xml:space="preserve">3. </w:t>
      </w:r>
      <w:r w:rsidR="00727B91">
        <w:rPr>
          <w:b/>
          <w:sz w:val="24"/>
          <w:lang w:val="pl-PL"/>
        </w:rPr>
        <w:t>Simplify: u</w:t>
      </w:r>
      <w:r w:rsidRPr="005C3D3F">
        <w:rPr>
          <w:b/>
          <w:sz w:val="24"/>
          <w:lang w:val="pl-PL"/>
        </w:rPr>
        <w:t>praszcza</w:t>
      </w:r>
      <w:r w:rsidR="00727B91">
        <w:rPr>
          <w:b/>
          <w:sz w:val="24"/>
          <w:lang w:val="pl-PL"/>
        </w:rPr>
        <w:t>ć</w:t>
      </w:r>
      <w:r w:rsidRPr="005C3D3F">
        <w:rPr>
          <w:b/>
          <w:sz w:val="24"/>
          <w:lang w:val="pl-PL"/>
        </w:rPr>
        <w:t xml:space="preserve"> proces</w:t>
      </w:r>
      <w:r w:rsidR="00727B91">
        <w:rPr>
          <w:b/>
          <w:sz w:val="24"/>
          <w:lang w:val="pl-PL"/>
        </w:rPr>
        <w:t>y</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color w:val="000000"/>
          <w:sz w:val="24"/>
          <w:lang w:val="pl-PL"/>
        </w:rPr>
        <w:t xml:space="preserve">Henkel nieustannie dąży do poprawy efektywności, kładąc coraz większy nacisk na standaryzację, cyfryzację i usprawnianie procesów. W 2014 r. Henkel kontynuował </w:t>
      </w:r>
      <w:r w:rsidR="00727B91">
        <w:rPr>
          <w:color w:val="000000"/>
          <w:sz w:val="24"/>
          <w:lang w:val="pl-PL"/>
        </w:rPr>
        <w:t>tworzenie</w:t>
      </w:r>
      <w:r w:rsidRPr="005C3D3F">
        <w:rPr>
          <w:color w:val="000000"/>
          <w:sz w:val="24"/>
          <w:lang w:val="pl-PL"/>
        </w:rPr>
        <w:t xml:space="preserve"> standaryzowanych i skalowalnych platform mających za zadanie usprawnienie i zwiększenie efektywności procesów biznesowych. Rozpoczęto między innymi wdrażanie zintegrowanej platformy SAP w Europie, po zakończonej powodzeniem integracji systemowej w Azji w 2014 r. Ponad 45 tys. użytkowników przeniesiono do nowego cyfrowego środowiska pracy, co ma zapewnić lepszą współpracę i ułatwić komunikację pomiędzy pracownikami Henk</w:t>
      </w:r>
      <w:r w:rsidR="009F58B9">
        <w:rPr>
          <w:color w:val="000000"/>
          <w:sz w:val="24"/>
          <w:lang w:val="pl-PL"/>
        </w:rPr>
        <w:t>la na</w:t>
      </w:r>
      <w:r w:rsidRPr="005C3D3F">
        <w:rPr>
          <w:color w:val="000000"/>
          <w:sz w:val="24"/>
          <w:lang w:val="pl-PL"/>
        </w:rPr>
        <w:t xml:space="preserve"> cał</w:t>
      </w:r>
      <w:r w:rsidR="009F58B9">
        <w:rPr>
          <w:color w:val="000000"/>
          <w:sz w:val="24"/>
          <w:lang w:val="pl-PL"/>
        </w:rPr>
        <w:t>ym</w:t>
      </w:r>
      <w:r w:rsidRPr="005C3D3F">
        <w:rPr>
          <w:color w:val="000000"/>
          <w:sz w:val="24"/>
          <w:lang w:val="pl-PL"/>
        </w:rPr>
        <w:t xml:space="preserve"> świ</w:t>
      </w:r>
      <w:r w:rsidR="009F58B9">
        <w:rPr>
          <w:color w:val="000000"/>
          <w:sz w:val="24"/>
          <w:lang w:val="pl-PL"/>
        </w:rPr>
        <w:t>ecie</w:t>
      </w:r>
      <w:r w:rsidRPr="005C3D3F">
        <w:rPr>
          <w:color w:val="000000"/>
          <w:sz w:val="24"/>
          <w:lang w:val="pl-PL"/>
        </w:rPr>
        <w:t xml:space="preserve">. </w:t>
      </w:r>
      <w:r w:rsidR="00E64CD5">
        <w:rPr>
          <w:color w:val="000000"/>
          <w:sz w:val="24"/>
          <w:lang w:val="pl-PL"/>
        </w:rPr>
        <w:br/>
      </w:r>
      <w:r w:rsidRPr="005C3D3F">
        <w:rPr>
          <w:color w:val="000000"/>
          <w:sz w:val="24"/>
          <w:lang w:val="pl-PL"/>
        </w:rPr>
        <w:t>W 2014 r. spółka rozpoczęła także proces</w:t>
      </w:r>
      <w:r w:rsidR="009F58B9">
        <w:rPr>
          <w:color w:val="000000"/>
          <w:sz w:val="24"/>
          <w:lang w:val="pl-PL"/>
        </w:rPr>
        <w:t xml:space="preserve">y integracyjne w ramach </w:t>
      </w:r>
      <w:r w:rsidRPr="005C3D3F">
        <w:rPr>
          <w:color w:val="000000"/>
          <w:sz w:val="24"/>
          <w:lang w:val="pl-PL"/>
        </w:rPr>
        <w:t>łańcuch</w:t>
      </w:r>
      <w:r w:rsidR="009F58B9">
        <w:rPr>
          <w:color w:val="000000"/>
          <w:sz w:val="24"/>
          <w:lang w:val="pl-PL"/>
        </w:rPr>
        <w:t>a</w:t>
      </w:r>
      <w:r w:rsidRPr="005C3D3F">
        <w:rPr>
          <w:color w:val="000000"/>
          <w:sz w:val="24"/>
          <w:lang w:val="pl-PL"/>
        </w:rPr>
        <w:t xml:space="preserve"> dostaw i rozszerzyła sieć globalnych centrów zakupowych.</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autoSpaceDE w:val="0"/>
        <w:autoSpaceDN w:val="0"/>
        <w:adjustRightInd w:val="0"/>
        <w:spacing w:line="360" w:lineRule="auto"/>
        <w:jc w:val="both"/>
        <w:rPr>
          <w:b/>
          <w:sz w:val="24"/>
          <w:lang w:val="pl-PL"/>
        </w:rPr>
      </w:pPr>
      <w:r w:rsidRPr="005C3D3F">
        <w:rPr>
          <w:b/>
          <w:sz w:val="24"/>
          <w:lang w:val="pl-PL"/>
        </w:rPr>
        <w:t>4. Inspir</w:t>
      </w:r>
      <w:r w:rsidR="00727B91">
        <w:rPr>
          <w:b/>
          <w:sz w:val="24"/>
          <w:lang w:val="pl-PL"/>
        </w:rPr>
        <w:t xml:space="preserve">e: </w:t>
      </w:r>
      <w:r w:rsidRPr="005C3D3F">
        <w:rPr>
          <w:b/>
          <w:sz w:val="24"/>
          <w:lang w:val="pl-PL"/>
        </w:rPr>
        <w:t>budowa</w:t>
      </w:r>
      <w:r w:rsidR="00727B91">
        <w:rPr>
          <w:b/>
          <w:sz w:val="24"/>
          <w:lang w:val="pl-PL"/>
        </w:rPr>
        <w:t>ć</w:t>
      </w:r>
      <w:r w:rsidRPr="005C3D3F">
        <w:rPr>
          <w:b/>
          <w:sz w:val="24"/>
          <w:lang w:val="pl-PL"/>
        </w:rPr>
        <w:t xml:space="preserve"> siln</w:t>
      </w:r>
      <w:r w:rsidR="00727B91">
        <w:rPr>
          <w:b/>
          <w:sz w:val="24"/>
          <w:lang w:val="pl-PL"/>
        </w:rPr>
        <w:t>y</w:t>
      </w:r>
      <w:r w:rsidRPr="005C3D3F">
        <w:rPr>
          <w:b/>
          <w:sz w:val="24"/>
          <w:lang w:val="pl-PL"/>
        </w:rPr>
        <w:t xml:space="preserve"> międzynarodow</w:t>
      </w:r>
      <w:r w:rsidR="00727B91">
        <w:rPr>
          <w:b/>
          <w:sz w:val="24"/>
          <w:lang w:val="pl-PL"/>
        </w:rPr>
        <w:t>y</w:t>
      </w:r>
      <w:r w:rsidRPr="005C3D3F">
        <w:rPr>
          <w:b/>
          <w:sz w:val="24"/>
          <w:lang w:val="pl-PL"/>
        </w:rPr>
        <w:t xml:space="preserve"> zesp</w:t>
      </w:r>
      <w:r w:rsidR="00727B91">
        <w:rPr>
          <w:b/>
          <w:sz w:val="24"/>
          <w:lang w:val="pl-PL"/>
        </w:rPr>
        <w:t>ół</w:t>
      </w:r>
    </w:p>
    <w:p w:rsidR="00525C9A" w:rsidRPr="005C3D3F" w:rsidRDefault="00525C9A">
      <w:pPr>
        <w:autoSpaceDE w:val="0"/>
        <w:autoSpaceDN w:val="0"/>
        <w:adjustRightInd w:val="0"/>
        <w:spacing w:line="360" w:lineRule="auto"/>
        <w:jc w:val="both"/>
        <w:rPr>
          <w:color w:val="000000"/>
          <w:sz w:val="24"/>
          <w:lang w:val="pl-PL"/>
        </w:rPr>
      </w:pPr>
    </w:p>
    <w:p w:rsidR="00525C9A" w:rsidRPr="005C3D3F" w:rsidRDefault="00525C9A">
      <w:pPr>
        <w:spacing w:line="360" w:lineRule="auto"/>
        <w:jc w:val="both"/>
        <w:rPr>
          <w:color w:val="000000"/>
          <w:sz w:val="24"/>
          <w:lang w:val="pl-PL"/>
        </w:rPr>
      </w:pPr>
      <w:r w:rsidRPr="005C3D3F">
        <w:rPr>
          <w:color w:val="000000"/>
          <w:sz w:val="24"/>
          <w:lang w:val="pl-PL"/>
        </w:rPr>
        <w:t xml:space="preserve">Ponieważ sukces firmy Henkel </w:t>
      </w:r>
      <w:r w:rsidR="009F58B9">
        <w:rPr>
          <w:color w:val="000000"/>
          <w:sz w:val="24"/>
          <w:lang w:val="pl-PL"/>
        </w:rPr>
        <w:t>zależy od skuteczności działania i  siły</w:t>
      </w:r>
      <w:r w:rsidRPr="005C3D3F">
        <w:rPr>
          <w:color w:val="000000"/>
          <w:sz w:val="24"/>
          <w:lang w:val="pl-PL"/>
        </w:rPr>
        <w:t xml:space="preserve"> międzynarodowego zespołu, spółka kładzie szczególny nac</w:t>
      </w:r>
      <w:r w:rsidR="009F58B9">
        <w:rPr>
          <w:color w:val="000000"/>
          <w:sz w:val="24"/>
          <w:lang w:val="pl-PL"/>
        </w:rPr>
        <w:t>isk na pozyskiwanie, rozwój i u</w:t>
      </w:r>
      <w:r w:rsidRPr="005C3D3F">
        <w:rPr>
          <w:color w:val="000000"/>
          <w:sz w:val="24"/>
          <w:lang w:val="pl-PL"/>
        </w:rPr>
        <w:t xml:space="preserve">trzymywanie utalentowanych pracowników, w szczególności na rynkach wschodzących, korzystając w tym celu ze specjalnie opracowanych programów. Jednocześnie Henkel prowadzi nieustanne działania mające na celu doskonalenie i wzmocnienie </w:t>
      </w:r>
      <w:r w:rsidR="009F58B9">
        <w:rPr>
          <w:color w:val="000000"/>
          <w:sz w:val="24"/>
          <w:lang w:val="pl-PL"/>
        </w:rPr>
        <w:t>kadry menadżerskiej</w:t>
      </w:r>
      <w:r w:rsidRPr="005C3D3F">
        <w:rPr>
          <w:color w:val="000000"/>
          <w:sz w:val="24"/>
          <w:lang w:val="pl-PL"/>
        </w:rPr>
        <w:t xml:space="preserve"> oraz </w:t>
      </w:r>
      <w:r w:rsidR="009F58B9">
        <w:rPr>
          <w:color w:val="000000"/>
          <w:sz w:val="24"/>
          <w:lang w:val="pl-PL"/>
        </w:rPr>
        <w:t xml:space="preserve">promuje osiąganie doskonałych wyników pracy. </w:t>
      </w:r>
      <w:r w:rsidRPr="005C3D3F">
        <w:rPr>
          <w:color w:val="000000"/>
          <w:sz w:val="24"/>
          <w:lang w:val="pl-PL"/>
        </w:rPr>
        <w:t>O skuteczności tego podejścia świadczy fakt, że w 2014 r. awans otrzymało około 1150 pracowników. Jednym z czynników decydujących o sukcesie międzynarodowej firmy jest zróżnicowana kadra, tworzona przez ludzi wywodzących się z różnych kultur i posiadających różne doświadczenia zawodowe</w:t>
      </w:r>
      <w:r w:rsidR="009F58B9">
        <w:rPr>
          <w:color w:val="000000"/>
          <w:sz w:val="24"/>
          <w:lang w:val="pl-PL"/>
        </w:rPr>
        <w:t xml:space="preserve">. Stąd Henkel promuje w ramach swojej globalnej organizacji kulturę różnorodności. </w:t>
      </w:r>
      <w:r w:rsidRPr="005C3D3F">
        <w:rPr>
          <w:color w:val="000000"/>
          <w:sz w:val="24"/>
          <w:lang w:val="pl-PL"/>
        </w:rPr>
        <w:t>W 2014 r. około 57% pracowników spółki było zatrudnionych na rynkach wschodzących, a udział kobiet na stanowiskach kiero</w:t>
      </w:r>
      <w:r w:rsidR="009F58B9">
        <w:rPr>
          <w:color w:val="000000"/>
          <w:sz w:val="24"/>
          <w:lang w:val="pl-PL"/>
        </w:rPr>
        <w:t>wniczych wzrósł globalnie do</w:t>
      </w:r>
      <w:r w:rsidRPr="005C3D3F">
        <w:rPr>
          <w:color w:val="000000"/>
          <w:sz w:val="24"/>
          <w:lang w:val="pl-PL"/>
        </w:rPr>
        <w:t xml:space="preserve"> 33% (z wyłączeniem przejęć).</w:t>
      </w:r>
    </w:p>
    <w:p w:rsidR="00D37328" w:rsidRDefault="00D37328">
      <w:pPr>
        <w:spacing w:line="360" w:lineRule="auto"/>
        <w:jc w:val="both"/>
        <w:rPr>
          <w:b/>
          <w:color w:val="000000"/>
          <w:sz w:val="24"/>
          <w:lang w:val="pl-PL"/>
        </w:rPr>
      </w:pPr>
    </w:p>
    <w:p w:rsidR="00525C9A" w:rsidRPr="005C3D3F" w:rsidRDefault="00525C9A">
      <w:pPr>
        <w:spacing w:line="360" w:lineRule="auto"/>
        <w:jc w:val="both"/>
        <w:rPr>
          <w:b/>
          <w:color w:val="000000"/>
          <w:sz w:val="24"/>
          <w:szCs w:val="20"/>
          <w:lang w:val="pl-PL"/>
        </w:rPr>
      </w:pPr>
      <w:r w:rsidRPr="005C3D3F">
        <w:rPr>
          <w:b/>
          <w:color w:val="000000"/>
          <w:sz w:val="24"/>
          <w:lang w:val="pl-PL"/>
        </w:rPr>
        <w:t>Perspektywy działalności Grupy Henkel w 2015 r.</w:t>
      </w:r>
    </w:p>
    <w:p w:rsidR="00525C9A" w:rsidRPr="005C3D3F" w:rsidRDefault="00525C9A">
      <w:pPr>
        <w:autoSpaceDE w:val="0"/>
        <w:autoSpaceDN w:val="0"/>
        <w:adjustRightInd w:val="0"/>
        <w:spacing w:line="360" w:lineRule="auto"/>
        <w:jc w:val="both"/>
        <w:rPr>
          <w:color w:val="000000"/>
          <w:sz w:val="24"/>
          <w:szCs w:val="20"/>
          <w:lang w:val="pl-PL"/>
        </w:rPr>
      </w:pPr>
    </w:p>
    <w:p w:rsidR="00525C9A" w:rsidRPr="005C3D3F" w:rsidRDefault="00525C9A">
      <w:pPr>
        <w:autoSpaceDE w:val="0"/>
        <w:autoSpaceDN w:val="0"/>
        <w:adjustRightInd w:val="0"/>
        <w:spacing w:line="360" w:lineRule="auto"/>
        <w:jc w:val="both"/>
        <w:rPr>
          <w:color w:val="000000"/>
          <w:sz w:val="24"/>
          <w:lang w:val="pl-PL"/>
        </w:rPr>
      </w:pPr>
      <w:r w:rsidRPr="005C3D3F">
        <w:rPr>
          <w:sz w:val="24"/>
          <w:lang w:val="pl-PL"/>
        </w:rPr>
        <w:t>Przewiduje się, że w roku obrotowym 2015 wzrost sprzedaży w ujęciu organicznym wyniesie między 3% a 5%,</w:t>
      </w:r>
      <w:r w:rsidRPr="005C3D3F">
        <w:rPr>
          <w:color w:val="000000"/>
          <w:sz w:val="24"/>
          <w:lang w:val="pl-PL"/>
        </w:rPr>
        <w:t xml:space="preserve"> przy czym poziom ten ma zostać osiągnięty w działach Adhesive Technologies (dział klejów budowlanych i konsumenckich oraz klejów i technologii dla przemysłu) oraz Laundry &amp; Home Care (dział środków piorących i czystości). W wypadku segmentu Beauty Care (dział kosmetyków) spodziewany wzrost sprzedaży wyn</w:t>
      </w:r>
      <w:r w:rsidR="009F58B9">
        <w:rPr>
          <w:color w:val="000000"/>
          <w:sz w:val="24"/>
          <w:lang w:val="pl-PL"/>
        </w:rPr>
        <w:t>iesie</w:t>
      </w:r>
      <w:r w:rsidRPr="005C3D3F">
        <w:rPr>
          <w:color w:val="000000"/>
          <w:sz w:val="24"/>
          <w:lang w:val="pl-PL"/>
        </w:rPr>
        <w:t xml:space="preserve"> ok. 2%. Henkel oczekuje również stabilnego wzrostu udziału rynków wschodzących w przychodach ze sprzedaży. W porównaniu z wynikami za 2014 r., spodziewany jest wzrost skorygowanej rentowności sprzedaży (EBIT) do poziomu ok. 16%, jak również ok. 10-procentowy wzrost skorygowanego zysku na akcję uprzywilejowaną.</w:t>
      </w:r>
    </w:p>
    <w:p w:rsidR="00525C9A" w:rsidRPr="005C3D3F" w:rsidRDefault="00525C9A">
      <w:pPr>
        <w:pStyle w:val="Tekstpodstawowy"/>
        <w:spacing w:after="0" w:line="240" w:lineRule="auto"/>
        <w:jc w:val="both"/>
        <w:rPr>
          <w:bCs/>
          <w:sz w:val="16"/>
          <w:lang w:val="pl-PL"/>
        </w:rPr>
      </w:pPr>
    </w:p>
    <w:p w:rsidR="005C3D3F" w:rsidRDefault="005C3D3F">
      <w:pPr>
        <w:pStyle w:val="Tekstpodstawowy"/>
        <w:spacing w:after="0" w:line="240" w:lineRule="auto"/>
        <w:jc w:val="both"/>
        <w:rPr>
          <w:bCs/>
          <w:sz w:val="16"/>
          <w:lang w:val="pl-PL"/>
        </w:rPr>
      </w:pPr>
    </w:p>
    <w:p w:rsidR="00525C9A" w:rsidRPr="005C3D3F" w:rsidRDefault="00525C9A">
      <w:pPr>
        <w:pStyle w:val="Tekstpodstawowy"/>
        <w:spacing w:after="0" w:line="240" w:lineRule="auto"/>
        <w:jc w:val="both"/>
        <w:rPr>
          <w:bCs/>
          <w:color w:val="000000"/>
          <w:sz w:val="16"/>
          <w:lang w:val="pl-PL"/>
        </w:rPr>
      </w:pPr>
      <w:r w:rsidRPr="005C3D3F">
        <w:rPr>
          <w:sz w:val="16"/>
          <w:lang w:val="pl-PL"/>
        </w:rPr>
        <w:t>Niniejszy dokument zawiera stwierdzenia dotyczące przyszłości, które bazują na obecnych szacunkach i założeniach dokonanych przez kierownictwo spółki Henkel AG &amp; Co.</w:t>
      </w:r>
      <w:r w:rsidRPr="005C3D3F">
        <w:rPr>
          <w:bCs/>
          <w:color w:val="000000"/>
          <w:sz w:val="16"/>
          <w:lang w:val="pl-PL"/>
        </w:rPr>
        <w:t xml:space="preserve"> KGaA. Stwierdzenia dotyczące przyszłości charakteryzują się użyciem takich słów, jak „oczekiwać", „zamierzać", „planować", „przewidywać", „zakładać", „sądzić", „szacować", „spodziewać się", „prognozować" oraz innych podobnych sformułowań. Tego typu stwierdzeń nie należy rozumieć jako gwarancji, że wyrażone w nich oczekiwania okażą się prawdziwe. Przyszłe wyniki i rezultaty faktycznie osiągnięte przez Henkel AG &amp; Co.</w:t>
      </w:r>
      <w:r w:rsidR="005C3D3F" w:rsidRPr="005C3D3F">
        <w:rPr>
          <w:bCs/>
          <w:color w:val="000000"/>
          <w:sz w:val="16"/>
          <w:lang w:val="pl-PL"/>
        </w:rPr>
        <w:t xml:space="preserve"> </w:t>
      </w:r>
      <w:r w:rsidRPr="005C3D3F">
        <w:rPr>
          <w:bCs/>
          <w:color w:val="000000"/>
          <w:sz w:val="16"/>
          <w:lang w:val="pl-PL"/>
        </w:rPr>
        <w:t>KGaA oraz podmioty powiązane uzależnione są od szeregu czynników ryzyka i niepewności, w związku z czym mogą się zasadniczo różnić od wyników przedstawionych w stwierdzeniach dotyczących przyszłości. Wiele z tych czynników znajduje się poza kontrolą firmy Henkel, a ich precyzyjne oszacowanie z wyprzedzeniem nie jest możliwe. Należą do nich m.in. przyszła sytuacja gospodarcza oraz działania podejmowane przez konkurencję i innych uczestników rynku. Henkel nie planuje i nie zobowiązuje się do aktualizacji jakichkolwiek stwierdzeń dotyczących przyszłości.</w:t>
      </w:r>
    </w:p>
    <w:p w:rsidR="00525C9A" w:rsidRPr="005C3D3F" w:rsidRDefault="00525C9A">
      <w:pPr>
        <w:pStyle w:val="Tekstpodstawowy"/>
        <w:spacing w:after="0" w:line="240" w:lineRule="auto"/>
        <w:jc w:val="both"/>
        <w:rPr>
          <w:bCs/>
          <w:color w:val="000000"/>
          <w:sz w:val="16"/>
          <w:lang w:val="pl-PL"/>
        </w:rPr>
      </w:pPr>
    </w:p>
    <w:p w:rsidR="00E64CD5" w:rsidRDefault="00E64CD5">
      <w:pPr>
        <w:pStyle w:val="Tekstpodstawowy"/>
        <w:spacing w:after="0"/>
        <w:rPr>
          <w:lang w:val="pl-PL"/>
        </w:rPr>
      </w:pPr>
    </w:p>
    <w:p w:rsidR="00525C9A" w:rsidRPr="005C3D3F" w:rsidRDefault="00525C9A">
      <w:pPr>
        <w:pStyle w:val="Tekstpodstawowy"/>
        <w:spacing w:after="0"/>
        <w:rPr>
          <w:szCs w:val="20"/>
          <w:lang w:val="pl-PL"/>
        </w:rPr>
      </w:pPr>
      <w:r w:rsidRPr="005C3D3F">
        <w:rPr>
          <w:lang w:val="pl-PL"/>
        </w:rPr>
        <w:t>Henkel AG &amp; Co. KGaA</w:t>
      </w:r>
    </w:p>
    <w:p w:rsidR="00525C9A" w:rsidRPr="005C3D3F" w:rsidRDefault="00525C9A">
      <w:pPr>
        <w:tabs>
          <w:tab w:val="left" w:pos="0"/>
          <w:tab w:val="left" w:pos="360"/>
          <w:tab w:val="left" w:pos="1080"/>
          <w:tab w:val="left" w:pos="1800"/>
          <w:tab w:val="left" w:pos="2520"/>
          <w:tab w:val="left" w:pos="3240"/>
          <w:tab w:val="left" w:pos="3960"/>
        </w:tabs>
        <w:autoSpaceDE w:val="0"/>
        <w:autoSpaceDN w:val="0"/>
        <w:adjustRightInd w:val="0"/>
        <w:spacing w:line="240" w:lineRule="atLeast"/>
        <w:rPr>
          <w:szCs w:val="20"/>
          <w:lang w:val="pl-PL"/>
        </w:rPr>
      </w:pPr>
    </w:p>
    <w:p w:rsidR="00525C9A" w:rsidRPr="005C3D3F" w:rsidRDefault="00525C9A" w:rsidP="00525C9A">
      <w:pPr>
        <w:tabs>
          <w:tab w:val="left" w:pos="0"/>
          <w:tab w:val="left" w:pos="360"/>
          <w:tab w:val="left" w:pos="1080"/>
          <w:tab w:val="left" w:pos="1800"/>
          <w:tab w:val="left" w:pos="2520"/>
          <w:tab w:val="left" w:pos="3240"/>
          <w:tab w:val="left" w:pos="3960"/>
        </w:tabs>
        <w:autoSpaceDE w:val="0"/>
        <w:autoSpaceDN w:val="0"/>
        <w:adjustRightInd w:val="0"/>
        <w:spacing w:line="240" w:lineRule="auto"/>
        <w:jc w:val="both"/>
        <w:rPr>
          <w:color w:val="000000"/>
          <w:szCs w:val="20"/>
          <w:lang w:val="pl-PL"/>
        </w:rPr>
      </w:pPr>
      <w:r w:rsidRPr="005C3D3F">
        <w:rPr>
          <w:color w:val="000000"/>
          <w:lang w:val="pl-PL"/>
        </w:rPr>
        <w:t>Raport roczny za 2014 r. oraz pozostałe informacje wraz z materiałami do pobrania dotyczącymi roku obrotowego 2014 i linkiem do transmisji na żywo z konferencji prasowej dotyczącej wyników w roku obrotowym 2014 są dostępne w dziale prasowym naszej strony internetowej pod adresem:</w:t>
      </w:r>
    </w:p>
    <w:p w:rsidR="00525C9A" w:rsidRPr="005C3D3F" w:rsidRDefault="00525C9A">
      <w:pPr>
        <w:tabs>
          <w:tab w:val="left" w:pos="0"/>
          <w:tab w:val="left" w:pos="360"/>
          <w:tab w:val="left" w:pos="1080"/>
          <w:tab w:val="left" w:pos="1800"/>
          <w:tab w:val="left" w:pos="2520"/>
          <w:tab w:val="left" w:pos="3240"/>
          <w:tab w:val="left" w:pos="3960"/>
        </w:tabs>
        <w:autoSpaceDE w:val="0"/>
        <w:autoSpaceDN w:val="0"/>
        <w:adjustRightInd w:val="0"/>
        <w:spacing w:line="240" w:lineRule="auto"/>
        <w:rPr>
          <w:color w:val="000000"/>
          <w:szCs w:val="20"/>
          <w:lang w:val="pl-PL"/>
        </w:rPr>
      </w:pPr>
    </w:p>
    <w:p w:rsidR="00525C9A" w:rsidRPr="005C3D3F" w:rsidRDefault="002E59FC" w:rsidP="00525C9A">
      <w:pPr>
        <w:tabs>
          <w:tab w:val="left" w:pos="0"/>
          <w:tab w:val="left" w:pos="360"/>
          <w:tab w:val="left" w:pos="1080"/>
          <w:tab w:val="left" w:pos="1800"/>
          <w:tab w:val="left" w:pos="2520"/>
          <w:tab w:val="left" w:pos="3240"/>
          <w:tab w:val="left" w:pos="3960"/>
        </w:tabs>
        <w:autoSpaceDE w:val="0"/>
        <w:autoSpaceDN w:val="0"/>
        <w:adjustRightInd w:val="0"/>
        <w:spacing w:line="240" w:lineRule="auto"/>
        <w:rPr>
          <w:color w:val="000000"/>
          <w:szCs w:val="20"/>
          <w:lang w:val="pl-PL"/>
        </w:rPr>
      </w:pPr>
      <w:hyperlink r:id="rId8" w:history="1">
        <w:r w:rsidR="00525C9A" w:rsidRPr="005C3D3F">
          <w:rPr>
            <w:rStyle w:val="Hipercze"/>
            <w:lang w:val="pl-PL"/>
          </w:rPr>
          <w:t>http://www.henkel.com/press-and-media/press-releases-and-kits/2015-03-04-publication-of-2014-annual-report-and-sustainability-report/395534</w:t>
        </w:r>
      </w:hyperlink>
    </w:p>
    <w:p w:rsidR="00525C9A" w:rsidRDefault="00525C9A">
      <w:pPr>
        <w:autoSpaceDE w:val="0"/>
        <w:autoSpaceDN w:val="0"/>
        <w:adjustRightInd w:val="0"/>
        <w:spacing w:line="240" w:lineRule="auto"/>
        <w:rPr>
          <w:color w:val="000000"/>
          <w:szCs w:val="20"/>
          <w:lang w:val="pl-PL"/>
        </w:rPr>
      </w:pPr>
    </w:p>
    <w:p w:rsidR="00E64CD5" w:rsidRPr="00E64CD5" w:rsidRDefault="00E64CD5">
      <w:pPr>
        <w:autoSpaceDE w:val="0"/>
        <w:autoSpaceDN w:val="0"/>
        <w:adjustRightInd w:val="0"/>
        <w:spacing w:line="240" w:lineRule="auto"/>
        <w:rPr>
          <w:color w:val="000000"/>
          <w:sz w:val="18"/>
          <w:szCs w:val="20"/>
          <w:lang w:val="pl-PL"/>
        </w:rPr>
      </w:pPr>
    </w:p>
    <w:p w:rsidR="00E64CD5" w:rsidRPr="00E64CD5" w:rsidRDefault="00E64CD5" w:rsidP="00E64CD5">
      <w:pPr>
        <w:pStyle w:val="Standard12pt"/>
        <w:jc w:val="center"/>
        <w:rPr>
          <w:sz w:val="22"/>
          <w:lang w:val="pl-PL"/>
        </w:rPr>
      </w:pPr>
      <w:r w:rsidRPr="00E64CD5">
        <w:rPr>
          <w:sz w:val="22"/>
          <w:lang w:val="pl-PL"/>
        </w:rPr>
        <w:t>***</w:t>
      </w:r>
    </w:p>
    <w:p w:rsidR="00E64CD5" w:rsidRPr="00E64CD5" w:rsidRDefault="00E64CD5" w:rsidP="00E64CD5">
      <w:pPr>
        <w:pStyle w:val="Standard12pt"/>
        <w:jc w:val="both"/>
        <w:rPr>
          <w:sz w:val="20"/>
          <w:lang w:val="fr-FR"/>
        </w:rPr>
      </w:pPr>
      <w:r w:rsidRPr="00E64CD5">
        <w:rPr>
          <w:sz w:val="20"/>
          <w:lang w:val="pl-PL"/>
        </w:rPr>
        <w:t xml:space="preserve">Henkel oferuje na całym świecie wiodące marki i technologie w trzech obszarach biznesowych: Laundry &amp; Home Care (środków piorących i czystości), Beauty Care (kosmetyków) oraz Adhesive Technologies (klejów, uszczelniaczy i technologii powierzchniowych). Założona w 1876 roku firma jest światowym liderem w branżach produktów konsumenckich oraz dla przemysłu, oferując tak znane marki jak Persil, Schwarzkopf i Loctite. Henkel zatrudnia prawie 50 tysięcy pracowników. W 2014 roku wartość sprzedaży Henkla wyniosła 16,4 miliarda euro, a skorygowany zysk operacyjny </w:t>
      </w:r>
      <w:r w:rsidRPr="00E64CD5">
        <w:rPr>
          <w:sz w:val="20"/>
          <w:lang w:val="pl-PL"/>
        </w:rPr>
        <w:br/>
        <w:t>2,6 miliarda euro. Akcje uprzywilejowane firmy wchodzą w skład niemieckiego indeksu giełdowego DAX</w:t>
      </w:r>
      <w:r w:rsidR="002E59FC">
        <w:rPr>
          <w:sz w:val="20"/>
          <w:lang w:val="pl-PL"/>
        </w:rPr>
        <w:t>.</w:t>
      </w:r>
      <w:bookmarkStart w:id="1" w:name="_GoBack"/>
      <w:bookmarkEnd w:id="1"/>
    </w:p>
    <w:p w:rsidR="00E64CD5" w:rsidRDefault="00E64CD5">
      <w:pPr>
        <w:autoSpaceDE w:val="0"/>
        <w:autoSpaceDN w:val="0"/>
        <w:adjustRightInd w:val="0"/>
        <w:spacing w:line="240" w:lineRule="auto"/>
        <w:rPr>
          <w:color w:val="000000"/>
          <w:szCs w:val="20"/>
          <w:lang w:val="pl-PL"/>
        </w:rPr>
      </w:pPr>
    </w:p>
    <w:p w:rsidR="00E64CD5" w:rsidRDefault="00E64CD5" w:rsidP="00E64CD5">
      <w:pPr>
        <w:jc w:val="both"/>
        <w:rPr>
          <w:b/>
          <w:sz w:val="18"/>
          <w:lang w:val="pl-PL"/>
        </w:rPr>
      </w:pPr>
    </w:p>
    <w:p w:rsidR="00E64CD5" w:rsidRDefault="00E64CD5" w:rsidP="00E64CD5">
      <w:pPr>
        <w:jc w:val="both"/>
        <w:rPr>
          <w:b/>
          <w:sz w:val="18"/>
          <w:lang w:val="pl-PL"/>
        </w:rPr>
      </w:pPr>
    </w:p>
    <w:p w:rsidR="00E64CD5" w:rsidRPr="004064C8" w:rsidRDefault="00E64CD5" w:rsidP="00E64CD5">
      <w:pPr>
        <w:jc w:val="both"/>
        <w:rPr>
          <w:b/>
          <w:sz w:val="18"/>
          <w:lang w:val="pl-PL"/>
        </w:rPr>
      </w:pPr>
      <w:r w:rsidRPr="004064C8">
        <w:rPr>
          <w:b/>
          <w:sz w:val="18"/>
          <w:lang w:val="pl-PL"/>
        </w:rPr>
        <w:t>Kontakt dla prasy:</w:t>
      </w:r>
    </w:p>
    <w:p w:rsidR="00E64CD5" w:rsidRPr="004064C8" w:rsidRDefault="00E64CD5" w:rsidP="00E64CD5">
      <w:pPr>
        <w:jc w:val="both"/>
        <w:rPr>
          <w:sz w:val="18"/>
          <w:lang w:val="pl-PL"/>
        </w:rPr>
      </w:pPr>
      <w:r w:rsidRPr="004064C8">
        <w:rPr>
          <w:color w:val="000000"/>
          <w:sz w:val="18"/>
          <w:lang w:val="pl-PL"/>
        </w:rPr>
        <w:t>Dorota Strosznajder</w:t>
      </w:r>
      <w:r>
        <w:rPr>
          <w:color w:val="000000"/>
          <w:sz w:val="18"/>
          <w:lang w:val="pl-PL"/>
        </w:rPr>
        <w:tab/>
      </w:r>
      <w:r>
        <w:rPr>
          <w:color w:val="000000"/>
          <w:sz w:val="18"/>
          <w:lang w:val="pl-PL"/>
        </w:rPr>
        <w:tab/>
      </w:r>
      <w:r>
        <w:rPr>
          <w:color w:val="000000"/>
          <w:sz w:val="18"/>
          <w:lang w:val="pl-PL"/>
        </w:rPr>
        <w:tab/>
      </w:r>
      <w:r>
        <w:rPr>
          <w:color w:val="000000"/>
          <w:sz w:val="18"/>
          <w:lang w:val="pl-PL"/>
        </w:rPr>
        <w:tab/>
        <w:t xml:space="preserve">  </w:t>
      </w:r>
      <w:r>
        <w:rPr>
          <w:sz w:val="18"/>
          <w:lang w:val="pl-PL"/>
        </w:rPr>
        <w:t>Zofia Kurek-Maciejewicz</w:t>
      </w:r>
      <w:r w:rsidRPr="004064C8">
        <w:rPr>
          <w:sz w:val="18"/>
          <w:lang w:val="pl-PL"/>
        </w:rPr>
        <w:t xml:space="preserve"> </w:t>
      </w:r>
    </w:p>
    <w:p w:rsidR="00E64CD5" w:rsidRPr="003D224F" w:rsidRDefault="00E64CD5" w:rsidP="00E64CD5">
      <w:pPr>
        <w:pStyle w:val="PRContact"/>
        <w:spacing w:line="276" w:lineRule="auto"/>
        <w:rPr>
          <w:rFonts w:cs="Times New Roman"/>
          <w:sz w:val="18"/>
          <w:lang w:val="pl-PL"/>
        </w:rPr>
      </w:pPr>
      <w:r w:rsidRPr="004064C8">
        <w:rPr>
          <w:rFonts w:cs="Times New Roman"/>
          <w:sz w:val="18"/>
          <w:lang w:val="pl-PL"/>
        </w:rPr>
        <w:t>Henkel Polska Sp. z o.o.</w:t>
      </w:r>
      <w:r w:rsidRPr="004064C8">
        <w:rPr>
          <w:rFonts w:cs="Times New Roman"/>
          <w:sz w:val="18"/>
          <w:lang w:val="pl-PL"/>
        </w:rPr>
        <w:tab/>
        <w:t>Solski Burson – Marsteller</w:t>
      </w:r>
    </w:p>
    <w:p w:rsidR="00E64CD5" w:rsidRPr="00E64CD5" w:rsidRDefault="00E64CD5" w:rsidP="00E64CD5">
      <w:pPr>
        <w:pStyle w:val="PRContact"/>
        <w:spacing w:line="276" w:lineRule="auto"/>
        <w:rPr>
          <w:rFonts w:cs="Times New Roman"/>
          <w:sz w:val="18"/>
          <w:szCs w:val="24"/>
          <w:lang w:val="en-US"/>
        </w:rPr>
      </w:pPr>
      <w:r w:rsidRPr="00E64CD5">
        <w:rPr>
          <w:rFonts w:cs="Times New Roman"/>
          <w:sz w:val="18"/>
          <w:lang w:val="en-US"/>
        </w:rPr>
        <w:t>tel: (022) 565 66 65</w:t>
      </w:r>
      <w:r w:rsidRPr="00E64CD5">
        <w:rPr>
          <w:rFonts w:cs="Times New Roman"/>
          <w:sz w:val="18"/>
          <w:szCs w:val="24"/>
          <w:lang w:val="en-US"/>
        </w:rPr>
        <w:tab/>
        <w:t>tel: (022) 242 86 30, 600 004 412</w:t>
      </w:r>
    </w:p>
    <w:p w:rsidR="00E64CD5" w:rsidRPr="003D224F" w:rsidRDefault="00E64CD5" w:rsidP="00E64CD5">
      <w:pPr>
        <w:pStyle w:val="PRContact"/>
        <w:spacing w:line="276" w:lineRule="auto"/>
        <w:rPr>
          <w:rFonts w:cs="Times New Roman"/>
          <w:sz w:val="18"/>
          <w:szCs w:val="24"/>
          <w:lang w:val="en-US"/>
        </w:rPr>
      </w:pPr>
      <w:r w:rsidRPr="00E64CD5">
        <w:rPr>
          <w:rFonts w:cs="Times New Roman"/>
          <w:sz w:val="18"/>
          <w:szCs w:val="24"/>
          <w:lang w:val="en-US"/>
        </w:rPr>
        <w:t>dorota.strosznajder@p</w:t>
      </w:r>
      <w:r w:rsidRPr="003D224F">
        <w:rPr>
          <w:rFonts w:cs="Times New Roman"/>
          <w:sz w:val="18"/>
          <w:szCs w:val="24"/>
          <w:lang w:val="en-US"/>
        </w:rPr>
        <w:t>l.henkel.com</w:t>
      </w:r>
      <w:r w:rsidRPr="003D224F">
        <w:rPr>
          <w:rFonts w:cs="Times New Roman"/>
          <w:sz w:val="18"/>
          <w:szCs w:val="24"/>
          <w:lang w:val="en-US"/>
        </w:rPr>
        <w:tab/>
        <w:t>zkurek@solskibm.pl</w:t>
      </w:r>
    </w:p>
    <w:p w:rsidR="00E64CD5" w:rsidRPr="00E64CD5" w:rsidRDefault="00E64CD5">
      <w:pPr>
        <w:autoSpaceDE w:val="0"/>
        <w:autoSpaceDN w:val="0"/>
        <w:adjustRightInd w:val="0"/>
        <w:spacing w:line="240" w:lineRule="auto"/>
        <w:rPr>
          <w:color w:val="000000"/>
          <w:szCs w:val="20"/>
          <w:lang w:val="en-US"/>
        </w:rPr>
      </w:pPr>
    </w:p>
    <w:sectPr w:rsidR="00E64CD5" w:rsidRPr="00E64CD5">
      <w:headerReference w:type="default" r:id="rId9"/>
      <w:footerReference w:type="default" r:id="rId10"/>
      <w:headerReference w:type="first" r:id="rId11"/>
      <w:footerReference w:type="first" r:id="rId12"/>
      <w:pgSz w:w="11907" w:h="16840" w:code="9"/>
      <w:pgMar w:top="510" w:right="1418" w:bottom="1985" w:left="1418" w:header="720"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D6C" w:rsidRDefault="00F83D6C">
      <w:pPr>
        <w:spacing w:line="240" w:lineRule="auto"/>
      </w:pPr>
      <w:r>
        <w:separator/>
      </w:r>
    </w:p>
  </w:endnote>
  <w:endnote w:type="continuationSeparator" w:id="0">
    <w:p w:rsidR="00F83D6C" w:rsidRDefault="00F83D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C9A" w:rsidRPr="005C3D3F" w:rsidRDefault="00525C9A">
    <w:pPr>
      <w:pStyle w:val="Stopka"/>
      <w:tabs>
        <w:tab w:val="clear" w:pos="7083"/>
        <w:tab w:val="clear" w:pos="8640"/>
        <w:tab w:val="right" w:pos="9057"/>
      </w:tabs>
      <w:rPr>
        <w:b w:val="0"/>
        <w:color w:val="auto"/>
        <w:lang w:val="en-GB"/>
      </w:rPr>
    </w:pPr>
    <w:r w:rsidRPr="005C3D3F">
      <w:rPr>
        <w:color w:val="auto"/>
        <w:lang w:val="en-GB"/>
      </w:rPr>
      <w:t>Henkel AG &amp; Co. KGaA, Corporate Communications</w:t>
    </w:r>
    <w:r w:rsidRPr="005C3D3F">
      <w:rPr>
        <w:color w:val="auto"/>
        <w:lang w:val="en-GB"/>
      </w:rPr>
      <w:tab/>
    </w:r>
    <w:r w:rsidRPr="005C3D3F">
      <w:rPr>
        <w:b w:val="0"/>
        <w:color w:val="auto"/>
        <w:lang w:val="en-GB"/>
      </w:rPr>
      <w:t xml:space="preserve">Strona </w:t>
    </w:r>
    <w:r>
      <w:rPr>
        <w:b w:val="0"/>
        <w:color w:val="auto"/>
      </w:rPr>
      <w:fldChar w:fldCharType="begin"/>
    </w:r>
    <w:r w:rsidRPr="005C3D3F">
      <w:rPr>
        <w:b w:val="0"/>
        <w:color w:val="auto"/>
        <w:lang w:val="en-GB"/>
      </w:rPr>
      <w:instrText xml:space="preserve"> PAGE  \* Arabic  \* MERGEFORMAT </w:instrText>
    </w:r>
    <w:r>
      <w:rPr>
        <w:b w:val="0"/>
        <w:color w:val="auto"/>
      </w:rPr>
      <w:fldChar w:fldCharType="separate"/>
    </w:r>
    <w:r w:rsidR="002E59FC">
      <w:rPr>
        <w:b w:val="0"/>
        <w:noProof/>
        <w:color w:val="auto"/>
        <w:lang w:val="en-GB"/>
      </w:rPr>
      <w:t>11</w:t>
    </w:r>
    <w:r>
      <w:rPr>
        <w:b w:val="0"/>
        <w:color w:val="auto"/>
      </w:rPr>
      <w:fldChar w:fldCharType="end"/>
    </w:r>
    <w:r w:rsidRPr="005C3D3F">
      <w:rPr>
        <w:b w:val="0"/>
        <w:color w:val="auto"/>
        <w:lang w:val="en-GB"/>
      </w:rPr>
      <w:t>/</w:t>
    </w:r>
    <w:fldSimple w:instr=" NUMPAGES  \* Arabic  \* MERGEFORMAT ">
      <w:r w:rsidR="002E59FC" w:rsidRPr="002E59FC">
        <w:rPr>
          <w:b w:val="0"/>
          <w:noProof/>
          <w:color w:val="auto"/>
          <w:lang w:val="en-GB"/>
        </w:rPr>
        <w:t>12</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C9A" w:rsidRDefault="00E24407">
    <w:pPr>
      <w:pStyle w:val="Stopka"/>
      <w:jc w:val="distribute"/>
      <w:rPr>
        <w:b w:val="0"/>
        <w:color w:val="auto"/>
      </w:rPr>
    </w:pPr>
    <w:r>
      <w:rPr>
        <w:b w:val="0"/>
        <w:noProof/>
        <w:color w:val="auto"/>
        <w:lang w:val="pl-PL" w:eastAsia="pl-PL"/>
      </w:rPr>
      <w:drawing>
        <wp:inline distT="0" distB="0" distL="0" distR="0">
          <wp:extent cx="381000" cy="13335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81000" cy="133350"/>
                  </a:xfrm>
                  <a:prstGeom prst="rect">
                    <a:avLst/>
                  </a:prstGeom>
                  <a:noFill/>
                  <a:ln w="9525">
                    <a:noFill/>
                    <a:miter lim="800000"/>
                    <a:headEnd/>
                    <a:tailEnd/>
                  </a:ln>
                </pic:spPr>
              </pic:pic>
            </a:graphicData>
          </a:graphic>
        </wp:inline>
      </w:drawing>
    </w:r>
    <w:r w:rsidR="00525C9A">
      <w:rPr>
        <w:b w:val="0"/>
        <w:color w:val="auto"/>
      </w:rPr>
      <w:t xml:space="preserve"> </w:t>
    </w:r>
    <w:r>
      <w:rPr>
        <w:b w:val="0"/>
        <w:noProof/>
        <w:color w:val="auto"/>
        <w:position w:val="-2"/>
        <w:lang w:val="pl-PL" w:eastAsia="pl-PL"/>
      </w:rPr>
      <w:drawing>
        <wp:inline distT="0" distB="0" distL="0" distR="0">
          <wp:extent cx="285750" cy="12382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285750" cy="123825"/>
                  </a:xfrm>
                  <a:prstGeom prst="rect">
                    <a:avLst/>
                  </a:prstGeom>
                  <a:noFill/>
                  <a:ln w="9525">
                    <a:noFill/>
                    <a:miter lim="800000"/>
                    <a:headEnd/>
                    <a:tailEnd/>
                  </a:ln>
                </pic:spPr>
              </pic:pic>
            </a:graphicData>
          </a:graphic>
        </wp:inline>
      </w:drawing>
    </w:r>
    <w:r w:rsidR="00525C9A">
      <w:rPr>
        <w:b w:val="0"/>
        <w:color w:val="auto"/>
      </w:rPr>
      <w:t xml:space="preserve"> </w:t>
    </w:r>
    <w:r>
      <w:rPr>
        <w:b w:val="0"/>
        <w:noProof/>
        <w:color w:val="auto"/>
        <w:position w:val="-14"/>
        <w:lang w:val="pl-PL" w:eastAsia="pl-PL"/>
      </w:rPr>
      <w:drawing>
        <wp:inline distT="0" distB="0" distL="0" distR="0">
          <wp:extent cx="247650" cy="28575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247650" cy="285750"/>
                  </a:xfrm>
                  <a:prstGeom prst="rect">
                    <a:avLst/>
                  </a:prstGeom>
                  <a:noFill/>
                  <a:ln w="9525">
                    <a:noFill/>
                    <a:miter lim="800000"/>
                    <a:headEnd/>
                    <a:tailEnd/>
                  </a:ln>
                </pic:spPr>
              </pic:pic>
            </a:graphicData>
          </a:graphic>
        </wp:inline>
      </w:drawing>
    </w:r>
    <w:r w:rsidR="00525C9A">
      <w:rPr>
        <w:b w:val="0"/>
        <w:color w:val="auto"/>
      </w:rPr>
      <w:t xml:space="preserve"> </w:t>
    </w:r>
    <w:r>
      <w:rPr>
        <w:b w:val="0"/>
        <w:noProof/>
        <w:color w:val="auto"/>
        <w:position w:val="-10"/>
        <w:lang w:val="pl-PL" w:eastAsia="pl-PL"/>
      </w:rPr>
      <w:drawing>
        <wp:inline distT="0" distB="0" distL="0" distR="0">
          <wp:extent cx="561975" cy="238125"/>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00525C9A">
      <w:rPr>
        <w:b w:val="0"/>
        <w:color w:val="auto"/>
      </w:rPr>
      <w:t xml:space="preserve"> </w:t>
    </w:r>
    <w:r>
      <w:rPr>
        <w:b w:val="0"/>
        <w:noProof/>
        <w:color w:val="auto"/>
        <w:position w:val="-10"/>
        <w:lang w:val="pl-PL" w:eastAsia="pl-PL"/>
      </w:rPr>
      <w:drawing>
        <wp:inline distT="0" distB="0" distL="0" distR="0">
          <wp:extent cx="352425" cy="266700"/>
          <wp:effectExtent l="1905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352425" cy="266700"/>
                  </a:xfrm>
                  <a:prstGeom prst="rect">
                    <a:avLst/>
                  </a:prstGeom>
                  <a:noFill/>
                  <a:ln w="9525">
                    <a:noFill/>
                    <a:miter lim="800000"/>
                    <a:headEnd/>
                    <a:tailEnd/>
                  </a:ln>
                </pic:spPr>
              </pic:pic>
            </a:graphicData>
          </a:graphic>
        </wp:inline>
      </w:drawing>
    </w:r>
    <w:r w:rsidR="00525C9A">
      <w:rPr>
        <w:b w:val="0"/>
        <w:color w:val="auto"/>
      </w:rPr>
      <w:t xml:space="preserve"> </w:t>
    </w:r>
    <w:r>
      <w:rPr>
        <w:b w:val="0"/>
        <w:noProof/>
        <w:color w:val="auto"/>
        <w:position w:val="-4"/>
        <w:lang w:val="pl-PL" w:eastAsia="pl-PL"/>
      </w:rPr>
      <w:drawing>
        <wp:inline distT="0" distB="0" distL="0" distR="0">
          <wp:extent cx="466725" cy="123825"/>
          <wp:effectExtent l="1905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466725" cy="123825"/>
                  </a:xfrm>
                  <a:prstGeom prst="rect">
                    <a:avLst/>
                  </a:prstGeom>
                  <a:noFill/>
                  <a:ln w="9525">
                    <a:noFill/>
                    <a:miter lim="800000"/>
                    <a:headEnd/>
                    <a:tailEnd/>
                  </a:ln>
                </pic:spPr>
              </pic:pic>
            </a:graphicData>
          </a:graphic>
        </wp:inline>
      </w:drawing>
    </w:r>
    <w:r w:rsidR="00525C9A">
      <w:rPr>
        <w:b w:val="0"/>
        <w:color w:val="auto"/>
      </w:rPr>
      <w:t xml:space="preserve"> </w:t>
    </w:r>
    <w:r>
      <w:rPr>
        <w:b w:val="0"/>
        <w:noProof/>
        <w:color w:val="auto"/>
        <w:lang w:val="pl-PL" w:eastAsia="pl-PL"/>
      </w:rPr>
      <w:drawing>
        <wp:inline distT="0" distB="0" distL="0" distR="0">
          <wp:extent cx="571500" cy="104775"/>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71500" cy="104775"/>
                  </a:xfrm>
                  <a:prstGeom prst="rect">
                    <a:avLst/>
                  </a:prstGeom>
                  <a:noFill/>
                  <a:ln w="9525">
                    <a:noFill/>
                    <a:miter lim="800000"/>
                    <a:headEnd/>
                    <a:tailEnd/>
                  </a:ln>
                </pic:spPr>
              </pic:pic>
            </a:graphicData>
          </a:graphic>
        </wp:inline>
      </w:drawing>
    </w:r>
    <w:r w:rsidR="00525C9A">
      <w:rPr>
        <w:b w:val="0"/>
        <w:color w:val="auto"/>
      </w:rPr>
      <w:t xml:space="preserve"> </w:t>
    </w:r>
    <w:r>
      <w:rPr>
        <w:b w:val="0"/>
        <w:noProof/>
        <w:color w:val="auto"/>
        <w:lang w:val="pl-PL" w:eastAsia="pl-PL"/>
      </w:rPr>
      <w:drawing>
        <wp:inline distT="0" distB="0" distL="0" distR="0">
          <wp:extent cx="704850" cy="10477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704850" cy="104775"/>
                  </a:xfrm>
                  <a:prstGeom prst="rect">
                    <a:avLst/>
                  </a:prstGeom>
                  <a:noFill/>
                  <a:ln w="9525">
                    <a:noFill/>
                    <a:miter lim="800000"/>
                    <a:headEnd/>
                    <a:tailEnd/>
                  </a:ln>
                </pic:spPr>
              </pic:pic>
            </a:graphicData>
          </a:graphic>
        </wp:inline>
      </w:drawing>
    </w:r>
    <w:r w:rsidR="00525C9A">
      <w:rPr>
        <w:b w:val="0"/>
        <w:color w:val="auto"/>
      </w:rPr>
      <w:t xml:space="preserve"> </w:t>
    </w:r>
    <w:r>
      <w:rPr>
        <w:b w:val="0"/>
        <w:noProof/>
        <w:color w:val="auto"/>
        <w:lang w:val="pl-PL" w:eastAsia="pl-PL"/>
      </w:rPr>
      <w:drawing>
        <wp:inline distT="0" distB="0" distL="0" distR="0">
          <wp:extent cx="971550" cy="104775"/>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971550" cy="104775"/>
                  </a:xfrm>
                  <a:prstGeom prst="rect">
                    <a:avLst/>
                  </a:prstGeom>
                  <a:noFill/>
                  <a:ln w="9525">
                    <a:noFill/>
                    <a:miter lim="800000"/>
                    <a:headEnd/>
                    <a:tailEnd/>
                  </a:ln>
                </pic:spPr>
              </pic:pic>
            </a:graphicData>
          </a:graphic>
        </wp:inline>
      </w:drawing>
    </w:r>
  </w:p>
  <w:p w:rsidR="00525C9A" w:rsidRDefault="00525C9A">
    <w:pPr>
      <w:pStyle w:val="Stopka"/>
      <w:tabs>
        <w:tab w:val="clear" w:pos="8640"/>
        <w:tab w:val="right" w:pos="9072"/>
      </w:tabs>
      <w:rPr>
        <w:b w:val="0"/>
        <w:color w:val="auto"/>
      </w:rPr>
    </w:pPr>
    <w:r>
      <w:rPr>
        <w:b w:val="0"/>
        <w:color w:val="auto"/>
      </w:rPr>
      <w:tab/>
    </w:r>
    <w:r>
      <w:rPr>
        <w:b w:val="0"/>
        <w:color w:val="auto"/>
      </w:rPr>
      <w:tab/>
      <w:t xml:space="preserve">Strona </w:t>
    </w:r>
    <w:r>
      <w:rPr>
        <w:b w:val="0"/>
        <w:color w:val="auto"/>
      </w:rPr>
      <w:fldChar w:fldCharType="begin"/>
    </w:r>
    <w:r>
      <w:rPr>
        <w:b w:val="0"/>
        <w:color w:val="auto"/>
      </w:rPr>
      <w:instrText xml:space="preserve"> PAGE  \* Arabic  \* MERGEFORMAT </w:instrText>
    </w:r>
    <w:r>
      <w:rPr>
        <w:b w:val="0"/>
        <w:color w:val="auto"/>
      </w:rPr>
      <w:fldChar w:fldCharType="separate"/>
    </w:r>
    <w:r w:rsidR="00F80892">
      <w:rPr>
        <w:b w:val="0"/>
        <w:noProof/>
        <w:color w:val="auto"/>
      </w:rPr>
      <w:t>1</w:t>
    </w:r>
    <w:r>
      <w:rPr>
        <w:b w:val="0"/>
        <w:color w:val="auto"/>
      </w:rPr>
      <w:fldChar w:fldCharType="end"/>
    </w:r>
    <w:r>
      <w:rPr>
        <w:b w:val="0"/>
        <w:color w:val="auto"/>
      </w:rPr>
      <w:t>/</w:t>
    </w:r>
    <w:fldSimple w:instr=" NUMPAGES  \* Arabic  \* MERGEFORMAT ">
      <w:r w:rsidR="00F80892" w:rsidRPr="00F80892">
        <w:rPr>
          <w:b w:val="0"/>
          <w:noProof/>
          <w:color w:val="auto"/>
        </w:rPr>
        <w:t>12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D6C" w:rsidRDefault="00F83D6C">
      <w:pPr>
        <w:spacing w:line="240" w:lineRule="auto"/>
      </w:pPr>
      <w:r>
        <w:separator/>
      </w:r>
    </w:p>
  </w:footnote>
  <w:footnote w:type="continuationSeparator" w:id="0">
    <w:p w:rsidR="00F83D6C" w:rsidRDefault="00F83D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C9A" w:rsidRDefault="00E64CD5">
    <w:pPr>
      <w:pStyle w:val="Nagwek"/>
      <w:spacing w:after="567" w:line="280" w:lineRule="exact"/>
      <w:jc w:val="right"/>
    </w:pPr>
    <w:r>
      <w:rPr>
        <w:noProof/>
        <w:lang w:val="pl-PL" w:eastAsia="pl-PL"/>
      </w:rPr>
      <mc:AlternateContent>
        <mc:Choice Requires="wpg">
          <w:drawing>
            <wp:anchor distT="0" distB="0" distL="114300" distR="114300" simplePos="0" relativeHeight="251658752" behindDoc="0" locked="0" layoutInCell="1" allowOverlap="1">
              <wp:simplePos x="0" y="0"/>
              <wp:positionH relativeFrom="page">
                <wp:posOffset>180340</wp:posOffset>
              </wp:positionH>
              <wp:positionV relativeFrom="page">
                <wp:posOffset>3780790</wp:posOffset>
              </wp:positionV>
              <wp:extent cx="183515" cy="3796030"/>
              <wp:effectExtent l="8890" t="8890" r="7620" b="5080"/>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3"/>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4"/>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9887AF" id="Group 1" o:spid="_x0000_s1026" style="position:absolute;margin-left:14.2pt;margin-top:297.7pt;width:14.45pt;height:298.9pt;z-index:25165875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">
              <v:line id="Line 2"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3"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4"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C9A" w:rsidRDefault="00525C9A">
    <w:pPr>
      <w:pStyle w:val="Nagwek"/>
      <w:tabs>
        <w:tab w:val="clear" w:pos="8640"/>
      </w:tabs>
      <w:spacing w:line="2155" w:lineRule="exact"/>
      <w:jc w:val="right"/>
      <w:rPr>
        <w:b/>
        <w:bCs/>
        <w:sz w:val="36"/>
        <w:szCs w:val="36"/>
      </w:rPr>
    </w:pPr>
  </w:p>
  <w:p w:rsidR="00525C9A" w:rsidRDefault="00E64CD5">
    <w:pPr>
      <w:pStyle w:val="Nagwek"/>
      <w:tabs>
        <w:tab w:val="clear" w:pos="8640"/>
      </w:tabs>
      <w:spacing w:line="420" w:lineRule="atLeast"/>
      <w:jc w:val="right"/>
      <w:rPr>
        <w:b/>
        <w:bCs/>
        <w:sz w:val="36"/>
        <w:szCs w:val="36"/>
      </w:rPr>
    </w:pPr>
    <w:r>
      <w:rPr>
        <w:noProof/>
        <w:lang w:val="pl-PL" w:eastAsia="pl-PL"/>
      </w:rPr>
      <mc:AlternateContent>
        <mc:Choice Requires="wpg">
          <w:drawing>
            <wp:anchor distT="0" distB="0" distL="114300" distR="114300" simplePos="0" relativeHeight="251657728" behindDoc="0" locked="0" layoutInCell="1" allowOverlap="1">
              <wp:simplePos x="0" y="0"/>
              <wp:positionH relativeFrom="page">
                <wp:posOffset>180340</wp:posOffset>
              </wp:positionH>
              <wp:positionV relativeFrom="page">
                <wp:posOffset>3780790</wp:posOffset>
              </wp:positionV>
              <wp:extent cx="179705" cy="3780155"/>
              <wp:effectExtent l="8890" t="8890" r="11430" b="1143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6"/>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7"/>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8"/>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D9D26" id="Group 5" o:spid="_x0000_s1026" style="position:absolute;margin-left:14.2pt;margin-top:297.7pt;width:14.15pt;height:297.65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">
              <v:line id="Line 6"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7"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8"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mc:Fallback>
      </mc:AlternateContent>
    </w:r>
    <w:r w:rsidR="00525C9A">
      <w:rPr>
        <w:b/>
        <w:sz w:val="36"/>
      </w:rPr>
      <w:t>Informacja prasowa</w:t>
    </w:r>
    <w:r w:rsidR="00E24407">
      <w:rPr>
        <w:noProof/>
        <w:lang w:val="pl-PL" w:eastAsia="pl-PL"/>
      </w:rPr>
      <w:drawing>
        <wp:anchor distT="0" distB="0" distL="114300" distR="114300" simplePos="0" relativeHeight="251656704" behindDoc="1" locked="0" layoutInCell="1" allowOverlap="1">
          <wp:simplePos x="0" y="0"/>
          <wp:positionH relativeFrom="page">
            <wp:posOffset>0</wp:posOffset>
          </wp:positionH>
          <wp:positionV relativeFrom="page">
            <wp:posOffset>0</wp:posOffset>
          </wp:positionV>
          <wp:extent cx="4029075" cy="1152525"/>
          <wp:effectExtent l="19050" t="0" r="9525"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4029075" cy="11525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F4270"/>
    <w:multiLevelType w:val="hybridMultilevel"/>
    <w:tmpl w:val="12EC31FA"/>
    <w:lvl w:ilvl="0" w:tplc="06B48726">
      <w:start w:val="1"/>
      <w:numFmt w:val="bullet"/>
      <w:pStyle w:val="NumBullet"/>
      <w:lvlText w:val="•"/>
      <w:lvlJc w:val="left"/>
      <w:pPr>
        <w:tabs>
          <w:tab w:val="num" w:pos="567"/>
        </w:tabs>
        <w:ind w:left="567" w:hanging="567"/>
      </w:pPr>
      <w:rPr>
        <w:rFonts w:ascii="Times New Roman" w:hAnsi="Times New Roman" w:hint="default"/>
        <w:color w:val="E1000F"/>
      </w:rPr>
    </w:lvl>
    <w:lvl w:ilvl="1" w:tplc="606A337A" w:tentative="1">
      <w:start w:val="1"/>
      <w:numFmt w:val="bullet"/>
      <w:lvlText w:val="o"/>
      <w:lvlJc w:val="left"/>
      <w:pPr>
        <w:tabs>
          <w:tab w:val="num" w:pos="1440"/>
        </w:tabs>
        <w:ind w:left="1440" w:hanging="360"/>
      </w:pPr>
      <w:rPr>
        <w:rFonts w:ascii="Courier New" w:hAnsi="Courier New" w:hint="default"/>
      </w:rPr>
    </w:lvl>
    <w:lvl w:ilvl="2" w:tplc="3FE6A77C" w:tentative="1">
      <w:start w:val="1"/>
      <w:numFmt w:val="bullet"/>
      <w:lvlText w:val=""/>
      <w:lvlJc w:val="left"/>
      <w:pPr>
        <w:tabs>
          <w:tab w:val="num" w:pos="2160"/>
        </w:tabs>
        <w:ind w:left="2160" w:hanging="360"/>
      </w:pPr>
      <w:rPr>
        <w:rFonts w:ascii="Wingdings" w:hAnsi="Wingdings" w:hint="default"/>
      </w:rPr>
    </w:lvl>
    <w:lvl w:ilvl="3" w:tplc="EB141A8C" w:tentative="1">
      <w:start w:val="1"/>
      <w:numFmt w:val="bullet"/>
      <w:lvlText w:val=""/>
      <w:lvlJc w:val="left"/>
      <w:pPr>
        <w:tabs>
          <w:tab w:val="num" w:pos="2880"/>
        </w:tabs>
        <w:ind w:left="2880" w:hanging="360"/>
      </w:pPr>
      <w:rPr>
        <w:rFonts w:ascii="Symbol" w:hAnsi="Symbol" w:hint="default"/>
      </w:rPr>
    </w:lvl>
    <w:lvl w:ilvl="4" w:tplc="E5E4DF9C" w:tentative="1">
      <w:start w:val="1"/>
      <w:numFmt w:val="bullet"/>
      <w:lvlText w:val="o"/>
      <w:lvlJc w:val="left"/>
      <w:pPr>
        <w:tabs>
          <w:tab w:val="num" w:pos="3600"/>
        </w:tabs>
        <w:ind w:left="3600" w:hanging="360"/>
      </w:pPr>
      <w:rPr>
        <w:rFonts w:ascii="Courier New" w:hAnsi="Courier New" w:hint="default"/>
      </w:rPr>
    </w:lvl>
    <w:lvl w:ilvl="5" w:tplc="FAB226D0" w:tentative="1">
      <w:start w:val="1"/>
      <w:numFmt w:val="bullet"/>
      <w:lvlText w:val=""/>
      <w:lvlJc w:val="left"/>
      <w:pPr>
        <w:tabs>
          <w:tab w:val="num" w:pos="4320"/>
        </w:tabs>
        <w:ind w:left="4320" w:hanging="360"/>
      </w:pPr>
      <w:rPr>
        <w:rFonts w:ascii="Wingdings" w:hAnsi="Wingdings" w:hint="default"/>
      </w:rPr>
    </w:lvl>
    <w:lvl w:ilvl="6" w:tplc="70D89670" w:tentative="1">
      <w:start w:val="1"/>
      <w:numFmt w:val="bullet"/>
      <w:lvlText w:val=""/>
      <w:lvlJc w:val="left"/>
      <w:pPr>
        <w:tabs>
          <w:tab w:val="num" w:pos="5040"/>
        </w:tabs>
        <w:ind w:left="5040" w:hanging="360"/>
      </w:pPr>
      <w:rPr>
        <w:rFonts w:ascii="Symbol" w:hAnsi="Symbol" w:hint="default"/>
      </w:rPr>
    </w:lvl>
    <w:lvl w:ilvl="7" w:tplc="DFEAD46C" w:tentative="1">
      <w:start w:val="1"/>
      <w:numFmt w:val="bullet"/>
      <w:lvlText w:val="o"/>
      <w:lvlJc w:val="left"/>
      <w:pPr>
        <w:tabs>
          <w:tab w:val="num" w:pos="5760"/>
        </w:tabs>
        <w:ind w:left="5760" w:hanging="360"/>
      </w:pPr>
      <w:rPr>
        <w:rFonts w:ascii="Courier New" w:hAnsi="Courier New" w:hint="default"/>
      </w:rPr>
    </w:lvl>
    <w:lvl w:ilvl="8" w:tplc="CED0927E" w:tentative="1">
      <w:start w:val="1"/>
      <w:numFmt w:val="bullet"/>
      <w:lvlText w:val=""/>
      <w:lvlJc w:val="left"/>
      <w:pPr>
        <w:tabs>
          <w:tab w:val="num" w:pos="6480"/>
        </w:tabs>
        <w:ind w:left="6480" w:hanging="360"/>
      </w:pPr>
      <w:rPr>
        <w:rFonts w:ascii="Wingdings" w:hAnsi="Wingdings" w:hint="default"/>
      </w:rPr>
    </w:lvl>
  </w:abstractNum>
  <w:abstractNum w:abstractNumId="1">
    <w:nsid w:val="09570FC8"/>
    <w:multiLevelType w:val="hybridMultilevel"/>
    <w:tmpl w:val="453ECC82"/>
    <w:lvl w:ilvl="0" w:tplc="393E5FA6">
      <w:start w:val="1"/>
      <w:numFmt w:val="bullet"/>
      <w:lvlText w:val=""/>
      <w:lvlJc w:val="left"/>
      <w:pPr>
        <w:tabs>
          <w:tab w:val="num" w:pos="720"/>
        </w:tabs>
        <w:ind w:left="720" w:hanging="360"/>
      </w:pPr>
      <w:rPr>
        <w:rFonts w:ascii="Symbol" w:hAnsi="Symbol" w:hint="default"/>
      </w:rPr>
    </w:lvl>
    <w:lvl w:ilvl="1" w:tplc="D5AE0A72" w:tentative="1">
      <w:start w:val="1"/>
      <w:numFmt w:val="bullet"/>
      <w:lvlText w:val="o"/>
      <w:lvlJc w:val="left"/>
      <w:pPr>
        <w:tabs>
          <w:tab w:val="num" w:pos="1440"/>
        </w:tabs>
        <w:ind w:left="1440" w:hanging="360"/>
      </w:pPr>
      <w:rPr>
        <w:rFonts w:ascii="Courier New" w:hAnsi="Courier New" w:hint="default"/>
      </w:rPr>
    </w:lvl>
    <w:lvl w:ilvl="2" w:tplc="1F1AAB42" w:tentative="1">
      <w:start w:val="1"/>
      <w:numFmt w:val="bullet"/>
      <w:lvlText w:val=""/>
      <w:lvlJc w:val="left"/>
      <w:pPr>
        <w:tabs>
          <w:tab w:val="num" w:pos="2160"/>
        </w:tabs>
        <w:ind w:left="2160" w:hanging="360"/>
      </w:pPr>
      <w:rPr>
        <w:rFonts w:ascii="Wingdings" w:hAnsi="Wingdings" w:hint="default"/>
      </w:rPr>
    </w:lvl>
    <w:lvl w:ilvl="3" w:tplc="85661ACC" w:tentative="1">
      <w:start w:val="1"/>
      <w:numFmt w:val="bullet"/>
      <w:lvlText w:val=""/>
      <w:lvlJc w:val="left"/>
      <w:pPr>
        <w:tabs>
          <w:tab w:val="num" w:pos="2880"/>
        </w:tabs>
        <w:ind w:left="2880" w:hanging="360"/>
      </w:pPr>
      <w:rPr>
        <w:rFonts w:ascii="Symbol" w:hAnsi="Symbol" w:hint="default"/>
      </w:rPr>
    </w:lvl>
    <w:lvl w:ilvl="4" w:tplc="5B9E4520" w:tentative="1">
      <w:start w:val="1"/>
      <w:numFmt w:val="bullet"/>
      <w:lvlText w:val="o"/>
      <w:lvlJc w:val="left"/>
      <w:pPr>
        <w:tabs>
          <w:tab w:val="num" w:pos="3600"/>
        </w:tabs>
        <w:ind w:left="3600" w:hanging="360"/>
      </w:pPr>
      <w:rPr>
        <w:rFonts w:ascii="Courier New" w:hAnsi="Courier New" w:hint="default"/>
      </w:rPr>
    </w:lvl>
    <w:lvl w:ilvl="5" w:tplc="57A01CA8" w:tentative="1">
      <w:start w:val="1"/>
      <w:numFmt w:val="bullet"/>
      <w:lvlText w:val=""/>
      <w:lvlJc w:val="left"/>
      <w:pPr>
        <w:tabs>
          <w:tab w:val="num" w:pos="4320"/>
        </w:tabs>
        <w:ind w:left="4320" w:hanging="360"/>
      </w:pPr>
      <w:rPr>
        <w:rFonts w:ascii="Wingdings" w:hAnsi="Wingdings" w:hint="default"/>
      </w:rPr>
    </w:lvl>
    <w:lvl w:ilvl="6" w:tplc="B3D23128" w:tentative="1">
      <w:start w:val="1"/>
      <w:numFmt w:val="bullet"/>
      <w:lvlText w:val=""/>
      <w:lvlJc w:val="left"/>
      <w:pPr>
        <w:tabs>
          <w:tab w:val="num" w:pos="5040"/>
        </w:tabs>
        <w:ind w:left="5040" w:hanging="360"/>
      </w:pPr>
      <w:rPr>
        <w:rFonts w:ascii="Symbol" w:hAnsi="Symbol" w:hint="default"/>
      </w:rPr>
    </w:lvl>
    <w:lvl w:ilvl="7" w:tplc="2C2E685A" w:tentative="1">
      <w:start w:val="1"/>
      <w:numFmt w:val="bullet"/>
      <w:lvlText w:val="o"/>
      <w:lvlJc w:val="left"/>
      <w:pPr>
        <w:tabs>
          <w:tab w:val="num" w:pos="5760"/>
        </w:tabs>
        <w:ind w:left="5760" w:hanging="360"/>
      </w:pPr>
      <w:rPr>
        <w:rFonts w:ascii="Courier New" w:hAnsi="Courier New" w:hint="default"/>
      </w:rPr>
    </w:lvl>
    <w:lvl w:ilvl="8" w:tplc="B4F24E8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35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D3F"/>
    <w:rsid w:val="000B134F"/>
    <w:rsid w:val="00184759"/>
    <w:rsid w:val="002024D4"/>
    <w:rsid w:val="002E59FC"/>
    <w:rsid w:val="00425632"/>
    <w:rsid w:val="004A5226"/>
    <w:rsid w:val="00525C9A"/>
    <w:rsid w:val="005C3D3F"/>
    <w:rsid w:val="00727B91"/>
    <w:rsid w:val="007E2D84"/>
    <w:rsid w:val="00880E23"/>
    <w:rsid w:val="008957C1"/>
    <w:rsid w:val="00927D00"/>
    <w:rsid w:val="00967D5B"/>
    <w:rsid w:val="009F58B9"/>
    <w:rsid w:val="00A56A8C"/>
    <w:rsid w:val="00A836AA"/>
    <w:rsid w:val="00B2436D"/>
    <w:rsid w:val="00B70D76"/>
    <w:rsid w:val="00C41F7A"/>
    <w:rsid w:val="00D37328"/>
    <w:rsid w:val="00D84A2D"/>
    <w:rsid w:val="00E24407"/>
    <w:rsid w:val="00E246EB"/>
    <w:rsid w:val="00E27651"/>
    <w:rsid w:val="00E64CD5"/>
    <w:rsid w:val="00EF7CD3"/>
    <w:rsid w:val="00F80892"/>
    <w:rsid w:val="00F83D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C1477AA2-EE11-4557-B040-ED6CB524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line="260" w:lineRule="atLeast"/>
    </w:pPr>
    <w:rPr>
      <w:rFonts w:ascii="Arial" w:hAnsi="Arial"/>
      <w:szCs w:val="24"/>
      <w:lang w:val="de-DE" w:eastAsia="en-US"/>
    </w:rPr>
  </w:style>
  <w:style w:type="paragraph" w:styleId="Nagwek1">
    <w:name w:val="heading 1"/>
    <w:basedOn w:val="Normalny"/>
    <w:next w:val="Normalny"/>
    <w:link w:val="Nagwek1Znak"/>
    <w:uiPriority w:val="9"/>
    <w:qFormat/>
    <w:pPr>
      <w:keepNext/>
      <w:spacing w:line="420" w:lineRule="atLeast"/>
      <w:outlineLvl w:val="0"/>
    </w:pPr>
    <w:rPr>
      <w:rFonts w:cs="Arial"/>
      <w:b/>
      <w:bCs/>
      <w:kern w:val="32"/>
      <w:sz w:val="36"/>
      <w:szCs w:val="32"/>
    </w:rPr>
  </w:style>
  <w:style w:type="paragraph" w:styleId="Nagwek2">
    <w:name w:val="heading 2"/>
    <w:basedOn w:val="Normalny"/>
    <w:next w:val="Normalny"/>
    <w:link w:val="Nagwek2Znak"/>
    <w:uiPriority w:val="9"/>
    <w:qFormat/>
    <w:pPr>
      <w:keepNext/>
      <w:outlineLvl w:val="1"/>
    </w:pPr>
    <w:rPr>
      <w:rFonts w:cs="Arial"/>
      <w:bCs/>
      <w:iCs/>
      <w:color w:val="E1000F"/>
      <w:sz w:val="22"/>
      <w:szCs w:val="28"/>
    </w:rPr>
  </w:style>
  <w:style w:type="paragraph" w:styleId="Nagwek3">
    <w:name w:val="heading 3"/>
    <w:basedOn w:val="Nagwek2"/>
    <w:next w:val="Normalny"/>
    <w:link w:val="Nagwek3Znak"/>
    <w:uiPriority w:val="9"/>
    <w:qFormat/>
    <w:pPr>
      <w:outlineLvl w:val="2"/>
    </w:pPr>
    <w:rPr>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Pr>
      <w:rFonts w:ascii="Cambria" w:eastAsia="Times New Roman" w:hAnsi="Cambria" w:cs="Times New Roman"/>
      <w:b/>
      <w:bCs/>
      <w:kern w:val="32"/>
      <w:sz w:val="32"/>
      <w:szCs w:val="32"/>
      <w:lang w:val="de-DE" w:eastAsia="en-US"/>
    </w:rPr>
  </w:style>
  <w:style w:type="character" w:customStyle="1" w:styleId="Nagwek2Znak">
    <w:name w:val="Nagłówek 2 Znak"/>
    <w:link w:val="Nagwek2"/>
    <w:uiPriority w:val="9"/>
    <w:semiHidden/>
    <w:rPr>
      <w:rFonts w:ascii="Cambria" w:eastAsia="Times New Roman" w:hAnsi="Cambria" w:cs="Times New Roman"/>
      <w:b/>
      <w:bCs/>
      <w:i/>
      <w:iCs/>
      <w:sz w:val="28"/>
      <w:szCs w:val="28"/>
      <w:lang w:val="de-DE" w:eastAsia="en-US"/>
    </w:rPr>
  </w:style>
  <w:style w:type="character" w:customStyle="1" w:styleId="Nagwek3Znak">
    <w:name w:val="Nagłówek 3 Znak"/>
    <w:link w:val="Nagwek3"/>
    <w:uiPriority w:val="9"/>
    <w:semiHidden/>
    <w:rPr>
      <w:rFonts w:ascii="Cambria" w:eastAsia="Times New Roman" w:hAnsi="Cambria" w:cs="Times New Roman"/>
      <w:b/>
      <w:bCs/>
      <w:sz w:val="26"/>
      <w:szCs w:val="26"/>
      <w:lang w:val="de-DE" w:eastAsia="en-US"/>
    </w:rPr>
  </w:style>
  <w:style w:type="paragraph" w:styleId="Nagwek">
    <w:name w:val="header"/>
    <w:basedOn w:val="Normalny"/>
    <w:link w:val="NagwekZnak"/>
    <w:uiPriority w:val="99"/>
    <w:pPr>
      <w:tabs>
        <w:tab w:val="center" w:pos="4320"/>
        <w:tab w:val="right" w:pos="8640"/>
      </w:tabs>
    </w:pPr>
  </w:style>
  <w:style w:type="character" w:customStyle="1" w:styleId="NagwekZnak">
    <w:name w:val="Nagłówek Znak"/>
    <w:link w:val="Nagwek"/>
    <w:uiPriority w:val="99"/>
    <w:semiHidden/>
    <w:rPr>
      <w:rFonts w:ascii="Arial" w:hAnsi="Arial"/>
      <w:szCs w:val="24"/>
      <w:lang w:val="de-DE" w:eastAsia="en-US"/>
    </w:rPr>
  </w:style>
  <w:style w:type="paragraph" w:styleId="Stopka">
    <w:name w:val="footer"/>
    <w:basedOn w:val="Normalny"/>
    <w:link w:val="StopkaZnak"/>
    <w:uiPriority w:val="99"/>
    <w:pPr>
      <w:tabs>
        <w:tab w:val="right" w:pos="7083"/>
        <w:tab w:val="right" w:pos="8640"/>
      </w:tabs>
      <w:spacing w:line="180" w:lineRule="atLeast"/>
    </w:pPr>
    <w:rPr>
      <w:b/>
      <w:color w:val="E1000F"/>
      <w:sz w:val="14"/>
    </w:rPr>
  </w:style>
  <w:style w:type="character" w:customStyle="1" w:styleId="StopkaZnak">
    <w:name w:val="Stopka Znak"/>
    <w:link w:val="Stopka"/>
    <w:uiPriority w:val="99"/>
    <w:locked/>
    <w:rPr>
      <w:rFonts w:ascii="Arial" w:hAnsi="Arial"/>
      <w:b/>
      <w:color w:val="E1000F"/>
      <w:sz w:val="24"/>
    </w:rPr>
  </w:style>
  <w:style w:type="paragraph" w:customStyle="1" w:styleId="Intro">
    <w:name w:val="Intro"/>
    <w:basedOn w:val="Normalny"/>
    <w:pPr>
      <w:spacing w:after="300"/>
    </w:pPr>
    <w:rPr>
      <w:color w:val="415055"/>
      <w:sz w:val="24"/>
    </w:rPr>
  </w:style>
  <w:style w:type="paragraph" w:customStyle="1" w:styleId="NumBullet">
    <w:name w:val="Num_Bullet"/>
    <w:basedOn w:val="Normalny"/>
    <w:pPr>
      <w:numPr>
        <w:numId w:val="1"/>
      </w:numPr>
      <w:tabs>
        <w:tab w:val="left" w:pos="357"/>
      </w:tabs>
      <w:ind w:left="357" w:hanging="357"/>
    </w:pPr>
  </w:style>
  <w:style w:type="paragraph" w:customStyle="1" w:styleId="Page1Name">
    <w:name w:val="Page1_Name"/>
    <w:basedOn w:val="Normalny"/>
    <w:pPr>
      <w:spacing w:after="420" w:line="360" w:lineRule="atLeast"/>
    </w:pPr>
    <w:rPr>
      <w:b/>
      <w:sz w:val="30"/>
    </w:rPr>
  </w:style>
  <w:style w:type="paragraph" w:customStyle="1" w:styleId="Page1Title">
    <w:name w:val="Page1_Title"/>
    <w:basedOn w:val="Normalny"/>
    <w:pPr>
      <w:spacing w:line="228" w:lineRule="auto"/>
    </w:pPr>
    <w:rPr>
      <w:color w:val="E1000F"/>
      <w:sz w:val="90"/>
    </w:rPr>
  </w:style>
  <w:style w:type="paragraph" w:customStyle="1" w:styleId="Page1Author">
    <w:name w:val="Page1_Author"/>
    <w:basedOn w:val="Page1Name"/>
    <w:pPr>
      <w:spacing w:before="240" w:after="0"/>
    </w:pPr>
    <w:rPr>
      <w:b w:val="0"/>
      <w:bCs/>
    </w:rPr>
  </w:style>
  <w:style w:type="paragraph" w:styleId="Tekstpodstawowy">
    <w:name w:val="Body Text"/>
    <w:basedOn w:val="Normalny"/>
    <w:link w:val="TekstpodstawowyZnak"/>
    <w:uiPriority w:val="99"/>
    <w:pPr>
      <w:spacing w:after="120" w:line="280" w:lineRule="exact"/>
    </w:pPr>
    <w:rPr>
      <w:lang w:eastAsia="de-DE"/>
    </w:rPr>
  </w:style>
  <w:style w:type="character" w:customStyle="1" w:styleId="TekstpodstawowyZnak">
    <w:name w:val="Tekst podstawowy Znak"/>
    <w:link w:val="Tekstpodstawowy"/>
    <w:uiPriority w:val="99"/>
    <w:locked/>
    <w:rPr>
      <w:rFonts w:ascii="Arial" w:hAnsi="Arial"/>
      <w:sz w:val="24"/>
      <w:lang w:eastAsia="de-DE"/>
    </w:rPr>
  </w:style>
  <w:style w:type="paragraph" w:customStyle="1" w:styleId="Info">
    <w:name w:val="Info"/>
    <w:basedOn w:val="Normalny"/>
    <w:pPr>
      <w:spacing w:line="240" w:lineRule="atLeast"/>
    </w:pPr>
    <w:rPr>
      <w:sz w:val="13"/>
    </w:rPr>
  </w:style>
  <w:style w:type="character" w:customStyle="1" w:styleId="InfoZchn">
    <w:name w:val="Info Zchn"/>
    <w:rPr>
      <w:rFonts w:ascii="Arial" w:hAnsi="Arial"/>
      <w:sz w:val="24"/>
      <w:lang w:eastAsia="en-US"/>
    </w:rPr>
  </w:style>
  <w:style w:type="paragraph" w:customStyle="1" w:styleId="Standard12pt">
    <w:name w:val="Standard_12pt"/>
    <w:basedOn w:val="Normalny"/>
    <w:pPr>
      <w:spacing w:line="300" w:lineRule="atLeast"/>
    </w:pPr>
    <w:rPr>
      <w:sz w:val="24"/>
    </w:rPr>
  </w:style>
  <w:style w:type="paragraph" w:customStyle="1" w:styleId="BodyText31">
    <w:name w:val="Body Text 31"/>
    <w:basedOn w:val="Normalny"/>
    <w:pPr>
      <w:keepLines/>
      <w:overflowPunct w:val="0"/>
      <w:autoSpaceDE w:val="0"/>
      <w:autoSpaceDN w:val="0"/>
      <w:adjustRightInd w:val="0"/>
      <w:spacing w:line="360" w:lineRule="auto"/>
      <w:jc w:val="both"/>
      <w:textAlignment w:val="baseline"/>
    </w:pPr>
    <w:rPr>
      <w:color w:val="000000"/>
      <w:sz w:val="24"/>
      <w:szCs w:val="20"/>
    </w:rPr>
  </w:style>
  <w:style w:type="paragraph" w:customStyle="1" w:styleId="PRContact">
    <w:name w:val="_PR_Contact"/>
    <w:basedOn w:val="Normalny"/>
    <w:pPr>
      <w:keepNext/>
      <w:keepLines/>
      <w:tabs>
        <w:tab w:val="left" w:pos="284"/>
        <w:tab w:val="left" w:pos="567"/>
        <w:tab w:val="left" w:pos="4451"/>
        <w:tab w:val="left" w:pos="4734"/>
        <w:tab w:val="left" w:pos="5018"/>
      </w:tabs>
      <w:spacing w:line="280" w:lineRule="exact"/>
    </w:pPr>
    <w:rPr>
      <w:rFonts w:cs="Arial"/>
      <w:szCs w:val="20"/>
      <w:lang w:eastAsia="de-DE"/>
    </w:rPr>
  </w:style>
  <w:style w:type="paragraph" w:customStyle="1" w:styleId="PRBoilerplate">
    <w:name w:val="_PR_Boilerplate"/>
    <w:basedOn w:val="Normalny"/>
    <w:next w:val="PRContact"/>
    <w:pPr>
      <w:keepLines/>
      <w:spacing w:after="280" w:line="280" w:lineRule="exact"/>
      <w:jc w:val="both"/>
    </w:pPr>
    <w:rPr>
      <w:rFonts w:cs="Arial"/>
      <w:szCs w:val="20"/>
      <w:lang w:eastAsia="de-DE"/>
    </w:rPr>
  </w:style>
  <w:style w:type="character" w:styleId="Hipercze">
    <w:name w:val="Hyperlink"/>
    <w:uiPriority w:val="99"/>
    <w:rPr>
      <w:color w:val="0000FF"/>
      <w:u w:val="single"/>
    </w:rPr>
  </w:style>
  <w:style w:type="character" w:customStyle="1" w:styleId="PRHalfblank">
    <w:name w:val="_PR_Halfblank"/>
    <w:rPr>
      <w:w w:val="50"/>
    </w:rPr>
  </w:style>
  <w:style w:type="character" w:styleId="UyteHipercze">
    <w:name w:val="FollowedHyperlink"/>
    <w:uiPriority w:val="99"/>
    <w:rPr>
      <w:color w:val="800080"/>
      <w:u w:val="single"/>
    </w:rPr>
  </w:style>
  <w:style w:type="paragraph" w:styleId="Tekstpodstawowy3">
    <w:name w:val="Body Text 3"/>
    <w:basedOn w:val="Normalny"/>
    <w:link w:val="Tekstpodstawowy3Znak"/>
    <w:uiPriority w:val="99"/>
    <w:pPr>
      <w:spacing w:after="120" w:line="280" w:lineRule="exact"/>
    </w:pPr>
    <w:rPr>
      <w:sz w:val="16"/>
      <w:szCs w:val="16"/>
      <w:lang w:eastAsia="de-DE"/>
    </w:rPr>
  </w:style>
  <w:style w:type="character" w:customStyle="1" w:styleId="Tekstpodstawowy3Znak">
    <w:name w:val="Tekst podstawowy 3 Znak"/>
    <w:link w:val="Tekstpodstawowy3"/>
    <w:uiPriority w:val="99"/>
    <w:semiHidden/>
    <w:rPr>
      <w:rFonts w:ascii="Arial" w:hAnsi="Arial"/>
      <w:sz w:val="16"/>
      <w:szCs w:val="16"/>
      <w:lang w:val="de-DE" w:eastAsia="en-US"/>
    </w:rPr>
  </w:style>
  <w:style w:type="paragraph" w:styleId="Tekstdymka">
    <w:name w:val="Balloon Text"/>
    <w:basedOn w:val="Normalny"/>
    <w:link w:val="TekstdymkaZnak"/>
    <w:uiPriority w:val="99"/>
    <w:pPr>
      <w:spacing w:line="240" w:lineRule="auto"/>
    </w:pPr>
    <w:rPr>
      <w:rFonts w:ascii="Tahoma" w:hAnsi="Tahoma"/>
      <w:sz w:val="16"/>
      <w:szCs w:val="16"/>
      <w:lang w:val="en-GB"/>
    </w:rPr>
  </w:style>
  <w:style w:type="character" w:customStyle="1" w:styleId="TekstdymkaZnak">
    <w:name w:val="Tekst dymka Znak"/>
    <w:link w:val="Tekstdymka"/>
    <w:uiPriority w:val="99"/>
    <w:locked/>
    <w:rPr>
      <w:rFonts w:ascii="Tahoma" w:hAnsi="Tahoma"/>
      <w:sz w:val="16"/>
      <w:lang w:eastAsia="en-US"/>
    </w:rPr>
  </w:style>
  <w:style w:type="paragraph" w:styleId="Tekstprzypisudolnego">
    <w:name w:val="footnote text"/>
    <w:basedOn w:val="Normalny"/>
    <w:link w:val="TekstprzypisudolnegoZnak"/>
    <w:uiPriority w:val="99"/>
    <w:semiHidden/>
    <w:rPr>
      <w:szCs w:val="20"/>
    </w:rPr>
  </w:style>
  <w:style w:type="character" w:customStyle="1" w:styleId="TekstprzypisudolnegoZnak">
    <w:name w:val="Tekst przypisu dolnego Znak"/>
    <w:link w:val="Tekstprzypisudolnego"/>
    <w:uiPriority w:val="99"/>
    <w:semiHidden/>
    <w:rPr>
      <w:rFonts w:ascii="Arial" w:hAnsi="Arial"/>
      <w:lang w:val="de-DE" w:eastAsia="en-US"/>
    </w:rPr>
  </w:style>
  <w:style w:type="character" w:styleId="Odwoanieprzypisudolnego">
    <w:name w:val="footnote reference"/>
    <w:uiPriority w:val="99"/>
    <w:semiHidden/>
    <w:rPr>
      <w:vertAlign w:val="superscript"/>
    </w:r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Cs w:val="20"/>
    </w:rPr>
  </w:style>
  <w:style w:type="character" w:customStyle="1" w:styleId="TekstkomentarzaZnak">
    <w:name w:val="Tekst komentarza Znak"/>
    <w:link w:val="Tekstkomentarza"/>
    <w:uiPriority w:val="99"/>
    <w:locked/>
    <w:rPr>
      <w:rFonts w:ascii="Arial" w:hAnsi="Arial"/>
      <w:lang w:eastAsia="en-US"/>
    </w:rPr>
  </w:style>
  <w:style w:type="paragraph" w:styleId="Tematkomentarza">
    <w:name w:val="annotation subject"/>
    <w:basedOn w:val="Tekstkomentarza"/>
    <w:next w:val="Tekstkomentarza"/>
    <w:link w:val="TematkomentarzaZnak"/>
    <w:uiPriority w:val="99"/>
    <w:rPr>
      <w:b/>
      <w:bCs/>
    </w:rPr>
  </w:style>
  <w:style w:type="character" w:customStyle="1" w:styleId="TematkomentarzaZnak">
    <w:name w:val="Temat komentarza Znak"/>
    <w:link w:val="Tematkomentarza"/>
    <w:uiPriority w:val="99"/>
    <w:locked/>
    <w:rPr>
      <w:rFonts w:ascii="Arial" w:hAnsi="Arial"/>
      <w:b/>
      <w:lang w:eastAsia="en-US"/>
    </w:rPr>
  </w:style>
  <w:style w:type="character" w:customStyle="1" w:styleId="tw4winMark">
    <w:name w:val="tw4winMark"/>
    <w:uiPriority w:val="99"/>
    <w:rPr>
      <w:rFonts w:ascii="Courier New" w:hAnsi="Courier New"/>
      <w:vanish/>
      <w:color w:val="800080"/>
      <w:vertAlign w:val="subscript"/>
    </w:rPr>
  </w:style>
  <w:style w:type="paragraph" w:styleId="Poprawka">
    <w:name w:val="Revision"/>
    <w:hidden/>
    <w:uiPriority w:val="99"/>
    <w:semiHidden/>
    <w:rsid w:val="00043C3E"/>
    <w:rPr>
      <w:rFonts w:ascii="Arial" w:hAnsi="Arial"/>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henkel.com/press-and-media/press-releases-and-kits/2015-03-04-publication-of-2014-annual-report-and-sustainability-report/39553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0203.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ECF9C-9C18-4EF1-ABF2-875B99478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HENKEL_DE_Pressemitteilung_110203.dot</Template>
  <TotalTime>0</TotalTime>
  <Pages>12</Pages>
  <Words>3239</Words>
  <Characters>19434</Characters>
  <Application>Microsoft Office Word</Application>
  <DocSecurity>4</DocSecurity>
  <Lines>161</Lines>
  <Paragraphs>45</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22628</CharactersWithSpaces>
  <SharedDoc>false</SharedDoc>
  <HLinks>
    <vt:vector size="18" baseType="variant">
      <vt:variant>
        <vt:i4>3080305</vt:i4>
      </vt:variant>
      <vt:variant>
        <vt:i4>6</vt:i4>
      </vt:variant>
      <vt:variant>
        <vt:i4>0</vt:i4>
      </vt:variant>
      <vt:variant>
        <vt:i4>5</vt:i4>
      </vt:variant>
      <vt:variant>
        <vt:lpwstr>http://www.henkel.com/press-and-media/press-releases-and-kits/2015-03-04-publication-of-2014-annual-report-and-sustainability-report/395534</vt:lpwstr>
      </vt:variant>
      <vt:variant>
        <vt:lpwstr/>
      </vt:variant>
      <vt:variant>
        <vt:i4>7667735</vt:i4>
      </vt:variant>
      <vt:variant>
        <vt:i4>3</vt:i4>
      </vt:variant>
      <vt:variant>
        <vt:i4>0</vt:i4>
      </vt:variant>
      <vt:variant>
        <vt:i4>5</vt:i4>
      </vt:variant>
      <vt:variant>
        <vt:lpwstr>mailto:wulf.klueppelholz@henkel.com</vt:lpwstr>
      </vt:variant>
      <vt:variant>
        <vt:lpwstr/>
      </vt:variant>
      <vt:variant>
        <vt:i4>119</vt:i4>
      </vt:variant>
      <vt:variant>
        <vt:i4>0</vt:i4>
      </vt:variant>
      <vt:variant>
        <vt:i4>0</vt:i4>
      </vt:variant>
      <vt:variant>
        <vt:i4>5</vt:i4>
      </vt:variant>
      <vt:variant>
        <vt:lpwstr>mailto:lars.witteck@henkel.com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Klueppelholz</dc:creator>
  <dc:description>Henkel Q2/2011</dc:description>
  <cp:lastModifiedBy>Dorota Strosznajder</cp:lastModifiedBy>
  <cp:revision>2</cp:revision>
  <cp:lastPrinted>2015-03-03T17:43:00Z</cp:lastPrinted>
  <dcterms:created xsi:type="dcterms:W3CDTF">2015-03-04T17:24:00Z</dcterms:created>
  <dcterms:modified xsi:type="dcterms:W3CDTF">2015-03-04T17:24:00Z</dcterms:modified>
</cp:coreProperties>
</file>