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719" w:rsidRPr="002D3A87" w:rsidRDefault="00656719" w:rsidP="00656719">
      <w:pPr>
        <w:rPr>
          <w:rFonts w:eastAsia="宋体" w:cs="Arial" w:hint="eastAsia"/>
          <w:b/>
          <w:i/>
          <w:snapToGrid w:val="0"/>
          <w:sz w:val="24"/>
          <w:highlight w:val="yellow"/>
          <w:lang w:val="en-US" w:eastAsia="zh-CN"/>
        </w:rPr>
      </w:pPr>
    </w:p>
    <w:p w:rsidR="00656719" w:rsidRPr="002D3A87" w:rsidRDefault="007C171B" w:rsidP="00656719">
      <w:pPr>
        <w:pStyle w:val="Standard12pt"/>
        <w:jc w:val="right"/>
        <w:rPr>
          <w:rFonts w:eastAsia="宋体" w:cs="Arial"/>
          <w:snapToGrid w:val="0"/>
          <w:lang w:val="en-US" w:eastAsia="zh-CN"/>
        </w:rPr>
      </w:pPr>
      <w:r w:rsidRPr="002D3A87">
        <w:rPr>
          <w:rFonts w:eastAsia="宋体" w:cs="Arial"/>
          <w:snapToGrid w:val="0"/>
          <w:lang w:val="en-US" w:eastAsia="zh-CN"/>
        </w:rPr>
        <w:t>2015</w:t>
      </w:r>
      <w:r w:rsidRPr="002D3A87">
        <w:rPr>
          <w:rFonts w:eastAsia="宋体" w:cs="Arial"/>
          <w:snapToGrid w:val="0"/>
          <w:lang w:val="en-US" w:eastAsia="zh-CN"/>
        </w:rPr>
        <w:t>年</w:t>
      </w:r>
      <w:r w:rsidRPr="002D3A87">
        <w:rPr>
          <w:rFonts w:eastAsia="宋体" w:cs="Arial"/>
          <w:snapToGrid w:val="0"/>
          <w:lang w:val="en-US" w:eastAsia="zh-CN"/>
        </w:rPr>
        <w:t>8</w:t>
      </w:r>
      <w:r w:rsidRPr="002D3A87">
        <w:rPr>
          <w:rFonts w:eastAsia="宋体" w:cs="Arial"/>
          <w:snapToGrid w:val="0"/>
          <w:lang w:val="en-US" w:eastAsia="zh-CN"/>
        </w:rPr>
        <w:t>月</w:t>
      </w:r>
      <w:r w:rsidRPr="002D3A87">
        <w:rPr>
          <w:rFonts w:eastAsia="宋体" w:cs="Arial"/>
          <w:snapToGrid w:val="0"/>
          <w:lang w:val="en-US" w:eastAsia="zh-CN"/>
        </w:rPr>
        <w:t>12</w:t>
      </w:r>
      <w:r w:rsidRPr="002D3A87">
        <w:rPr>
          <w:rFonts w:eastAsia="宋体" w:cs="Arial"/>
          <w:snapToGrid w:val="0"/>
          <w:lang w:val="en-US" w:eastAsia="zh-CN"/>
        </w:rPr>
        <w:t>日</w:t>
      </w:r>
    </w:p>
    <w:p w:rsidR="00656719" w:rsidRPr="002D3A87" w:rsidRDefault="00656719" w:rsidP="00656719">
      <w:pPr>
        <w:pStyle w:val="Standard12pt"/>
        <w:rPr>
          <w:rFonts w:eastAsia="宋体" w:cs="Arial"/>
          <w:snapToGrid w:val="0"/>
          <w:lang w:val="en-US" w:eastAsia="zh-CN"/>
        </w:rPr>
      </w:pPr>
    </w:p>
    <w:p w:rsidR="00656719" w:rsidRPr="002D3A87" w:rsidRDefault="00656719" w:rsidP="00656719">
      <w:pPr>
        <w:pStyle w:val="Standard12pt"/>
        <w:rPr>
          <w:rFonts w:eastAsia="宋体" w:cs="Arial"/>
          <w:snapToGrid w:val="0"/>
          <w:lang w:val="en-US" w:eastAsia="zh-CN"/>
        </w:rPr>
      </w:pPr>
    </w:p>
    <w:p w:rsidR="009146DF" w:rsidRPr="002D3A87" w:rsidRDefault="009146DF" w:rsidP="007C171B">
      <w:pPr>
        <w:pStyle w:val="Standard12pt"/>
        <w:rPr>
          <w:rFonts w:eastAsia="宋体" w:cs="Arial"/>
          <w:snapToGrid w:val="0"/>
          <w:lang w:val="en-US" w:eastAsia="zh-CN"/>
        </w:rPr>
      </w:pPr>
    </w:p>
    <w:p w:rsidR="00656719" w:rsidRPr="002D3A87" w:rsidRDefault="007C171B" w:rsidP="007C171B">
      <w:pPr>
        <w:pStyle w:val="Standard12pt"/>
        <w:rPr>
          <w:rFonts w:eastAsia="宋体" w:cs="Arial"/>
          <w:snapToGrid w:val="0"/>
          <w:lang w:val="en-US" w:eastAsia="zh-CN"/>
        </w:rPr>
      </w:pPr>
      <w:r w:rsidRPr="002D3A87">
        <w:rPr>
          <w:rFonts w:eastAsia="宋体" w:cs="Arial"/>
          <w:snapToGrid w:val="0"/>
          <w:lang w:val="en-US" w:eastAsia="zh-CN"/>
        </w:rPr>
        <w:t>尽管市场环境严峻，全年指导方针得到确认</w:t>
      </w:r>
    </w:p>
    <w:p w:rsidR="00656719" w:rsidRPr="002D3A87" w:rsidRDefault="00656719" w:rsidP="007C171B">
      <w:pPr>
        <w:pStyle w:val="Standard12pt"/>
        <w:rPr>
          <w:rFonts w:eastAsia="宋体" w:cs="Arial"/>
          <w:snapToGrid w:val="0"/>
          <w:lang w:val="en-US" w:eastAsia="zh-CN"/>
        </w:rPr>
      </w:pPr>
    </w:p>
    <w:p w:rsidR="00656719" w:rsidRPr="002D3A87" w:rsidRDefault="007C171B" w:rsidP="007C171B">
      <w:pPr>
        <w:pStyle w:val="1"/>
        <w:rPr>
          <w:rFonts w:eastAsia="宋体"/>
          <w:snapToGrid w:val="0"/>
          <w:kern w:val="0"/>
          <w:lang w:val="en-US" w:eastAsia="zh-CN"/>
        </w:rPr>
      </w:pPr>
      <w:r w:rsidRPr="002D3A87">
        <w:rPr>
          <w:rFonts w:eastAsia="宋体"/>
          <w:snapToGrid w:val="0"/>
          <w:kern w:val="0"/>
          <w:lang w:val="en-US" w:eastAsia="zh-CN"/>
        </w:rPr>
        <w:t>汉高在第二季度表现稳定</w:t>
      </w:r>
    </w:p>
    <w:p w:rsidR="00656719" w:rsidRPr="002D3A87" w:rsidRDefault="00656719" w:rsidP="007C171B">
      <w:pPr>
        <w:pStyle w:val="Standard12pt"/>
        <w:rPr>
          <w:rFonts w:eastAsia="宋体" w:cs="Arial"/>
          <w:snapToGrid w:val="0"/>
          <w:lang w:val="en-US" w:eastAsia="zh-CN"/>
        </w:rPr>
      </w:pPr>
    </w:p>
    <w:p w:rsidR="00656719" w:rsidRPr="002D3A87" w:rsidRDefault="007C171B" w:rsidP="007C171B">
      <w:pPr>
        <w:pStyle w:val="a5"/>
        <w:numPr>
          <w:ilvl w:val="0"/>
          <w:numId w:val="2"/>
        </w:numPr>
        <w:tabs>
          <w:tab w:val="clear" w:pos="720"/>
          <w:tab w:val="num" w:pos="284"/>
        </w:tabs>
        <w:spacing w:after="0" w:line="360" w:lineRule="auto"/>
        <w:ind w:left="284" w:hanging="284"/>
        <w:rPr>
          <w:rFonts w:eastAsia="宋体" w:cs="Arial"/>
          <w:b/>
          <w:snapToGrid w:val="0"/>
          <w:sz w:val="24"/>
          <w:lang w:val="en-US"/>
        </w:rPr>
      </w:pPr>
      <w:r w:rsidRPr="002D3A87">
        <w:rPr>
          <w:rFonts w:eastAsia="宋体" w:cs="Arial"/>
          <w:b/>
          <w:snapToGrid w:val="0"/>
          <w:color w:val="000000"/>
          <w:sz w:val="24"/>
          <w:lang w:val="en-US"/>
        </w:rPr>
        <w:t>销售额增长</w:t>
      </w:r>
      <w:r w:rsidRPr="002D3A87">
        <w:rPr>
          <w:rFonts w:eastAsia="宋体" w:cs="Arial"/>
          <w:b/>
          <w:snapToGrid w:val="0"/>
          <w:sz w:val="24"/>
          <w:lang w:val="en-US"/>
        </w:rPr>
        <w:t>13.5</w:t>
      </w:r>
      <w:r w:rsidRPr="002D3A87">
        <w:rPr>
          <w:rFonts w:eastAsia="宋体" w:cs="Arial"/>
          <w:b/>
          <w:snapToGrid w:val="0"/>
          <w:color w:val="000000"/>
          <w:sz w:val="24"/>
          <w:lang w:val="en-US"/>
        </w:rPr>
        <w:t>%</w:t>
      </w:r>
      <w:r w:rsidRPr="002D3A87">
        <w:rPr>
          <w:rFonts w:eastAsia="宋体" w:cs="Arial"/>
          <w:b/>
          <w:snapToGrid w:val="0"/>
          <w:color w:val="000000"/>
          <w:sz w:val="24"/>
          <w:lang w:val="en-US"/>
        </w:rPr>
        <w:t>，</w:t>
      </w:r>
      <w:r w:rsidRPr="002D3A87">
        <w:rPr>
          <w:rFonts w:eastAsia="宋体" w:cs="Arial"/>
          <w:b/>
          <w:snapToGrid w:val="0"/>
          <w:color w:val="000000"/>
          <w:sz w:val="24"/>
          <w:lang w:val="en-US" w:eastAsia="zh-CN"/>
        </w:rPr>
        <w:t>至</w:t>
      </w:r>
      <w:r w:rsidRPr="002D3A87">
        <w:rPr>
          <w:rFonts w:eastAsia="宋体" w:cs="Arial"/>
          <w:b/>
          <w:snapToGrid w:val="0"/>
          <w:color w:val="000000"/>
          <w:sz w:val="24"/>
          <w:lang w:val="en-US" w:eastAsia="zh-CN"/>
        </w:rPr>
        <w:t>46.95</w:t>
      </w:r>
      <w:r w:rsidRPr="002D3A87">
        <w:rPr>
          <w:rFonts w:eastAsia="宋体" w:cs="Arial"/>
          <w:b/>
          <w:snapToGrid w:val="0"/>
          <w:color w:val="000000"/>
          <w:sz w:val="24"/>
          <w:lang w:val="en-US"/>
        </w:rPr>
        <w:t>亿欧元（</w:t>
      </w:r>
      <w:r w:rsidRPr="002D3A87">
        <w:rPr>
          <w:rFonts w:eastAsia="宋体" w:cs="Arial"/>
          <w:b/>
          <w:snapToGrid w:val="0"/>
          <w:color w:val="000000"/>
          <w:sz w:val="24"/>
          <w:lang w:val="en-US" w:eastAsia="zh-CN"/>
        </w:rPr>
        <w:t>有机增长</w:t>
      </w:r>
      <w:r w:rsidRPr="002D3A87">
        <w:rPr>
          <w:rFonts w:eastAsia="宋体" w:cs="Arial"/>
          <w:b/>
          <w:snapToGrid w:val="0"/>
          <w:color w:val="000000"/>
          <w:sz w:val="24"/>
          <w:lang w:val="en-US"/>
        </w:rPr>
        <w:t>：</w:t>
      </w:r>
      <w:r w:rsidRPr="002D3A87">
        <w:rPr>
          <w:rFonts w:eastAsia="宋体" w:cs="Arial"/>
          <w:b/>
          <w:snapToGrid w:val="0"/>
          <w:color w:val="000000"/>
          <w:sz w:val="24"/>
          <w:lang w:val="en-US"/>
        </w:rPr>
        <w:t>+</w:t>
      </w:r>
      <w:r w:rsidRPr="002D3A87">
        <w:rPr>
          <w:rFonts w:eastAsia="宋体" w:cs="Arial"/>
          <w:b/>
          <w:snapToGrid w:val="0"/>
          <w:color w:val="000000"/>
          <w:sz w:val="24"/>
          <w:lang w:val="en-US" w:eastAsia="zh-CN"/>
        </w:rPr>
        <w:t>2</w:t>
      </w:r>
      <w:r w:rsidRPr="002D3A87">
        <w:rPr>
          <w:rFonts w:eastAsia="宋体" w:cs="Arial"/>
          <w:b/>
          <w:snapToGrid w:val="0"/>
          <w:color w:val="000000"/>
          <w:sz w:val="24"/>
          <w:lang w:val="en-US"/>
        </w:rPr>
        <w:t>.4%</w:t>
      </w:r>
      <w:r w:rsidRPr="002D3A87">
        <w:rPr>
          <w:rFonts w:eastAsia="宋体" w:cs="Arial"/>
          <w:b/>
          <w:snapToGrid w:val="0"/>
          <w:color w:val="000000"/>
          <w:sz w:val="24"/>
          <w:lang w:val="en-US"/>
        </w:rPr>
        <w:t>）</w:t>
      </w:r>
    </w:p>
    <w:p w:rsidR="00656719" w:rsidRPr="002D3A87" w:rsidRDefault="007C171B" w:rsidP="007C171B">
      <w:pPr>
        <w:pStyle w:val="a5"/>
        <w:numPr>
          <w:ilvl w:val="0"/>
          <w:numId w:val="2"/>
        </w:numPr>
        <w:tabs>
          <w:tab w:val="clear" w:pos="720"/>
          <w:tab w:val="num" w:pos="284"/>
        </w:tabs>
        <w:spacing w:after="0" w:line="360" w:lineRule="auto"/>
        <w:ind w:left="284" w:hanging="284"/>
        <w:rPr>
          <w:rFonts w:eastAsia="宋体" w:cs="Arial"/>
          <w:b/>
          <w:snapToGrid w:val="0"/>
          <w:sz w:val="24"/>
          <w:lang w:val="en-US"/>
        </w:rPr>
      </w:pPr>
      <w:r w:rsidRPr="002D3A87">
        <w:rPr>
          <w:rFonts w:eastAsia="宋体" w:cs="Arial"/>
          <w:b/>
          <w:snapToGrid w:val="0"/>
          <w:color w:val="000000"/>
          <w:sz w:val="24"/>
          <w:lang w:val="zh-CN"/>
        </w:rPr>
        <w:t>营业利润</w:t>
      </w:r>
      <w:r w:rsidRPr="002D3A87">
        <w:rPr>
          <w:rFonts w:eastAsia="宋体" w:cs="Arial"/>
          <w:b/>
          <w:snapToGrid w:val="0"/>
          <w:color w:val="000000"/>
          <w:sz w:val="24"/>
          <w:lang w:val="zh-CN" w:eastAsia="zh-CN"/>
        </w:rPr>
        <w:t>*</w:t>
      </w:r>
      <w:r w:rsidRPr="002D3A87">
        <w:rPr>
          <w:rFonts w:eastAsia="宋体" w:cs="Arial"/>
          <w:b/>
          <w:snapToGrid w:val="0"/>
          <w:color w:val="000000"/>
          <w:sz w:val="24"/>
          <w:lang w:val="zh-CN"/>
        </w:rPr>
        <w:t>：</w:t>
      </w:r>
      <w:r w:rsidRPr="002D3A87">
        <w:rPr>
          <w:rFonts w:eastAsia="宋体" w:cs="Arial"/>
          <w:b/>
          <w:snapToGrid w:val="0"/>
          <w:color w:val="000000"/>
          <w:sz w:val="24"/>
          <w:lang w:val="zh-CN"/>
        </w:rPr>
        <w:t>+</w:t>
      </w:r>
      <w:r w:rsidRPr="002D3A87">
        <w:rPr>
          <w:rFonts w:eastAsia="宋体" w:cs="Arial"/>
          <w:b/>
          <w:snapToGrid w:val="0"/>
          <w:sz w:val="24"/>
          <w:lang w:val="en-US"/>
        </w:rPr>
        <w:t>14.0</w:t>
      </w:r>
      <w:r w:rsidRPr="002D3A87">
        <w:rPr>
          <w:rFonts w:eastAsia="宋体" w:cs="Arial"/>
          <w:b/>
          <w:snapToGrid w:val="0"/>
          <w:color w:val="000000"/>
          <w:sz w:val="24"/>
          <w:lang w:val="zh-CN"/>
        </w:rPr>
        <w:t>%</w:t>
      </w:r>
      <w:r w:rsidRPr="002D3A87">
        <w:rPr>
          <w:rFonts w:eastAsia="宋体" w:cs="Arial"/>
          <w:b/>
          <w:snapToGrid w:val="0"/>
          <w:color w:val="000000"/>
          <w:sz w:val="24"/>
          <w:lang w:val="zh-CN"/>
        </w:rPr>
        <w:t>，</w:t>
      </w:r>
      <w:r w:rsidRPr="002D3A87">
        <w:rPr>
          <w:rFonts w:eastAsia="宋体" w:cs="Arial"/>
          <w:b/>
          <w:snapToGrid w:val="0"/>
          <w:color w:val="000000"/>
          <w:sz w:val="24"/>
          <w:lang w:val="zh-CN" w:eastAsia="zh-CN"/>
        </w:rPr>
        <w:t>至</w:t>
      </w:r>
      <w:r w:rsidRPr="002D3A87">
        <w:rPr>
          <w:rFonts w:eastAsia="宋体" w:cs="Arial"/>
          <w:b/>
          <w:snapToGrid w:val="0"/>
          <w:color w:val="000000"/>
          <w:sz w:val="24"/>
          <w:lang w:val="zh-CN" w:eastAsia="zh-CN"/>
        </w:rPr>
        <w:t>7.68</w:t>
      </w:r>
      <w:r w:rsidRPr="002D3A87">
        <w:rPr>
          <w:rFonts w:eastAsia="宋体" w:cs="Arial"/>
          <w:b/>
          <w:snapToGrid w:val="0"/>
          <w:color w:val="000000"/>
          <w:sz w:val="24"/>
          <w:lang w:val="zh-CN"/>
        </w:rPr>
        <w:t>亿欧元</w:t>
      </w:r>
    </w:p>
    <w:p w:rsidR="00656719" w:rsidRPr="002D3A87" w:rsidRDefault="007C171B" w:rsidP="007C171B">
      <w:pPr>
        <w:numPr>
          <w:ilvl w:val="0"/>
          <w:numId w:val="2"/>
        </w:numPr>
        <w:tabs>
          <w:tab w:val="clear" w:pos="720"/>
          <w:tab w:val="num" w:pos="284"/>
        </w:tabs>
        <w:spacing w:line="360" w:lineRule="auto"/>
        <w:ind w:left="284" w:hanging="284"/>
        <w:rPr>
          <w:rFonts w:eastAsia="宋体" w:cs="Arial"/>
          <w:b/>
          <w:snapToGrid w:val="0"/>
          <w:sz w:val="24"/>
          <w:lang w:val="en-US" w:eastAsia="zh-CN"/>
        </w:rPr>
      </w:pPr>
      <w:r w:rsidRPr="002D3A87">
        <w:rPr>
          <w:rFonts w:eastAsia="宋体" w:cs="Arial"/>
          <w:b/>
          <w:snapToGrid w:val="0"/>
          <w:color w:val="000000"/>
          <w:sz w:val="24"/>
          <w:lang w:val="zh-CN" w:eastAsia="zh-CN"/>
        </w:rPr>
        <w:t>息稅前利润率</w:t>
      </w:r>
      <w:r w:rsidRPr="002D3A87">
        <w:rPr>
          <w:rFonts w:eastAsia="宋体" w:cs="Arial"/>
          <w:b/>
          <w:snapToGrid w:val="0"/>
          <w:color w:val="000000"/>
          <w:sz w:val="24"/>
          <w:lang w:val="zh-CN" w:eastAsia="zh-CN"/>
        </w:rPr>
        <w:t>*</w:t>
      </w:r>
      <w:r w:rsidRPr="002D3A87">
        <w:rPr>
          <w:rFonts w:eastAsia="宋体" w:cs="Arial"/>
          <w:b/>
          <w:snapToGrid w:val="0"/>
          <w:color w:val="000000"/>
          <w:sz w:val="24"/>
          <w:lang w:val="zh-CN" w:eastAsia="zh-CN"/>
        </w:rPr>
        <w:t>：</w:t>
      </w:r>
      <w:r w:rsidRPr="002D3A87">
        <w:rPr>
          <w:rFonts w:eastAsia="宋体" w:cs="Arial"/>
          <w:b/>
          <w:snapToGrid w:val="0"/>
          <w:color w:val="000000"/>
          <w:sz w:val="24"/>
          <w:lang w:val="zh-CN" w:eastAsia="zh-CN"/>
        </w:rPr>
        <w:t>+0.1</w:t>
      </w:r>
      <w:r w:rsidRPr="002D3A87">
        <w:rPr>
          <w:rFonts w:eastAsia="宋体" w:cs="Arial"/>
          <w:b/>
          <w:snapToGrid w:val="0"/>
          <w:color w:val="000000"/>
          <w:sz w:val="24"/>
          <w:lang w:val="zh-CN" w:eastAsia="zh-CN"/>
        </w:rPr>
        <w:t>个百分点，达</w:t>
      </w:r>
      <w:r w:rsidRPr="002D3A87">
        <w:rPr>
          <w:rFonts w:eastAsia="宋体" w:cs="Arial"/>
          <w:b/>
          <w:snapToGrid w:val="0"/>
          <w:color w:val="000000"/>
          <w:sz w:val="24"/>
          <w:lang w:val="zh-CN" w:eastAsia="zh-CN"/>
        </w:rPr>
        <w:t>16.4%</w:t>
      </w:r>
    </w:p>
    <w:p w:rsidR="00656719" w:rsidRPr="002D3A87" w:rsidRDefault="007C171B" w:rsidP="007C171B">
      <w:pPr>
        <w:numPr>
          <w:ilvl w:val="0"/>
          <w:numId w:val="2"/>
        </w:numPr>
        <w:tabs>
          <w:tab w:val="clear" w:pos="720"/>
          <w:tab w:val="num" w:pos="284"/>
        </w:tabs>
        <w:spacing w:line="360" w:lineRule="auto"/>
        <w:ind w:left="284" w:hanging="284"/>
        <w:rPr>
          <w:rFonts w:eastAsia="宋体" w:cs="Arial"/>
          <w:b/>
          <w:snapToGrid w:val="0"/>
          <w:sz w:val="24"/>
          <w:lang w:val="en-US" w:eastAsia="zh-CN"/>
        </w:rPr>
      </w:pPr>
      <w:bookmarkStart w:id="0" w:name="OLE_LINK18"/>
      <w:bookmarkStart w:id="1" w:name="OLE_LINK21"/>
      <w:r w:rsidRPr="002D3A87">
        <w:rPr>
          <w:rFonts w:eastAsia="宋体" w:cs="Arial"/>
          <w:b/>
          <w:snapToGrid w:val="0"/>
          <w:color w:val="000000"/>
          <w:sz w:val="24"/>
          <w:lang w:val="en-US" w:eastAsia="zh-CN"/>
        </w:rPr>
        <w:t>优先股</w:t>
      </w:r>
      <w:bookmarkStart w:id="2" w:name="OLE_LINK22"/>
      <w:bookmarkStart w:id="3" w:name="OLE_LINK23"/>
      <w:r w:rsidRPr="002D3A87">
        <w:rPr>
          <w:rFonts w:eastAsia="宋体" w:cs="Arial"/>
          <w:b/>
          <w:snapToGrid w:val="0"/>
          <w:color w:val="000000"/>
          <w:sz w:val="24"/>
          <w:lang w:val="en-US" w:eastAsia="zh-CN"/>
        </w:rPr>
        <w:t>每股盈利</w:t>
      </w:r>
      <w:bookmarkEnd w:id="0"/>
      <w:bookmarkEnd w:id="1"/>
      <w:bookmarkEnd w:id="2"/>
      <w:bookmarkEnd w:id="3"/>
      <w:r w:rsidRPr="002D3A87">
        <w:rPr>
          <w:rFonts w:eastAsia="宋体" w:cs="Arial"/>
          <w:b/>
          <w:snapToGrid w:val="0"/>
          <w:color w:val="000000"/>
          <w:sz w:val="24"/>
          <w:lang w:val="en-US" w:eastAsia="zh-CN"/>
        </w:rPr>
        <w:t>*</w:t>
      </w:r>
      <w:r w:rsidRPr="002D3A87">
        <w:rPr>
          <w:rFonts w:eastAsia="宋体" w:cs="Arial"/>
          <w:b/>
          <w:snapToGrid w:val="0"/>
          <w:color w:val="000000"/>
          <w:sz w:val="24"/>
          <w:lang w:val="en-US" w:eastAsia="zh-CN"/>
        </w:rPr>
        <w:t>（</w:t>
      </w:r>
      <w:bookmarkStart w:id="4" w:name="OLE_LINK24"/>
      <w:bookmarkStart w:id="5" w:name="OLE_LINK25"/>
      <w:r w:rsidRPr="002D3A87">
        <w:rPr>
          <w:rFonts w:eastAsia="宋体" w:cs="Arial"/>
          <w:b/>
          <w:snapToGrid w:val="0"/>
          <w:color w:val="000000"/>
          <w:sz w:val="24"/>
          <w:lang w:val="en-US" w:eastAsia="zh-CN"/>
        </w:rPr>
        <w:t>EPS</w:t>
      </w:r>
      <w:bookmarkEnd w:id="4"/>
      <w:bookmarkEnd w:id="5"/>
      <w:r w:rsidRPr="002D3A87">
        <w:rPr>
          <w:rFonts w:eastAsia="宋体" w:cs="Arial"/>
          <w:b/>
          <w:snapToGrid w:val="0"/>
          <w:color w:val="000000"/>
          <w:sz w:val="24"/>
          <w:lang w:val="en-US" w:eastAsia="zh-CN"/>
        </w:rPr>
        <w:t>）：</w:t>
      </w:r>
      <w:r w:rsidRPr="002D3A87">
        <w:rPr>
          <w:rFonts w:eastAsia="宋体" w:cs="Arial"/>
          <w:b/>
          <w:snapToGrid w:val="0"/>
          <w:color w:val="000000"/>
          <w:sz w:val="24"/>
          <w:lang w:val="en-US" w:eastAsia="zh-CN"/>
        </w:rPr>
        <w:t>+</w:t>
      </w:r>
      <w:r w:rsidRPr="002D3A87">
        <w:rPr>
          <w:rFonts w:eastAsia="宋体" w:cs="Arial"/>
          <w:b/>
          <w:snapToGrid w:val="0"/>
          <w:sz w:val="24"/>
          <w:lang w:val="en-US" w:eastAsia="zh-CN"/>
        </w:rPr>
        <w:t>11.2</w:t>
      </w:r>
      <w:r w:rsidRPr="002D3A87">
        <w:rPr>
          <w:rFonts w:eastAsia="宋体" w:cs="Arial"/>
          <w:b/>
          <w:snapToGrid w:val="0"/>
          <w:color w:val="000000"/>
          <w:sz w:val="24"/>
          <w:lang w:val="en-US" w:eastAsia="zh-CN"/>
        </w:rPr>
        <w:t>%</w:t>
      </w:r>
      <w:r w:rsidRPr="002D3A87">
        <w:rPr>
          <w:rFonts w:eastAsia="宋体" w:cs="Arial"/>
          <w:b/>
          <w:snapToGrid w:val="0"/>
          <w:color w:val="000000"/>
          <w:sz w:val="24"/>
          <w:lang w:val="en-US" w:eastAsia="zh-CN"/>
        </w:rPr>
        <w:t>，达</w:t>
      </w:r>
      <w:r w:rsidRPr="002D3A87">
        <w:rPr>
          <w:rFonts w:eastAsia="宋体" w:cs="Arial"/>
          <w:b/>
          <w:snapToGrid w:val="0"/>
          <w:sz w:val="24"/>
          <w:lang w:val="en-US" w:eastAsia="zh-CN"/>
        </w:rPr>
        <w:t>1.29</w:t>
      </w:r>
      <w:r w:rsidRPr="002D3A87">
        <w:rPr>
          <w:rFonts w:eastAsia="宋体" w:cs="Arial"/>
          <w:b/>
          <w:snapToGrid w:val="0"/>
          <w:color w:val="000000"/>
          <w:sz w:val="24"/>
          <w:lang w:val="en-US" w:eastAsia="zh-CN"/>
        </w:rPr>
        <w:t>欧元</w:t>
      </w:r>
    </w:p>
    <w:p w:rsidR="00656719" w:rsidRPr="002D3A87" w:rsidRDefault="007C171B" w:rsidP="007C171B">
      <w:pPr>
        <w:numPr>
          <w:ilvl w:val="0"/>
          <w:numId w:val="2"/>
        </w:numPr>
        <w:tabs>
          <w:tab w:val="clear" w:pos="720"/>
          <w:tab w:val="num" w:pos="284"/>
        </w:tabs>
        <w:spacing w:line="360" w:lineRule="auto"/>
        <w:ind w:left="284" w:hanging="284"/>
        <w:rPr>
          <w:rFonts w:eastAsia="宋体" w:cs="Arial"/>
          <w:b/>
          <w:snapToGrid w:val="0"/>
          <w:sz w:val="24"/>
          <w:lang w:val="en-US" w:eastAsia="zh-CN"/>
        </w:rPr>
      </w:pPr>
      <w:r w:rsidRPr="002D3A87">
        <w:rPr>
          <w:rFonts w:eastAsia="宋体" w:cs="Arial"/>
          <w:b/>
          <w:snapToGrid w:val="0"/>
          <w:sz w:val="24"/>
          <w:lang w:val="en-US" w:eastAsia="zh-CN"/>
        </w:rPr>
        <w:t>新兴市场销售额有机增长强劲：</w:t>
      </w:r>
      <w:r w:rsidRPr="002D3A87">
        <w:rPr>
          <w:rFonts w:eastAsia="宋体" w:cs="Arial"/>
          <w:b/>
          <w:snapToGrid w:val="0"/>
          <w:sz w:val="24"/>
          <w:lang w:val="en-US" w:eastAsia="zh-CN"/>
        </w:rPr>
        <w:t>+5.1%</w:t>
      </w:r>
    </w:p>
    <w:p w:rsidR="00656719" w:rsidRPr="002D3A87" w:rsidRDefault="00656719" w:rsidP="007C171B">
      <w:pPr>
        <w:pStyle w:val="a5"/>
        <w:spacing w:after="0" w:line="360" w:lineRule="auto"/>
        <w:rPr>
          <w:rFonts w:eastAsia="宋体" w:cs="Arial"/>
          <w:b/>
          <w:snapToGrid w:val="0"/>
          <w:sz w:val="24"/>
          <w:lang w:val="en-US"/>
        </w:rPr>
      </w:pPr>
    </w:p>
    <w:p w:rsidR="00656719" w:rsidRPr="002D3A87" w:rsidRDefault="007C171B" w:rsidP="003826EB">
      <w:pPr>
        <w:autoSpaceDE w:val="0"/>
        <w:autoSpaceDN w:val="0"/>
        <w:adjustRightInd w:val="0"/>
        <w:spacing w:line="360" w:lineRule="auto"/>
        <w:rPr>
          <w:rFonts w:eastAsia="宋体" w:cs="Arial"/>
          <w:b/>
          <w:snapToGrid w:val="0"/>
          <w:sz w:val="24"/>
          <w:lang w:val="en-US" w:eastAsia="zh-CN"/>
        </w:rPr>
      </w:pPr>
      <w:bookmarkStart w:id="6" w:name="OLE_LINK4"/>
      <w:r w:rsidRPr="002D3A87">
        <w:rPr>
          <w:rFonts w:eastAsia="宋体" w:cs="Arial"/>
          <w:b/>
          <w:snapToGrid w:val="0"/>
          <w:color w:val="000000"/>
          <w:sz w:val="24"/>
          <w:lang w:val="zh-CN" w:eastAsia="zh-CN"/>
        </w:rPr>
        <w:t>杜塞尔多夫</w:t>
      </w:r>
      <w:r w:rsidRPr="002D3A87">
        <w:rPr>
          <w:rFonts w:eastAsia="宋体" w:cs="Arial"/>
          <w:b/>
          <w:snapToGrid w:val="0"/>
          <w:color w:val="000000"/>
          <w:sz w:val="24"/>
          <w:lang w:val="en-US" w:eastAsia="zh-CN"/>
        </w:rPr>
        <w:t>——“</w:t>
      </w:r>
      <w:r w:rsidRPr="002D3A87">
        <w:rPr>
          <w:rFonts w:eastAsia="宋体" w:cs="Arial"/>
          <w:b/>
          <w:snapToGrid w:val="0"/>
          <w:color w:val="000000"/>
          <w:sz w:val="24"/>
          <w:lang w:val="en-US" w:eastAsia="zh-CN"/>
        </w:rPr>
        <w:t>尽管市场环境严峻，汉高在第二季度总体表现稳定。销售额</w:t>
      </w:r>
      <w:r w:rsidR="003826EB">
        <w:rPr>
          <w:rFonts w:eastAsia="宋体" w:cs="Arial" w:hint="eastAsia"/>
          <w:b/>
          <w:snapToGrid w:val="0"/>
          <w:color w:val="000000"/>
          <w:sz w:val="24"/>
          <w:lang w:val="en-US" w:eastAsia="zh-CN"/>
        </w:rPr>
        <w:t>及盈利</w:t>
      </w:r>
      <w:r w:rsidRPr="002D3A87">
        <w:rPr>
          <w:rFonts w:eastAsia="宋体" w:cs="Arial"/>
          <w:b/>
          <w:snapToGrid w:val="0"/>
          <w:color w:val="000000"/>
          <w:sz w:val="24"/>
          <w:lang w:val="en-US" w:eastAsia="zh-CN"/>
        </w:rPr>
        <w:t>均实现两位数增长。主要驱动因素包括稳定的有机销售额增长、去年的收购，以及美元的强势表现。新兴市场的有机销售额表现强劲，再一次超过市场平均表现为增长做出贡献，</w:t>
      </w:r>
      <w:r w:rsidRPr="002D3A87">
        <w:rPr>
          <w:rFonts w:eastAsia="宋体" w:cs="Arial"/>
          <w:b/>
          <w:snapToGrid w:val="0"/>
          <w:color w:val="000000"/>
          <w:sz w:val="24"/>
          <w:lang w:val="en-US" w:eastAsia="zh-CN"/>
        </w:rPr>
        <w:t>”</w:t>
      </w:r>
      <w:r w:rsidRPr="002D3A87">
        <w:rPr>
          <w:rFonts w:eastAsia="宋体" w:cs="Arial"/>
          <w:b/>
          <w:snapToGrid w:val="0"/>
          <w:color w:val="000000"/>
          <w:sz w:val="24"/>
          <w:lang w:val="en-US" w:eastAsia="zh-CN"/>
        </w:rPr>
        <w:t>汉高首席执行官罗思德</w:t>
      </w:r>
      <w:r w:rsidR="003826EB">
        <w:rPr>
          <w:rFonts w:eastAsia="宋体" w:cs="Arial" w:hint="eastAsia"/>
          <w:b/>
          <w:snapToGrid w:val="0"/>
          <w:color w:val="000000"/>
          <w:sz w:val="24"/>
          <w:lang w:val="en-US" w:eastAsia="zh-CN"/>
        </w:rPr>
        <w:t>（先生）</w:t>
      </w:r>
      <w:r w:rsidRPr="002D3A87">
        <w:rPr>
          <w:rFonts w:eastAsia="宋体" w:cs="Arial"/>
          <w:b/>
          <w:snapToGrid w:val="0"/>
          <w:color w:val="000000"/>
          <w:sz w:val="24"/>
          <w:lang w:val="en-US" w:eastAsia="zh-CN"/>
        </w:rPr>
        <w:t>表示。</w:t>
      </w:r>
    </w:p>
    <w:p w:rsidR="00656719" w:rsidRPr="002D3A87" w:rsidRDefault="00656719" w:rsidP="007C171B">
      <w:pPr>
        <w:autoSpaceDE w:val="0"/>
        <w:autoSpaceDN w:val="0"/>
        <w:adjustRightInd w:val="0"/>
        <w:spacing w:line="360" w:lineRule="auto"/>
        <w:rPr>
          <w:rFonts w:eastAsia="宋体" w:cs="Arial"/>
          <w:b/>
          <w:snapToGrid w:val="0"/>
          <w:sz w:val="24"/>
          <w:lang w:val="en-US" w:eastAsia="zh-CN"/>
        </w:rPr>
      </w:pPr>
    </w:p>
    <w:p w:rsidR="00B038EC" w:rsidRPr="002D3A87" w:rsidRDefault="007C171B" w:rsidP="004E07BA">
      <w:pPr>
        <w:autoSpaceDE w:val="0"/>
        <w:autoSpaceDN w:val="0"/>
        <w:adjustRightInd w:val="0"/>
        <w:spacing w:line="360" w:lineRule="auto"/>
        <w:rPr>
          <w:rFonts w:eastAsia="宋体" w:cs="Arial"/>
          <w:b/>
          <w:snapToGrid w:val="0"/>
          <w:sz w:val="24"/>
          <w:lang w:val="en-US" w:eastAsia="zh-CN"/>
        </w:rPr>
      </w:pPr>
      <w:r w:rsidRPr="002D3A87">
        <w:rPr>
          <w:rFonts w:eastAsia="宋体" w:cs="Arial"/>
          <w:b/>
          <w:snapToGrid w:val="0"/>
          <w:sz w:val="24"/>
          <w:lang w:val="en-US" w:eastAsia="zh-CN"/>
        </w:rPr>
        <w:t>关于汉高</w:t>
      </w:r>
      <w:r w:rsidR="003826EB">
        <w:rPr>
          <w:rFonts w:eastAsia="宋体" w:cs="Arial" w:hint="eastAsia"/>
          <w:b/>
          <w:snapToGrid w:val="0"/>
          <w:sz w:val="24"/>
          <w:lang w:val="en-US" w:eastAsia="zh-CN"/>
        </w:rPr>
        <w:t>在</w:t>
      </w:r>
      <w:r w:rsidRPr="002D3A87">
        <w:rPr>
          <w:rFonts w:eastAsia="宋体" w:cs="Arial"/>
          <w:b/>
          <w:snapToGrid w:val="0"/>
          <w:sz w:val="24"/>
          <w:lang w:val="en-US" w:eastAsia="zh-CN"/>
        </w:rPr>
        <w:t>2015</w:t>
      </w:r>
      <w:r w:rsidR="004E07BA">
        <w:rPr>
          <w:rFonts w:eastAsia="宋体" w:cs="Arial" w:hint="eastAsia"/>
          <w:b/>
          <w:snapToGrid w:val="0"/>
          <w:sz w:val="24"/>
          <w:lang w:val="en-US" w:eastAsia="zh-CN"/>
        </w:rPr>
        <w:t>年</w:t>
      </w:r>
      <w:r w:rsidRPr="002D3A87">
        <w:rPr>
          <w:rFonts w:eastAsia="宋体" w:cs="Arial"/>
          <w:b/>
          <w:snapToGrid w:val="0"/>
          <w:sz w:val="24"/>
          <w:lang w:val="en-US" w:eastAsia="zh-CN"/>
        </w:rPr>
        <w:t>上半年的表现，罗思德</w:t>
      </w:r>
      <w:r w:rsidR="003826EB">
        <w:rPr>
          <w:rFonts w:eastAsia="宋体" w:cs="Arial" w:hint="eastAsia"/>
          <w:b/>
          <w:snapToGrid w:val="0"/>
          <w:sz w:val="24"/>
          <w:lang w:val="en-US" w:eastAsia="zh-CN"/>
        </w:rPr>
        <w:t>（先生）</w:t>
      </w:r>
      <w:r w:rsidRPr="002D3A87">
        <w:rPr>
          <w:rFonts w:eastAsia="宋体" w:cs="Arial"/>
          <w:b/>
          <w:snapToGrid w:val="0"/>
          <w:sz w:val="24"/>
          <w:lang w:val="en-US" w:eastAsia="zh-CN"/>
        </w:rPr>
        <w:t>表示：</w:t>
      </w:r>
      <w:r w:rsidRPr="002D3A87">
        <w:rPr>
          <w:rFonts w:eastAsia="宋体" w:cs="Arial"/>
          <w:b/>
          <w:snapToGrid w:val="0"/>
          <w:sz w:val="24"/>
          <w:lang w:val="en-US" w:eastAsia="zh-CN"/>
        </w:rPr>
        <w:t>“</w:t>
      </w:r>
      <w:r w:rsidRPr="002D3A87">
        <w:rPr>
          <w:rFonts w:eastAsia="宋体" w:cs="Arial"/>
          <w:b/>
          <w:snapToGrid w:val="0"/>
          <w:sz w:val="24"/>
          <w:lang w:val="en-US" w:eastAsia="zh-CN"/>
        </w:rPr>
        <w:t>上半年，我们成功地将销售额提升近</w:t>
      </w:r>
      <w:r w:rsidRPr="002D3A87">
        <w:rPr>
          <w:rFonts w:eastAsia="宋体" w:cs="Arial"/>
          <w:b/>
          <w:snapToGrid w:val="0"/>
          <w:sz w:val="24"/>
          <w:lang w:val="en-US" w:eastAsia="zh-CN"/>
        </w:rPr>
        <w:t>11</w:t>
      </w:r>
      <w:r w:rsidRPr="002D3A87">
        <w:rPr>
          <w:rFonts w:eastAsia="宋体" w:cs="Arial"/>
          <w:b/>
          <w:snapToGrid w:val="0"/>
          <w:sz w:val="24"/>
          <w:lang w:val="en-US" w:eastAsia="zh-CN"/>
        </w:rPr>
        <w:t>亿欧元，达</w:t>
      </w:r>
      <w:r w:rsidRPr="002D3A87">
        <w:rPr>
          <w:rFonts w:eastAsia="宋体" w:cs="Arial"/>
          <w:b/>
          <w:snapToGrid w:val="0"/>
          <w:sz w:val="24"/>
          <w:lang w:val="en-US" w:eastAsia="zh-CN"/>
        </w:rPr>
        <w:t>91</w:t>
      </w:r>
      <w:r w:rsidRPr="002D3A87">
        <w:rPr>
          <w:rFonts w:eastAsia="宋体" w:cs="Arial"/>
          <w:b/>
          <w:snapToGrid w:val="0"/>
          <w:sz w:val="24"/>
          <w:lang w:val="en-US" w:eastAsia="zh-CN"/>
        </w:rPr>
        <w:t>亿欧元以上。有机销售额增长达</w:t>
      </w:r>
      <w:r w:rsidRPr="002D3A87">
        <w:rPr>
          <w:rFonts w:eastAsia="宋体" w:cs="Arial"/>
          <w:b/>
          <w:snapToGrid w:val="0"/>
          <w:sz w:val="24"/>
          <w:lang w:val="en-US" w:eastAsia="zh-CN"/>
        </w:rPr>
        <w:t>3.0%</w:t>
      </w:r>
      <w:r w:rsidRPr="002D3A87">
        <w:rPr>
          <w:rFonts w:eastAsia="宋体" w:cs="Arial"/>
          <w:b/>
          <w:snapToGrid w:val="0"/>
          <w:sz w:val="24"/>
          <w:lang w:val="en-US" w:eastAsia="zh-CN"/>
        </w:rPr>
        <w:t>，</w:t>
      </w:r>
      <w:r w:rsidRPr="002D3A87">
        <w:rPr>
          <w:rFonts w:eastAsia="宋体" w:cs="Arial"/>
          <w:b/>
          <w:snapToGrid w:val="0"/>
          <w:color w:val="000000"/>
          <w:sz w:val="24"/>
          <w:lang w:val="zh-CN" w:eastAsia="zh-CN"/>
        </w:rPr>
        <w:t>调整后息税前利润率</w:t>
      </w:r>
      <w:r w:rsidRPr="002D3A87">
        <w:rPr>
          <w:rFonts w:eastAsia="宋体" w:cs="Arial"/>
          <w:b/>
          <w:snapToGrid w:val="0"/>
          <w:sz w:val="24"/>
          <w:lang w:val="en-US" w:eastAsia="zh-CN"/>
        </w:rPr>
        <w:t>16.2%</w:t>
      </w:r>
      <w:r w:rsidRPr="002D3A87">
        <w:rPr>
          <w:rFonts w:eastAsia="宋体" w:cs="Arial"/>
          <w:b/>
          <w:snapToGrid w:val="0"/>
          <w:sz w:val="24"/>
          <w:lang w:val="en-US" w:eastAsia="zh-CN"/>
        </w:rPr>
        <w:t>，</w:t>
      </w:r>
      <w:r w:rsidRPr="002D3A87">
        <w:rPr>
          <w:rFonts w:eastAsia="宋体" w:cs="Arial"/>
          <w:b/>
          <w:snapToGrid w:val="0"/>
          <w:color w:val="000000"/>
          <w:sz w:val="24"/>
          <w:lang w:val="zh-CN" w:eastAsia="zh-CN"/>
        </w:rPr>
        <w:t>调整后优先股每股收益增长</w:t>
      </w:r>
      <w:r w:rsidRPr="002D3A87">
        <w:rPr>
          <w:rFonts w:eastAsia="宋体" w:cs="Arial"/>
          <w:b/>
          <w:snapToGrid w:val="0"/>
          <w:color w:val="000000"/>
          <w:sz w:val="24"/>
          <w:lang w:val="zh-CN" w:eastAsia="zh-CN"/>
        </w:rPr>
        <w:t>12.3%</w:t>
      </w:r>
      <w:r w:rsidRPr="002D3A87">
        <w:rPr>
          <w:rFonts w:eastAsia="宋体" w:cs="Arial"/>
          <w:b/>
          <w:snapToGrid w:val="0"/>
          <w:color w:val="000000"/>
          <w:sz w:val="24"/>
          <w:lang w:val="zh-CN" w:eastAsia="zh-CN"/>
        </w:rPr>
        <w:t>，全年目标</w:t>
      </w:r>
      <w:r w:rsidR="003826EB">
        <w:rPr>
          <w:rFonts w:eastAsia="宋体" w:cs="Arial" w:hint="eastAsia"/>
          <w:b/>
          <w:snapToGrid w:val="0"/>
          <w:color w:val="000000"/>
          <w:sz w:val="24"/>
          <w:lang w:val="zh-CN" w:eastAsia="zh-CN"/>
        </w:rPr>
        <w:t>的</w:t>
      </w:r>
      <w:r w:rsidRPr="002D3A87">
        <w:rPr>
          <w:rFonts w:eastAsia="宋体" w:cs="Arial"/>
          <w:b/>
          <w:snapToGrid w:val="0"/>
          <w:color w:val="000000"/>
          <w:sz w:val="24"/>
          <w:lang w:val="zh-CN" w:eastAsia="zh-CN"/>
        </w:rPr>
        <w:t>实现情况良好。</w:t>
      </w:r>
      <w:r w:rsidRPr="002D3A87">
        <w:rPr>
          <w:rFonts w:eastAsia="宋体" w:cs="Arial"/>
          <w:b/>
          <w:snapToGrid w:val="0"/>
          <w:sz w:val="24"/>
          <w:lang w:val="en-US" w:eastAsia="zh-CN"/>
        </w:rPr>
        <w:t>”</w:t>
      </w:r>
    </w:p>
    <w:p w:rsidR="00846C52" w:rsidRPr="002D3A87" w:rsidRDefault="00846C52" w:rsidP="007C171B">
      <w:pPr>
        <w:autoSpaceDE w:val="0"/>
        <w:autoSpaceDN w:val="0"/>
        <w:adjustRightInd w:val="0"/>
        <w:spacing w:line="360" w:lineRule="auto"/>
        <w:rPr>
          <w:rFonts w:eastAsia="宋体" w:cs="Arial"/>
          <w:b/>
          <w:snapToGrid w:val="0"/>
          <w:sz w:val="24"/>
          <w:lang w:val="en-US" w:eastAsia="zh-CN"/>
        </w:rPr>
      </w:pPr>
    </w:p>
    <w:p w:rsidR="00B038EC" w:rsidRPr="002D3A87" w:rsidRDefault="007C171B" w:rsidP="007C171B">
      <w:pPr>
        <w:rPr>
          <w:rFonts w:eastAsia="宋体" w:cs="Arial"/>
          <w:snapToGrid w:val="0"/>
          <w:sz w:val="16"/>
          <w:szCs w:val="16"/>
          <w:lang w:val="en-US" w:eastAsia="zh-CN"/>
        </w:rPr>
      </w:pPr>
      <w:r w:rsidRPr="002D3A87">
        <w:rPr>
          <w:rFonts w:eastAsia="宋体" w:cs="Arial"/>
          <w:snapToGrid w:val="0"/>
          <w:sz w:val="16"/>
          <w:szCs w:val="16"/>
          <w:lang w:val="en-US" w:eastAsia="zh-CN"/>
        </w:rPr>
        <w:t xml:space="preserve">* </w:t>
      </w:r>
      <w:r w:rsidRPr="002D3A87">
        <w:rPr>
          <w:rFonts w:eastAsia="宋体" w:cs="Arial"/>
          <w:snapToGrid w:val="0"/>
          <w:sz w:val="16"/>
          <w:szCs w:val="16"/>
          <w:lang w:val="en-US" w:eastAsia="zh-CN"/>
        </w:rPr>
        <w:t>已对一次性费用</w:t>
      </w:r>
      <w:r w:rsidRPr="002D3A87">
        <w:rPr>
          <w:rFonts w:eastAsia="宋体" w:cs="Arial"/>
          <w:snapToGrid w:val="0"/>
          <w:sz w:val="16"/>
          <w:szCs w:val="16"/>
          <w:lang w:val="en-US" w:eastAsia="zh-CN"/>
        </w:rPr>
        <w:t>/</w:t>
      </w:r>
      <w:r w:rsidRPr="002D3A87">
        <w:rPr>
          <w:rFonts w:eastAsia="宋体" w:cs="Arial"/>
          <w:snapToGrid w:val="0"/>
          <w:sz w:val="16"/>
          <w:szCs w:val="16"/>
          <w:lang w:val="en-US" w:eastAsia="zh-CN"/>
        </w:rPr>
        <w:t>收益和重组费用予以调整。</w:t>
      </w:r>
    </w:p>
    <w:p w:rsidR="007C171B" w:rsidRPr="002D3A87" w:rsidRDefault="007C171B" w:rsidP="007C171B">
      <w:pPr>
        <w:rPr>
          <w:rFonts w:eastAsia="宋体" w:cs="Arial"/>
          <w:snapToGrid w:val="0"/>
          <w:sz w:val="16"/>
          <w:szCs w:val="16"/>
          <w:lang w:val="en-US" w:eastAsia="zh-CN"/>
        </w:rPr>
      </w:pPr>
    </w:p>
    <w:p w:rsidR="00656719" w:rsidRPr="002D3A87" w:rsidRDefault="007C171B" w:rsidP="003826EB">
      <w:pPr>
        <w:autoSpaceDE w:val="0"/>
        <w:autoSpaceDN w:val="0"/>
        <w:adjustRightInd w:val="0"/>
        <w:spacing w:line="360" w:lineRule="auto"/>
        <w:rPr>
          <w:rFonts w:eastAsia="宋体" w:cs="Arial"/>
          <w:b/>
          <w:snapToGrid w:val="0"/>
          <w:sz w:val="24"/>
          <w:lang w:val="en-US" w:eastAsia="zh-CN"/>
        </w:rPr>
      </w:pPr>
      <w:r w:rsidRPr="002D3A87">
        <w:rPr>
          <w:rFonts w:eastAsia="宋体" w:cs="Arial"/>
          <w:b/>
          <w:snapToGrid w:val="0"/>
          <w:sz w:val="24"/>
          <w:lang w:val="en-US" w:eastAsia="zh-CN"/>
        </w:rPr>
        <w:t>在评价</w:t>
      </w:r>
      <w:r w:rsidRPr="002D3A87">
        <w:rPr>
          <w:rFonts w:eastAsia="宋体" w:cs="Arial"/>
          <w:b/>
          <w:snapToGrid w:val="0"/>
          <w:sz w:val="24"/>
          <w:lang w:val="en-US" w:eastAsia="zh-CN"/>
        </w:rPr>
        <w:t>2015</w:t>
      </w:r>
      <w:r w:rsidRPr="002D3A87">
        <w:rPr>
          <w:rFonts w:eastAsia="宋体" w:cs="Arial"/>
          <w:b/>
          <w:snapToGrid w:val="0"/>
          <w:sz w:val="24"/>
          <w:lang w:val="en-US" w:eastAsia="zh-CN"/>
        </w:rPr>
        <w:t>财年时罗思德</w:t>
      </w:r>
      <w:r w:rsidR="008926DC">
        <w:rPr>
          <w:rFonts w:eastAsia="宋体" w:cs="Arial" w:hint="eastAsia"/>
          <w:b/>
          <w:snapToGrid w:val="0"/>
          <w:sz w:val="24"/>
          <w:lang w:val="en-US" w:eastAsia="zh-CN"/>
        </w:rPr>
        <w:t>（先生）</w:t>
      </w:r>
      <w:r w:rsidRPr="002D3A87">
        <w:rPr>
          <w:rFonts w:eastAsia="宋体" w:cs="Arial"/>
          <w:b/>
          <w:snapToGrid w:val="0"/>
          <w:sz w:val="24"/>
          <w:lang w:val="en-US" w:eastAsia="zh-CN"/>
        </w:rPr>
        <w:t>表示：</w:t>
      </w:r>
      <w:r w:rsidRPr="002D3A87">
        <w:rPr>
          <w:rFonts w:eastAsia="宋体" w:cs="Arial"/>
          <w:b/>
          <w:snapToGrid w:val="0"/>
          <w:sz w:val="24"/>
          <w:lang w:val="en-US" w:eastAsia="zh-CN"/>
        </w:rPr>
        <w:t>“</w:t>
      </w:r>
      <w:r w:rsidRPr="002D3A87">
        <w:rPr>
          <w:rFonts w:eastAsia="宋体" w:cs="Arial"/>
          <w:b/>
          <w:snapToGrid w:val="0"/>
          <w:sz w:val="24"/>
          <w:lang w:val="en-US" w:eastAsia="zh-CN"/>
        </w:rPr>
        <w:t>我们预计当前全球经济环境的严峻形势将会持续。市场将保持大幅波动。在这样的情况下，敏锐和灵活</w:t>
      </w:r>
      <w:r w:rsidR="003826EB">
        <w:rPr>
          <w:rFonts w:eastAsia="宋体" w:cs="Arial" w:hint="eastAsia"/>
          <w:b/>
          <w:snapToGrid w:val="0"/>
          <w:sz w:val="24"/>
          <w:lang w:val="en-US" w:eastAsia="zh-CN"/>
        </w:rPr>
        <w:t>性</w:t>
      </w:r>
      <w:r w:rsidRPr="002D3A87">
        <w:rPr>
          <w:rFonts w:eastAsia="宋体" w:cs="Arial"/>
          <w:b/>
          <w:snapToGrid w:val="0"/>
          <w:sz w:val="24"/>
          <w:lang w:val="en-US" w:eastAsia="zh-CN"/>
        </w:rPr>
        <w:t>是成功的关键因素。因此我们将根据市场</w:t>
      </w:r>
      <w:r w:rsidR="003826EB" w:rsidRPr="002D3A87">
        <w:rPr>
          <w:rFonts w:eastAsia="宋体" w:cs="Arial"/>
          <w:b/>
          <w:snapToGrid w:val="0"/>
          <w:sz w:val="24"/>
          <w:lang w:val="en-US" w:eastAsia="zh-CN"/>
        </w:rPr>
        <w:t>情况</w:t>
      </w:r>
      <w:r w:rsidR="003826EB">
        <w:rPr>
          <w:rFonts w:eastAsia="宋体" w:cs="Arial" w:hint="eastAsia"/>
          <w:b/>
          <w:snapToGrid w:val="0"/>
          <w:sz w:val="24"/>
          <w:lang w:val="en-US" w:eastAsia="zh-CN"/>
        </w:rPr>
        <w:t>的</w:t>
      </w:r>
      <w:r w:rsidRPr="002D3A87">
        <w:rPr>
          <w:rFonts w:eastAsia="宋体" w:cs="Arial"/>
          <w:b/>
          <w:snapToGrid w:val="0"/>
          <w:sz w:val="24"/>
          <w:lang w:val="en-US" w:eastAsia="zh-CN"/>
        </w:rPr>
        <w:t>变化继续</w:t>
      </w:r>
      <w:r w:rsidR="003826EB">
        <w:rPr>
          <w:rFonts w:eastAsia="宋体" w:cs="Arial" w:hint="eastAsia"/>
          <w:b/>
          <w:snapToGrid w:val="0"/>
          <w:sz w:val="24"/>
          <w:lang w:val="en-US" w:eastAsia="zh-CN"/>
        </w:rPr>
        <w:t>调整</w:t>
      </w:r>
      <w:r w:rsidRPr="002D3A87">
        <w:rPr>
          <w:rFonts w:eastAsia="宋体" w:cs="Arial"/>
          <w:b/>
          <w:snapToGrid w:val="0"/>
          <w:sz w:val="24"/>
          <w:lang w:val="en-US" w:eastAsia="zh-CN"/>
        </w:rPr>
        <w:t>、进一步简化公司结构、提高流程效率。</w:t>
      </w:r>
      <w:r w:rsidRPr="002D3A87">
        <w:rPr>
          <w:rFonts w:eastAsia="宋体" w:cs="Arial"/>
          <w:b/>
          <w:snapToGrid w:val="0"/>
          <w:sz w:val="24"/>
          <w:lang w:val="en-US" w:eastAsia="zh-CN"/>
        </w:rPr>
        <w:t>”</w:t>
      </w:r>
    </w:p>
    <w:p w:rsidR="00656719" w:rsidRPr="002D3A87" w:rsidRDefault="00656719" w:rsidP="007C171B">
      <w:pPr>
        <w:autoSpaceDE w:val="0"/>
        <w:autoSpaceDN w:val="0"/>
        <w:adjustRightInd w:val="0"/>
        <w:spacing w:after="100" w:line="360" w:lineRule="auto"/>
        <w:rPr>
          <w:rFonts w:eastAsia="宋体" w:cs="Arial"/>
          <w:b/>
          <w:snapToGrid w:val="0"/>
          <w:sz w:val="24"/>
          <w:lang w:val="en-US" w:eastAsia="zh-CN"/>
        </w:rPr>
      </w:pPr>
    </w:p>
    <w:bookmarkEnd w:id="6"/>
    <w:p w:rsidR="00656719" w:rsidRPr="002D3A87" w:rsidRDefault="003826EB" w:rsidP="003826EB">
      <w:pPr>
        <w:autoSpaceDE w:val="0"/>
        <w:autoSpaceDN w:val="0"/>
        <w:adjustRightInd w:val="0"/>
        <w:spacing w:after="120" w:line="360" w:lineRule="auto"/>
        <w:rPr>
          <w:rFonts w:eastAsia="宋体" w:cs="Arial"/>
          <w:b/>
          <w:snapToGrid w:val="0"/>
          <w:sz w:val="24"/>
          <w:lang w:val="en-US" w:eastAsia="zh-CN"/>
        </w:rPr>
      </w:pPr>
      <w:r w:rsidRPr="002D3A87">
        <w:rPr>
          <w:rFonts w:eastAsia="宋体" w:cs="Arial"/>
          <w:b/>
          <w:snapToGrid w:val="0"/>
          <w:sz w:val="24"/>
          <w:lang w:val="en-US" w:eastAsia="zh-CN"/>
        </w:rPr>
        <w:t>确</w:t>
      </w:r>
      <w:r w:rsidR="008926DC">
        <w:rPr>
          <w:rFonts w:eastAsia="宋体" w:cs="Arial" w:hint="eastAsia"/>
          <w:b/>
          <w:snapToGrid w:val="0"/>
          <w:sz w:val="24"/>
          <w:lang w:val="en-US" w:eastAsia="zh-CN"/>
        </w:rPr>
        <w:t>定</w:t>
      </w:r>
      <w:r w:rsidR="007C171B" w:rsidRPr="002D3A87">
        <w:rPr>
          <w:rFonts w:eastAsia="宋体" w:cs="Arial"/>
          <w:b/>
          <w:snapToGrid w:val="0"/>
          <w:sz w:val="24"/>
          <w:lang w:val="en-US" w:eastAsia="zh-CN"/>
        </w:rPr>
        <w:t>2015</w:t>
      </w:r>
      <w:r w:rsidR="004E07BA">
        <w:rPr>
          <w:rFonts w:eastAsia="宋体" w:cs="Arial" w:hint="eastAsia"/>
          <w:b/>
          <w:snapToGrid w:val="0"/>
          <w:sz w:val="24"/>
          <w:lang w:val="en-US" w:eastAsia="zh-CN"/>
        </w:rPr>
        <w:t>财</w:t>
      </w:r>
      <w:r>
        <w:rPr>
          <w:rFonts w:eastAsia="宋体" w:cs="Arial" w:hint="eastAsia"/>
          <w:b/>
          <w:snapToGrid w:val="0"/>
          <w:sz w:val="24"/>
          <w:lang w:val="en-US" w:eastAsia="zh-CN"/>
        </w:rPr>
        <w:t>年</w:t>
      </w:r>
      <w:r w:rsidR="007C171B" w:rsidRPr="002D3A87">
        <w:rPr>
          <w:rFonts w:eastAsia="宋体" w:cs="Arial"/>
          <w:b/>
          <w:snapToGrid w:val="0"/>
          <w:sz w:val="24"/>
          <w:lang w:val="en-US" w:eastAsia="zh-CN"/>
        </w:rPr>
        <w:t>指导方针</w:t>
      </w:r>
    </w:p>
    <w:p w:rsidR="003826EB" w:rsidRDefault="003826EB" w:rsidP="007C171B">
      <w:pPr>
        <w:autoSpaceDE w:val="0"/>
        <w:autoSpaceDN w:val="0"/>
        <w:adjustRightInd w:val="0"/>
        <w:spacing w:line="360" w:lineRule="auto"/>
        <w:rPr>
          <w:rFonts w:eastAsia="宋体" w:cs="Arial"/>
          <w:b/>
          <w:snapToGrid w:val="0"/>
          <w:sz w:val="24"/>
          <w:lang w:val="en-US" w:eastAsia="zh-CN"/>
        </w:rPr>
      </w:pPr>
      <w:bookmarkStart w:id="7" w:name="OLE_LINK50"/>
      <w:bookmarkStart w:id="8" w:name="OLE_LINK51"/>
    </w:p>
    <w:bookmarkEnd w:id="7"/>
    <w:bookmarkEnd w:id="8"/>
    <w:p w:rsidR="00A363AD" w:rsidRPr="002D3A87" w:rsidRDefault="007C171B" w:rsidP="007C171B">
      <w:pPr>
        <w:autoSpaceDE w:val="0"/>
        <w:autoSpaceDN w:val="0"/>
        <w:adjustRightInd w:val="0"/>
        <w:spacing w:line="360" w:lineRule="auto"/>
        <w:rPr>
          <w:rFonts w:eastAsia="宋体" w:cs="Arial"/>
          <w:b/>
          <w:snapToGrid w:val="0"/>
          <w:color w:val="000000"/>
          <w:sz w:val="24"/>
          <w:lang w:val="en-US" w:eastAsia="zh-CN"/>
        </w:rPr>
      </w:pPr>
      <w:r w:rsidRPr="002D3A87">
        <w:rPr>
          <w:rFonts w:eastAsia="宋体" w:cs="Arial"/>
          <w:b/>
          <w:snapToGrid w:val="0"/>
          <w:color w:val="000000"/>
          <w:sz w:val="24"/>
          <w:lang w:val="en-US" w:eastAsia="zh-CN"/>
        </w:rPr>
        <w:t>尽管市场环境形势严峻，但罗思德</w:t>
      </w:r>
      <w:r w:rsidR="008926DC">
        <w:rPr>
          <w:rFonts w:eastAsia="宋体" w:cs="Arial" w:hint="eastAsia"/>
          <w:b/>
          <w:snapToGrid w:val="0"/>
          <w:color w:val="000000"/>
          <w:sz w:val="24"/>
          <w:lang w:val="en-US" w:eastAsia="zh-CN"/>
        </w:rPr>
        <w:t>（先生）</w:t>
      </w:r>
      <w:r w:rsidRPr="002D3A87">
        <w:rPr>
          <w:rFonts w:eastAsia="宋体" w:cs="Arial"/>
          <w:b/>
          <w:snapToGrid w:val="0"/>
          <w:color w:val="000000"/>
          <w:sz w:val="24"/>
          <w:lang w:val="en-US" w:eastAsia="zh-CN"/>
        </w:rPr>
        <w:t>确</w:t>
      </w:r>
      <w:r w:rsidR="008926DC">
        <w:rPr>
          <w:rFonts w:eastAsia="宋体" w:cs="Arial" w:hint="eastAsia"/>
          <w:b/>
          <w:snapToGrid w:val="0"/>
          <w:color w:val="000000"/>
          <w:sz w:val="24"/>
          <w:lang w:val="en-US" w:eastAsia="zh-CN"/>
        </w:rPr>
        <w:t>定</w:t>
      </w:r>
      <w:r w:rsidRPr="002D3A87">
        <w:rPr>
          <w:rFonts w:eastAsia="宋体" w:cs="Arial"/>
          <w:b/>
          <w:snapToGrid w:val="0"/>
          <w:color w:val="000000"/>
          <w:sz w:val="24"/>
          <w:lang w:val="en-US" w:eastAsia="zh-CN"/>
        </w:rPr>
        <w:t>了全年</w:t>
      </w:r>
      <w:r w:rsidR="008926DC">
        <w:rPr>
          <w:rFonts w:eastAsia="宋体" w:cs="Arial" w:hint="eastAsia"/>
          <w:b/>
          <w:snapToGrid w:val="0"/>
          <w:color w:val="000000"/>
          <w:sz w:val="24"/>
          <w:lang w:val="en-US" w:eastAsia="zh-CN"/>
        </w:rPr>
        <w:t>的</w:t>
      </w:r>
      <w:r w:rsidRPr="002D3A87">
        <w:rPr>
          <w:rFonts w:eastAsia="宋体" w:cs="Arial"/>
          <w:b/>
          <w:snapToGrid w:val="0"/>
          <w:color w:val="000000"/>
          <w:sz w:val="24"/>
          <w:lang w:val="en-US" w:eastAsia="zh-CN"/>
        </w:rPr>
        <w:t>预期：</w:t>
      </w:r>
      <w:r w:rsidRPr="002D3A87">
        <w:rPr>
          <w:rFonts w:eastAsia="宋体" w:cs="Arial"/>
          <w:b/>
          <w:snapToGrid w:val="0"/>
          <w:color w:val="000000"/>
          <w:sz w:val="24"/>
          <w:lang w:val="en-US" w:eastAsia="zh-CN"/>
        </w:rPr>
        <w:t>“</w:t>
      </w:r>
      <w:r w:rsidRPr="002D3A87">
        <w:rPr>
          <w:rFonts w:eastAsia="宋体" w:cs="Arial"/>
          <w:b/>
          <w:snapToGrid w:val="0"/>
          <w:color w:val="000000"/>
          <w:sz w:val="24"/>
          <w:lang w:val="zh-CN" w:eastAsia="zh-CN"/>
        </w:rPr>
        <w:t>我们预计</w:t>
      </w:r>
      <w:r w:rsidRPr="002D3A87">
        <w:rPr>
          <w:rFonts w:eastAsia="宋体" w:cs="Arial"/>
          <w:b/>
          <w:snapToGrid w:val="0"/>
          <w:color w:val="000000"/>
          <w:sz w:val="24"/>
          <w:lang w:val="en-US" w:eastAsia="zh-CN"/>
        </w:rPr>
        <w:t>2015</w:t>
      </w:r>
      <w:r w:rsidR="004E07BA">
        <w:rPr>
          <w:rFonts w:eastAsia="宋体" w:cs="Arial" w:hint="eastAsia"/>
          <w:b/>
          <w:snapToGrid w:val="0"/>
          <w:color w:val="000000"/>
          <w:sz w:val="24"/>
          <w:lang w:val="en-US" w:eastAsia="zh-CN"/>
        </w:rPr>
        <w:t>财</w:t>
      </w:r>
      <w:r w:rsidRPr="002D3A87">
        <w:rPr>
          <w:rFonts w:eastAsia="宋体" w:cs="Arial"/>
          <w:b/>
          <w:snapToGrid w:val="0"/>
          <w:color w:val="000000"/>
          <w:sz w:val="24"/>
          <w:lang w:val="zh-CN" w:eastAsia="zh-CN"/>
        </w:rPr>
        <w:t>年有机销售额增长将位于</w:t>
      </w:r>
      <w:r w:rsidRPr="002D3A87">
        <w:rPr>
          <w:rFonts w:eastAsia="宋体" w:cs="Arial"/>
          <w:b/>
          <w:snapToGrid w:val="0"/>
          <w:color w:val="000000"/>
          <w:sz w:val="24"/>
          <w:lang w:val="en-US" w:eastAsia="zh-CN"/>
        </w:rPr>
        <w:t>3</w:t>
      </w:r>
      <w:r w:rsidRPr="002D3A87">
        <w:rPr>
          <w:rFonts w:eastAsia="宋体" w:cs="Arial"/>
          <w:b/>
          <w:snapToGrid w:val="0"/>
          <w:color w:val="000000"/>
          <w:sz w:val="24"/>
          <w:lang w:val="en-US" w:eastAsia="zh-CN"/>
        </w:rPr>
        <w:t>％</w:t>
      </w:r>
      <w:r w:rsidRPr="002D3A87">
        <w:rPr>
          <w:rFonts w:eastAsia="宋体" w:cs="Arial"/>
          <w:b/>
          <w:snapToGrid w:val="0"/>
          <w:color w:val="000000"/>
          <w:sz w:val="24"/>
          <w:lang w:val="zh-CN" w:eastAsia="zh-CN"/>
        </w:rPr>
        <w:t>和</w:t>
      </w:r>
      <w:r w:rsidRPr="002D3A87">
        <w:rPr>
          <w:rFonts w:eastAsia="宋体" w:cs="Arial"/>
          <w:b/>
          <w:snapToGrid w:val="0"/>
          <w:color w:val="000000"/>
          <w:sz w:val="24"/>
          <w:lang w:val="en-US" w:eastAsia="zh-CN"/>
        </w:rPr>
        <w:t>5</w:t>
      </w:r>
      <w:r w:rsidRPr="002D3A87">
        <w:rPr>
          <w:rFonts w:eastAsia="宋体" w:cs="Arial"/>
          <w:b/>
          <w:snapToGrid w:val="0"/>
          <w:color w:val="000000"/>
          <w:sz w:val="24"/>
          <w:lang w:val="en-US" w:eastAsia="zh-CN"/>
        </w:rPr>
        <w:t>％</w:t>
      </w:r>
      <w:r w:rsidRPr="002D3A87">
        <w:rPr>
          <w:rFonts w:eastAsia="宋体" w:cs="Arial"/>
          <w:b/>
          <w:snapToGrid w:val="0"/>
          <w:color w:val="000000"/>
          <w:sz w:val="24"/>
          <w:lang w:val="zh-CN" w:eastAsia="zh-CN"/>
        </w:rPr>
        <w:t>之间。我们预期</w:t>
      </w:r>
      <w:bookmarkStart w:id="9" w:name="OLE_LINK43"/>
      <w:bookmarkStart w:id="10" w:name="OLE_LINK42"/>
      <w:r w:rsidRPr="002D3A87">
        <w:rPr>
          <w:rFonts w:eastAsia="宋体" w:cs="Arial"/>
          <w:b/>
          <w:snapToGrid w:val="0"/>
          <w:color w:val="000000"/>
          <w:sz w:val="24"/>
          <w:lang w:val="zh-CN" w:eastAsia="zh-CN"/>
        </w:rPr>
        <w:t>调整后销售回报</w:t>
      </w:r>
      <w:bookmarkEnd w:id="9"/>
      <w:bookmarkEnd w:id="10"/>
      <w:r w:rsidRPr="002D3A87">
        <w:rPr>
          <w:rFonts w:eastAsia="宋体" w:cs="Arial"/>
          <w:b/>
          <w:snapToGrid w:val="0"/>
          <w:color w:val="000000"/>
          <w:sz w:val="24"/>
          <w:lang w:val="zh-CN" w:eastAsia="zh-CN"/>
        </w:rPr>
        <w:t>率可增至</w:t>
      </w:r>
      <w:r w:rsidRPr="002D3A87">
        <w:rPr>
          <w:rFonts w:eastAsia="宋体" w:cs="Arial"/>
          <w:b/>
          <w:snapToGrid w:val="0"/>
          <w:color w:val="000000"/>
          <w:sz w:val="24"/>
          <w:lang w:val="en-US" w:eastAsia="zh-CN"/>
        </w:rPr>
        <w:t>16%</w:t>
      </w:r>
      <w:r w:rsidRPr="002D3A87">
        <w:rPr>
          <w:rFonts w:eastAsia="宋体" w:cs="Arial"/>
          <w:b/>
          <w:snapToGrid w:val="0"/>
          <w:color w:val="000000"/>
          <w:sz w:val="24"/>
          <w:lang w:val="en-US" w:eastAsia="zh-CN"/>
        </w:rPr>
        <w:t>左右，</w:t>
      </w:r>
      <w:bookmarkStart w:id="11" w:name="OLE_LINK47"/>
      <w:bookmarkStart w:id="12" w:name="OLE_LINK46"/>
      <w:bookmarkStart w:id="13" w:name="OLE_LINK182"/>
      <w:bookmarkStart w:id="14" w:name="OLE_LINK183"/>
      <w:r w:rsidRPr="002D3A87">
        <w:rPr>
          <w:rFonts w:eastAsia="宋体" w:cs="Arial"/>
          <w:b/>
          <w:snapToGrid w:val="0"/>
          <w:color w:val="000000"/>
          <w:sz w:val="24"/>
          <w:lang w:val="zh-CN" w:eastAsia="zh-CN"/>
        </w:rPr>
        <w:t>调整后优先股每股收益</w:t>
      </w:r>
      <w:bookmarkEnd w:id="11"/>
      <w:bookmarkEnd w:id="12"/>
      <w:r w:rsidRPr="002D3A87">
        <w:rPr>
          <w:rFonts w:eastAsia="宋体" w:cs="Arial"/>
          <w:b/>
          <w:snapToGrid w:val="0"/>
          <w:color w:val="000000"/>
          <w:sz w:val="24"/>
          <w:lang w:val="zh-CN" w:eastAsia="zh-CN"/>
        </w:rPr>
        <w:t>可增至</w:t>
      </w:r>
      <w:r w:rsidRPr="002D3A87">
        <w:rPr>
          <w:rFonts w:eastAsia="宋体" w:cs="Arial"/>
          <w:b/>
          <w:snapToGrid w:val="0"/>
          <w:color w:val="000000"/>
          <w:sz w:val="24"/>
          <w:lang w:val="zh-CN" w:eastAsia="zh-CN"/>
        </w:rPr>
        <w:t>10%</w:t>
      </w:r>
      <w:r w:rsidRPr="002D3A87">
        <w:rPr>
          <w:rFonts w:eastAsia="宋体" w:cs="Arial"/>
          <w:b/>
          <w:snapToGrid w:val="0"/>
          <w:color w:val="000000"/>
          <w:sz w:val="24"/>
          <w:lang w:val="zh-CN" w:eastAsia="zh-CN"/>
        </w:rPr>
        <w:t>左右。</w:t>
      </w:r>
      <w:bookmarkEnd w:id="13"/>
      <w:bookmarkEnd w:id="14"/>
      <w:r w:rsidRPr="002D3A87">
        <w:rPr>
          <w:rFonts w:eastAsia="宋体" w:cs="Arial"/>
          <w:b/>
          <w:snapToGrid w:val="0"/>
          <w:color w:val="000000"/>
          <w:sz w:val="24"/>
          <w:lang w:val="en-US" w:eastAsia="zh-CN"/>
        </w:rPr>
        <w:t>”</w:t>
      </w:r>
    </w:p>
    <w:p w:rsidR="00A363AD" w:rsidRPr="002D3A87" w:rsidRDefault="00A363AD" w:rsidP="007C171B">
      <w:pPr>
        <w:autoSpaceDE w:val="0"/>
        <w:autoSpaceDN w:val="0"/>
        <w:adjustRightInd w:val="0"/>
        <w:spacing w:line="360" w:lineRule="auto"/>
        <w:rPr>
          <w:rFonts w:eastAsia="宋体" w:cs="Arial"/>
          <w:snapToGrid w:val="0"/>
          <w:sz w:val="24"/>
          <w:lang w:val="en-US" w:eastAsia="zh-CN"/>
        </w:rPr>
      </w:pPr>
    </w:p>
    <w:p w:rsidR="00A363AD" w:rsidRPr="002D3A87" w:rsidRDefault="007C171B" w:rsidP="007C171B">
      <w:pPr>
        <w:autoSpaceDE w:val="0"/>
        <w:autoSpaceDN w:val="0"/>
        <w:adjustRightInd w:val="0"/>
        <w:spacing w:after="120" w:line="360" w:lineRule="auto"/>
        <w:rPr>
          <w:rFonts w:eastAsia="宋体" w:cs="Arial"/>
          <w:b/>
          <w:snapToGrid w:val="0"/>
          <w:sz w:val="24"/>
          <w:lang w:val="en-US" w:eastAsia="zh-CN"/>
        </w:rPr>
      </w:pPr>
      <w:r w:rsidRPr="002D3A87">
        <w:rPr>
          <w:rFonts w:eastAsia="宋体" w:cs="Arial"/>
          <w:b/>
          <w:snapToGrid w:val="0"/>
          <w:sz w:val="24"/>
          <w:lang w:val="en-US" w:eastAsia="zh-CN"/>
        </w:rPr>
        <w:t>2015</w:t>
      </w:r>
      <w:r w:rsidRPr="002D3A87">
        <w:rPr>
          <w:rFonts w:eastAsia="宋体" w:cs="Arial"/>
          <w:b/>
          <w:snapToGrid w:val="0"/>
          <w:sz w:val="24"/>
          <w:lang w:val="en-US" w:eastAsia="zh-CN"/>
        </w:rPr>
        <w:t>年第二季度销售及盈利实绩</w:t>
      </w:r>
    </w:p>
    <w:p w:rsidR="00D673D9" w:rsidRPr="002D3A87" w:rsidRDefault="007C171B" w:rsidP="007C171B">
      <w:pPr>
        <w:spacing w:line="360" w:lineRule="auto"/>
        <w:rPr>
          <w:rFonts w:eastAsia="宋体" w:cs="Arial"/>
          <w:snapToGrid w:val="0"/>
          <w:sz w:val="24"/>
          <w:lang w:val="en-US" w:eastAsia="zh-CN"/>
        </w:rPr>
      </w:pPr>
      <w:r w:rsidRPr="002D3A87">
        <w:rPr>
          <w:rFonts w:eastAsia="宋体" w:cs="Arial"/>
          <w:snapToGrid w:val="0"/>
          <w:sz w:val="24"/>
          <w:lang w:val="en-US" w:eastAsia="zh-CN"/>
        </w:rPr>
        <w:t>2015</w:t>
      </w:r>
      <w:r w:rsidRPr="002D3A87">
        <w:rPr>
          <w:rFonts w:eastAsia="宋体" w:cs="Arial"/>
          <w:snapToGrid w:val="0"/>
          <w:sz w:val="24"/>
          <w:lang w:val="en-US" w:eastAsia="zh-CN"/>
        </w:rPr>
        <w:t>年第二季度，</w:t>
      </w:r>
      <w:r w:rsidRPr="002D3A87">
        <w:rPr>
          <w:rFonts w:eastAsia="宋体" w:cs="Arial"/>
          <w:b/>
          <w:snapToGrid w:val="0"/>
          <w:sz w:val="24"/>
          <w:lang w:val="en-US" w:eastAsia="zh-CN"/>
        </w:rPr>
        <w:t>销售额</w:t>
      </w:r>
      <w:r w:rsidRPr="002D3A87">
        <w:rPr>
          <w:rFonts w:eastAsia="宋体" w:cs="Arial"/>
          <w:snapToGrid w:val="0"/>
          <w:sz w:val="24"/>
          <w:lang w:val="en-US" w:eastAsia="zh-CN"/>
        </w:rPr>
        <w:t>再一次实现两位数增长，涨幅</w:t>
      </w:r>
      <w:r w:rsidRPr="002D3A87">
        <w:rPr>
          <w:rFonts w:eastAsia="宋体" w:cs="Arial"/>
          <w:snapToGrid w:val="0"/>
          <w:sz w:val="24"/>
          <w:lang w:val="en-US" w:eastAsia="zh-CN"/>
        </w:rPr>
        <w:t>13.5%</w:t>
      </w:r>
      <w:r w:rsidRPr="002D3A87">
        <w:rPr>
          <w:rFonts w:eastAsia="宋体" w:cs="Arial"/>
          <w:snapToGrid w:val="0"/>
          <w:sz w:val="24"/>
          <w:lang w:val="en-US" w:eastAsia="zh-CN"/>
        </w:rPr>
        <w:t>，至</w:t>
      </w:r>
      <w:r w:rsidRPr="002D3A87">
        <w:rPr>
          <w:rFonts w:eastAsia="宋体" w:cs="Arial"/>
          <w:snapToGrid w:val="0"/>
          <w:sz w:val="24"/>
          <w:lang w:val="en-US" w:eastAsia="zh-CN"/>
        </w:rPr>
        <w:t>46.95</w:t>
      </w:r>
      <w:r w:rsidRPr="002D3A87">
        <w:rPr>
          <w:rFonts w:eastAsia="宋体" w:cs="Arial"/>
          <w:snapToGrid w:val="0"/>
          <w:sz w:val="24"/>
          <w:lang w:val="en-US" w:eastAsia="zh-CN"/>
        </w:rPr>
        <w:t>亿欧元。</w:t>
      </w:r>
      <w:r w:rsidRPr="002D3A87">
        <w:rPr>
          <w:rFonts w:eastAsia="宋体" w:cs="Arial"/>
          <w:snapToGrid w:val="0"/>
          <w:color w:val="000000"/>
          <w:sz w:val="24"/>
          <w:lang w:val="en-US" w:eastAsia="zh-CN"/>
        </w:rPr>
        <w:t>扣除</w:t>
      </w:r>
      <w:r w:rsidRPr="002D3A87">
        <w:rPr>
          <w:rFonts w:eastAsia="宋体" w:cs="Arial"/>
          <w:snapToGrid w:val="0"/>
          <w:color w:val="000000"/>
          <w:sz w:val="24"/>
          <w:lang w:val="en-US" w:eastAsia="zh-CN"/>
        </w:rPr>
        <w:t>7.3</w:t>
      </w:r>
      <w:r w:rsidRPr="002D3A87">
        <w:rPr>
          <w:rFonts w:eastAsia="宋体" w:cs="Arial"/>
          <w:snapToGrid w:val="0"/>
          <w:color w:val="000000"/>
          <w:sz w:val="24"/>
          <w:lang w:val="en-US" w:eastAsia="zh-CN"/>
        </w:rPr>
        <w:t>个百分点的正面汇率影响，销售额增幅达</w:t>
      </w:r>
      <w:r w:rsidRPr="002D3A87">
        <w:rPr>
          <w:rFonts w:eastAsia="宋体" w:cs="Arial"/>
          <w:snapToGrid w:val="0"/>
          <w:sz w:val="24"/>
          <w:lang w:val="en-US" w:eastAsia="zh-CN"/>
        </w:rPr>
        <w:t>6.2</w:t>
      </w:r>
      <w:r w:rsidRPr="002D3A87">
        <w:rPr>
          <w:rFonts w:eastAsia="宋体" w:cs="Arial"/>
          <w:snapToGrid w:val="0"/>
          <w:color w:val="000000"/>
          <w:sz w:val="24"/>
          <w:lang w:val="en-US" w:eastAsia="zh-CN"/>
        </w:rPr>
        <w:t>%</w:t>
      </w:r>
      <w:r w:rsidRPr="002D3A87">
        <w:rPr>
          <w:rFonts w:eastAsia="宋体" w:cs="Arial"/>
          <w:snapToGrid w:val="0"/>
          <w:color w:val="000000"/>
          <w:sz w:val="24"/>
          <w:lang w:val="en-US" w:eastAsia="zh-CN"/>
        </w:rPr>
        <w:t>。</w:t>
      </w:r>
      <w:bookmarkStart w:id="15" w:name="OLE_LINK146"/>
      <w:bookmarkStart w:id="16" w:name="OLE_LINK147"/>
      <w:r w:rsidRPr="002D3A87">
        <w:rPr>
          <w:rFonts w:eastAsia="宋体" w:cs="Arial"/>
          <w:snapToGrid w:val="0"/>
          <w:color w:val="000000"/>
          <w:sz w:val="24"/>
          <w:lang w:val="zh-CN" w:eastAsia="zh-CN"/>
        </w:rPr>
        <w:t>扣除外汇和并购</w:t>
      </w:r>
      <w:r w:rsidRPr="002D3A87">
        <w:rPr>
          <w:rFonts w:eastAsia="宋体" w:cs="Arial"/>
          <w:snapToGrid w:val="0"/>
          <w:color w:val="000000"/>
          <w:sz w:val="24"/>
          <w:lang w:val="en-US" w:eastAsia="zh-CN"/>
        </w:rPr>
        <w:t>/</w:t>
      </w:r>
      <w:r w:rsidRPr="002D3A87">
        <w:rPr>
          <w:rFonts w:eastAsia="宋体" w:cs="Arial"/>
          <w:snapToGrid w:val="0"/>
          <w:color w:val="000000"/>
          <w:sz w:val="24"/>
          <w:lang w:val="zh-CN" w:eastAsia="zh-CN"/>
        </w:rPr>
        <w:t>撤资的影响</w:t>
      </w:r>
      <w:r w:rsidRPr="002D3A87">
        <w:rPr>
          <w:rFonts w:eastAsia="宋体" w:cs="Arial"/>
          <w:snapToGrid w:val="0"/>
          <w:color w:val="000000"/>
          <w:sz w:val="24"/>
          <w:lang w:val="en-US" w:eastAsia="zh-CN"/>
        </w:rPr>
        <w:t>，</w:t>
      </w:r>
      <w:r w:rsidRPr="002D3A87">
        <w:rPr>
          <w:rFonts w:eastAsia="宋体" w:cs="Arial"/>
          <w:b/>
          <w:snapToGrid w:val="0"/>
          <w:color w:val="000000"/>
          <w:sz w:val="24"/>
          <w:lang w:val="zh-CN" w:eastAsia="zh-CN"/>
        </w:rPr>
        <w:t>有机销售额</w:t>
      </w:r>
      <w:r w:rsidRPr="002D3A87">
        <w:rPr>
          <w:rFonts w:eastAsia="宋体" w:cs="Arial"/>
          <w:snapToGrid w:val="0"/>
          <w:color w:val="000000"/>
          <w:sz w:val="24"/>
          <w:lang w:val="zh-CN" w:eastAsia="zh-CN"/>
        </w:rPr>
        <w:t>增长</w:t>
      </w:r>
      <w:r w:rsidRPr="002D3A87">
        <w:rPr>
          <w:rFonts w:eastAsia="宋体" w:cs="Arial"/>
          <w:snapToGrid w:val="0"/>
          <w:color w:val="000000"/>
          <w:sz w:val="24"/>
          <w:lang w:val="zh-CN" w:eastAsia="zh-CN"/>
        </w:rPr>
        <w:t>2</w:t>
      </w:r>
      <w:r w:rsidRPr="002D3A87">
        <w:rPr>
          <w:rFonts w:eastAsia="宋体" w:cs="Arial"/>
          <w:snapToGrid w:val="0"/>
          <w:color w:val="000000"/>
          <w:sz w:val="24"/>
          <w:lang w:val="en-US" w:eastAsia="zh-CN"/>
        </w:rPr>
        <w:t>.4%</w:t>
      </w:r>
      <w:r w:rsidRPr="002D3A87">
        <w:rPr>
          <w:rFonts w:eastAsia="宋体" w:cs="Arial"/>
          <w:snapToGrid w:val="0"/>
          <w:color w:val="000000"/>
          <w:sz w:val="24"/>
          <w:lang w:val="zh-CN" w:eastAsia="zh-CN"/>
        </w:rPr>
        <w:t>。</w:t>
      </w:r>
      <w:bookmarkEnd w:id="15"/>
      <w:bookmarkEnd w:id="16"/>
    </w:p>
    <w:p w:rsidR="00D673D9" w:rsidRPr="002D3A87" w:rsidRDefault="00D673D9" w:rsidP="007C171B">
      <w:pPr>
        <w:spacing w:line="360" w:lineRule="auto"/>
        <w:rPr>
          <w:rFonts w:eastAsia="宋体" w:cs="Arial"/>
          <w:snapToGrid w:val="0"/>
          <w:sz w:val="24"/>
          <w:lang w:val="en-US" w:eastAsia="zh-CN"/>
        </w:rPr>
      </w:pPr>
    </w:p>
    <w:p w:rsidR="00D673D9" w:rsidRPr="002D3A87" w:rsidRDefault="007C171B" w:rsidP="007C171B">
      <w:pPr>
        <w:spacing w:line="360" w:lineRule="auto"/>
        <w:rPr>
          <w:rFonts w:eastAsia="宋体" w:cs="Arial"/>
          <w:snapToGrid w:val="0"/>
          <w:sz w:val="24"/>
          <w:lang w:val="en-US" w:eastAsia="zh-CN"/>
        </w:rPr>
      </w:pPr>
      <w:r w:rsidRPr="002D3A87">
        <w:rPr>
          <w:rFonts w:eastAsia="宋体" w:cs="Arial"/>
          <w:b/>
          <w:snapToGrid w:val="0"/>
          <w:color w:val="000000"/>
          <w:sz w:val="24"/>
          <w:lang w:val="zh-CN" w:eastAsia="zh-CN"/>
        </w:rPr>
        <w:t>洗涤剂及家用护理</w:t>
      </w:r>
      <w:r w:rsidRPr="002D3A87">
        <w:rPr>
          <w:rFonts w:eastAsia="宋体" w:cs="Arial"/>
          <w:snapToGrid w:val="0"/>
          <w:color w:val="000000"/>
          <w:sz w:val="24"/>
          <w:lang w:val="zh-CN" w:eastAsia="zh-CN"/>
        </w:rPr>
        <w:t>业务部表现出强劲的有机销售额增长</w:t>
      </w:r>
      <w:r w:rsidRPr="002D3A87">
        <w:rPr>
          <w:rFonts w:eastAsia="宋体" w:cs="Arial"/>
          <w:snapToGrid w:val="0"/>
          <w:color w:val="000000"/>
          <w:sz w:val="24"/>
          <w:lang w:val="en-US" w:eastAsia="zh-CN"/>
        </w:rPr>
        <w:t>，</w:t>
      </w:r>
      <w:r w:rsidRPr="002D3A87">
        <w:rPr>
          <w:rFonts w:eastAsia="宋体" w:cs="Arial"/>
          <w:snapToGrid w:val="0"/>
          <w:color w:val="000000"/>
          <w:sz w:val="24"/>
          <w:lang w:val="zh-CN" w:eastAsia="zh-CN"/>
        </w:rPr>
        <w:t>增幅达</w:t>
      </w:r>
      <w:r w:rsidRPr="002D3A87">
        <w:rPr>
          <w:rFonts w:eastAsia="宋体" w:cs="Arial"/>
          <w:snapToGrid w:val="0"/>
          <w:color w:val="000000"/>
          <w:sz w:val="24"/>
          <w:lang w:val="en-US" w:eastAsia="zh-CN"/>
        </w:rPr>
        <w:t>4.3%</w:t>
      </w:r>
      <w:r w:rsidRPr="002D3A87">
        <w:rPr>
          <w:rFonts w:eastAsia="宋体" w:cs="Arial"/>
          <w:snapToGrid w:val="0"/>
          <w:color w:val="000000"/>
          <w:sz w:val="24"/>
          <w:lang w:val="zh-CN" w:eastAsia="zh-CN"/>
        </w:rPr>
        <w:t>。</w:t>
      </w:r>
      <w:r w:rsidRPr="002D3A87">
        <w:rPr>
          <w:rFonts w:eastAsia="宋体" w:cs="Arial"/>
          <w:b/>
          <w:snapToGrid w:val="0"/>
          <w:color w:val="000000"/>
          <w:sz w:val="24"/>
          <w:lang w:val="zh-CN" w:eastAsia="zh-CN"/>
        </w:rPr>
        <w:t>化妆品</w:t>
      </w:r>
      <w:r w:rsidRPr="002D3A87">
        <w:rPr>
          <w:rFonts w:eastAsia="宋体" w:cs="Arial"/>
          <w:b/>
          <w:snapToGrid w:val="0"/>
          <w:color w:val="000000"/>
          <w:sz w:val="24"/>
          <w:lang w:val="zh-CN" w:eastAsia="zh-CN"/>
        </w:rPr>
        <w:t>/</w:t>
      </w:r>
      <w:r w:rsidRPr="002D3A87">
        <w:rPr>
          <w:rFonts w:eastAsia="宋体" w:cs="Arial"/>
          <w:b/>
          <w:snapToGrid w:val="0"/>
          <w:color w:val="000000"/>
          <w:sz w:val="24"/>
          <w:lang w:val="zh-CN" w:eastAsia="zh-CN"/>
        </w:rPr>
        <w:t>美容用品</w:t>
      </w:r>
      <w:r w:rsidRPr="002D3A87">
        <w:rPr>
          <w:rFonts w:eastAsia="宋体" w:cs="Arial"/>
          <w:snapToGrid w:val="0"/>
          <w:color w:val="000000"/>
          <w:sz w:val="24"/>
          <w:lang w:val="zh-CN" w:eastAsia="zh-CN"/>
        </w:rPr>
        <w:t>业务部的有机增幅达</w:t>
      </w:r>
      <w:r w:rsidRPr="002D3A87">
        <w:rPr>
          <w:rFonts w:eastAsia="宋体" w:cs="Arial"/>
          <w:snapToGrid w:val="0"/>
          <w:sz w:val="24"/>
          <w:lang w:val="en-US" w:eastAsia="zh-CN"/>
        </w:rPr>
        <w:t>1.9</w:t>
      </w:r>
      <w:r w:rsidRPr="002D3A87">
        <w:rPr>
          <w:rFonts w:eastAsia="宋体" w:cs="Arial"/>
          <w:snapToGrid w:val="0"/>
          <w:color w:val="000000"/>
          <w:sz w:val="24"/>
          <w:lang w:val="zh-CN" w:eastAsia="zh-CN"/>
        </w:rPr>
        <w:t>%</w:t>
      </w:r>
      <w:r w:rsidRPr="002D3A87">
        <w:rPr>
          <w:rFonts w:eastAsia="宋体" w:cs="Arial"/>
          <w:snapToGrid w:val="0"/>
          <w:color w:val="000000"/>
          <w:sz w:val="24"/>
          <w:lang w:val="zh-CN" w:eastAsia="zh-CN"/>
        </w:rPr>
        <w:t>。</w:t>
      </w:r>
      <w:r w:rsidRPr="002D3A87">
        <w:rPr>
          <w:rFonts w:eastAsia="宋体" w:cs="Arial"/>
          <w:b/>
          <w:snapToGrid w:val="0"/>
          <w:color w:val="000000"/>
          <w:sz w:val="24"/>
          <w:lang w:val="en-US" w:eastAsia="zh-CN"/>
        </w:rPr>
        <w:t>粘合剂技术</w:t>
      </w:r>
      <w:r w:rsidRPr="002D3A87">
        <w:rPr>
          <w:rFonts w:eastAsia="宋体" w:cs="Arial"/>
          <w:snapToGrid w:val="0"/>
          <w:color w:val="000000"/>
          <w:sz w:val="24"/>
          <w:lang w:val="en-US" w:eastAsia="zh-CN"/>
        </w:rPr>
        <w:t>业务部同样实现了</w:t>
      </w:r>
      <w:r w:rsidRPr="002D3A87">
        <w:rPr>
          <w:rFonts w:eastAsia="宋体" w:cs="Arial"/>
          <w:snapToGrid w:val="0"/>
          <w:color w:val="000000"/>
          <w:sz w:val="24"/>
          <w:lang w:val="en-US" w:eastAsia="zh-CN"/>
        </w:rPr>
        <w:t>1.7%</w:t>
      </w:r>
      <w:r w:rsidRPr="002D3A87">
        <w:rPr>
          <w:rFonts w:eastAsia="宋体" w:cs="Arial"/>
          <w:snapToGrid w:val="0"/>
          <w:color w:val="000000"/>
          <w:sz w:val="24"/>
          <w:lang w:val="en-US" w:eastAsia="zh-CN"/>
        </w:rPr>
        <w:t>的有机销售额增长。</w:t>
      </w:r>
    </w:p>
    <w:p w:rsidR="00D673D9" w:rsidRPr="002D3A87" w:rsidRDefault="00D673D9" w:rsidP="007C171B">
      <w:pPr>
        <w:spacing w:line="360" w:lineRule="auto"/>
        <w:rPr>
          <w:rFonts w:eastAsia="宋体" w:cs="Arial"/>
          <w:snapToGrid w:val="0"/>
          <w:sz w:val="24"/>
          <w:lang w:val="en-US" w:eastAsia="zh-CN"/>
        </w:rPr>
      </w:pPr>
    </w:p>
    <w:p w:rsidR="00D673D9" w:rsidRPr="002D3A87" w:rsidRDefault="007C171B" w:rsidP="007C171B">
      <w:pPr>
        <w:spacing w:line="360" w:lineRule="auto"/>
        <w:rPr>
          <w:rFonts w:eastAsia="宋体" w:cs="Arial"/>
          <w:snapToGrid w:val="0"/>
          <w:sz w:val="24"/>
          <w:lang w:val="en-US" w:eastAsia="zh-CN"/>
        </w:rPr>
      </w:pPr>
      <w:r w:rsidRPr="002D3A87">
        <w:rPr>
          <w:rFonts w:eastAsia="宋体" w:cs="Arial"/>
          <w:snapToGrid w:val="0"/>
          <w:sz w:val="24"/>
          <w:lang w:val="en-US" w:eastAsia="zh-CN"/>
        </w:rPr>
        <w:t>将一次性收益、一次性及重组费用纳入计算后，</w:t>
      </w:r>
      <w:bookmarkStart w:id="17" w:name="OLE_LINK163"/>
      <w:bookmarkStart w:id="18" w:name="OLE_LINK164"/>
      <w:bookmarkStart w:id="19" w:name="OLE_LINK152"/>
      <w:bookmarkStart w:id="20" w:name="OLE_LINK153"/>
      <w:r w:rsidRPr="002D3A87">
        <w:rPr>
          <w:rFonts w:eastAsia="宋体" w:cs="Arial"/>
          <w:b/>
          <w:snapToGrid w:val="0"/>
          <w:sz w:val="24"/>
          <w:lang w:val="en-US" w:eastAsia="zh-CN"/>
        </w:rPr>
        <w:t>调整后营运利润</w:t>
      </w:r>
      <w:bookmarkEnd w:id="17"/>
      <w:bookmarkEnd w:id="18"/>
      <w:r w:rsidRPr="002D3A87">
        <w:rPr>
          <w:rFonts w:eastAsia="宋体" w:cs="Arial"/>
          <w:snapToGrid w:val="0"/>
          <w:sz w:val="24"/>
          <w:lang w:val="en-US" w:eastAsia="zh-CN"/>
        </w:rPr>
        <w:t>增长了</w:t>
      </w:r>
      <w:r w:rsidRPr="002D3A87">
        <w:rPr>
          <w:rFonts w:eastAsia="宋体" w:cs="Arial"/>
          <w:snapToGrid w:val="0"/>
          <w:sz w:val="24"/>
          <w:lang w:val="en-US" w:eastAsia="zh-CN"/>
        </w:rPr>
        <w:t>14.0%</w:t>
      </w:r>
      <w:r w:rsidRPr="002D3A87">
        <w:rPr>
          <w:rFonts w:eastAsia="宋体" w:cs="Arial"/>
          <w:snapToGrid w:val="0"/>
          <w:sz w:val="24"/>
          <w:lang w:val="en-US" w:eastAsia="zh-CN"/>
        </w:rPr>
        <w:t>，由</w:t>
      </w:r>
      <w:r w:rsidRPr="002D3A87">
        <w:rPr>
          <w:rFonts w:eastAsia="宋体" w:cs="Arial"/>
          <w:snapToGrid w:val="0"/>
          <w:sz w:val="24"/>
          <w:lang w:val="en-US" w:eastAsia="zh-CN"/>
        </w:rPr>
        <w:t>6.74</w:t>
      </w:r>
      <w:r w:rsidRPr="002D3A87">
        <w:rPr>
          <w:rFonts w:eastAsia="宋体" w:cs="Arial"/>
          <w:snapToGrid w:val="0"/>
          <w:sz w:val="24"/>
          <w:lang w:val="en-US" w:eastAsia="zh-CN"/>
        </w:rPr>
        <w:t>亿欧元增至</w:t>
      </w:r>
      <w:r w:rsidRPr="002D3A87">
        <w:rPr>
          <w:rFonts w:eastAsia="宋体" w:cs="Arial"/>
          <w:snapToGrid w:val="0"/>
          <w:sz w:val="24"/>
          <w:lang w:val="en-US" w:eastAsia="zh-CN"/>
        </w:rPr>
        <w:t>7.68</w:t>
      </w:r>
      <w:r w:rsidRPr="002D3A87">
        <w:rPr>
          <w:rFonts w:eastAsia="宋体" w:cs="Arial"/>
          <w:snapToGrid w:val="0"/>
          <w:sz w:val="24"/>
          <w:lang w:val="en-US" w:eastAsia="zh-CN"/>
        </w:rPr>
        <w:t>亿欧元。实际</w:t>
      </w:r>
      <w:r w:rsidRPr="002D3A87">
        <w:rPr>
          <w:rFonts w:eastAsia="宋体" w:cs="Arial"/>
          <w:snapToGrid w:val="0"/>
          <w:color w:val="000000"/>
          <w:sz w:val="24"/>
          <w:lang w:val="zh-CN" w:eastAsia="zh-CN"/>
        </w:rPr>
        <w:t>营运利润</w:t>
      </w:r>
      <w:r w:rsidRPr="002D3A87">
        <w:rPr>
          <w:rFonts w:eastAsia="宋体" w:cs="Arial"/>
          <w:snapToGrid w:val="0"/>
          <w:color w:val="000000"/>
          <w:sz w:val="24"/>
          <w:lang w:val="en-US" w:eastAsia="zh-CN"/>
        </w:rPr>
        <w:t>（</w:t>
      </w:r>
      <w:bookmarkStart w:id="21" w:name="OLE_LINK287"/>
      <w:bookmarkStart w:id="22" w:name="OLE_LINK288"/>
      <w:r w:rsidRPr="002D3A87">
        <w:rPr>
          <w:rFonts w:eastAsia="宋体" w:cs="Arial"/>
          <w:snapToGrid w:val="0"/>
          <w:color w:val="000000"/>
          <w:sz w:val="24"/>
          <w:lang w:val="zh-CN" w:eastAsia="zh-CN"/>
        </w:rPr>
        <w:t>息税前利润</w:t>
      </w:r>
      <w:bookmarkEnd w:id="21"/>
      <w:bookmarkEnd w:id="22"/>
      <w:r w:rsidRPr="002D3A87">
        <w:rPr>
          <w:rFonts w:eastAsia="宋体" w:cs="Arial"/>
          <w:snapToGrid w:val="0"/>
          <w:color w:val="000000"/>
          <w:sz w:val="24"/>
          <w:lang w:val="en-US" w:eastAsia="zh-CN"/>
        </w:rPr>
        <w:t>）由</w:t>
      </w:r>
      <w:r w:rsidRPr="002D3A87">
        <w:rPr>
          <w:rFonts w:eastAsia="宋体" w:cs="Arial"/>
          <w:snapToGrid w:val="0"/>
          <w:color w:val="000000"/>
          <w:sz w:val="24"/>
          <w:lang w:val="en-US" w:eastAsia="zh-CN"/>
        </w:rPr>
        <w:t>5.89</w:t>
      </w:r>
      <w:r w:rsidRPr="002D3A87">
        <w:rPr>
          <w:rFonts w:eastAsia="宋体" w:cs="Arial"/>
          <w:snapToGrid w:val="0"/>
          <w:color w:val="000000"/>
          <w:sz w:val="24"/>
          <w:lang w:val="en-US" w:eastAsia="zh-CN"/>
        </w:rPr>
        <w:t>亿欧元增至</w:t>
      </w:r>
      <w:r w:rsidRPr="002D3A87">
        <w:rPr>
          <w:rFonts w:eastAsia="宋体" w:cs="Arial"/>
          <w:snapToGrid w:val="0"/>
          <w:color w:val="000000"/>
          <w:sz w:val="24"/>
          <w:lang w:val="en-US" w:eastAsia="zh-CN"/>
        </w:rPr>
        <w:t>7.15</w:t>
      </w:r>
      <w:r w:rsidRPr="002D3A87">
        <w:rPr>
          <w:rFonts w:eastAsia="宋体" w:cs="Arial"/>
          <w:snapToGrid w:val="0"/>
          <w:color w:val="000000"/>
          <w:sz w:val="24"/>
          <w:lang w:val="en-US" w:eastAsia="zh-CN"/>
        </w:rPr>
        <w:t>亿欧元，涨幅</w:t>
      </w:r>
      <w:r w:rsidRPr="002D3A87">
        <w:rPr>
          <w:rFonts w:eastAsia="宋体" w:cs="Arial"/>
          <w:snapToGrid w:val="0"/>
          <w:sz w:val="24"/>
          <w:lang w:val="en-US" w:eastAsia="zh-CN"/>
        </w:rPr>
        <w:t>21.4%</w:t>
      </w:r>
      <w:r w:rsidRPr="002D3A87">
        <w:rPr>
          <w:rFonts w:eastAsia="宋体" w:cs="Arial"/>
          <w:snapToGrid w:val="0"/>
          <w:sz w:val="24"/>
          <w:lang w:val="en-US" w:eastAsia="zh-CN"/>
        </w:rPr>
        <w:t>。</w:t>
      </w:r>
      <w:bookmarkEnd w:id="19"/>
      <w:bookmarkEnd w:id="20"/>
    </w:p>
    <w:p w:rsidR="00D673D9" w:rsidRPr="002D3A87" w:rsidRDefault="00D673D9" w:rsidP="007C171B">
      <w:pPr>
        <w:spacing w:line="360" w:lineRule="auto"/>
        <w:rPr>
          <w:rFonts w:eastAsia="宋体" w:cs="Arial"/>
          <w:snapToGrid w:val="0"/>
          <w:sz w:val="24"/>
          <w:lang w:val="en-US" w:eastAsia="zh-CN"/>
        </w:rPr>
      </w:pPr>
    </w:p>
    <w:p w:rsidR="00D673D9" w:rsidRPr="002D3A87" w:rsidRDefault="007C171B" w:rsidP="007C171B">
      <w:pPr>
        <w:spacing w:line="360" w:lineRule="auto"/>
        <w:rPr>
          <w:rFonts w:eastAsia="宋体" w:cs="Arial"/>
          <w:snapToGrid w:val="0"/>
          <w:sz w:val="24"/>
          <w:lang w:val="en-US" w:eastAsia="zh-CN"/>
        </w:rPr>
      </w:pPr>
      <w:bookmarkStart w:id="23" w:name="OLE_LINK154"/>
      <w:bookmarkStart w:id="24" w:name="OLE_LINK155"/>
      <w:r w:rsidRPr="002D3A87">
        <w:rPr>
          <w:rFonts w:eastAsia="宋体" w:cs="Arial"/>
          <w:b/>
          <w:snapToGrid w:val="0"/>
          <w:color w:val="000000"/>
          <w:sz w:val="24"/>
          <w:lang w:val="zh-CN" w:eastAsia="zh-CN"/>
        </w:rPr>
        <w:t>调整后销售回报率</w:t>
      </w:r>
      <w:r w:rsidRPr="002D3A87">
        <w:rPr>
          <w:rFonts w:eastAsia="宋体" w:cs="Arial"/>
          <w:snapToGrid w:val="0"/>
          <w:color w:val="000000"/>
          <w:sz w:val="24"/>
          <w:lang w:val="zh-CN" w:eastAsia="zh-CN"/>
        </w:rPr>
        <w:t>上升</w:t>
      </w:r>
      <w:r w:rsidRPr="002D3A87">
        <w:rPr>
          <w:rFonts w:eastAsia="宋体" w:cs="Arial"/>
          <w:snapToGrid w:val="0"/>
          <w:color w:val="000000"/>
          <w:sz w:val="24"/>
          <w:lang w:val="en-US" w:eastAsia="zh-CN"/>
        </w:rPr>
        <w:t>0.1</w:t>
      </w:r>
      <w:bookmarkStart w:id="25" w:name="OLE_LINK86"/>
      <w:bookmarkStart w:id="26" w:name="OLE_LINK87"/>
      <w:r w:rsidRPr="002D3A87">
        <w:rPr>
          <w:rFonts w:eastAsia="宋体" w:cs="Arial"/>
          <w:snapToGrid w:val="0"/>
          <w:color w:val="000000"/>
          <w:sz w:val="24"/>
          <w:lang w:val="zh-CN" w:eastAsia="zh-CN"/>
        </w:rPr>
        <w:t>个百分点</w:t>
      </w:r>
      <w:bookmarkEnd w:id="25"/>
      <w:bookmarkEnd w:id="26"/>
      <w:r w:rsidRPr="002D3A87">
        <w:rPr>
          <w:rFonts w:eastAsia="宋体" w:cs="Arial"/>
          <w:snapToGrid w:val="0"/>
          <w:color w:val="000000"/>
          <w:sz w:val="24"/>
          <w:lang w:val="en-US" w:eastAsia="zh-CN"/>
        </w:rPr>
        <w:t>，</w:t>
      </w:r>
      <w:r w:rsidRPr="002D3A87">
        <w:rPr>
          <w:rFonts w:eastAsia="宋体" w:cs="Arial"/>
          <w:snapToGrid w:val="0"/>
          <w:color w:val="000000"/>
          <w:sz w:val="24"/>
          <w:lang w:val="zh-CN" w:eastAsia="zh-CN"/>
        </w:rPr>
        <w:t>至</w:t>
      </w:r>
      <w:r w:rsidRPr="002D3A87">
        <w:rPr>
          <w:rFonts w:eastAsia="宋体" w:cs="Arial"/>
          <w:snapToGrid w:val="0"/>
          <w:sz w:val="24"/>
          <w:lang w:val="en-US" w:eastAsia="zh-CN"/>
        </w:rPr>
        <w:t>16.4%</w:t>
      </w:r>
      <w:r w:rsidRPr="002D3A87">
        <w:rPr>
          <w:rFonts w:eastAsia="宋体" w:cs="Arial"/>
          <w:snapToGrid w:val="0"/>
          <w:color w:val="000000"/>
          <w:sz w:val="24"/>
          <w:lang w:val="zh-CN" w:eastAsia="zh-CN"/>
        </w:rPr>
        <w:t>。实际</w:t>
      </w:r>
      <w:r w:rsidRPr="002D3A87">
        <w:rPr>
          <w:rFonts w:eastAsia="宋体" w:cs="Arial"/>
          <w:snapToGrid w:val="0"/>
          <w:color w:val="000000"/>
          <w:sz w:val="24"/>
          <w:lang w:val="zh-CN"/>
        </w:rPr>
        <w:t>销售回报率</w:t>
      </w:r>
      <w:r w:rsidRPr="002D3A87">
        <w:rPr>
          <w:rFonts w:eastAsia="宋体" w:cs="Arial"/>
          <w:snapToGrid w:val="0"/>
          <w:color w:val="000000"/>
          <w:sz w:val="24"/>
          <w:lang w:val="zh-CN" w:eastAsia="zh-CN"/>
        </w:rPr>
        <w:t>上升</w:t>
      </w:r>
      <w:r w:rsidRPr="002D3A87">
        <w:rPr>
          <w:rFonts w:eastAsia="宋体" w:cs="Arial"/>
          <w:snapToGrid w:val="0"/>
          <w:color w:val="000000"/>
          <w:sz w:val="24"/>
          <w:lang w:val="en-US" w:eastAsia="zh-CN"/>
        </w:rPr>
        <w:t>1.0</w:t>
      </w:r>
      <w:r w:rsidRPr="002D3A87">
        <w:rPr>
          <w:rFonts w:eastAsia="宋体" w:cs="Arial"/>
          <w:snapToGrid w:val="0"/>
          <w:color w:val="000000"/>
          <w:sz w:val="24"/>
          <w:lang w:val="zh-CN"/>
        </w:rPr>
        <w:t>个百分点</w:t>
      </w:r>
      <w:r w:rsidRPr="002D3A87">
        <w:rPr>
          <w:rFonts w:eastAsia="宋体" w:cs="Arial"/>
          <w:snapToGrid w:val="0"/>
          <w:color w:val="000000"/>
          <w:sz w:val="24"/>
          <w:lang w:val="en-US" w:eastAsia="zh-CN"/>
        </w:rPr>
        <w:t>，</w:t>
      </w:r>
      <w:r w:rsidRPr="002D3A87">
        <w:rPr>
          <w:rFonts w:eastAsia="宋体" w:cs="Arial"/>
          <w:snapToGrid w:val="0"/>
          <w:color w:val="000000"/>
          <w:sz w:val="24"/>
          <w:lang w:val="zh-CN" w:eastAsia="zh-CN"/>
        </w:rPr>
        <w:t>由</w:t>
      </w:r>
      <w:r w:rsidRPr="002D3A87">
        <w:rPr>
          <w:rFonts w:eastAsia="宋体" w:cs="Arial"/>
          <w:snapToGrid w:val="0"/>
          <w:sz w:val="24"/>
          <w:lang w:val="en-US"/>
        </w:rPr>
        <w:t>14.2</w:t>
      </w:r>
      <w:r w:rsidRPr="002D3A87">
        <w:rPr>
          <w:rFonts w:eastAsia="宋体" w:cs="Arial"/>
          <w:snapToGrid w:val="0"/>
          <w:sz w:val="24"/>
          <w:lang w:val="en-US" w:eastAsia="zh-CN"/>
        </w:rPr>
        <w:t>%</w:t>
      </w:r>
      <w:r w:rsidRPr="002D3A87">
        <w:rPr>
          <w:rFonts w:eastAsia="宋体" w:cs="Arial"/>
          <w:snapToGrid w:val="0"/>
          <w:sz w:val="24"/>
          <w:lang w:val="en-US" w:eastAsia="zh-CN"/>
        </w:rPr>
        <w:t>增至</w:t>
      </w:r>
      <w:r w:rsidRPr="002D3A87">
        <w:rPr>
          <w:rFonts w:eastAsia="宋体" w:cs="Arial"/>
          <w:snapToGrid w:val="0"/>
          <w:sz w:val="24"/>
          <w:lang w:val="en-US"/>
        </w:rPr>
        <w:t>15.2</w:t>
      </w:r>
      <w:r w:rsidRPr="002D3A87">
        <w:rPr>
          <w:rFonts w:eastAsia="宋体" w:cs="Arial"/>
          <w:snapToGrid w:val="0"/>
          <w:sz w:val="24"/>
          <w:lang w:val="en-US" w:eastAsia="zh-CN"/>
        </w:rPr>
        <w:t>%</w:t>
      </w:r>
      <w:r w:rsidRPr="002D3A87">
        <w:rPr>
          <w:rFonts w:eastAsia="宋体" w:cs="Arial"/>
          <w:snapToGrid w:val="0"/>
          <w:sz w:val="24"/>
          <w:lang w:val="en-US" w:eastAsia="zh-CN"/>
        </w:rPr>
        <w:t>。</w:t>
      </w:r>
      <w:bookmarkEnd w:id="23"/>
      <w:bookmarkEnd w:id="24"/>
    </w:p>
    <w:p w:rsidR="00D673D9" w:rsidRPr="002D3A87" w:rsidRDefault="00D673D9" w:rsidP="007C171B">
      <w:pPr>
        <w:spacing w:line="360" w:lineRule="auto"/>
        <w:rPr>
          <w:rFonts w:eastAsia="宋体" w:cs="Arial"/>
          <w:snapToGrid w:val="0"/>
          <w:sz w:val="24"/>
          <w:lang w:val="en-US"/>
        </w:rPr>
      </w:pPr>
    </w:p>
    <w:p w:rsidR="00FA442E" w:rsidRPr="002D3A87" w:rsidRDefault="007C171B" w:rsidP="007C171B">
      <w:pPr>
        <w:spacing w:line="360" w:lineRule="auto"/>
        <w:rPr>
          <w:rFonts w:eastAsia="宋体" w:cs="Arial"/>
          <w:snapToGrid w:val="0"/>
          <w:color w:val="000000"/>
          <w:sz w:val="24"/>
          <w:lang w:val="en-US" w:eastAsia="zh-CN"/>
        </w:rPr>
      </w:pPr>
      <w:r w:rsidRPr="002D3A87">
        <w:rPr>
          <w:rFonts w:eastAsia="宋体" w:cs="Arial"/>
          <w:b/>
          <w:snapToGrid w:val="0"/>
          <w:color w:val="000000"/>
          <w:sz w:val="24"/>
          <w:lang w:val="en-US" w:eastAsia="zh-CN"/>
        </w:rPr>
        <w:t>财务计算结果</w:t>
      </w:r>
      <w:r w:rsidRPr="002D3A87">
        <w:rPr>
          <w:rFonts w:eastAsia="宋体" w:cs="Arial"/>
          <w:snapToGrid w:val="0"/>
          <w:color w:val="000000"/>
          <w:sz w:val="24"/>
          <w:lang w:val="en-US" w:eastAsia="zh-CN"/>
        </w:rPr>
        <w:t>较上年同期降至</w:t>
      </w:r>
      <w:r w:rsidRPr="002D3A87">
        <w:rPr>
          <w:rFonts w:eastAsia="宋体" w:cs="Arial"/>
          <w:snapToGrid w:val="0"/>
          <w:color w:val="000000"/>
          <w:sz w:val="24"/>
          <w:lang w:val="en-US" w:eastAsia="zh-CN"/>
        </w:rPr>
        <w:t>-1100</w:t>
      </w:r>
      <w:r w:rsidRPr="002D3A87">
        <w:rPr>
          <w:rFonts w:eastAsia="宋体" w:cs="Arial"/>
          <w:snapToGrid w:val="0"/>
          <w:color w:val="000000"/>
          <w:sz w:val="24"/>
          <w:lang w:val="en-US" w:eastAsia="zh-CN"/>
        </w:rPr>
        <w:t>万欧元。税率为</w:t>
      </w:r>
      <w:r w:rsidRPr="002D3A87">
        <w:rPr>
          <w:rFonts w:eastAsia="宋体" w:cs="Arial"/>
          <w:snapToGrid w:val="0"/>
          <w:color w:val="000000"/>
          <w:sz w:val="24"/>
          <w:lang w:val="en-US" w:eastAsia="zh-CN"/>
        </w:rPr>
        <w:t>24.6%</w:t>
      </w:r>
      <w:r w:rsidRPr="002D3A87">
        <w:rPr>
          <w:rFonts w:eastAsia="宋体" w:cs="Arial"/>
          <w:snapToGrid w:val="0"/>
          <w:color w:val="000000"/>
          <w:sz w:val="24"/>
          <w:lang w:val="en-US" w:eastAsia="zh-CN"/>
        </w:rPr>
        <w:t>，上年同期数字为</w:t>
      </w:r>
      <w:r w:rsidRPr="002D3A87">
        <w:rPr>
          <w:rFonts w:eastAsia="宋体" w:cs="Arial"/>
          <w:snapToGrid w:val="0"/>
          <w:color w:val="000000"/>
          <w:sz w:val="24"/>
          <w:lang w:val="en-US"/>
        </w:rPr>
        <w:t>22.8</w:t>
      </w:r>
      <w:r w:rsidRPr="002D3A87">
        <w:rPr>
          <w:rFonts w:eastAsia="宋体" w:cs="Arial"/>
          <w:snapToGrid w:val="0"/>
          <w:color w:val="000000"/>
          <w:sz w:val="24"/>
          <w:lang w:val="en-US" w:eastAsia="zh-CN"/>
        </w:rPr>
        <w:t>%</w:t>
      </w:r>
      <w:r w:rsidRPr="002D3A87">
        <w:rPr>
          <w:rFonts w:eastAsia="宋体" w:cs="Arial"/>
          <w:snapToGrid w:val="0"/>
          <w:color w:val="000000"/>
          <w:sz w:val="24"/>
          <w:lang w:val="en-US" w:eastAsia="zh-CN"/>
        </w:rPr>
        <w:t>。</w:t>
      </w:r>
    </w:p>
    <w:p w:rsidR="00FA442E" w:rsidRPr="002D3A87" w:rsidRDefault="00FA442E" w:rsidP="007C171B">
      <w:pPr>
        <w:autoSpaceDE w:val="0"/>
        <w:autoSpaceDN w:val="0"/>
        <w:adjustRightInd w:val="0"/>
        <w:spacing w:line="360" w:lineRule="auto"/>
        <w:rPr>
          <w:rFonts w:eastAsia="宋体" w:cs="Arial"/>
          <w:b/>
          <w:snapToGrid w:val="0"/>
          <w:sz w:val="24"/>
          <w:lang w:val="en-US"/>
        </w:rPr>
      </w:pPr>
    </w:p>
    <w:p w:rsidR="00A363AD" w:rsidRPr="002D3A87" w:rsidRDefault="007C171B" w:rsidP="007C171B">
      <w:pPr>
        <w:autoSpaceDE w:val="0"/>
        <w:autoSpaceDN w:val="0"/>
        <w:adjustRightInd w:val="0"/>
        <w:spacing w:line="360" w:lineRule="auto"/>
        <w:rPr>
          <w:rFonts w:eastAsia="宋体" w:cs="Arial"/>
          <w:snapToGrid w:val="0"/>
          <w:color w:val="000000"/>
          <w:sz w:val="24"/>
          <w:lang w:val="en-US" w:eastAsia="zh-CN"/>
        </w:rPr>
      </w:pPr>
      <w:bookmarkStart w:id="27" w:name="OLE_LINK1"/>
      <w:bookmarkStart w:id="28" w:name="OLE_LINK2"/>
      <w:bookmarkStart w:id="29" w:name="OLE_LINK173"/>
      <w:r w:rsidRPr="002D3A87">
        <w:rPr>
          <w:rFonts w:eastAsia="宋体" w:cs="Arial"/>
          <w:snapToGrid w:val="0"/>
          <w:color w:val="000000"/>
          <w:sz w:val="24"/>
          <w:lang w:val="zh-CN" w:eastAsia="zh-CN"/>
        </w:rPr>
        <w:t>扣除非控制性权益后</w:t>
      </w:r>
      <w:r w:rsidRPr="002D3A87">
        <w:rPr>
          <w:rFonts w:eastAsia="宋体" w:cs="Arial"/>
          <w:snapToGrid w:val="0"/>
          <w:color w:val="000000"/>
          <w:sz w:val="24"/>
          <w:lang w:val="en-US" w:eastAsia="zh-CN"/>
        </w:rPr>
        <w:t>，</w:t>
      </w:r>
      <w:bookmarkEnd w:id="27"/>
      <w:bookmarkEnd w:id="28"/>
      <w:bookmarkEnd w:id="29"/>
      <w:r w:rsidRPr="002D3A87">
        <w:rPr>
          <w:rFonts w:eastAsia="宋体" w:cs="Arial"/>
          <w:b/>
          <w:snapToGrid w:val="0"/>
          <w:color w:val="000000"/>
          <w:sz w:val="24"/>
          <w:lang w:val="en-US" w:eastAsia="zh-CN"/>
        </w:rPr>
        <w:t>第二季度</w:t>
      </w:r>
      <w:bookmarkStart w:id="30" w:name="OLE_LINK176"/>
      <w:bookmarkStart w:id="31" w:name="OLE_LINK177"/>
      <w:r w:rsidRPr="002D3A87">
        <w:rPr>
          <w:rFonts w:eastAsia="宋体" w:cs="Arial"/>
          <w:b/>
          <w:snapToGrid w:val="0"/>
          <w:color w:val="000000"/>
          <w:sz w:val="24"/>
          <w:lang w:val="zh-CN" w:eastAsia="zh-CN"/>
        </w:rPr>
        <w:t>调整后净收益</w:t>
      </w:r>
      <w:bookmarkEnd w:id="30"/>
      <w:bookmarkEnd w:id="31"/>
      <w:r w:rsidRPr="002D3A87">
        <w:rPr>
          <w:rFonts w:eastAsia="宋体" w:cs="Arial"/>
          <w:snapToGrid w:val="0"/>
          <w:color w:val="000000"/>
          <w:sz w:val="24"/>
          <w:lang w:val="zh-CN" w:eastAsia="zh-CN"/>
        </w:rPr>
        <w:t>增长</w:t>
      </w:r>
      <w:r w:rsidRPr="002D3A87">
        <w:rPr>
          <w:rFonts w:eastAsia="宋体" w:cs="Arial"/>
          <w:snapToGrid w:val="0"/>
          <w:sz w:val="24"/>
          <w:lang w:val="en-US" w:eastAsia="zh-CN"/>
        </w:rPr>
        <w:t>11.8%</w:t>
      </w:r>
      <w:r w:rsidRPr="002D3A87">
        <w:rPr>
          <w:rFonts w:eastAsia="宋体" w:cs="Arial"/>
          <w:snapToGrid w:val="0"/>
          <w:color w:val="000000"/>
          <w:sz w:val="24"/>
          <w:lang w:val="en-US" w:eastAsia="zh-CN"/>
        </w:rPr>
        <w:t>，</w:t>
      </w:r>
      <w:r w:rsidRPr="002D3A87">
        <w:rPr>
          <w:rFonts w:eastAsia="宋体" w:cs="Arial"/>
          <w:snapToGrid w:val="0"/>
          <w:color w:val="000000"/>
          <w:sz w:val="24"/>
          <w:lang w:val="zh-CN" w:eastAsia="zh-CN"/>
        </w:rPr>
        <w:t>由</w:t>
      </w:r>
      <w:r w:rsidRPr="002D3A87">
        <w:rPr>
          <w:rFonts w:eastAsia="宋体" w:cs="Arial"/>
          <w:snapToGrid w:val="0"/>
          <w:sz w:val="24"/>
          <w:lang w:val="en-US" w:eastAsia="zh-CN"/>
        </w:rPr>
        <w:t>4.99</w:t>
      </w:r>
      <w:r w:rsidRPr="002D3A87">
        <w:rPr>
          <w:rFonts w:eastAsia="宋体" w:cs="Arial"/>
          <w:snapToGrid w:val="0"/>
          <w:color w:val="000000"/>
          <w:sz w:val="24"/>
          <w:lang w:val="zh-CN" w:eastAsia="zh-CN"/>
        </w:rPr>
        <w:t>亿欧元增至</w:t>
      </w:r>
      <w:r w:rsidRPr="002D3A87">
        <w:rPr>
          <w:rFonts w:eastAsia="宋体" w:cs="Arial"/>
          <w:snapToGrid w:val="0"/>
          <w:sz w:val="24"/>
          <w:lang w:val="en-US" w:eastAsia="zh-CN"/>
        </w:rPr>
        <w:t>5.58</w:t>
      </w:r>
      <w:r w:rsidRPr="002D3A87">
        <w:rPr>
          <w:rFonts w:eastAsia="宋体" w:cs="Arial"/>
          <w:snapToGrid w:val="0"/>
          <w:color w:val="000000"/>
          <w:sz w:val="24"/>
          <w:lang w:val="zh-CN" w:eastAsia="zh-CN"/>
        </w:rPr>
        <w:t>亿欧元。</w:t>
      </w:r>
      <w:bookmarkStart w:id="32" w:name="OLE_LINK114"/>
      <w:bookmarkStart w:id="33" w:name="OLE_LINK115"/>
      <w:r w:rsidRPr="002D3A87">
        <w:rPr>
          <w:rFonts w:eastAsia="宋体" w:cs="Arial"/>
          <w:snapToGrid w:val="0"/>
          <w:color w:val="000000"/>
          <w:sz w:val="24"/>
          <w:lang w:val="zh-CN" w:eastAsia="zh-CN"/>
        </w:rPr>
        <w:t>第二季度</w:t>
      </w:r>
      <w:bookmarkEnd w:id="32"/>
      <w:bookmarkEnd w:id="33"/>
      <w:r w:rsidRPr="002D3A87">
        <w:rPr>
          <w:rFonts w:eastAsia="宋体" w:cs="Arial"/>
          <w:snapToGrid w:val="0"/>
          <w:color w:val="000000"/>
          <w:sz w:val="24"/>
          <w:lang w:val="zh-CN" w:eastAsia="zh-CN"/>
        </w:rPr>
        <w:t>实际</w:t>
      </w:r>
      <w:r w:rsidRPr="002D3A87">
        <w:rPr>
          <w:rFonts w:eastAsia="宋体" w:cs="Arial"/>
          <w:snapToGrid w:val="0"/>
          <w:color w:val="000000"/>
          <w:sz w:val="24"/>
          <w:lang w:val="en-US" w:eastAsia="zh-CN"/>
        </w:rPr>
        <w:t>净收益增长</w:t>
      </w:r>
      <w:r w:rsidRPr="002D3A87">
        <w:rPr>
          <w:rFonts w:eastAsia="宋体" w:cs="Arial"/>
          <w:snapToGrid w:val="0"/>
          <w:color w:val="000000"/>
          <w:sz w:val="24"/>
          <w:lang w:val="en-US" w:eastAsia="zh-CN"/>
        </w:rPr>
        <w:t>19.1%</w:t>
      </w:r>
      <w:r w:rsidRPr="002D3A87">
        <w:rPr>
          <w:rFonts w:eastAsia="宋体" w:cs="Arial"/>
          <w:snapToGrid w:val="0"/>
          <w:color w:val="000000"/>
          <w:sz w:val="24"/>
          <w:lang w:val="en-US" w:eastAsia="zh-CN"/>
        </w:rPr>
        <w:t>，由</w:t>
      </w:r>
      <w:r w:rsidRPr="002D3A87">
        <w:rPr>
          <w:rFonts w:eastAsia="宋体" w:cs="Arial"/>
          <w:snapToGrid w:val="0"/>
          <w:color w:val="000000"/>
          <w:sz w:val="24"/>
          <w:lang w:val="en-US" w:eastAsia="zh-CN"/>
        </w:rPr>
        <w:t>4.46</w:t>
      </w:r>
      <w:r w:rsidRPr="002D3A87">
        <w:rPr>
          <w:rFonts w:eastAsia="宋体" w:cs="Arial"/>
          <w:snapToGrid w:val="0"/>
          <w:color w:val="000000"/>
          <w:sz w:val="24"/>
          <w:lang w:val="en-US" w:eastAsia="zh-CN"/>
        </w:rPr>
        <w:t>亿欧元增至</w:t>
      </w:r>
      <w:r w:rsidRPr="002D3A87">
        <w:rPr>
          <w:rFonts w:eastAsia="宋体" w:cs="Arial"/>
          <w:snapToGrid w:val="0"/>
          <w:color w:val="000000"/>
          <w:sz w:val="24"/>
          <w:lang w:val="en-US" w:eastAsia="zh-CN"/>
        </w:rPr>
        <w:t>5.31</w:t>
      </w:r>
      <w:r w:rsidRPr="002D3A87">
        <w:rPr>
          <w:rFonts w:eastAsia="宋体" w:cs="Arial"/>
          <w:snapToGrid w:val="0"/>
          <w:color w:val="000000"/>
          <w:sz w:val="24"/>
          <w:lang w:val="en-US" w:eastAsia="zh-CN"/>
        </w:rPr>
        <w:t>亿欧元。扣除</w:t>
      </w:r>
      <w:r w:rsidRPr="002D3A87">
        <w:rPr>
          <w:rFonts w:eastAsia="宋体" w:cs="Arial"/>
          <w:snapToGrid w:val="0"/>
          <w:color w:val="000000"/>
          <w:sz w:val="24"/>
          <w:lang w:val="en-US" w:eastAsia="zh-CN"/>
        </w:rPr>
        <w:t>1000</w:t>
      </w:r>
      <w:r w:rsidRPr="002D3A87">
        <w:rPr>
          <w:rFonts w:eastAsia="宋体" w:cs="Arial"/>
          <w:snapToGrid w:val="0"/>
          <w:color w:val="000000"/>
          <w:sz w:val="24"/>
          <w:lang w:val="en-US" w:eastAsia="zh-CN"/>
        </w:rPr>
        <w:t>万欧元非控制性权益后，</w:t>
      </w:r>
      <w:r w:rsidRPr="002D3A87">
        <w:rPr>
          <w:rFonts w:eastAsia="宋体" w:cs="Arial"/>
          <w:snapToGrid w:val="0"/>
          <w:color w:val="000000"/>
          <w:sz w:val="24"/>
          <w:lang w:val="zh-CN" w:eastAsia="zh-CN"/>
        </w:rPr>
        <w:t>第二季度</w:t>
      </w:r>
      <w:r w:rsidRPr="002D3A87">
        <w:rPr>
          <w:rFonts w:eastAsia="宋体" w:cs="Arial"/>
          <w:snapToGrid w:val="0"/>
          <w:color w:val="000000"/>
          <w:sz w:val="24"/>
          <w:lang w:val="en-US" w:eastAsia="zh-CN"/>
        </w:rPr>
        <w:t>净收入为</w:t>
      </w:r>
      <w:r w:rsidRPr="002D3A87">
        <w:rPr>
          <w:rFonts w:eastAsia="宋体" w:cs="Arial"/>
          <w:snapToGrid w:val="0"/>
          <w:color w:val="000000"/>
          <w:sz w:val="24"/>
          <w:lang w:val="en-US" w:eastAsia="zh-CN"/>
        </w:rPr>
        <w:t>5.21</w:t>
      </w:r>
      <w:r w:rsidRPr="002D3A87">
        <w:rPr>
          <w:rFonts w:eastAsia="宋体" w:cs="Arial"/>
          <w:snapToGrid w:val="0"/>
          <w:color w:val="000000"/>
          <w:sz w:val="24"/>
          <w:lang w:val="en-US" w:eastAsia="zh-CN"/>
        </w:rPr>
        <w:t>亿欧元（上年同期为：</w:t>
      </w:r>
      <w:r w:rsidRPr="002D3A87">
        <w:rPr>
          <w:rFonts w:eastAsia="宋体" w:cs="Arial"/>
          <w:snapToGrid w:val="0"/>
          <w:color w:val="000000"/>
          <w:sz w:val="24"/>
          <w:lang w:val="en-US" w:eastAsia="zh-CN"/>
        </w:rPr>
        <w:t>4.41</w:t>
      </w:r>
      <w:r w:rsidRPr="002D3A87">
        <w:rPr>
          <w:rFonts w:eastAsia="宋体" w:cs="Arial"/>
          <w:snapToGrid w:val="0"/>
          <w:color w:val="000000"/>
          <w:sz w:val="24"/>
          <w:lang w:val="en-US" w:eastAsia="zh-CN"/>
        </w:rPr>
        <w:t>亿欧元）。</w:t>
      </w:r>
    </w:p>
    <w:p w:rsidR="00A363AD" w:rsidRPr="002D3A87" w:rsidRDefault="00A363AD" w:rsidP="007C171B">
      <w:pPr>
        <w:autoSpaceDE w:val="0"/>
        <w:autoSpaceDN w:val="0"/>
        <w:adjustRightInd w:val="0"/>
        <w:spacing w:line="360" w:lineRule="auto"/>
        <w:rPr>
          <w:rFonts w:eastAsia="宋体" w:cs="Arial"/>
          <w:snapToGrid w:val="0"/>
          <w:color w:val="000000"/>
          <w:sz w:val="24"/>
          <w:lang w:val="en-US" w:eastAsia="zh-CN"/>
        </w:rPr>
      </w:pPr>
    </w:p>
    <w:p w:rsidR="00A363AD" w:rsidRPr="002D3A87" w:rsidRDefault="007C171B" w:rsidP="007C171B">
      <w:pPr>
        <w:autoSpaceDE w:val="0"/>
        <w:autoSpaceDN w:val="0"/>
        <w:adjustRightInd w:val="0"/>
        <w:spacing w:line="360" w:lineRule="auto"/>
        <w:rPr>
          <w:rFonts w:eastAsia="宋体" w:cs="Arial"/>
          <w:snapToGrid w:val="0"/>
          <w:sz w:val="24"/>
          <w:lang w:val="en-US" w:eastAsia="zh-CN"/>
        </w:rPr>
      </w:pPr>
      <w:r w:rsidRPr="002D3A87">
        <w:rPr>
          <w:rFonts w:eastAsia="宋体" w:cs="Arial"/>
          <w:b/>
          <w:snapToGrid w:val="0"/>
          <w:color w:val="000000"/>
          <w:sz w:val="24"/>
          <w:lang w:val="en-US" w:eastAsia="zh-CN"/>
        </w:rPr>
        <w:lastRenderedPageBreak/>
        <w:t>优先股每股收益</w:t>
      </w:r>
      <w:r w:rsidRPr="002D3A87">
        <w:rPr>
          <w:rFonts w:eastAsia="宋体" w:cs="Arial"/>
          <w:snapToGrid w:val="0"/>
          <w:color w:val="000000"/>
          <w:sz w:val="24"/>
          <w:lang w:val="en-US" w:eastAsia="zh-CN"/>
        </w:rPr>
        <w:t>（</w:t>
      </w:r>
      <w:r w:rsidRPr="002D3A87">
        <w:rPr>
          <w:rFonts w:eastAsia="宋体" w:cs="Arial"/>
          <w:snapToGrid w:val="0"/>
          <w:color w:val="000000"/>
          <w:sz w:val="24"/>
          <w:lang w:val="en-US" w:eastAsia="zh-CN"/>
        </w:rPr>
        <w:t>EPS</w:t>
      </w:r>
      <w:r w:rsidRPr="002D3A87">
        <w:rPr>
          <w:rFonts w:eastAsia="宋体" w:cs="Arial"/>
          <w:snapToGrid w:val="0"/>
          <w:color w:val="000000"/>
          <w:sz w:val="24"/>
          <w:lang w:val="en-US" w:eastAsia="zh-CN"/>
        </w:rPr>
        <w:t>）增幅达</w:t>
      </w:r>
      <w:r w:rsidRPr="002D3A87">
        <w:rPr>
          <w:rFonts w:eastAsia="宋体" w:cs="Arial"/>
          <w:snapToGrid w:val="0"/>
          <w:color w:val="000000"/>
          <w:sz w:val="24"/>
          <w:lang w:val="en-US" w:eastAsia="zh-CN"/>
        </w:rPr>
        <w:t>11.2%</w:t>
      </w:r>
      <w:r w:rsidRPr="002D3A87">
        <w:rPr>
          <w:rFonts w:eastAsia="宋体" w:cs="Arial"/>
          <w:snapToGrid w:val="0"/>
          <w:color w:val="000000"/>
          <w:sz w:val="24"/>
          <w:lang w:val="en-US" w:eastAsia="zh-CN"/>
        </w:rPr>
        <w:t>，由</w:t>
      </w:r>
      <w:r w:rsidRPr="002D3A87">
        <w:rPr>
          <w:rFonts w:eastAsia="宋体" w:cs="Arial"/>
          <w:snapToGrid w:val="0"/>
          <w:color w:val="000000"/>
          <w:sz w:val="24"/>
          <w:lang w:val="en-US" w:eastAsia="zh-CN"/>
        </w:rPr>
        <w:t>1.16</w:t>
      </w:r>
      <w:r w:rsidRPr="002D3A87">
        <w:rPr>
          <w:rFonts w:eastAsia="宋体" w:cs="Arial"/>
          <w:snapToGrid w:val="0"/>
          <w:color w:val="000000"/>
          <w:sz w:val="24"/>
          <w:lang w:val="en-US" w:eastAsia="zh-CN"/>
        </w:rPr>
        <w:t>欧元增至</w:t>
      </w:r>
      <w:r w:rsidRPr="002D3A87">
        <w:rPr>
          <w:rFonts w:eastAsia="宋体" w:cs="Arial"/>
          <w:snapToGrid w:val="0"/>
          <w:color w:val="000000"/>
          <w:sz w:val="24"/>
          <w:lang w:val="en-US" w:eastAsia="zh-CN"/>
        </w:rPr>
        <w:t>1.29</w:t>
      </w:r>
      <w:r w:rsidRPr="002D3A87">
        <w:rPr>
          <w:rFonts w:eastAsia="宋体" w:cs="Arial"/>
          <w:snapToGrid w:val="0"/>
          <w:color w:val="000000"/>
          <w:sz w:val="24"/>
          <w:lang w:val="en-US" w:eastAsia="zh-CN"/>
        </w:rPr>
        <w:t>欧元。实际</w:t>
      </w:r>
      <w:r w:rsidRPr="002D3A87">
        <w:rPr>
          <w:rFonts w:eastAsia="宋体" w:cs="Arial"/>
          <w:snapToGrid w:val="0"/>
          <w:color w:val="000000"/>
          <w:sz w:val="24"/>
          <w:lang w:val="en-US"/>
        </w:rPr>
        <w:t>EPS</w:t>
      </w:r>
      <w:r w:rsidRPr="002D3A87">
        <w:rPr>
          <w:rFonts w:eastAsia="宋体" w:cs="Arial"/>
          <w:snapToGrid w:val="0"/>
          <w:color w:val="000000"/>
          <w:sz w:val="24"/>
          <w:lang w:val="en-US"/>
        </w:rPr>
        <w:t>由</w:t>
      </w:r>
      <w:r w:rsidRPr="002D3A87">
        <w:rPr>
          <w:rFonts w:eastAsia="宋体" w:cs="Arial"/>
          <w:snapToGrid w:val="0"/>
          <w:color w:val="000000"/>
          <w:sz w:val="24"/>
          <w:lang w:val="en-US"/>
        </w:rPr>
        <w:t>1.02</w:t>
      </w:r>
      <w:r w:rsidRPr="002D3A87">
        <w:rPr>
          <w:rFonts w:eastAsia="宋体" w:cs="Arial"/>
          <w:snapToGrid w:val="0"/>
          <w:color w:val="000000"/>
          <w:sz w:val="24"/>
          <w:lang w:val="en-US"/>
        </w:rPr>
        <w:t>欧元</w:t>
      </w:r>
      <w:r w:rsidRPr="002D3A87">
        <w:rPr>
          <w:rFonts w:eastAsia="宋体" w:cs="Arial"/>
          <w:snapToGrid w:val="0"/>
          <w:color w:val="000000"/>
          <w:sz w:val="24"/>
          <w:lang w:val="en-US" w:eastAsia="zh-CN"/>
        </w:rPr>
        <w:t>增</w:t>
      </w:r>
      <w:r w:rsidRPr="002D3A87">
        <w:rPr>
          <w:rFonts w:eastAsia="宋体" w:cs="Arial"/>
          <w:snapToGrid w:val="0"/>
          <w:color w:val="000000"/>
          <w:sz w:val="24"/>
          <w:lang w:val="en-US"/>
        </w:rPr>
        <w:t>至</w:t>
      </w:r>
      <w:r w:rsidRPr="002D3A87">
        <w:rPr>
          <w:rFonts w:eastAsia="宋体" w:cs="Arial"/>
          <w:snapToGrid w:val="0"/>
          <w:color w:val="000000"/>
          <w:sz w:val="24"/>
          <w:lang w:val="en-US"/>
        </w:rPr>
        <w:t>1.20</w:t>
      </w:r>
      <w:r w:rsidRPr="002D3A87">
        <w:rPr>
          <w:rFonts w:eastAsia="宋体" w:cs="Arial"/>
          <w:snapToGrid w:val="0"/>
          <w:color w:val="000000"/>
          <w:sz w:val="24"/>
          <w:lang w:val="en-US"/>
        </w:rPr>
        <w:t>欧元。</w:t>
      </w:r>
    </w:p>
    <w:p w:rsidR="00A363AD" w:rsidRPr="002D3A87" w:rsidRDefault="00A363AD" w:rsidP="007C171B">
      <w:pPr>
        <w:autoSpaceDE w:val="0"/>
        <w:autoSpaceDN w:val="0"/>
        <w:adjustRightInd w:val="0"/>
        <w:spacing w:line="360" w:lineRule="auto"/>
        <w:rPr>
          <w:rFonts w:eastAsia="宋体" w:cs="Arial"/>
          <w:snapToGrid w:val="0"/>
          <w:sz w:val="24"/>
          <w:lang w:val="en-US"/>
        </w:rPr>
      </w:pPr>
    </w:p>
    <w:p w:rsidR="00A363AD" w:rsidRPr="002D3A87" w:rsidRDefault="007C171B" w:rsidP="007C171B">
      <w:pPr>
        <w:autoSpaceDE w:val="0"/>
        <w:autoSpaceDN w:val="0"/>
        <w:adjustRightInd w:val="0"/>
        <w:spacing w:line="360" w:lineRule="auto"/>
        <w:rPr>
          <w:rFonts w:eastAsia="宋体" w:cs="Arial"/>
          <w:snapToGrid w:val="0"/>
          <w:sz w:val="24"/>
          <w:highlight w:val="yellow"/>
          <w:lang w:val="en-US" w:eastAsia="zh-CN"/>
        </w:rPr>
      </w:pPr>
      <w:r w:rsidRPr="002D3A87">
        <w:rPr>
          <w:rFonts w:eastAsia="宋体" w:cs="Arial"/>
          <w:snapToGrid w:val="0"/>
          <w:color w:val="000000"/>
          <w:sz w:val="24"/>
          <w:lang w:val="en-US" w:eastAsia="zh-CN"/>
        </w:rPr>
        <w:t>销售相关的</w:t>
      </w:r>
      <w:r w:rsidRPr="002D3A87">
        <w:rPr>
          <w:rFonts w:eastAsia="宋体" w:cs="Arial"/>
          <w:b/>
          <w:snapToGrid w:val="0"/>
          <w:color w:val="000000"/>
          <w:sz w:val="24"/>
          <w:lang w:val="en-US" w:eastAsia="zh-CN"/>
        </w:rPr>
        <w:t>净流动资本</w:t>
      </w:r>
      <w:r w:rsidRPr="002D3A87">
        <w:rPr>
          <w:rFonts w:eastAsia="宋体" w:cs="Arial"/>
          <w:snapToGrid w:val="0"/>
          <w:color w:val="000000"/>
          <w:sz w:val="24"/>
          <w:lang w:val="en-US" w:eastAsia="zh-CN"/>
        </w:rPr>
        <w:t>较上年同比增长</w:t>
      </w:r>
      <w:r w:rsidRPr="002D3A87">
        <w:rPr>
          <w:rFonts w:eastAsia="宋体" w:cs="Arial"/>
          <w:snapToGrid w:val="0"/>
          <w:sz w:val="24"/>
          <w:lang w:val="en-US" w:eastAsia="zh-CN"/>
        </w:rPr>
        <w:t>0.6</w:t>
      </w:r>
      <w:r w:rsidRPr="002D3A87">
        <w:rPr>
          <w:rFonts w:eastAsia="宋体" w:cs="Arial"/>
          <w:snapToGrid w:val="0"/>
          <w:sz w:val="24"/>
          <w:lang w:val="en-US" w:eastAsia="zh-CN"/>
        </w:rPr>
        <w:t>个百分点，至</w:t>
      </w:r>
      <w:r w:rsidRPr="002D3A87">
        <w:rPr>
          <w:rFonts w:eastAsia="宋体" w:cs="Arial"/>
          <w:snapToGrid w:val="0"/>
          <w:sz w:val="24"/>
          <w:lang w:val="en-US" w:eastAsia="zh-CN"/>
        </w:rPr>
        <w:t>6.6%</w:t>
      </w:r>
      <w:r w:rsidRPr="002D3A87">
        <w:rPr>
          <w:rFonts w:eastAsia="宋体" w:cs="Arial"/>
          <w:snapToGrid w:val="0"/>
          <w:sz w:val="24"/>
          <w:lang w:val="en-US" w:eastAsia="zh-CN"/>
        </w:rPr>
        <w:t>。这主要是由于</w:t>
      </w:r>
      <w:r w:rsidR="006265D0">
        <w:rPr>
          <w:rFonts w:eastAsia="宋体" w:cs="Arial" w:hint="eastAsia"/>
          <w:snapToGrid w:val="0"/>
          <w:sz w:val="24"/>
          <w:lang w:val="en-US" w:eastAsia="zh-CN"/>
        </w:rPr>
        <w:t>受到</w:t>
      </w:r>
      <w:r w:rsidRPr="002D3A87">
        <w:rPr>
          <w:rFonts w:eastAsia="宋体" w:cs="Arial"/>
          <w:snapToGrid w:val="0"/>
          <w:sz w:val="24"/>
          <w:lang w:val="en-US" w:eastAsia="zh-CN"/>
        </w:rPr>
        <w:t>收购及外汇</w:t>
      </w:r>
      <w:r w:rsidR="006265D0">
        <w:rPr>
          <w:rFonts w:eastAsia="宋体" w:cs="Arial" w:hint="eastAsia"/>
          <w:snapToGrid w:val="0"/>
          <w:sz w:val="24"/>
          <w:lang w:val="en-US" w:eastAsia="zh-CN"/>
        </w:rPr>
        <w:t>的</w:t>
      </w:r>
      <w:r w:rsidRPr="002D3A87">
        <w:rPr>
          <w:rFonts w:eastAsia="宋体" w:cs="Arial"/>
          <w:snapToGrid w:val="0"/>
          <w:sz w:val="24"/>
          <w:lang w:val="en-US" w:eastAsia="zh-CN"/>
        </w:rPr>
        <w:t>影响。</w:t>
      </w:r>
    </w:p>
    <w:p w:rsidR="00A363AD" w:rsidRPr="002D3A87" w:rsidRDefault="00A363AD" w:rsidP="007C171B">
      <w:pPr>
        <w:autoSpaceDE w:val="0"/>
        <w:autoSpaceDN w:val="0"/>
        <w:adjustRightInd w:val="0"/>
        <w:spacing w:line="360" w:lineRule="auto"/>
        <w:rPr>
          <w:rFonts w:eastAsia="宋体" w:cs="Arial"/>
          <w:snapToGrid w:val="0"/>
          <w:sz w:val="24"/>
          <w:highlight w:val="yellow"/>
          <w:lang w:val="en-US"/>
        </w:rPr>
      </w:pPr>
    </w:p>
    <w:p w:rsidR="00A363AD" w:rsidRPr="002D3A87" w:rsidRDefault="007C171B" w:rsidP="007C171B">
      <w:pPr>
        <w:autoSpaceDE w:val="0"/>
        <w:autoSpaceDN w:val="0"/>
        <w:adjustRightInd w:val="0"/>
        <w:spacing w:after="120" w:line="360" w:lineRule="auto"/>
        <w:rPr>
          <w:rFonts w:eastAsia="宋体" w:cs="Arial"/>
          <w:snapToGrid w:val="0"/>
          <w:sz w:val="24"/>
          <w:lang w:val="en-US" w:eastAsia="zh-CN"/>
        </w:rPr>
      </w:pPr>
      <w:r w:rsidRPr="002D3A87">
        <w:rPr>
          <w:rFonts w:eastAsia="宋体" w:cs="Arial"/>
          <w:b/>
          <w:snapToGrid w:val="0"/>
          <w:sz w:val="24"/>
          <w:lang w:val="en-US" w:eastAsia="zh-CN"/>
        </w:rPr>
        <w:t>2015</w:t>
      </w:r>
      <w:r w:rsidR="00273B74">
        <w:rPr>
          <w:rFonts w:eastAsia="宋体" w:cs="Arial" w:hint="eastAsia"/>
          <w:b/>
          <w:snapToGrid w:val="0"/>
          <w:sz w:val="24"/>
          <w:lang w:val="en-US" w:eastAsia="zh-CN"/>
        </w:rPr>
        <w:t>年</w:t>
      </w:r>
      <w:r w:rsidRPr="002D3A87">
        <w:rPr>
          <w:rFonts w:eastAsia="宋体" w:cs="Arial"/>
          <w:b/>
          <w:snapToGrid w:val="0"/>
          <w:sz w:val="24"/>
          <w:lang w:val="en-US" w:eastAsia="zh-CN"/>
        </w:rPr>
        <w:t>上半年</w:t>
      </w:r>
      <w:r w:rsidRPr="002D3A87">
        <w:rPr>
          <w:rFonts w:eastAsia="宋体" w:cs="Arial"/>
          <w:b/>
          <w:snapToGrid w:val="0"/>
          <w:color w:val="000000"/>
          <w:sz w:val="24"/>
          <w:lang w:val="zh-CN" w:eastAsia="zh-CN"/>
        </w:rPr>
        <w:t>业绩表现良好</w:t>
      </w:r>
    </w:p>
    <w:p w:rsidR="009146DF" w:rsidRPr="002D3A87" w:rsidRDefault="007C171B" w:rsidP="007C171B">
      <w:pPr>
        <w:autoSpaceDE w:val="0"/>
        <w:autoSpaceDN w:val="0"/>
        <w:adjustRightInd w:val="0"/>
        <w:spacing w:line="360" w:lineRule="auto"/>
        <w:rPr>
          <w:rFonts w:eastAsia="宋体" w:cs="Arial"/>
          <w:snapToGrid w:val="0"/>
          <w:color w:val="000000"/>
          <w:sz w:val="24"/>
          <w:lang w:val="en-US" w:eastAsia="zh-CN"/>
        </w:rPr>
      </w:pPr>
      <w:r w:rsidRPr="002D3A87">
        <w:rPr>
          <w:rFonts w:eastAsia="宋体" w:cs="Arial"/>
          <w:snapToGrid w:val="0"/>
          <w:color w:val="000000"/>
          <w:sz w:val="24"/>
          <w:lang w:val="en-US" w:eastAsia="zh-CN"/>
        </w:rPr>
        <w:t>2015</w:t>
      </w:r>
      <w:r w:rsidR="00273B74">
        <w:rPr>
          <w:rFonts w:eastAsia="宋体" w:cs="Arial" w:hint="eastAsia"/>
          <w:snapToGrid w:val="0"/>
          <w:color w:val="000000"/>
          <w:sz w:val="24"/>
          <w:lang w:val="en-US" w:eastAsia="zh-CN"/>
        </w:rPr>
        <w:t>年</w:t>
      </w:r>
      <w:r w:rsidRPr="002D3A87">
        <w:rPr>
          <w:rFonts w:eastAsia="宋体" w:cs="Arial"/>
          <w:snapToGrid w:val="0"/>
          <w:color w:val="000000"/>
          <w:sz w:val="24"/>
          <w:lang w:val="en-US" w:eastAsia="zh-CN"/>
        </w:rPr>
        <w:t>上半年汉高</w:t>
      </w:r>
      <w:r w:rsidRPr="002D3A87">
        <w:rPr>
          <w:rFonts w:eastAsia="宋体" w:cs="Arial"/>
          <w:b/>
          <w:snapToGrid w:val="0"/>
          <w:color w:val="000000"/>
          <w:sz w:val="24"/>
          <w:lang w:val="en-US" w:eastAsia="zh-CN"/>
        </w:rPr>
        <w:t>销售额</w:t>
      </w:r>
      <w:r w:rsidRPr="002D3A87">
        <w:rPr>
          <w:rFonts w:eastAsia="宋体" w:cs="Arial"/>
          <w:snapToGrid w:val="0"/>
          <w:color w:val="000000"/>
          <w:sz w:val="24"/>
          <w:lang w:val="en-US" w:eastAsia="zh-CN"/>
        </w:rPr>
        <w:t>显著增长</w:t>
      </w:r>
      <w:r w:rsidRPr="002D3A87">
        <w:rPr>
          <w:rFonts w:eastAsia="宋体" w:cs="Arial"/>
          <w:snapToGrid w:val="0"/>
          <w:color w:val="000000"/>
          <w:sz w:val="24"/>
          <w:lang w:val="en-US" w:eastAsia="zh-CN"/>
        </w:rPr>
        <w:t>10.59</w:t>
      </w:r>
      <w:r w:rsidRPr="002D3A87">
        <w:rPr>
          <w:rFonts w:eastAsia="宋体" w:cs="Arial"/>
          <w:snapToGrid w:val="0"/>
          <w:color w:val="000000"/>
          <w:sz w:val="24"/>
          <w:lang w:val="en-US" w:eastAsia="zh-CN"/>
        </w:rPr>
        <w:t>亿欧元，至</w:t>
      </w:r>
      <w:r w:rsidRPr="002D3A87">
        <w:rPr>
          <w:rFonts w:eastAsia="宋体" w:cs="Arial"/>
          <w:snapToGrid w:val="0"/>
          <w:color w:val="000000"/>
          <w:sz w:val="24"/>
          <w:lang w:val="en-US" w:eastAsia="zh-CN"/>
        </w:rPr>
        <w:t>91.25</w:t>
      </w:r>
      <w:r w:rsidRPr="002D3A87">
        <w:rPr>
          <w:rFonts w:eastAsia="宋体" w:cs="Arial"/>
          <w:snapToGrid w:val="0"/>
          <w:color w:val="000000"/>
          <w:sz w:val="24"/>
          <w:lang w:val="en-US" w:eastAsia="zh-CN"/>
        </w:rPr>
        <w:t>亿欧元。较上年同比增长</w:t>
      </w:r>
      <w:r w:rsidRPr="002D3A87">
        <w:rPr>
          <w:rFonts w:eastAsia="宋体" w:cs="Arial"/>
          <w:snapToGrid w:val="0"/>
          <w:sz w:val="24"/>
          <w:lang w:val="en-US" w:eastAsia="zh-CN"/>
        </w:rPr>
        <w:t>13.1%</w:t>
      </w:r>
      <w:r w:rsidRPr="002D3A87">
        <w:rPr>
          <w:rFonts w:eastAsia="宋体" w:cs="Arial"/>
          <w:snapToGrid w:val="0"/>
          <w:sz w:val="24"/>
          <w:lang w:val="en-US" w:eastAsia="zh-CN"/>
        </w:rPr>
        <w:t>。扣除外汇影响后，销售额增长</w:t>
      </w:r>
      <w:r w:rsidRPr="002D3A87">
        <w:rPr>
          <w:rFonts w:eastAsia="宋体" w:cs="Arial"/>
          <w:snapToGrid w:val="0"/>
          <w:color w:val="000000"/>
          <w:sz w:val="24"/>
          <w:lang w:val="en-US" w:eastAsia="zh-CN"/>
        </w:rPr>
        <w:t>6.5%</w:t>
      </w:r>
      <w:r w:rsidRPr="002D3A87">
        <w:rPr>
          <w:rFonts w:eastAsia="宋体" w:cs="Arial"/>
          <w:snapToGrid w:val="0"/>
          <w:color w:val="000000"/>
          <w:sz w:val="24"/>
          <w:lang w:val="en-US" w:eastAsia="zh-CN"/>
        </w:rPr>
        <w:t>。</w:t>
      </w:r>
      <w:r w:rsidRPr="002D3A87">
        <w:rPr>
          <w:rFonts w:eastAsia="宋体" w:cs="Arial"/>
          <w:snapToGrid w:val="0"/>
          <w:color w:val="000000"/>
          <w:sz w:val="24"/>
          <w:lang w:val="zh-CN" w:eastAsia="zh-CN"/>
        </w:rPr>
        <w:t>扣除外汇和并购</w:t>
      </w:r>
      <w:r w:rsidRPr="002D3A87">
        <w:rPr>
          <w:rFonts w:eastAsia="宋体" w:cs="Arial"/>
          <w:snapToGrid w:val="0"/>
          <w:color w:val="000000"/>
          <w:sz w:val="24"/>
          <w:lang w:val="en-US" w:eastAsia="zh-CN"/>
        </w:rPr>
        <w:t>/</w:t>
      </w:r>
      <w:r w:rsidRPr="002D3A87">
        <w:rPr>
          <w:rFonts w:eastAsia="宋体" w:cs="Arial"/>
          <w:snapToGrid w:val="0"/>
          <w:color w:val="000000"/>
          <w:sz w:val="24"/>
          <w:lang w:val="zh-CN" w:eastAsia="zh-CN"/>
        </w:rPr>
        <w:t>撤资的影响</w:t>
      </w:r>
      <w:r w:rsidRPr="002D3A87">
        <w:rPr>
          <w:rFonts w:eastAsia="宋体" w:cs="Arial"/>
          <w:snapToGrid w:val="0"/>
          <w:color w:val="000000"/>
          <w:sz w:val="24"/>
          <w:lang w:val="en-US" w:eastAsia="zh-CN"/>
        </w:rPr>
        <w:t>，</w:t>
      </w:r>
      <w:r w:rsidRPr="002D3A87">
        <w:rPr>
          <w:rFonts w:eastAsia="宋体" w:cs="Arial"/>
          <w:b/>
          <w:snapToGrid w:val="0"/>
          <w:color w:val="000000"/>
          <w:sz w:val="24"/>
          <w:lang w:val="zh-CN" w:eastAsia="zh-CN"/>
        </w:rPr>
        <w:t>有机销售额</w:t>
      </w:r>
      <w:r w:rsidRPr="002D3A87">
        <w:rPr>
          <w:rFonts w:eastAsia="宋体" w:cs="Arial"/>
          <w:snapToGrid w:val="0"/>
          <w:color w:val="000000"/>
          <w:sz w:val="24"/>
          <w:lang w:val="zh-CN" w:eastAsia="zh-CN"/>
        </w:rPr>
        <w:t>增长</w:t>
      </w:r>
      <w:r w:rsidRPr="002D3A87">
        <w:rPr>
          <w:rFonts w:eastAsia="宋体" w:cs="Arial"/>
          <w:snapToGrid w:val="0"/>
          <w:color w:val="000000"/>
          <w:sz w:val="24"/>
          <w:lang w:val="en-US" w:eastAsia="zh-CN"/>
        </w:rPr>
        <w:t>3.0%</w:t>
      </w:r>
      <w:r w:rsidRPr="002D3A87">
        <w:rPr>
          <w:rFonts w:eastAsia="宋体" w:cs="Arial"/>
          <w:snapToGrid w:val="0"/>
          <w:color w:val="000000"/>
          <w:sz w:val="24"/>
          <w:lang w:val="zh-CN" w:eastAsia="zh-CN"/>
        </w:rPr>
        <w:t>，汉高所有业务部门均表现良好。</w:t>
      </w:r>
    </w:p>
    <w:p w:rsidR="009146DF" w:rsidRPr="002D3A87" w:rsidRDefault="009146DF" w:rsidP="007C171B">
      <w:pPr>
        <w:autoSpaceDE w:val="0"/>
        <w:autoSpaceDN w:val="0"/>
        <w:adjustRightInd w:val="0"/>
        <w:spacing w:line="360" w:lineRule="auto"/>
        <w:rPr>
          <w:rFonts w:eastAsia="宋体" w:cs="Arial"/>
          <w:snapToGrid w:val="0"/>
          <w:color w:val="000000"/>
          <w:sz w:val="24"/>
          <w:lang w:val="en-US" w:eastAsia="zh-CN"/>
        </w:rPr>
      </w:pPr>
    </w:p>
    <w:p w:rsidR="00A363AD" w:rsidRPr="002D3A87" w:rsidRDefault="007C171B" w:rsidP="007C171B">
      <w:pPr>
        <w:autoSpaceDE w:val="0"/>
        <w:autoSpaceDN w:val="0"/>
        <w:adjustRightInd w:val="0"/>
        <w:spacing w:line="360" w:lineRule="auto"/>
        <w:rPr>
          <w:rFonts w:eastAsia="宋体" w:cs="Arial"/>
          <w:snapToGrid w:val="0"/>
          <w:sz w:val="24"/>
          <w:lang w:val="en-US" w:eastAsia="zh-CN"/>
        </w:rPr>
      </w:pPr>
      <w:bookmarkStart w:id="34" w:name="OLE_LINK158"/>
      <w:bookmarkStart w:id="35" w:name="OLE_LINK159"/>
      <w:r w:rsidRPr="002D3A87">
        <w:rPr>
          <w:rFonts w:eastAsia="宋体" w:cs="Arial"/>
          <w:b/>
          <w:snapToGrid w:val="0"/>
          <w:sz w:val="24"/>
          <w:lang w:val="en-US" w:eastAsia="zh-CN"/>
        </w:rPr>
        <w:t>调整后营运利润</w:t>
      </w:r>
      <w:r w:rsidRPr="002D3A87">
        <w:rPr>
          <w:rFonts w:eastAsia="宋体" w:cs="Arial"/>
          <w:snapToGrid w:val="0"/>
          <w:sz w:val="24"/>
          <w:lang w:val="en-US" w:eastAsia="zh-CN"/>
        </w:rPr>
        <w:t>增长</w:t>
      </w:r>
      <w:r w:rsidRPr="002D3A87">
        <w:rPr>
          <w:rFonts w:eastAsia="宋体" w:cs="Arial"/>
          <w:snapToGrid w:val="0"/>
          <w:sz w:val="24"/>
          <w:lang w:val="en-US" w:eastAsia="zh-CN"/>
        </w:rPr>
        <w:t>1.82</w:t>
      </w:r>
      <w:r w:rsidRPr="002D3A87">
        <w:rPr>
          <w:rFonts w:eastAsia="宋体" w:cs="Arial"/>
          <w:snapToGrid w:val="0"/>
          <w:sz w:val="24"/>
          <w:lang w:val="en-US" w:eastAsia="zh-CN"/>
        </w:rPr>
        <w:t>亿欧元，由</w:t>
      </w:r>
      <w:r w:rsidRPr="002D3A87">
        <w:rPr>
          <w:rFonts w:eastAsia="宋体" w:cs="Arial"/>
          <w:snapToGrid w:val="0"/>
          <w:sz w:val="24"/>
          <w:lang w:val="en-US" w:eastAsia="zh-CN"/>
        </w:rPr>
        <w:t>12.93</w:t>
      </w:r>
      <w:r w:rsidRPr="002D3A87">
        <w:rPr>
          <w:rFonts w:eastAsia="宋体" w:cs="Arial"/>
          <w:snapToGrid w:val="0"/>
          <w:sz w:val="24"/>
          <w:lang w:val="en-US" w:eastAsia="zh-CN"/>
        </w:rPr>
        <w:t>亿欧元增至</w:t>
      </w:r>
      <w:r w:rsidRPr="002D3A87">
        <w:rPr>
          <w:rFonts w:eastAsia="宋体" w:cs="Arial"/>
          <w:snapToGrid w:val="0"/>
          <w:sz w:val="24"/>
          <w:lang w:val="en-US" w:eastAsia="zh-CN"/>
        </w:rPr>
        <w:t>14.75</w:t>
      </w:r>
      <w:r w:rsidRPr="002D3A87">
        <w:rPr>
          <w:rFonts w:eastAsia="宋体" w:cs="Arial"/>
          <w:snapToGrid w:val="0"/>
          <w:sz w:val="24"/>
          <w:lang w:val="en-US" w:eastAsia="zh-CN"/>
        </w:rPr>
        <w:t>亿欧元，增幅</w:t>
      </w:r>
      <w:r w:rsidR="003B79E8">
        <w:rPr>
          <w:rFonts w:eastAsia="宋体" w:cs="Arial" w:hint="eastAsia"/>
          <w:snapToGrid w:val="0"/>
          <w:sz w:val="24"/>
          <w:lang w:val="en-US" w:eastAsia="zh-CN"/>
        </w:rPr>
        <w:t>达</w:t>
      </w:r>
      <w:r w:rsidRPr="002D3A87">
        <w:rPr>
          <w:rFonts w:eastAsia="宋体" w:cs="Arial"/>
          <w:snapToGrid w:val="0"/>
          <w:color w:val="000000"/>
          <w:sz w:val="24"/>
          <w:lang w:val="en-US" w:eastAsia="zh-CN"/>
        </w:rPr>
        <w:t>14.0%</w:t>
      </w:r>
      <w:r w:rsidRPr="002D3A87">
        <w:rPr>
          <w:rFonts w:eastAsia="宋体" w:cs="Arial"/>
          <w:snapToGrid w:val="0"/>
          <w:color w:val="000000"/>
          <w:sz w:val="24"/>
          <w:lang w:val="zh-CN" w:eastAsia="zh-CN"/>
        </w:rPr>
        <w:t>。</w:t>
      </w:r>
      <w:bookmarkStart w:id="36" w:name="OLE_LINK160"/>
      <w:bookmarkStart w:id="37" w:name="OLE_LINK161"/>
      <w:r w:rsidRPr="002D3A87">
        <w:rPr>
          <w:rFonts w:eastAsia="宋体" w:cs="Arial"/>
          <w:b/>
          <w:snapToGrid w:val="0"/>
          <w:color w:val="000000"/>
          <w:sz w:val="24"/>
          <w:lang w:val="zh-CN" w:eastAsia="zh-CN"/>
        </w:rPr>
        <w:t>调整后销售回报率</w:t>
      </w:r>
      <w:r w:rsidRPr="002D3A87">
        <w:rPr>
          <w:rFonts w:eastAsia="宋体" w:cs="Arial"/>
          <w:snapToGrid w:val="0"/>
          <w:color w:val="000000"/>
          <w:sz w:val="24"/>
          <w:lang w:val="zh-CN" w:eastAsia="zh-CN"/>
        </w:rPr>
        <w:t>由</w:t>
      </w:r>
      <w:r w:rsidRPr="002D3A87">
        <w:rPr>
          <w:rFonts w:eastAsia="宋体" w:cs="Arial"/>
          <w:snapToGrid w:val="0"/>
          <w:color w:val="000000"/>
          <w:sz w:val="24"/>
          <w:lang w:val="en-US"/>
        </w:rPr>
        <w:t>16.0</w:t>
      </w:r>
      <w:r w:rsidRPr="002D3A87">
        <w:rPr>
          <w:rFonts w:eastAsia="宋体" w:cs="Arial"/>
          <w:snapToGrid w:val="0"/>
          <w:sz w:val="24"/>
          <w:lang w:val="en-US" w:eastAsia="zh-CN"/>
        </w:rPr>
        <w:t>%</w:t>
      </w:r>
      <w:r w:rsidRPr="002D3A87">
        <w:rPr>
          <w:rFonts w:eastAsia="宋体" w:cs="Arial"/>
          <w:snapToGrid w:val="0"/>
          <w:sz w:val="24"/>
          <w:lang w:val="en-US" w:eastAsia="zh-CN"/>
        </w:rPr>
        <w:t>增至</w:t>
      </w:r>
      <w:r w:rsidRPr="002D3A87">
        <w:rPr>
          <w:rFonts w:eastAsia="宋体" w:cs="Arial"/>
          <w:snapToGrid w:val="0"/>
          <w:color w:val="000000"/>
          <w:sz w:val="24"/>
          <w:lang w:val="en-US"/>
        </w:rPr>
        <w:t>16.2</w:t>
      </w:r>
      <w:r w:rsidRPr="002D3A87">
        <w:rPr>
          <w:rFonts w:eastAsia="宋体" w:cs="Arial"/>
          <w:snapToGrid w:val="0"/>
          <w:sz w:val="24"/>
          <w:lang w:val="en-US" w:eastAsia="zh-CN"/>
        </w:rPr>
        <w:t>%</w:t>
      </w:r>
      <w:r w:rsidRPr="002D3A87">
        <w:rPr>
          <w:rFonts w:eastAsia="宋体" w:cs="Arial"/>
          <w:snapToGrid w:val="0"/>
          <w:sz w:val="24"/>
          <w:lang w:val="en-US" w:eastAsia="zh-CN"/>
        </w:rPr>
        <w:t>。</w:t>
      </w:r>
      <w:bookmarkEnd w:id="34"/>
      <w:bookmarkEnd w:id="35"/>
      <w:bookmarkEnd w:id="36"/>
      <w:bookmarkEnd w:id="37"/>
    </w:p>
    <w:p w:rsidR="00A363AD" w:rsidRPr="002D3A87" w:rsidRDefault="00A363AD" w:rsidP="007C171B">
      <w:pPr>
        <w:autoSpaceDE w:val="0"/>
        <w:autoSpaceDN w:val="0"/>
        <w:adjustRightInd w:val="0"/>
        <w:spacing w:line="360" w:lineRule="auto"/>
        <w:rPr>
          <w:rFonts w:eastAsia="宋体" w:cs="Arial"/>
          <w:snapToGrid w:val="0"/>
          <w:sz w:val="24"/>
          <w:lang w:val="en-US"/>
        </w:rPr>
      </w:pPr>
    </w:p>
    <w:p w:rsidR="00846C52" w:rsidRPr="002D3A87" w:rsidRDefault="007C171B" w:rsidP="007C171B">
      <w:pPr>
        <w:autoSpaceDE w:val="0"/>
        <w:autoSpaceDN w:val="0"/>
        <w:adjustRightInd w:val="0"/>
        <w:spacing w:line="360" w:lineRule="auto"/>
        <w:rPr>
          <w:rFonts w:eastAsia="宋体" w:cs="Arial"/>
          <w:snapToGrid w:val="0"/>
          <w:sz w:val="24"/>
          <w:lang w:val="en-US" w:eastAsia="zh-CN"/>
        </w:rPr>
      </w:pPr>
      <w:r w:rsidRPr="002D3A87">
        <w:rPr>
          <w:rFonts w:eastAsia="宋体" w:cs="Arial"/>
          <w:snapToGrid w:val="0"/>
          <w:color w:val="000000"/>
          <w:sz w:val="24"/>
          <w:lang w:val="zh-CN" w:eastAsia="zh-CN"/>
        </w:rPr>
        <w:t>扣除非控制性权益后</w:t>
      </w:r>
      <w:r w:rsidRPr="002D3A87">
        <w:rPr>
          <w:rFonts w:eastAsia="宋体" w:cs="Arial"/>
          <w:snapToGrid w:val="0"/>
          <w:color w:val="000000"/>
          <w:sz w:val="24"/>
          <w:lang w:val="en-US" w:eastAsia="zh-CN"/>
        </w:rPr>
        <w:t>，</w:t>
      </w:r>
      <w:r w:rsidRPr="002D3A87">
        <w:rPr>
          <w:rFonts w:eastAsia="宋体" w:cs="Arial"/>
          <w:b/>
          <w:snapToGrid w:val="0"/>
          <w:color w:val="000000"/>
          <w:sz w:val="24"/>
          <w:lang w:val="en-US" w:eastAsia="zh-CN"/>
        </w:rPr>
        <w:t>上半年</w:t>
      </w:r>
      <w:r w:rsidRPr="002D3A87">
        <w:rPr>
          <w:rFonts w:eastAsia="宋体" w:cs="Arial"/>
          <w:b/>
          <w:snapToGrid w:val="0"/>
          <w:color w:val="000000"/>
          <w:sz w:val="24"/>
          <w:lang w:val="zh-CN" w:eastAsia="zh-CN"/>
        </w:rPr>
        <w:t>调整后净收益</w:t>
      </w:r>
      <w:r w:rsidRPr="002D3A87">
        <w:rPr>
          <w:rFonts w:eastAsia="宋体" w:cs="Arial"/>
          <w:snapToGrid w:val="0"/>
          <w:color w:val="000000"/>
          <w:sz w:val="24"/>
          <w:lang w:val="zh-CN" w:eastAsia="zh-CN"/>
        </w:rPr>
        <w:t>增长</w:t>
      </w:r>
      <w:r w:rsidRPr="002D3A87">
        <w:rPr>
          <w:rFonts w:eastAsia="宋体" w:cs="Arial"/>
          <w:snapToGrid w:val="0"/>
          <w:sz w:val="24"/>
          <w:lang w:val="en-US" w:eastAsia="zh-CN"/>
        </w:rPr>
        <w:t>12.3%</w:t>
      </w:r>
      <w:r w:rsidRPr="002D3A87">
        <w:rPr>
          <w:rFonts w:eastAsia="宋体" w:cs="Arial"/>
          <w:snapToGrid w:val="0"/>
          <w:sz w:val="24"/>
          <w:lang w:val="en-US" w:eastAsia="zh-CN"/>
        </w:rPr>
        <w:t>，由</w:t>
      </w:r>
      <w:r w:rsidRPr="002D3A87">
        <w:rPr>
          <w:rFonts w:eastAsia="宋体" w:cs="Arial"/>
          <w:snapToGrid w:val="0"/>
          <w:sz w:val="24"/>
          <w:lang w:val="en-US" w:eastAsia="zh-CN"/>
        </w:rPr>
        <w:t>9.51</w:t>
      </w:r>
      <w:r w:rsidRPr="002D3A87">
        <w:rPr>
          <w:rFonts w:eastAsia="宋体" w:cs="Arial"/>
          <w:snapToGrid w:val="0"/>
          <w:sz w:val="24"/>
          <w:lang w:val="en-US" w:eastAsia="zh-CN"/>
        </w:rPr>
        <w:t>亿欧元增至</w:t>
      </w:r>
      <w:r w:rsidRPr="002D3A87">
        <w:rPr>
          <w:rFonts w:eastAsia="宋体" w:cs="Arial"/>
          <w:snapToGrid w:val="0"/>
          <w:sz w:val="24"/>
          <w:lang w:val="en-US" w:eastAsia="zh-CN"/>
        </w:rPr>
        <w:t>10.68</w:t>
      </w:r>
      <w:r w:rsidRPr="002D3A87">
        <w:rPr>
          <w:rFonts w:eastAsia="宋体" w:cs="Arial"/>
          <w:snapToGrid w:val="0"/>
          <w:sz w:val="24"/>
          <w:lang w:val="en-US" w:eastAsia="zh-CN"/>
        </w:rPr>
        <w:t>亿欧元。</w:t>
      </w:r>
    </w:p>
    <w:p w:rsidR="00846C52" w:rsidRPr="002D3A87" w:rsidRDefault="00846C52" w:rsidP="007C171B">
      <w:pPr>
        <w:autoSpaceDE w:val="0"/>
        <w:autoSpaceDN w:val="0"/>
        <w:adjustRightInd w:val="0"/>
        <w:spacing w:line="360" w:lineRule="auto"/>
        <w:rPr>
          <w:rFonts w:eastAsia="宋体" w:cs="Arial"/>
          <w:snapToGrid w:val="0"/>
          <w:sz w:val="24"/>
          <w:lang w:val="en-US" w:eastAsia="zh-CN"/>
        </w:rPr>
      </w:pPr>
    </w:p>
    <w:p w:rsidR="00A363AD" w:rsidRPr="002D3A87" w:rsidRDefault="007C171B" w:rsidP="007C171B">
      <w:pPr>
        <w:autoSpaceDE w:val="0"/>
        <w:autoSpaceDN w:val="0"/>
        <w:adjustRightInd w:val="0"/>
        <w:spacing w:line="360" w:lineRule="auto"/>
        <w:rPr>
          <w:rFonts w:eastAsia="宋体" w:cs="Arial"/>
          <w:snapToGrid w:val="0"/>
          <w:color w:val="000000"/>
          <w:sz w:val="24"/>
          <w:lang w:val="en-US" w:eastAsia="zh-CN"/>
        </w:rPr>
      </w:pPr>
      <w:r w:rsidRPr="002D3A87">
        <w:rPr>
          <w:rFonts w:eastAsia="宋体" w:cs="Arial"/>
          <w:b/>
          <w:snapToGrid w:val="0"/>
          <w:color w:val="000000"/>
          <w:sz w:val="24"/>
          <w:lang w:val="zh-CN" w:eastAsia="zh-CN"/>
        </w:rPr>
        <w:t>调整后优先股每股收益</w:t>
      </w:r>
      <w:r w:rsidR="00107992" w:rsidRPr="00EB39E7">
        <w:rPr>
          <w:rFonts w:cs="Arial"/>
          <w:sz w:val="24"/>
          <w:lang w:val="en-US" w:eastAsia="zh-CN"/>
        </w:rPr>
        <w:t>（</w:t>
      </w:r>
      <w:r w:rsidR="00107992" w:rsidRPr="00EB39E7">
        <w:rPr>
          <w:rFonts w:cs="Arial"/>
          <w:sz w:val="24"/>
          <w:lang w:val="en-US" w:eastAsia="zh-CN"/>
        </w:rPr>
        <w:t>EPS</w:t>
      </w:r>
      <w:r w:rsidR="00107992" w:rsidRPr="00EB39E7">
        <w:rPr>
          <w:rFonts w:cs="Arial"/>
          <w:sz w:val="24"/>
          <w:lang w:val="en-US" w:eastAsia="zh-CN"/>
        </w:rPr>
        <w:t>）</w:t>
      </w:r>
      <w:r w:rsidRPr="002D3A87">
        <w:rPr>
          <w:rFonts w:eastAsia="宋体" w:cs="Arial"/>
          <w:snapToGrid w:val="0"/>
          <w:color w:val="000000"/>
          <w:sz w:val="24"/>
          <w:lang w:val="zh-CN" w:eastAsia="zh-CN"/>
        </w:rPr>
        <w:t>增长</w:t>
      </w:r>
      <w:r w:rsidRPr="002D3A87">
        <w:rPr>
          <w:rFonts w:eastAsia="宋体" w:cs="Arial"/>
          <w:snapToGrid w:val="0"/>
          <w:color w:val="000000"/>
          <w:sz w:val="24"/>
          <w:lang w:val="en-US" w:eastAsia="zh-CN"/>
        </w:rPr>
        <w:t>0.27</w:t>
      </w:r>
      <w:r w:rsidRPr="002D3A87">
        <w:rPr>
          <w:rFonts w:eastAsia="宋体" w:cs="Arial"/>
          <w:snapToGrid w:val="0"/>
          <w:color w:val="000000"/>
          <w:sz w:val="24"/>
          <w:lang w:val="en-US" w:eastAsia="zh-CN"/>
        </w:rPr>
        <w:t>欧元，涨幅</w:t>
      </w:r>
      <w:r w:rsidR="00107992">
        <w:rPr>
          <w:rFonts w:eastAsia="宋体" w:cs="Arial" w:hint="eastAsia"/>
          <w:snapToGrid w:val="0"/>
          <w:color w:val="000000"/>
          <w:sz w:val="24"/>
          <w:lang w:val="en-US" w:eastAsia="zh-CN"/>
        </w:rPr>
        <w:t>达</w:t>
      </w:r>
      <w:r w:rsidRPr="002D3A87">
        <w:rPr>
          <w:rFonts w:eastAsia="宋体" w:cs="Arial"/>
          <w:snapToGrid w:val="0"/>
          <w:color w:val="000000"/>
          <w:sz w:val="24"/>
          <w:lang w:val="en-US" w:eastAsia="zh-CN"/>
        </w:rPr>
        <w:t>12.3%</w:t>
      </w:r>
      <w:r w:rsidRPr="002D3A87">
        <w:rPr>
          <w:rFonts w:eastAsia="宋体" w:cs="Arial"/>
          <w:snapToGrid w:val="0"/>
          <w:color w:val="000000"/>
          <w:sz w:val="24"/>
          <w:lang w:val="en-US" w:eastAsia="zh-CN"/>
        </w:rPr>
        <w:t>，由</w:t>
      </w:r>
      <w:r w:rsidRPr="002D3A87">
        <w:rPr>
          <w:rFonts w:eastAsia="宋体" w:cs="Arial"/>
          <w:snapToGrid w:val="0"/>
          <w:color w:val="000000"/>
          <w:sz w:val="24"/>
          <w:lang w:val="en-US" w:eastAsia="zh-CN"/>
        </w:rPr>
        <w:t>2.20</w:t>
      </w:r>
      <w:r w:rsidRPr="002D3A87">
        <w:rPr>
          <w:rFonts w:eastAsia="宋体" w:cs="Arial"/>
          <w:snapToGrid w:val="0"/>
          <w:color w:val="000000"/>
          <w:sz w:val="24"/>
          <w:lang w:val="en-US" w:eastAsia="zh-CN"/>
        </w:rPr>
        <w:t>欧元增至</w:t>
      </w:r>
      <w:r w:rsidRPr="002D3A87">
        <w:rPr>
          <w:rFonts w:eastAsia="宋体" w:cs="Arial"/>
          <w:snapToGrid w:val="0"/>
          <w:color w:val="000000"/>
          <w:sz w:val="24"/>
          <w:lang w:val="en-US" w:eastAsia="zh-CN"/>
        </w:rPr>
        <w:t>2.47</w:t>
      </w:r>
      <w:r w:rsidRPr="002D3A87">
        <w:rPr>
          <w:rFonts w:eastAsia="宋体" w:cs="Arial"/>
          <w:snapToGrid w:val="0"/>
          <w:color w:val="000000"/>
          <w:sz w:val="24"/>
          <w:lang w:val="en-US" w:eastAsia="zh-CN"/>
        </w:rPr>
        <w:t>欧元。</w:t>
      </w:r>
    </w:p>
    <w:p w:rsidR="007E1326" w:rsidRPr="002D3A87" w:rsidRDefault="007E1326" w:rsidP="007C171B">
      <w:pPr>
        <w:autoSpaceDE w:val="0"/>
        <w:autoSpaceDN w:val="0"/>
        <w:adjustRightInd w:val="0"/>
        <w:spacing w:line="360" w:lineRule="auto"/>
        <w:rPr>
          <w:rFonts w:eastAsia="宋体" w:cs="Arial"/>
          <w:snapToGrid w:val="0"/>
          <w:sz w:val="24"/>
          <w:lang w:val="en-US" w:eastAsia="zh-CN"/>
        </w:rPr>
      </w:pPr>
    </w:p>
    <w:p w:rsidR="007E1326" w:rsidRPr="002D3A87" w:rsidRDefault="007C171B" w:rsidP="007C171B">
      <w:pPr>
        <w:autoSpaceDE w:val="0"/>
        <w:autoSpaceDN w:val="0"/>
        <w:adjustRightInd w:val="0"/>
        <w:spacing w:line="360" w:lineRule="auto"/>
        <w:rPr>
          <w:rFonts w:eastAsia="宋体" w:cs="Arial"/>
          <w:snapToGrid w:val="0"/>
          <w:sz w:val="24"/>
          <w:lang w:val="en-US" w:eastAsia="zh-CN"/>
        </w:rPr>
      </w:pPr>
      <w:r w:rsidRPr="002D3A87">
        <w:rPr>
          <w:rFonts w:eastAsia="宋体" w:cs="Arial"/>
          <w:snapToGrid w:val="0"/>
          <w:sz w:val="24"/>
          <w:lang w:val="en-US" w:eastAsia="zh-CN"/>
        </w:rPr>
        <w:t>截至</w:t>
      </w:r>
      <w:r w:rsidRPr="002D3A87">
        <w:rPr>
          <w:rFonts w:eastAsia="宋体" w:cs="Arial"/>
          <w:snapToGrid w:val="0"/>
          <w:sz w:val="24"/>
          <w:lang w:val="en-US" w:eastAsia="zh-CN"/>
        </w:rPr>
        <w:t>2015</w:t>
      </w:r>
      <w:r w:rsidRPr="002D3A87">
        <w:rPr>
          <w:rFonts w:eastAsia="宋体" w:cs="Arial"/>
          <w:snapToGrid w:val="0"/>
          <w:sz w:val="24"/>
          <w:lang w:val="en-US" w:eastAsia="zh-CN"/>
        </w:rPr>
        <w:t>年</w:t>
      </w:r>
      <w:r w:rsidRPr="002D3A87">
        <w:rPr>
          <w:rFonts w:eastAsia="宋体" w:cs="Arial"/>
          <w:snapToGrid w:val="0"/>
          <w:sz w:val="24"/>
          <w:lang w:val="en-US" w:eastAsia="zh-CN"/>
        </w:rPr>
        <w:t>6</w:t>
      </w:r>
      <w:r w:rsidRPr="002D3A87">
        <w:rPr>
          <w:rFonts w:eastAsia="宋体" w:cs="Arial"/>
          <w:snapToGrid w:val="0"/>
          <w:sz w:val="24"/>
          <w:lang w:val="en-US" w:eastAsia="zh-CN"/>
        </w:rPr>
        <w:t>月</w:t>
      </w:r>
      <w:r w:rsidRPr="002D3A87">
        <w:rPr>
          <w:rFonts w:eastAsia="宋体" w:cs="Arial"/>
          <w:snapToGrid w:val="0"/>
          <w:sz w:val="24"/>
          <w:lang w:val="en-US" w:eastAsia="zh-CN"/>
        </w:rPr>
        <w:t>30</w:t>
      </w:r>
      <w:r w:rsidRPr="002D3A87">
        <w:rPr>
          <w:rFonts w:eastAsia="宋体" w:cs="Arial"/>
          <w:snapToGrid w:val="0"/>
          <w:sz w:val="24"/>
          <w:lang w:val="en-US" w:eastAsia="zh-CN"/>
        </w:rPr>
        <w:t>日的汉高</w:t>
      </w:r>
      <w:r w:rsidRPr="002D3A87">
        <w:rPr>
          <w:rFonts w:eastAsia="宋体" w:cs="Arial"/>
          <w:b/>
          <w:snapToGrid w:val="0"/>
          <w:color w:val="000000"/>
          <w:sz w:val="24"/>
          <w:lang w:val="en-US" w:eastAsia="zh-CN"/>
        </w:rPr>
        <w:t>净财务状况</w:t>
      </w:r>
      <w:r w:rsidRPr="002D3A87">
        <w:rPr>
          <w:rFonts w:eastAsia="宋体" w:cs="Arial"/>
          <w:snapToGrid w:val="0"/>
          <w:color w:val="000000"/>
          <w:sz w:val="24"/>
          <w:lang w:val="en-US" w:eastAsia="zh-CN"/>
        </w:rPr>
        <w:t>为</w:t>
      </w:r>
      <w:r w:rsidRPr="002D3A87">
        <w:rPr>
          <w:rFonts w:eastAsia="宋体" w:cs="Arial"/>
          <w:snapToGrid w:val="0"/>
          <w:sz w:val="24"/>
          <w:lang w:val="en-US" w:eastAsia="zh-CN"/>
        </w:rPr>
        <w:t>-6.34</w:t>
      </w:r>
      <w:r w:rsidRPr="002D3A87">
        <w:rPr>
          <w:rFonts w:eastAsia="宋体" w:cs="Arial"/>
          <w:snapToGrid w:val="0"/>
          <w:sz w:val="24"/>
          <w:lang w:val="en-US" w:eastAsia="zh-CN"/>
        </w:rPr>
        <w:t>亿欧元（截至上年</w:t>
      </w:r>
      <w:r w:rsidRPr="002D3A87">
        <w:rPr>
          <w:rFonts w:eastAsia="宋体" w:cs="Arial"/>
          <w:snapToGrid w:val="0"/>
          <w:sz w:val="24"/>
          <w:lang w:val="en-US" w:eastAsia="zh-CN"/>
        </w:rPr>
        <w:t>12</w:t>
      </w:r>
      <w:r w:rsidRPr="002D3A87">
        <w:rPr>
          <w:rFonts w:eastAsia="宋体" w:cs="Arial"/>
          <w:snapToGrid w:val="0"/>
          <w:sz w:val="24"/>
          <w:lang w:val="en-US" w:eastAsia="zh-CN"/>
        </w:rPr>
        <w:t>月</w:t>
      </w:r>
      <w:r w:rsidRPr="002D3A87">
        <w:rPr>
          <w:rFonts w:eastAsia="宋体" w:cs="Arial"/>
          <w:snapToGrid w:val="0"/>
          <w:sz w:val="24"/>
          <w:lang w:val="en-US" w:eastAsia="zh-CN"/>
        </w:rPr>
        <w:t>31</w:t>
      </w:r>
      <w:r w:rsidRPr="002D3A87">
        <w:rPr>
          <w:rFonts w:eastAsia="宋体" w:cs="Arial"/>
          <w:snapToGrid w:val="0"/>
          <w:sz w:val="24"/>
          <w:lang w:val="en-US" w:eastAsia="zh-CN"/>
        </w:rPr>
        <w:t>日的数字为</w:t>
      </w:r>
      <w:r w:rsidRPr="002D3A87">
        <w:rPr>
          <w:rFonts w:eastAsia="宋体" w:cs="Arial"/>
          <w:snapToGrid w:val="0"/>
          <w:sz w:val="24"/>
          <w:lang w:val="en-US" w:eastAsia="zh-CN"/>
        </w:rPr>
        <w:t>-1.53</w:t>
      </w:r>
      <w:r w:rsidRPr="002D3A87">
        <w:rPr>
          <w:rFonts w:eastAsia="宋体" w:cs="Arial"/>
          <w:snapToGrid w:val="0"/>
          <w:sz w:val="24"/>
          <w:lang w:val="en-US" w:eastAsia="zh-CN"/>
        </w:rPr>
        <w:t>亿欧元）。这一变化主要是由于</w:t>
      </w:r>
      <w:r w:rsidR="00107992">
        <w:rPr>
          <w:rFonts w:eastAsia="宋体" w:cs="Arial" w:hint="eastAsia"/>
          <w:snapToGrid w:val="0"/>
          <w:sz w:val="24"/>
          <w:lang w:val="en-US" w:eastAsia="zh-CN"/>
        </w:rPr>
        <w:t>受到</w:t>
      </w:r>
      <w:r w:rsidRPr="002D3A87">
        <w:rPr>
          <w:rFonts w:eastAsia="宋体" w:cs="Arial"/>
          <w:snapToGrid w:val="0"/>
          <w:color w:val="000000"/>
          <w:sz w:val="24"/>
          <w:lang w:val="en-US" w:eastAsia="zh-CN"/>
        </w:rPr>
        <w:t>分红的影响。</w:t>
      </w:r>
    </w:p>
    <w:p w:rsidR="009146DF" w:rsidRPr="002D3A87" w:rsidRDefault="009146DF" w:rsidP="007C171B">
      <w:pPr>
        <w:autoSpaceDE w:val="0"/>
        <w:autoSpaceDN w:val="0"/>
        <w:adjustRightInd w:val="0"/>
        <w:spacing w:after="120" w:line="360" w:lineRule="auto"/>
        <w:rPr>
          <w:rFonts w:eastAsia="宋体" w:cs="Arial"/>
          <w:b/>
          <w:snapToGrid w:val="0"/>
          <w:sz w:val="24"/>
          <w:lang w:val="en-US" w:eastAsia="zh-CN"/>
        </w:rPr>
      </w:pPr>
    </w:p>
    <w:p w:rsidR="00A363AD" w:rsidRPr="002D3A87" w:rsidRDefault="007C171B" w:rsidP="007C171B">
      <w:pPr>
        <w:autoSpaceDE w:val="0"/>
        <w:autoSpaceDN w:val="0"/>
        <w:adjustRightInd w:val="0"/>
        <w:spacing w:after="120" w:line="360" w:lineRule="auto"/>
        <w:rPr>
          <w:rFonts w:eastAsia="宋体" w:cs="Arial"/>
          <w:b/>
          <w:snapToGrid w:val="0"/>
          <w:sz w:val="24"/>
          <w:lang w:val="en-US" w:eastAsia="zh-CN"/>
        </w:rPr>
      </w:pPr>
      <w:r w:rsidRPr="002D3A87">
        <w:rPr>
          <w:rFonts w:eastAsia="宋体" w:cs="Arial"/>
          <w:b/>
          <w:snapToGrid w:val="0"/>
          <w:sz w:val="24"/>
          <w:lang w:val="en-US" w:eastAsia="zh-CN"/>
        </w:rPr>
        <w:t>2</w:t>
      </w:r>
      <w:r w:rsidRPr="00267108">
        <w:rPr>
          <w:rFonts w:eastAsia="宋体" w:cs="Arial"/>
          <w:b/>
          <w:snapToGrid w:val="0"/>
          <w:sz w:val="24"/>
          <w:lang w:val="en-US" w:eastAsia="zh-CN"/>
        </w:rPr>
        <w:t>015</w:t>
      </w:r>
      <w:r w:rsidRPr="00267108">
        <w:rPr>
          <w:rFonts w:eastAsia="宋体" w:cs="Arial"/>
          <w:b/>
          <w:snapToGrid w:val="0"/>
          <w:sz w:val="24"/>
          <w:lang w:val="en-US" w:eastAsia="zh-CN"/>
        </w:rPr>
        <w:t>年</w:t>
      </w:r>
      <w:bookmarkStart w:id="38" w:name="OLE_LINK204"/>
      <w:bookmarkStart w:id="39" w:name="OLE_LINK205"/>
      <w:r w:rsidRPr="00267108">
        <w:rPr>
          <w:rFonts w:eastAsia="宋体" w:cs="Arial"/>
          <w:b/>
          <w:snapToGrid w:val="0"/>
          <w:sz w:val="24"/>
          <w:lang w:val="en-US" w:eastAsia="zh-CN"/>
        </w:rPr>
        <w:t>第</w:t>
      </w:r>
      <w:r w:rsidRPr="002D3A87">
        <w:rPr>
          <w:rFonts w:eastAsia="宋体" w:cs="Arial"/>
          <w:b/>
          <w:snapToGrid w:val="0"/>
          <w:sz w:val="24"/>
          <w:lang w:val="en-US" w:eastAsia="zh-CN"/>
        </w:rPr>
        <w:t>二季度</w:t>
      </w:r>
      <w:bookmarkEnd w:id="38"/>
      <w:bookmarkEnd w:id="39"/>
      <w:r w:rsidRPr="002D3A87">
        <w:rPr>
          <w:rFonts w:eastAsia="宋体" w:cs="Arial"/>
          <w:b/>
          <w:snapToGrid w:val="0"/>
          <w:color w:val="000000"/>
          <w:sz w:val="24"/>
          <w:lang w:val="zh-CN" w:eastAsia="zh-CN"/>
        </w:rPr>
        <w:t>各大业务部门</w:t>
      </w:r>
      <w:bookmarkStart w:id="40" w:name="OLE_LINK139"/>
      <w:bookmarkStart w:id="41" w:name="OLE_LINK138"/>
      <w:r w:rsidRPr="002D3A87">
        <w:rPr>
          <w:rFonts w:eastAsia="宋体" w:cs="Arial"/>
          <w:b/>
          <w:snapToGrid w:val="0"/>
          <w:color w:val="000000"/>
          <w:sz w:val="24"/>
          <w:lang w:val="zh-CN" w:eastAsia="zh-CN"/>
        </w:rPr>
        <w:t>业绩表现</w:t>
      </w:r>
      <w:bookmarkEnd w:id="40"/>
      <w:bookmarkEnd w:id="41"/>
    </w:p>
    <w:p w:rsidR="00A363AD" w:rsidRPr="002D3A87" w:rsidRDefault="007C171B" w:rsidP="007C171B">
      <w:pPr>
        <w:autoSpaceDE w:val="0"/>
        <w:autoSpaceDN w:val="0"/>
        <w:adjustRightInd w:val="0"/>
        <w:spacing w:line="360" w:lineRule="auto"/>
        <w:rPr>
          <w:rFonts w:eastAsia="宋体" w:cs="Arial"/>
          <w:bCs/>
          <w:snapToGrid w:val="0"/>
          <w:color w:val="000000"/>
          <w:sz w:val="24"/>
          <w:lang w:val="en-US" w:eastAsia="zh-CN"/>
        </w:rPr>
      </w:pPr>
      <w:r w:rsidRPr="002D3A87">
        <w:rPr>
          <w:rFonts w:eastAsia="宋体" w:cs="Arial"/>
          <w:b/>
          <w:snapToGrid w:val="0"/>
          <w:color w:val="000000"/>
          <w:sz w:val="24"/>
          <w:lang w:val="en-US" w:eastAsia="zh-CN"/>
        </w:rPr>
        <w:t>洗涤剂及家用护理</w:t>
      </w:r>
      <w:r w:rsidRPr="002D3A87">
        <w:rPr>
          <w:rFonts w:eastAsia="宋体" w:cs="Arial"/>
          <w:snapToGrid w:val="0"/>
          <w:color w:val="000000"/>
          <w:sz w:val="24"/>
          <w:lang w:val="en-US" w:eastAsia="zh-CN"/>
        </w:rPr>
        <w:t>业务部在</w:t>
      </w:r>
      <w:r w:rsidRPr="002D3A87">
        <w:rPr>
          <w:rFonts w:eastAsia="宋体" w:cs="Arial"/>
          <w:snapToGrid w:val="0"/>
          <w:color w:val="000000"/>
          <w:sz w:val="24"/>
          <w:lang w:val="en-US" w:eastAsia="zh-CN"/>
        </w:rPr>
        <w:t>2015</w:t>
      </w:r>
      <w:r w:rsidRPr="002D3A87">
        <w:rPr>
          <w:rFonts w:eastAsia="宋体" w:cs="Arial"/>
          <w:snapToGrid w:val="0"/>
          <w:color w:val="000000"/>
          <w:sz w:val="24"/>
          <w:lang w:val="en-US" w:eastAsia="zh-CN"/>
        </w:rPr>
        <w:t>年第二季度</w:t>
      </w:r>
      <w:bookmarkStart w:id="42" w:name="OLE_LINK224"/>
      <w:bookmarkStart w:id="43" w:name="OLE_LINK225"/>
      <w:r w:rsidRPr="002D3A87">
        <w:rPr>
          <w:rFonts w:eastAsia="宋体" w:cs="Arial"/>
          <w:snapToGrid w:val="0"/>
          <w:color w:val="000000"/>
          <w:sz w:val="24"/>
          <w:lang w:val="en-US" w:eastAsia="zh-CN"/>
        </w:rPr>
        <w:t>持续了盈利性增长趋势。</w:t>
      </w:r>
      <w:bookmarkEnd w:id="42"/>
      <w:bookmarkEnd w:id="43"/>
      <w:r w:rsidRPr="002D3A87">
        <w:rPr>
          <w:rFonts w:eastAsia="宋体" w:cs="Arial"/>
          <w:snapToGrid w:val="0"/>
          <w:color w:val="000000"/>
          <w:sz w:val="24"/>
          <w:lang w:val="en-US" w:eastAsia="zh-CN"/>
        </w:rPr>
        <w:t>有机</w:t>
      </w:r>
      <w:r w:rsidRPr="002D3A87">
        <w:rPr>
          <w:rFonts w:eastAsia="宋体" w:cs="Arial"/>
          <w:b/>
          <w:snapToGrid w:val="0"/>
          <w:color w:val="000000"/>
          <w:sz w:val="24"/>
          <w:lang w:val="en-US" w:eastAsia="zh-CN"/>
        </w:rPr>
        <w:t>销售额</w:t>
      </w:r>
      <w:r w:rsidRPr="002D3A87">
        <w:rPr>
          <w:rFonts w:eastAsia="宋体" w:cs="Arial"/>
          <w:snapToGrid w:val="0"/>
          <w:color w:val="000000"/>
          <w:sz w:val="24"/>
          <w:lang w:val="en-US" w:eastAsia="zh-CN"/>
        </w:rPr>
        <w:t>同比增幅达</w:t>
      </w:r>
      <w:r w:rsidRPr="002D3A87">
        <w:rPr>
          <w:rFonts w:eastAsia="宋体" w:cs="Arial"/>
          <w:snapToGrid w:val="0"/>
          <w:color w:val="000000"/>
          <w:sz w:val="24"/>
          <w:lang w:val="en-US" w:eastAsia="zh-CN"/>
        </w:rPr>
        <w:t>4.3%</w:t>
      </w:r>
      <w:r w:rsidRPr="002D3A87">
        <w:rPr>
          <w:rFonts w:eastAsia="宋体" w:cs="Arial"/>
          <w:snapToGrid w:val="0"/>
          <w:color w:val="000000"/>
          <w:sz w:val="24"/>
          <w:lang w:val="en-US" w:eastAsia="zh-CN"/>
        </w:rPr>
        <w:t>，高于相关市场的发展水平。市场份额进一步增长。</w:t>
      </w:r>
      <w:r w:rsidRPr="002D3A87">
        <w:rPr>
          <w:rFonts w:eastAsia="宋体" w:cs="Arial"/>
          <w:snapToGrid w:val="0"/>
          <w:color w:val="000000"/>
          <w:sz w:val="24"/>
          <w:lang w:val="zh-CN" w:eastAsia="zh-CN"/>
        </w:rPr>
        <w:t>名义销售额再次实现两位数增长</w:t>
      </w:r>
      <w:r w:rsidRPr="002D3A87">
        <w:rPr>
          <w:rFonts w:eastAsia="宋体" w:cs="Arial"/>
          <w:snapToGrid w:val="0"/>
          <w:color w:val="000000"/>
          <w:sz w:val="24"/>
          <w:lang w:val="en-US" w:eastAsia="zh-CN"/>
        </w:rPr>
        <w:t>，涨幅</w:t>
      </w:r>
      <w:r w:rsidRPr="002D3A87">
        <w:rPr>
          <w:rFonts w:eastAsia="宋体" w:cs="Arial"/>
          <w:bCs/>
          <w:snapToGrid w:val="0"/>
          <w:color w:val="000000"/>
          <w:sz w:val="24"/>
          <w:lang w:val="en-US" w:eastAsia="zh-CN"/>
        </w:rPr>
        <w:t>15.3%</w:t>
      </w:r>
      <w:r w:rsidRPr="002D3A87">
        <w:rPr>
          <w:rFonts w:eastAsia="宋体" w:cs="Arial"/>
          <w:bCs/>
          <w:snapToGrid w:val="0"/>
          <w:color w:val="000000"/>
          <w:sz w:val="24"/>
          <w:lang w:val="en-US" w:eastAsia="zh-CN"/>
        </w:rPr>
        <w:t>，</w:t>
      </w:r>
      <w:r w:rsidRPr="002D3A87">
        <w:rPr>
          <w:rFonts w:eastAsia="宋体" w:cs="Arial"/>
          <w:snapToGrid w:val="0"/>
          <w:color w:val="000000"/>
          <w:sz w:val="24"/>
          <w:lang w:val="en-US" w:eastAsia="zh-CN"/>
        </w:rPr>
        <w:t>至</w:t>
      </w:r>
      <w:r w:rsidRPr="002D3A87">
        <w:rPr>
          <w:rFonts w:eastAsia="宋体" w:cs="Arial"/>
          <w:snapToGrid w:val="0"/>
          <w:color w:val="000000"/>
          <w:sz w:val="24"/>
          <w:lang w:val="en-US" w:eastAsia="zh-CN"/>
        </w:rPr>
        <w:t>13.14</w:t>
      </w:r>
      <w:r w:rsidRPr="002D3A87">
        <w:rPr>
          <w:rFonts w:eastAsia="宋体" w:cs="Arial"/>
          <w:snapToGrid w:val="0"/>
          <w:color w:val="000000"/>
          <w:sz w:val="24"/>
          <w:lang w:val="zh-CN" w:eastAsia="zh-CN"/>
        </w:rPr>
        <w:t>亿欧元（上年同期数字为：</w:t>
      </w:r>
      <w:r w:rsidRPr="002D3A87">
        <w:rPr>
          <w:rFonts w:eastAsia="宋体" w:cs="Arial"/>
          <w:snapToGrid w:val="0"/>
          <w:color w:val="000000"/>
          <w:sz w:val="24"/>
          <w:lang w:val="zh-CN" w:eastAsia="zh-CN"/>
        </w:rPr>
        <w:t>11.39</w:t>
      </w:r>
      <w:r w:rsidRPr="002D3A87">
        <w:rPr>
          <w:rFonts w:eastAsia="宋体" w:cs="Arial"/>
          <w:snapToGrid w:val="0"/>
          <w:color w:val="000000"/>
          <w:sz w:val="24"/>
          <w:lang w:val="zh-CN" w:eastAsia="zh-CN"/>
        </w:rPr>
        <w:t>亿欧元）。</w:t>
      </w:r>
    </w:p>
    <w:p w:rsidR="00A363AD" w:rsidRPr="002D3A87" w:rsidRDefault="00A363AD" w:rsidP="007C171B">
      <w:pPr>
        <w:autoSpaceDE w:val="0"/>
        <w:autoSpaceDN w:val="0"/>
        <w:adjustRightInd w:val="0"/>
        <w:spacing w:line="360" w:lineRule="auto"/>
        <w:rPr>
          <w:rFonts w:eastAsia="宋体" w:cs="Arial"/>
          <w:bCs/>
          <w:snapToGrid w:val="0"/>
          <w:color w:val="000000"/>
          <w:sz w:val="24"/>
          <w:lang w:val="en-US" w:eastAsia="zh-CN"/>
        </w:rPr>
      </w:pPr>
    </w:p>
    <w:p w:rsidR="00A363AD" w:rsidRPr="002D3A87" w:rsidRDefault="007C171B" w:rsidP="007C171B">
      <w:pPr>
        <w:autoSpaceDE w:val="0"/>
        <w:autoSpaceDN w:val="0"/>
        <w:adjustRightInd w:val="0"/>
        <w:spacing w:line="360" w:lineRule="auto"/>
        <w:rPr>
          <w:rFonts w:eastAsia="宋体" w:cs="Arial"/>
          <w:snapToGrid w:val="0"/>
          <w:color w:val="000000"/>
          <w:sz w:val="24"/>
          <w:lang w:val="en-US" w:eastAsia="zh-CN"/>
        </w:rPr>
      </w:pPr>
      <w:r w:rsidRPr="002D3A87">
        <w:rPr>
          <w:rFonts w:eastAsia="宋体" w:cs="Arial"/>
          <w:snapToGrid w:val="0"/>
          <w:color w:val="000000"/>
          <w:sz w:val="24"/>
          <w:lang w:val="en-US" w:eastAsia="zh-CN"/>
        </w:rPr>
        <w:lastRenderedPageBreak/>
        <w:t>稳定的有机销售额增长主要得益于新兴市场的强劲表现。东欧和拉美地区均实现两位数增长。非洲</w:t>
      </w:r>
      <w:r w:rsidRPr="002D3A87">
        <w:rPr>
          <w:rFonts w:eastAsia="宋体" w:cs="Arial"/>
          <w:snapToGrid w:val="0"/>
          <w:color w:val="000000"/>
          <w:sz w:val="24"/>
          <w:lang w:val="en-US" w:eastAsia="zh-CN"/>
        </w:rPr>
        <w:t>/</w:t>
      </w:r>
      <w:r w:rsidRPr="002D3A87">
        <w:rPr>
          <w:rFonts w:eastAsia="宋体" w:cs="Arial"/>
          <w:snapToGrid w:val="0"/>
          <w:color w:val="000000"/>
          <w:sz w:val="24"/>
          <w:lang w:val="en-US" w:eastAsia="zh-CN"/>
        </w:rPr>
        <w:t>中东地区增长稳定。成熟市场的有机销售额有所增长</w:t>
      </w:r>
      <w:r w:rsidR="00512742">
        <w:rPr>
          <w:rFonts w:eastAsia="宋体" w:cs="Arial" w:hint="eastAsia"/>
          <w:snapToGrid w:val="0"/>
          <w:color w:val="000000"/>
          <w:sz w:val="24"/>
          <w:lang w:val="en-US" w:eastAsia="zh-CN"/>
        </w:rPr>
        <w:t>，</w:t>
      </w:r>
      <w:r w:rsidRPr="002D3A87">
        <w:rPr>
          <w:rFonts w:eastAsia="宋体" w:cs="Arial"/>
          <w:snapToGrid w:val="0"/>
          <w:color w:val="000000"/>
          <w:sz w:val="24"/>
          <w:lang w:val="en-US" w:eastAsia="zh-CN"/>
        </w:rPr>
        <w:t>这主要得益于西欧的良好表现，特别是德国的稳定增长。竞争激烈的北美地区的销售业绩</w:t>
      </w:r>
      <w:r w:rsidR="00512742">
        <w:rPr>
          <w:rFonts w:eastAsia="宋体" w:cs="Arial" w:hint="eastAsia"/>
          <w:snapToGrid w:val="0"/>
          <w:color w:val="000000"/>
          <w:sz w:val="24"/>
          <w:lang w:val="en-US" w:eastAsia="zh-CN"/>
        </w:rPr>
        <w:t>也</w:t>
      </w:r>
      <w:r w:rsidRPr="002D3A87">
        <w:rPr>
          <w:rFonts w:eastAsia="宋体" w:cs="Arial"/>
          <w:snapToGrid w:val="0"/>
          <w:color w:val="000000"/>
          <w:sz w:val="24"/>
          <w:lang w:val="en-US" w:eastAsia="zh-CN"/>
        </w:rPr>
        <w:t>有所增长。</w:t>
      </w:r>
    </w:p>
    <w:p w:rsidR="00A363AD" w:rsidRPr="002D3A87" w:rsidRDefault="00A363AD" w:rsidP="007C171B">
      <w:pPr>
        <w:autoSpaceDE w:val="0"/>
        <w:autoSpaceDN w:val="0"/>
        <w:adjustRightInd w:val="0"/>
        <w:spacing w:line="360" w:lineRule="auto"/>
        <w:rPr>
          <w:rFonts w:eastAsia="宋体" w:cs="Arial"/>
          <w:snapToGrid w:val="0"/>
          <w:color w:val="000000"/>
          <w:sz w:val="24"/>
          <w:lang w:val="en-US" w:eastAsia="zh-CN"/>
        </w:rPr>
      </w:pPr>
    </w:p>
    <w:p w:rsidR="00A363AD" w:rsidRPr="002D3A87" w:rsidRDefault="007C171B" w:rsidP="007C171B">
      <w:pPr>
        <w:autoSpaceDE w:val="0"/>
        <w:autoSpaceDN w:val="0"/>
        <w:adjustRightInd w:val="0"/>
        <w:spacing w:line="360" w:lineRule="auto"/>
        <w:rPr>
          <w:rFonts w:eastAsia="宋体" w:cs="Arial"/>
          <w:snapToGrid w:val="0"/>
          <w:color w:val="000000"/>
          <w:sz w:val="24"/>
          <w:lang w:val="en-US" w:eastAsia="zh-CN"/>
        </w:rPr>
      </w:pPr>
      <w:r w:rsidRPr="002D3A87">
        <w:rPr>
          <w:rFonts w:eastAsia="宋体" w:cs="Arial"/>
          <w:snapToGrid w:val="0"/>
          <w:color w:val="000000"/>
          <w:sz w:val="24"/>
          <w:lang w:val="zh-CN" w:eastAsia="zh-CN"/>
        </w:rPr>
        <w:t>洗涤剂及家用护理业务部</w:t>
      </w:r>
      <w:r w:rsidRPr="002D3A87">
        <w:rPr>
          <w:rFonts w:eastAsia="宋体" w:cs="Arial"/>
          <w:b/>
          <w:snapToGrid w:val="0"/>
          <w:color w:val="000000"/>
          <w:sz w:val="24"/>
          <w:lang w:val="zh-CN" w:eastAsia="zh-CN"/>
        </w:rPr>
        <w:t>调整后营运利润</w:t>
      </w:r>
      <w:r w:rsidRPr="002D3A87">
        <w:rPr>
          <w:rFonts w:eastAsia="宋体" w:cs="Arial"/>
          <w:snapToGrid w:val="0"/>
          <w:color w:val="000000"/>
          <w:sz w:val="24"/>
          <w:lang w:val="zh-CN" w:eastAsia="zh-CN"/>
        </w:rPr>
        <w:t>增长明显，达</w:t>
      </w:r>
      <w:r w:rsidRPr="002D3A87">
        <w:rPr>
          <w:rFonts w:eastAsia="宋体" w:cs="Arial"/>
          <w:snapToGrid w:val="0"/>
          <w:color w:val="000000"/>
          <w:sz w:val="24"/>
          <w:lang w:val="en-US" w:eastAsia="zh-CN"/>
        </w:rPr>
        <w:t>18.6%</w:t>
      </w:r>
      <w:r w:rsidRPr="002D3A87">
        <w:rPr>
          <w:rFonts w:eastAsia="宋体" w:cs="Arial"/>
          <w:snapToGrid w:val="0"/>
          <w:color w:val="000000"/>
          <w:sz w:val="24"/>
          <w:lang w:val="en-US" w:eastAsia="zh-CN"/>
        </w:rPr>
        <w:t>，至</w:t>
      </w:r>
      <w:r w:rsidRPr="002D3A87">
        <w:rPr>
          <w:rFonts w:eastAsia="宋体" w:cs="Arial"/>
          <w:snapToGrid w:val="0"/>
          <w:color w:val="000000"/>
          <w:sz w:val="24"/>
          <w:lang w:val="en-US" w:eastAsia="zh-CN"/>
        </w:rPr>
        <w:t>2.25</w:t>
      </w:r>
      <w:r w:rsidRPr="002D3A87">
        <w:rPr>
          <w:rFonts w:eastAsia="宋体" w:cs="Arial"/>
          <w:snapToGrid w:val="0"/>
          <w:color w:val="000000"/>
          <w:sz w:val="24"/>
          <w:lang w:val="zh-CN" w:eastAsia="zh-CN"/>
        </w:rPr>
        <w:t>亿欧元。</w:t>
      </w:r>
      <w:r w:rsidRPr="002D3A87">
        <w:rPr>
          <w:rFonts w:eastAsia="宋体" w:cs="Arial"/>
          <w:snapToGrid w:val="0"/>
          <w:color w:val="000000"/>
          <w:sz w:val="24"/>
          <w:lang w:val="en-US" w:eastAsia="zh-CN"/>
        </w:rPr>
        <w:t>调整后销售回报率较上年同期改善</w:t>
      </w:r>
      <w:r w:rsidRPr="002D3A87">
        <w:rPr>
          <w:rFonts w:eastAsia="宋体" w:cs="Arial"/>
          <w:snapToGrid w:val="0"/>
          <w:color w:val="000000"/>
          <w:sz w:val="24"/>
          <w:lang w:val="en-US" w:eastAsia="zh-CN"/>
        </w:rPr>
        <w:t>0.5</w:t>
      </w:r>
      <w:r w:rsidRPr="002D3A87">
        <w:rPr>
          <w:rFonts w:eastAsia="宋体" w:cs="Arial"/>
          <w:snapToGrid w:val="0"/>
          <w:color w:val="000000"/>
          <w:sz w:val="24"/>
          <w:lang w:val="en-US" w:eastAsia="zh-CN"/>
        </w:rPr>
        <w:t>个百分点，至</w:t>
      </w:r>
      <w:r w:rsidRPr="002D3A87">
        <w:rPr>
          <w:rFonts w:eastAsia="宋体" w:cs="Arial"/>
          <w:snapToGrid w:val="0"/>
          <w:color w:val="000000"/>
          <w:sz w:val="24"/>
          <w:lang w:val="en-US" w:eastAsia="zh-CN"/>
        </w:rPr>
        <w:t>17.1%</w:t>
      </w:r>
      <w:r w:rsidRPr="002D3A87">
        <w:rPr>
          <w:rFonts w:eastAsia="宋体" w:cs="Arial"/>
          <w:snapToGrid w:val="0"/>
          <w:color w:val="000000"/>
          <w:sz w:val="24"/>
          <w:lang w:val="en-US" w:eastAsia="zh-CN"/>
        </w:rPr>
        <w:t>。实际</w:t>
      </w:r>
      <w:r w:rsidRPr="002D3A87">
        <w:rPr>
          <w:rFonts w:eastAsia="宋体" w:cs="Arial"/>
          <w:snapToGrid w:val="0"/>
          <w:color w:val="000000"/>
          <w:sz w:val="24"/>
          <w:lang w:val="zh-CN" w:eastAsia="zh-CN"/>
        </w:rPr>
        <w:t>营运利润同样增长明显，达</w:t>
      </w:r>
      <w:r w:rsidRPr="002D3A87">
        <w:rPr>
          <w:rFonts w:eastAsia="宋体" w:cs="Arial"/>
          <w:snapToGrid w:val="0"/>
          <w:color w:val="000000"/>
          <w:sz w:val="24"/>
          <w:lang w:val="en-US" w:eastAsia="zh-CN"/>
        </w:rPr>
        <w:t>23.6%</w:t>
      </w:r>
      <w:r w:rsidRPr="002D3A87">
        <w:rPr>
          <w:rFonts w:eastAsia="宋体" w:cs="Arial"/>
          <w:snapToGrid w:val="0"/>
          <w:color w:val="000000"/>
          <w:sz w:val="24"/>
          <w:lang w:val="en-US" w:eastAsia="zh-CN"/>
        </w:rPr>
        <w:t>，至</w:t>
      </w:r>
      <w:r w:rsidRPr="002D3A87">
        <w:rPr>
          <w:rFonts w:eastAsia="宋体" w:cs="Arial"/>
          <w:snapToGrid w:val="0"/>
          <w:color w:val="000000"/>
          <w:sz w:val="24"/>
          <w:lang w:val="en-US" w:eastAsia="zh-CN"/>
        </w:rPr>
        <w:t>1.98</w:t>
      </w:r>
      <w:r w:rsidRPr="002D3A87">
        <w:rPr>
          <w:rFonts w:eastAsia="宋体" w:cs="Arial"/>
          <w:snapToGrid w:val="0"/>
          <w:color w:val="000000"/>
          <w:sz w:val="24"/>
          <w:lang w:val="zh-CN" w:eastAsia="zh-CN"/>
        </w:rPr>
        <w:t>亿欧元</w:t>
      </w:r>
      <w:r w:rsidRPr="002D3A87">
        <w:rPr>
          <w:rFonts w:eastAsia="宋体" w:cs="Arial"/>
          <w:snapToGrid w:val="0"/>
          <w:color w:val="000000"/>
          <w:sz w:val="24"/>
          <w:lang w:val="en-US" w:eastAsia="zh-CN"/>
        </w:rPr>
        <w:t>，</w:t>
      </w:r>
      <w:r w:rsidRPr="002D3A87">
        <w:rPr>
          <w:rFonts w:eastAsia="宋体" w:cs="Arial"/>
          <w:snapToGrid w:val="0"/>
          <w:color w:val="000000"/>
          <w:sz w:val="24"/>
          <w:lang w:val="zh-CN" w:eastAsia="zh-CN"/>
        </w:rPr>
        <w:t>上年同期数字为</w:t>
      </w:r>
      <w:r w:rsidRPr="002D3A87">
        <w:rPr>
          <w:rFonts w:eastAsia="宋体" w:cs="Arial"/>
          <w:snapToGrid w:val="0"/>
          <w:color w:val="000000"/>
          <w:sz w:val="24"/>
          <w:lang w:val="zh-CN" w:eastAsia="zh-CN"/>
        </w:rPr>
        <w:t>1.60</w:t>
      </w:r>
      <w:r w:rsidRPr="002D3A87">
        <w:rPr>
          <w:rFonts w:eastAsia="宋体" w:cs="Arial"/>
          <w:snapToGrid w:val="0"/>
          <w:color w:val="000000"/>
          <w:sz w:val="24"/>
          <w:lang w:val="zh-CN" w:eastAsia="zh-CN"/>
        </w:rPr>
        <w:t>亿欧元。</w:t>
      </w:r>
    </w:p>
    <w:p w:rsidR="007C171B" w:rsidRPr="002D3A87" w:rsidRDefault="007C171B" w:rsidP="007C171B">
      <w:pPr>
        <w:autoSpaceDE w:val="0"/>
        <w:autoSpaceDN w:val="0"/>
        <w:adjustRightInd w:val="0"/>
        <w:spacing w:line="360" w:lineRule="auto"/>
        <w:rPr>
          <w:rFonts w:eastAsia="宋体" w:cs="Arial"/>
          <w:snapToGrid w:val="0"/>
          <w:color w:val="000000"/>
          <w:sz w:val="24"/>
          <w:lang w:val="en-US" w:eastAsia="zh-CN"/>
        </w:rPr>
      </w:pPr>
    </w:p>
    <w:p w:rsidR="00A363AD" w:rsidRPr="002D3A87" w:rsidRDefault="007C171B" w:rsidP="007C171B">
      <w:pPr>
        <w:autoSpaceDE w:val="0"/>
        <w:autoSpaceDN w:val="0"/>
        <w:adjustRightInd w:val="0"/>
        <w:spacing w:line="360" w:lineRule="auto"/>
        <w:rPr>
          <w:rFonts w:eastAsia="宋体" w:cs="Arial"/>
          <w:snapToGrid w:val="0"/>
          <w:sz w:val="24"/>
          <w:lang w:val="en-US" w:eastAsia="zh-CN"/>
        </w:rPr>
      </w:pPr>
      <w:r w:rsidRPr="002D3A87">
        <w:rPr>
          <w:rFonts w:eastAsia="宋体" w:cs="Arial"/>
          <w:snapToGrid w:val="0"/>
          <w:color w:val="000000"/>
          <w:sz w:val="24"/>
          <w:lang w:val="en-US" w:eastAsia="zh-CN"/>
        </w:rPr>
        <w:t>同样，</w:t>
      </w:r>
      <w:r w:rsidRPr="002D3A87">
        <w:rPr>
          <w:rFonts w:eastAsia="宋体" w:cs="Arial"/>
          <w:b/>
          <w:snapToGrid w:val="0"/>
          <w:color w:val="000000"/>
          <w:sz w:val="24"/>
          <w:lang w:val="en-US" w:eastAsia="zh-CN"/>
        </w:rPr>
        <w:t>化妆品</w:t>
      </w:r>
      <w:r w:rsidRPr="002D3A87">
        <w:rPr>
          <w:rFonts w:eastAsia="宋体" w:cs="Arial"/>
          <w:b/>
          <w:snapToGrid w:val="0"/>
          <w:color w:val="000000"/>
          <w:sz w:val="24"/>
          <w:lang w:val="en-US" w:eastAsia="zh-CN"/>
        </w:rPr>
        <w:t>/</w:t>
      </w:r>
      <w:r w:rsidRPr="002D3A87">
        <w:rPr>
          <w:rFonts w:eastAsia="宋体" w:cs="Arial"/>
          <w:b/>
          <w:snapToGrid w:val="0"/>
          <w:color w:val="000000"/>
          <w:sz w:val="24"/>
          <w:lang w:val="en-US" w:eastAsia="zh-CN"/>
        </w:rPr>
        <w:t>美容用品</w:t>
      </w:r>
      <w:r w:rsidRPr="002D3A87">
        <w:rPr>
          <w:rFonts w:eastAsia="宋体" w:cs="Arial"/>
          <w:snapToGrid w:val="0"/>
          <w:color w:val="000000"/>
          <w:sz w:val="24"/>
          <w:lang w:val="en-US" w:eastAsia="zh-CN"/>
        </w:rPr>
        <w:t>业务部在</w:t>
      </w:r>
      <w:r w:rsidRPr="002D3A87">
        <w:rPr>
          <w:rFonts w:eastAsia="宋体" w:cs="Arial"/>
          <w:snapToGrid w:val="0"/>
          <w:color w:val="000000"/>
          <w:sz w:val="24"/>
          <w:lang w:val="en-US" w:eastAsia="zh-CN"/>
        </w:rPr>
        <w:t>2015</w:t>
      </w:r>
      <w:r w:rsidRPr="002D3A87">
        <w:rPr>
          <w:rFonts w:eastAsia="宋体" w:cs="Arial"/>
          <w:snapToGrid w:val="0"/>
          <w:color w:val="000000"/>
          <w:sz w:val="24"/>
          <w:lang w:val="en-US" w:eastAsia="zh-CN"/>
        </w:rPr>
        <w:t>年第二季度持续了盈利性增长趋势。实现有机销售额增长</w:t>
      </w:r>
      <w:r w:rsidRPr="002D3A87">
        <w:rPr>
          <w:rFonts w:eastAsia="宋体" w:cs="Arial"/>
          <w:bCs/>
          <w:snapToGrid w:val="0"/>
          <w:color w:val="000000"/>
          <w:sz w:val="24"/>
          <w:lang w:val="en-US" w:eastAsia="zh-CN"/>
        </w:rPr>
        <w:t>1.9%</w:t>
      </w:r>
      <w:r w:rsidRPr="002D3A87">
        <w:rPr>
          <w:rFonts w:eastAsia="宋体" w:cs="Arial"/>
          <w:bCs/>
          <w:snapToGrid w:val="0"/>
          <w:color w:val="000000"/>
          <w:sz w:val="24"/>
          <w:lang w:val="en-US" w:eastAsia="zh-CN"/>
        </w:rPr>
        <w:t>，</w:t>
      </w:r>
      <w:r w:rsidRPr="002D3A87">
        <w:rPr>
          <w:rFonts w:eastAsia="宋体" w:cs="Arial"/>
          <w:snapToGrid w:val="0"/>
          <w:color w:val="000000"/>
          <w:sz w:val="24"/>
          <w:lang w:val="en-US" w:eastAsia="zh-CN"/>
        </w:rPr>
        <w:t>再一次超过相关市场的表现，进一步提高了市场份额。</w:t>
      </w:r>
      <w:r w:rsidRPr="002D3A87">
        <w:rPr>
          <w:rFonts w:eastAsia="宋体" w:cs="Arial"/>
          <w:snapToGrid w:val="0"/>
          <w:color w:val="000000"/>
          <w:sz w:val="24"/>
          <w:lang w:val="zh-CN" w:eastAsia="zh-CN"/>
        </w:rPr>
        <w:t>名义</w:t>
      </w:r>
      <w:r w:rsidRPr="002D3A87">
        <w:rPr>
          <w:rFonts w:eastAsia="宋体" w:cs="Arial"/>
          <w:b/>
          <w:snapToGrid w:val="0"/>
          <w:color w:val="000000"/>
          <w:sz w:val="24"/>
          <w:lang w:val="zh-CN" w:eastAsia="zh-CN"/>
        </w:rPr>
        <w:t>销售额</w:t>
      </w:r>
      <w:r w:rsidRPr="002D3A87">
        <w:rPr>
          <w:rFonts w:eastAsia="宋体" w:cs="Arial"/>
          <w:snapToGrid w:val="0"/>
          <w:color w:val="000000"/>
          <w:sz w:val="24"/>
          <w:lang w:val="zh-CN" w:eastAsia="zh-CN"/>
        </w:rPr>
        <w:t>增长显著，增幅</w:t>
      </w:r>
      <w:r w:rsidRPr="002D3A87">
        <w:rPr>
          <w:rFonts w:eastAsia="宋体" w:cs="Arial"/>
          <w:bCs/>
          <w:snapToGrid w:val="0"/>
          <w:color w:val="000000"/>
          <w:sz w:val="24"/>
          <w:lang w:val="en-US" w:eastAsia="zh-CN"/>
        </w:rPr>
        <w:t>12.2</w:t>
      </w:r>
      <w:r w:rsidRPr="002D3A87">
        <w:rPr>
          <w:rFonts w:eastAsia="宋体" w:cs="Arial"/>
          <w:snapToGrid w:val="0"/>
          <w:color w:val="000000"/>
          <w:sz w:val="24"/>
          <w:lang w:val="en-US" w:eastAsia="zh-CN"/>
        </w:rPr>
        <w:t>%</w:t>
      </w:r>
      <w:r w:rsidRPr="002D3A87">
        <w:rPr>
          <w:rFonts w:eastAsia="宋体" w:cs="Arial"/>
          <w:snapToGrid w:val="0"/>
          <w:color w:val="000000"/>
          <w:sz w:val="24"/>
          <w:lang w:val="en-US" w:eastAsia="zh-CN"/>
        </w:rPr>
        <w:t>，至</w:t>
      </w:r>
      <w:r w:rsidRPr="002D3A87">
        <w:rPr>
          <w:rFonts w:eastAsia="宋体" w:cs="Arial"/>
          <w:snapToGrid w:val="0"/>
          <w:color w:val="000000"/>
          <w:sz w:val="24"/>
          <w:lang w:val="en-US" w:eastAsia="zh-CN"/>
        </w:rPr>
        <w:t>10.06</w:t>
      </w:r>
      <w:r w:rsidRPr="002D3A87">
        <w:rPr>
          <w:rFonts w:eastAsia="宋体" w:cs="Arial"/>
          <w:snapToGrid w:val="0"/>
          <w:color w:val="000000"/>
          <w:sz w:val="24"/>
          <w:lang w:val="en-US" w:eastAsia="zh-CN"/>
        </w:rPr>
        <w:t>亿欧元（</w:t>
      </w:r>
      <w:r w:rsidRPr="002D3A87">
        <w:rPr>
          <w:rFonts w:eastAsia="宋体" w:cs="Arial"/>
          <w:snapToGrid w:val="0"/>
          <w:color w:val="000000"/>
          <w:sz w:val="24"/>
          <w:lang w:val="zh-CN" w:eastAsia="zh-CN"/>
        </w:rPr>
        <w:t>上年同期数字为：</w:t>
      </w:r>
      <w:r w:rsidRPr="002D3A87">
        <w:rPr>
          <w:rFonts w:eastAsia="宋体" w:cs="Arial"/>
          <w:snapToGrid w:val="0"/>
          <w:color w:val="000000"/>
          <w:sz w:val="24"/>
          <w:lang w:val="zh-CN" w:eastAsia="zh-CN"/>
        </w:rPr>
        <w:t>8.97</w:t>
      </w:r>
      <w:r w:rsidRPr="002D3A87">
        <w:rPr>
          <w:rFonts w:eastAsia="宋体" w:cs="Arial"/>
          <w:snapToGrid w:val="0"/>
          <w:color w:val="000000"/>
          <w:sz w:val="24"/>
          <w:lang w:val="zh-CN" w:eastAsia="zh-CN"/>
        </w:rPr>
        <w:t>亿欧元），单季度销售额首度破</w:t>
      </w:r>
      <w:r w:rsidRPr="002D3A87">
        <w:rPr>
          <w:rFonts w:eastAsia="宋体" w:cs="Arial"/>
          <w:snapToGrid w:val="0"/>
          <w:color w:val="000000"/>
          <w:sz w:val="24"/>
          <w:lang w:val="zh-CN" w:eastAsia="zh-CN"/>
        </w:rPr>
        <w:t>10</w:t>
      </w:r>
      <w:r w:rsidRPr="002D3A87">
        <w:rPr>
          <w:rFonts w:eastAsia="宋体" w:cs="Arial"/>
          <w:snapToGrid w:val="0"/>
          <w:color w:val="000000"/>
          <w:sz w:val="24"/>
          <w:lang w:val="zh-CN" w:eastAsia="zh-CN"/>
        </w:rPr>
        <w:t>亿欧元。</w:t>
      </w:r>
    </w:p>
    <w:p w:rsidR="00A363AD" w:rsidRPr="002D3A87" w:rsidRDefault="00A363AD" w:rsidP="007C171B">
      <w:pPr>
        <w:autoSpaceDE w:val="0"/>
        <w:autoSpaceDN w:val="0"/>
        <w:adjustRightInd w:val="0"/>
        <w:spacing w:line="360" w:lineRule="auto"/>
        <w:rPr>
          <w:rFonts w:eastAsia="宋体" w:cs="Arial"/>
          <w:snapToGrid w:val="0"/>
          <w:sz w:val="24"/>
          <w:lang w:val="en-US" w:eastAsia="zh-CN"/>
        </w:rPr>
      </w:pPr>
    </w:p>
    <w:p w:rsidR="00A363AD" w:rsidRPr="002D3A87" w:rsidRDefault="007C171B" w:rsidP="007C171B">
      <w:pPr>
        <w:autoSpaceDE w:val="0"/>
        <w:autoSpaceDN w:val="0"/>
        <w:adjustRightInd w:val="0"/>
        <w:spacing w:line="360" w:lineRule="auto"/>
        <w:rPr>
          <w:rFonts w:eastAsia="宋体" w:cs="Arial"/>
          <w:snapToGrid w:val="0"/>
          <w:sz w:val="24"/>
          <w:lang w:val="en-US" w:eastAsia="zh-CN"/>
        </w:rPr>
      </w:pPr>
      <w:r w:rsidRPr="002D3A87">
        <w:rPr>
          <w:rFonts w:eastAsia="宋体" w:cs="Arial"/>
          <w:snapToGrid w:val="0"/>
          <w:color w:val="000000"/>
          <w:sz w:val="24"/>
          <w:lang w:val="en-US" w:eastAsia="zh-CN"/>
        </w:rPr>
        <w:t>该业务部在新兴市场的成功开拓</w:t>
      </w:r>
      <w:r w:rsidR="009B4D4D" w:rsidRPr="002D3A87">
        <w:rPr>
          <w:rFonts w:eastAsia="宋体" w:cs="Arial"/>
          <w:snapToGrid w:val="0"/>
          <w:color w:val="000000"/>
          <w:sz w:val="24"/>
          <w:lang w:val="en-US" w:eastAsia="zh-CN"/>
        </w:rPr>
        <w:t>继续呈现十分强劲的</w:t>
      </w:r>
      <w:bookmarkStart w:id="44" w:name="OLE_LINK230"/>
      <w:bookmarkStart w:id="45" w:name="OLE_LINK231"/>
      <w:r w:rsidR="009B4D4D" w:rsidRPr="002D3A87">
        <w:rPr>
          <w:rFonts w:eastAsia="宋体" w:cs="Arial"/>
          <w:snapToGrid w:val="0"/>
          <w:color w:val="000000"/>
          <w:sz w:val="24"/>
          <w:lang w:val="en-US" w:eastAsia="zh-CN"/>
        </w:rPr>
        <w:t>有机销售额增长</w:t>
      </w:r>
      <w:bookmarkEnd w:id="44"/>
      <w:bookmarkEnd w:id="45"/>
      <w:r w:rsidR="009B4D4D" w:rsidRPr="002D3A87">
        <w:rPr>
          <w:rFonts w:eastAsia="宋体" w:cs="Arial"/>
          <w:snapToGrid w:val="0"/>
          <w:color w:val="000000"/>
          <w:sz w:val="24"/>
          <w:lang w:val="en-US" w:eastAsia="zh-CN"/>
        </w:rPr>
        <w:t>。亚洲（日本除外）和拉美地区再次实现两位数增长。东欧销售业绩表现强劲，非洲</w:t>
      </w:r>
      <w:r w:rsidR="009B4D4D" w:rsidRPr="002D3A87">
        <w:rPr>
          <w:rFonts w:eastAsia="宋体" w:cs="Arial"/>
          <w:snapToGrid w:val="0"/>
          <w:color w:val="000000"/>
          <w:sz w:val="24"/>
          <w:lang w:val="en-US" w:eastAsia="zh-CN"/>
        </w:rPr>
        <w:t>/</w:t>
      </w:r>
      <w:r w:rsidR="009B4D4D" w:rsidRPr="002D3A87">
        <w:rPr>
          <w:rFonts w:eastAsia="宋体" w:cs="Arial"/>
          <w:snapToGrid w:val="0"/>
          <w:color w:val="000000"/>
          <w:sz w:val="24"/>
          <w:lang w:val="en-US" w:eastAsia="zh-CN"/>
        </w:rPr>
        <w:t>中东地区有机销售额有所增长。成熟市场业务继续受到负面的市场发展、价格和推广竞争的影响。受西欧业绩影响，这里的销售额较上年同期有所下降。尽管市场环境严峻，但北美销售额呈现稳定增长。亚太区成熟市场的有机销售额有所增长。</w:t>
      </w:r>
    </w:p>
    <w:p w:rsidR="00A363AD" w:rsidRPr="002D3A87" w:rsidRDefault="00A363AD" w:rsidP="007C171B">
      <w:pPr>
        <w:autoSpaceDE w:val="0"/>
        <w:autoSpaceDN w:val="0"/>
        <w:adjustRightInd w:val="0"/>
        <w:spacing w:line="360" w:lineRule="auto"/>
        <w:rPr>
          <w:rFonts w:eastAsia="宋体" w:cs="Arial"/>
          <w:snapToGrid w:val="0"/>
          <w:sz w:val="24"/>
          <w:lang w:val="en-US" w:eastAsia="zh-CN"/>
        </w:rPr>
      </w:pPr>
    </w:p>
    <w:p w:rsidR="00A363AD" w:rsidRPr="002D3A87" w:rsidRDefault="009B4D4D" w:rsidP="007C171B">
      <w:pPr>
        <w:spacing w:line="360" w:lineRule="auto"/>
        <w:rPr>
          <w:rFonts w:eastAsia="宋体" w:cs="Arial"/>
          <w:bCs/>
          <w:snapToGrid w:val="0"/>
          <w:color w:val="000000"/>
          <w:sz w:val="24"/>
          <w:lang w:val="en-US" w:eastAsia="zh-CN"/>
        </w:rPr>
      </w:pPr>
      <w:r w:rsidRPr="002D3A87">
        <w:rPr>
          <w:rFonts w:eastAsia="宋体" w:cs="Arial"/>
          <w:snapToGrid w:val="0"/>
          <w:color w:val="000000"/>
          <w:sz w:val="24"/>
          <w:lang w:val="en-US" w:eastAsia="zh-CN"/>
        </w:rPr>
        <w:t>化妆品</w:t>
      </w:r>
      <w:r w:rsidRPr="002D3A87">
        <w:rPr>
          <w:rFonts w:eastAsia="宋体" w:cs="Arial"/>
          <w:snapToGrid w:val="0"/>
          <w:color w:val="000000"/>
          <w:sz w:val="24"/>
          <w:lang w:val="en-US" w:eastAsia="zh-CN"/>
        </w:rPr>
        <w:t>/</w:t>
      </w:r>
      <w:r w:rsidRPr="002D3A87">
        <w:rPr>
          <w:rFonts w:eastAsia="宋体" w:cs="Arial"/>
          <w:snapToGrid w:val="0"/>
          <w:color w:val="000000"/>
          <w:sz w:val="24"/>
          <w:lang w:val="en-US" w:eastAsia="zh-CN"/>
        </w:rPr>
        <w:t>美容用品业务部的</w:t>
      </w:r>
      <w:r w:rsidRPr="002D3A87">
        <w:rPr>
          <w:rFonts w:eastAsia="宋体" w:cs="Arial"/>
          <w:b/>
          <w:snapToGrid w:val="0"/>
          <w:color w:val="000000"/>
          <w:sz w:val="24"/>
          <w:lang w:val="en-US" w:eastAsia="zh-CN"/>
        </w:rPr>
        <w:t>调整后营业利润</w:t>
      </w:r>
      <w:r w:rsidRPr="002D3A87">
        <w:rPr>
          <w:rFonts w:eastAsia="宋体" w:cs="Arial"/>
          <w:snapToGrid w:val="0"/>
          <w:color w:val="000000"/>
          <w:sz w:val="24"/>
          <w:lang w:val="en-US" w:eastAsia="zh-CN"/>
        </w:rPr>
        <w:t>较上年同期大幅增长</w:t>
      </w:r>
      <w:r w:rsidRPr="002D3A87">
        <w:rPr>
          <w:rFonts w:eastAsia="宋体" w:cs="Arial"/>
          <w:snapToGrid w:val="0"/>
          <w:sz w:val="24"/>
          <w:lang w:val="en-US" w:eastAsia="zh-CN"/>
        </w:rPr>
        <w:t>14.7</w:t>
      </w:r>
      <w:r w:rsidRPr="002D3A87">
        <w:rPr>
          <w:rFonts w:eastAsia="宋体" w:cs="Arial"/>
          <w:snapToGrid w:val="0"/>
          <w:color w:val="000000"/>
          <w:sz w:val="24"/>
          <w:lang w:val="en-US" w:eastAsia="zh-CN"/>
        </w:rPr>
        <w:t>%</w:t>
      </w:r>
      <w:r w:rsidRPr="002D3A87">
        <w:rPr>
          <w:rFonts w:eastAsia="宋体" w:cs="Arial"/>
          <w:snapToGrid w:val="0"/>
          <w:color w:val="000000"/>
          <w:sz w:val="24"/>
          <w:lang w:val="en-US" w:eastAsia="zh-CN"/>
        </w:rPr>
        <w:t>，至</w:t>
      </w:r>
      <w:r w:rsidRPr="002D3A87">
        <w:rPr>
          <w:rFonts w:eastAsia="宋体" w:cs="Arial"/>
          <w:snapToGrid w:val="0"/>
          <w:color w:val="000000"/>
          <w:sz w:val="24"/>
          <w:lang w:val="en-US" w:eastAsia="zh-CN"/>
        </w:rPr>
        <w:t>1.66</w:t>
      </w:r>
      <w:r w:rsidRPr="002D3A87">
        <w:rPr>
          <w:rFonts w:eastAsia="宋体" w:cs="Arial"/>
          <w:snapToGrid w:val="0"/>
          <w:color w:val="000000"/>
          <w:sz w:val="24"/>
          <w:lang w:val="en-US" w:eastAsia="zh-CN"/>
        </w:rPr>
        <w:t>亿欧元。调整后销售回报率增长</w:t>
      </w:r>
      <w:r w:rsidRPr="002D3A87">
        <w:rPr>
          <w:rFonts w:eastAsia="宋体" w:cs="Arial"/>
          <w:snapToGrid w:val="0"/>
          <w:color w:val="000000"/>
          <w:sz w:val="24"/>
          <w:lang w:val="en-US" w:eastAsia="zh-CN"/>
        </w:rPr>
        <w:t>0.3</w:t>
      </w:r>
      <w:r w:rsidRPr="002D3A87">
        <w:rPr>
          <w:rFonts w:eastAsia="宋体" w:cs="Arial"/>
          <w:snapToGrid w:val="0"/>
          <w:color w:val="000000"/>
          <w:sz w:val="24"/>
          <w:lang w:val="en-US" w:eastAsia="zh-CN"/>
        </w:rPr>
        <w:t>个百分点，首度达到</w:t>
      </w:r>
      <w:r w:rsidRPr="002D3A87">
        <w:rPr>
          <w:rFonts w:eastAsia="宋体" w:cs="Arial"/>
          <w:bCs/>
          <w:snapToGrid w:val="0"/>
          <w:color w:val="000000"/>
          <w:sz w:val="24"/>
          <w:lang w:val="en-US" w:eastAsia="zh-CN"/>
        </w:rPr>
        <w:t>16.5</w:t>
      </w:r>
      <w:r w:rsidRPr="002D3A87">
        <w:rPr>
          <w:rFonts w:eastAsia="宋体" w:cs="Arial"/>
          <w:snapToGrid w:val="0"/>
          <w:color w:val="000000"/>
          <w:sz w:val="24"/>
          <w:lang w:val="en-US" w:eastAsia="zh-CN"/>
        </w:rPr>
        <w:t>%</w:t>
      </w:r>
      <w:r w:rsidRPr="002D3A87">
        <w:rPr>
          <w:rFonts w:eastAsia="宋体" w:cs="Arial"/>
          <w:snapToGrid w:val="0"/>
          <w:color w:val="000000"/>
          <w:sz w:val="24"/>
          <w:lang w:val="en-US" w:eastAsia="zh-CN"/>
        </w:rPr>
        <w:t>。实际</w:t>
      </w:r>
      <w:r w:rsidRPr="002D3A87">
        <w:rPr>
          <w:rFonts w:eastAsia="宋体" w:cs="Arial"/>
          <w:snapToGrid w:val="0"/>
          <w:color w:val="000000"/>
          <w:sz w:val="24"/>
          <w:lang w:val="zh-CN" w:eastAsia="zh-CN"/>
        </w:rPr>
        <w:t>营运利润增长</w:t>
      </w:r>
      <w:r w:rsidRPr="002D3A87">
        <w:rPr>
          <w:rFonts w:eastAsia="宋体" w:cs="Arial"/>
          <w:bCs/>
          <w:snapToGrid w:val="0"/>
          <w:color w:val="000000"/>
          <w:sz w:val="24"/>
          <w:lang w:val="en-US" w:eastAsia="zh-CN"/>
        </w:rPr>
        <w:t>17.6%</w:t>
      </w:r>
      <w:r w:rsidRPr="002D3A87">
        <w:rPr>
          <w:rFonts w:eastAsia="宋体" w:cs="Arial"/>
          <w:bCs/>
          <w:snapToGrid w:val="0"/>
          <w:color w:val="000000"/>
          <w:sz w:val="24"/>
          <w:lang w:val="en-US" w:eastAsia="zh-CN"/>
        </w:rPr>
        <w:t>，至</w:t>
      </w:r>
      <w:r w:rsidRPr="002D3A87">
        <w:rPr>
          <w:rFonts w:eastAsia="宋体" w:cs="Arial"/>
          <w:bCs/>
          <w:snapToGrid w:val="0"/>
          <w:color w:val="000000"/>
          <w:sz w:val="24"/>
          <w:lang w:val="en-US" w:eastAsia="zh-CN"/>
        </w:rPr>
        <w:t>1.58</w:t>
      </w:r>
      <w:r w:rsidRPr="002D3A87">
        <w:rPr>
          <w:rFonts w:eastAsia="宋体" w:cs="Arial"/>
          <w:snapToGrid w:val="0"/>
          <w:color w:val="000000"/>
          <w:sz w:val="24"/>
          <w:lang w:val="zh-CN" w:eastAsia="zh-CN"/>
        </w:rPr>
        <w:t>亿欧元。</w:t>
      </w:r>
    </w:p>
    <w:p w:rsidR="00A363AD" w:rsidRPr="002D3A87" w:rsidRDefault="00A363AD" w:rsidP="007C171B">
      <w:pPr>
        <w:autoSpaceDE w:val="0"/>
        <w:autoSpaceDN w:val="0"/>
        <w:adjustRightInd w:val="0"/>
        <w:spacing w:line="360" w:lineRule="auto"/>
        <w:rPr>
          <w:rFonts w:eastAsia="宋体" w:cs="Arial"/>
          <w:snapToGrid w:val="0"/>
          <w:sz w:val="24"/>
          <w:lang w:val="en-US" w:eastAsia="zh-CN"/>
        </w:rPr>
      </w:pPr>
    </w:p>
    <w:p w:rsidR="00A363AD" w:rsidRPr="002D3A87" w:rsidRDefault="009B4D4D" w:rsidP="00FA5121">
      <w:pPr>
        <w:autoSpaceDE w:val="0"/>
        <w:autoSpaceDN w:val="0"/>
        <w:adjustRightInd w:val="0"/>
        <w:spacing w:line="360" w:lineRule="auto"/>
        <w:rPr>
          <w:rFonts w:eastAsia="宋体" w:cs="Arial"/>
          <w:snapToGrid w:val="0"/>
          <w:color w:val="000000"/>
          <w:sz w:val="24"/>
          <w:lang w:val="en-US" w:eastAsia="zh-CN"/>
        </w:rPr>
      </w:pPr>
      <w:r w:rsidRPr="002D3A87">
        <w:rPr>
          <w:rFonts w:eastAsia="宋体" w:cs="Arial"/>
          <w:b/>
          <w:snapToGrid w:val="0"/>
          <w:color w:val="000000"/>
          <w:sz w:val="24"/>
          <w:lang w:val="en-US" w:eastAsia="zh-CN"/>
        </w:rPr>
        <w:t>粘合剂技术</w:t>
      </w:r>
      <w:r w:rsidRPr="002D3A87">
        <w:rPr>
          <w:rFonts w:eastAsia="宋体" w:cs="Arial"/>
          <w:snapToGrid w:val="0"/>
          <w:color w:val="000000"/>
          <w:sz w:val="24"/>
          <w:lang w:val="en-US" w:eastAsia="zh-CN"/>
        </w:rPr>
        <w:t>业务部在</w:t>
      </w:r>
      <w:r w:rsidRPr="002D3A87">
        <w:rPr>
          <w:rFonts w:eastAsia="宋体" w:cs="Arial"/>
          <w:snapToGrid w:val="0"/>
          <w:color w:val="000000"/>
          <w:sz w:val="24"/>
          <w:lang w:val="en-US" w:eastAsia="zh-CN"/>
        </w:rPr>
        <w:t>2015</w:t>
      </w:r>
      <w:r w:rsidRPr="002D3A87">
        <w:rPr>
          <w:rFonts w:eastAsia="宋体" w:cs="Arial"/>
          <w:snapToGrid w:val="0"/>
          <w:color w:val="000000"/>
          <w:sz w:val="24"/>
          <w:lang w:val="en-US" w:eastAsia="zh-CN"/>
        </w:rPr>
        <w:t>年第二季度实现</w:t>
      </w:r>
      <w:r w:rsidRPr="002D3A87">
        <w:rPr>
          <w:rFonts w:eastAsia="宋体" w:cs="Arial"/>
          <w:snapToGrid w:val="0"/>
          <w:sz w:val="24"/>
          <w:lang w:val="en-US" w:eastAsia="zh-CN"/>
        </w:rPr>
        <w:t>1.7%</w:t>
      </w:r>
      <w:r w:rsidRPr="002D3A87">
        <w:rPr>
          <w:rFonts w:eastAsia="宋体" w:cs="Arial"/>
          <w:snapToGrid w:val="0"/>
          <w:sz w:val="24"/>
          <w:lang w:val="en-US" w:eastAsia="zh-CN"/>
        </w:rPr>
        <w:t>的</w:t>
      </w:r>
      <w:r w:rsidRPr="002D3A87">
        <w:rPr>
          <w:rFonts w:eastAsia="宋体" w:cs="Arial"/>
          <w:snapToGrid w:val="0"/>
          <w:color w:val="000000"/>
          <w:sz w:val="24"/>
          <w:lang w:val="en-US" w:eastAsia="zh-CN"/>
        </w:rPr>
        <w:t>有机销售额增长。名义</w:t>
      </w:r>
      <w:r w:rsidRPr="002D3A87">
        <w:rPr>
          <w:rFonts w:eastAsia="宋体" w:cs="Arial"/>
          <w:b/>
          <w:snapToGrid w:val="0"/>
          <w:color w:val="000000"/>
          <w:sz w:val="24"/>
          <w:lang w:val="en-US" w:eastAsia="zh-CN"/>
        </w:rPr>
        <w:t>销售额</w:t>
      </w:r>
      <w:r w:rsidRPr="002D3A87">
        <w:rPr>
          <w:rFonts w:eastAsia="宋体" w:cs="Arial"/>
          <w:snapToGrid w:val="0"/>
          <w:color w:val="000000"/>
          <w:sz w:val="24"/>
          <w:lang w:val="en-US" w:eastAsia="zh-CN"/>
        </w:rPr>
        <w:t>增长</w:t>
      </w:r>
      <w:r w:rsidRPr="002D3A87">
        <w:rPr>
          <w:rFonts w:eastAsia="宋体" w:cs="Arial"/>
          <w:snapToGrid w:val="0"/>
          <w:color w:val="000000"/>
          <w:sz w:val="24"/>
          <w:lang w:val="en-US" w:eastAsia="zh-CN"/>
        </w:rPr>
        <w:t>13.3%</w:t>
      </w:r>
      <w:r w:rsidRPr="002D3A87">
        <w:rPr>
          <w:rFonts w:eastAsia="宋体" w:cs="Arial"/>
          <w:snapToGrid w:val="0"/>
          <w:color w:val="000000"/>
          <w:sz w:val="24"/>
          <w:lang w:val="en-US" w:eastAsia="zh-CN"/>
        </w:rPr>
        <w:t>，至</w:t>
      </w:r>
      <w:r w:rsidRPr="002D3A87">
        <w:rPr>
          <w:rFonts w:eastAsia="宋体" w:cs="Arial"/>
          <w:snapToGrid w:val="0"/>
          <w:color w:val="000000"/>
          <w:sz w:val="24"/>
          <w:lang w:val="en-US" w:eastAsia="zh-CN"/>
        </w:rPr>
        <w:t>23.43</w:t>
      </w:r>
      <w:r w:rsidRPr="002D3A87">
        <w:rPr>
          <w:rFonts w:eastAsia="宋体" w:cs="Arial"/>
          <w:snapToGrid w:val="0"/>
          <w:color w:val="000000"/>
          <w:sz w:val="24"/>
          <w:lang w:val="en-US" w:eastAsia="zh-CN"/>
        </w:rPr>
        <w:t>亿欧元（上年同期为：</w:t>
      </w:r>
      <w:r w:rsidRPr="002D3A87">
        <w:rPr>
          <w:rFonts w:eastAsia="宋体" w:cs="Arial"/>
          <w:snapToGrid w:val="0"/>
          <w:color w:val="000000"/>
          <w:sz w:val="24"/>
          <w:lang w:val="en-US" w:eastAsia="zh-CN"/>
        </w:rPr>
        <w:t>20.69</w:t>
      </w:r>
      <w:r w:rsidRPr="002D3A87">
        <w:rPr>
          <w:rFonts w:eastAsia="宋体" w:cs="Arial"/>
          <w:snapToGrid w:val="0"/>
          <w:color w:val="000000"/>
          <w:sz w:val="24"/>
          <w:lang w:val="en-US" w:eastAsia="zh-CN"/>
        </w:rPr>
        <w:t>亿欧元）。</w:t>
      </w:r>
    </w:p>
    <w:p w:rsidR="00A363AD" w:rsidRPr="002D3A87" w:rsidRDefault="00A363AD" w:rsidP="007C171B">
      <w:pPr>
        <w:autoSpaceDE w:val="0"/>
        <w:autoSpaceDN w:val="0"/>
        <w:adjustRightInd w:val="0"/>
        <w:spacing w:line="360" w:lineRule="auto"/>
        <w:rPr>
          <w:rFonts w:eastAsia="宋体" w:cs="Arial"/>
          <w:snapToGrid w:val="0"/>
          <w:color w:val="000000"/>
          <w:sz w:val="24"/>
          <w:lang w:val="en-US" w:eastAsia="zh-CN"/>
        </w:rPr>
      </w:pPr>
    </w:p>
    <w:p w:rsidR="00A363AD" w:rsidRPr="002D3A87" w:rsidRDefault="009B4D4D" w:rsidP="000E41E8">
      <w:pPr>
        <w:autoSpaceDE w:val="0"/>
        <w:autoSpaceDN w:val="0"/>
        <w:adjustRightInd w:val="0"/>
        <w:spacing w:line="360" w:lineRule="auto"/>
        <w:rPr>
          <w:rFonts w:eastAsia="宋体" w:cs="Arial"/>
          <w:snapToGrid w:val="0"/>
          <w:sz w:val="24"/>
          <w:lang w:val="en-US" w:eastAsia="zh-CN"/>
        </w:rPr>
      </w:pPr>
      <w:r w:rsidRPr="002D3A87">
        <w:rPr>
          <w:rFonts w:eastAsia="宋体" w:cs="Arial"/>
          <w:snapToGrid w:val="0"/>
          <w:color w:val="000000"/>
          <w:sz w:val="24"/>
          <w:lang w:val="en-US" w:eastAsia="zh-CN"/>
        </w:rPr>
        <w:t>新兴市场表现出稳定的有机销售额增长率。非洲</w:t>
      </w:r>
      <w:r w:rsidRPr="002D3A87">
        <w:rPr>
          <w:rFonts w:eastAsia="宋体" w:cs="Arial"/>
          <w:snapToGrid w:val="0"/>
          <w:color w:val="000000"/>
          <w:sz w:val="24"/>
          <w:lang w:val="en-US" w:eastAsia="zh-CN"/>
        </w:rPr>
        <w:t>/</w:t>
      </w:r>
      <w:r w:rsidRPr="002D3A87">
        <w:rPr>
          <w:rFonts w:eastAsia="宋体" w:cs="Arial"/>
          <w:snapToGrid w:val="0"/>
          <w:color w:val="000000"/>
          <w:sz w:val="24"/>
          <w:lang w:val="en-US" w:eastAsia="zh-CN"/>
        </w:rPr>
        <w:t>中东地区呈现强劲增长。拉美地区增长强劲，亚洲（日本除外）销售额有所增长。</w:t>
      </w:r>
      <w:r w:rsidR="000E41E8">
        <w:rPr>
          <w:rFonts w:eastAsia="宋体" w:cs="Arial" w:hint="eastAsia"/>
          <w:snapToGrid w:val="0"/>
          <w:color w:val="000000"/>
          <w:sz w:val="24"/>
          <w:lang w:val="en-US" w:eastAsia="zh-CN"/>
        </w:rPr>
        <w:t>尽管东欧</w:t>
      </w:r>
      <w:r w:rsidRPr="002D3A87">
        <w:rPr>
          <w:rFonts w:eastAsia="宋体" w:cs="Arial"/>
          <w:snapToGrid w:val="0"/>
          <w:color w:val="000000"/>
          <w:sz w:val="24"/>
          <w:lang w:val="en-US" w:eastAsia="zh-CN"/>
        </w:rPr>
        <w:t>部分地区的政治局势依然紧张</w:t>
      </w:r>
      <w:r w:rsidR="000E41E8">
        <w:rPr>
          <w:rFonts w:eastAsia="宋体" w:cs="Arial" w:hint="eastAsia"/>
          <w:snapToGrid w:val="0"/>
          <w:color w:val="000000"/>
          <w:sz w:val="24"/>
          <w:lang w:val="en-US" w:eastAsia="zh-CN"/>
        </w:rPr>
        <w:t>，</w:t>
      </w:r>
      <w:r w:rsidR="000E41E8">
        <w:rPr>
          <w:rFonts w:eastAsia="宋体" w:cs="Arial" w:hint="eastAsia"/>
          <w:snapToGrid w:val="0"/>
          <w:color w:val="000000"/>
          <w:sz w:val="24"/>
          <w:lang w:val="en-US" w:eastAsia="zh-CN"/>
        </w:rPr>
        <w:lastRenderedPageBreak/>
        <w:t>但业绩表现同样良好</w:t>
      </w:r>
      <w:r w:rsidRPr="002D3A87">
        <w:rPr>
          <w:rFonts w:eastAsia="宋体" w:cs="Arial"/>
          <w:snapToGrid w:val="0"/>
          <w:color w:val="000000"/>
          <w:sz w:val="24"/>
          <w:lang w:val="en-US" w:eastAsia="zh-CN"/>
        </w:rPr>
        <w:t>。总体上，成熟市场的有机销售额有所增长。亚太区成熟市场业务增长强劲，西欧销售业绩良好。北美地区有机销售额较上年有所下滑。</w:t>
      </w:r>
    </w:p>
    <w:p w:rsidR="00A363AD" w:rsidRPr="002D3A87" w:rsidRDefault="00A363AD" w:rsidP="007C171B">
      <w:pPr>
        <w:autoSpaceDE w:val="0"/>
        <w:autoSpaceDN w:val="0"/>
        <w:adjustRightInd w:val="0"/>
        <w:spacing w:line="360" w:lineRule="auto"/>
        <w:rPr>
          <w:rFonts w:eastAsia="宋体" w:cs="Arial"/>
          <w:snapToGrid w:val="0"/>
          <w:sz w:val="24"/>
          <w:lang w:val="en-US" w:eastAsia="zh-CN"/>
        </w:rPr>
      </w:pPr>
    </w:p>
    <w:p w:rsidR="00A363AD" w:rsidRPr="002D3A87" w:rsidRDefault="009B4D4D" w:rsidP="007C171B">
      <w:pPr>
        <w:autoSpaceDE w:val="0"/>
        <w:autoSpaceDN w:val="0"/>
        <w:adjustRightInd w:val="0"/>
        <w:spacing w:line="360" w:lineRule="auto"/>
        <w:rPr>
          <w:rFonts w:eastAsia="宋体" w:cs="Arial"/>
          <w:snapToGrid w:val="0"/>
          <w:color w:val="000000"/>
          <w:sz w:val="24"/>
          <w:lang w:val="en-US" w:eastAsia="zh-CN"/>
        </w:rPr>
      </w:pPr>
      <w:r w:rsidRPr="002D3A87">
        <w:rPr>
          <w:rFonts w:eastAsia="宋体" w:cs="Arial"/>
          <w:snapToGrid w:val="0"/>
          <w:color w:val="000000"/>
          <w:sz w:val="24"/>
          <w:lang w:val="en-US" w:eastAsia="zh-CN"/>
        </w:rPr>
        <w:t>粘合剂技术业务部的</w:t>
      </w:r>
      <w:r w:rsidRPr="002D3A87">
        <w:rPr>
          <w:rFonts w:eastAsia="宋体" w:cs="Arial"/>
          <w:b/>
          <w:snapToGrid w:val="0"/>
          <w:color w:val="000000"/>
          <w:sz w:val="24"/>
          <w:lang w:val="en-US" w:eastAsia="zh-CN"/>
        </w:rPr>
        <w:t>调整后的营业利润</w:t>
      </w:r>
      <w:r w:rsidRPr="002D3A87">
        <w:rPr>
          <w:rFonts w:eastAsia="宋体" w:cs="Arial"/>
          <w:snapToGrid w:val="0"/>
          <w:color w:val="000000"/>
          <w:sz w:val="24"/>
          <w:lang w:val="en-US" w:eastAsia="zh-CN"/>
        </w:rPr>
        <w:t>较上年同期增长</w:t>
      </w:r>
      <w:r w:rsidRPr="002D3A87">
        <w:rPr>
          <w:rFonts w:eastAsia="宋体" w:cs="Arial"/>
          <w:snapToGrid w:val="0"/>
          <w:sz w:val="24"/>
          <w:lang w:val="en-US" w:eastAsia="zh-CN"/>
        </w:rPr>
        <w:t>9.9</w:t>
      </w:r>
      <w:r w:rsidRPr="002D3A87">
        <w:rPr>
          <w:rFonts w:eastAsia="宋体" w:cs="Arial"/>
          <w:snapToGrid w:val="0"/>
          <w:color w:val="000000"/>
          <w:sz w:val="24"/>
          <w:lang w:val="en-US" w:eastAsia="zh-CN"/>
        </w:rPr>
        <w:t>%</w:t>
      </w:r>
      <w:r w:rsidRPr="002D3A87">
        <w:rPr>
          <w:rFonts w:eastAsia="宋体" w:cs="Arial"/>
          <w:snapToGrid w:val="0"/>
          <w:color w:val="000000"/>
          <w:sz w:val="24"/>
          <w:lang w:val="en-US" w:eastAsia="zh-CN"/>
        </w:rPr>
        <w:t>，至</w:t>
      </w:r>
      <w:r w:rsidRPr="002D3A87">
        <w:rPr>
          <w:rFonts w:eastAsia="宋体" w:cs="Arial"/>
          <w:snapToGrid w:val="0"/>
          <w:color w:val="000000"/>
          <w:sz w:val="24"/>
          <w:lang w:val="en-US" w:eastAsia="zh-CN"/>
        </w:rPr>
        <w:t>3.98</w:t>
      </w:r>
      <w:r w:rsidRPr="002D3A87">
        <w:rPr>
          <w:rFonts w:eastAsia="宋体" w:cs="Arial"/>
          <w:snapToGrid w:val="0"/>
          <w:color w:val="000000"/>
          <w:sz w:val="24"/>
          <w:lang w:val="en-US" w:eastAsia="zh-CN"/>
        </w:rPr>
        <w:t>亿欧元。调整后销售回报率为</w:t>
      </w:r>
      <w:r w:rsidRPr="002D3A87">
        <w:rPr>
          <w:rFonts w:eastAsia="宋体" w:cs="Arial"/>
          <w:snapToGrid w:val="0"/>
          <w:color w:val="000000"/>
          <w:sz w:val="24"/>
          <w:lang w:val="en-US" w:eastAsia="zh-CN"/>
        </w:rPr>
        <w:t>17.0%</w:t>
      </w:r>
      <w:r w:rsidRPr="002D3A87">
        <w:rPr>
          <w:rFonts w:eastAsia="宋体" w:cs="Arial"/>
          <w:snapToGrid w:val="0"/>
          <w:color w:val="000000"/>
          <w:sz w:val="24"/>
          <w:lang w:val="en-US" w:eastAsia="zh-CN"/>
        </w:rPr>
        <w:t>，较上年同期有所下降。实际</w:t>
      </w:r>
      <w:r w:rsidRPr="002D3A87">
        <w:rPr>
          <w:rFonts w:eastAsia="宋体" w:cs="Arial"/>
          <w:snapToGrid w:val="0"/>
          <w:color w:val="000000"/>
          <w:sz w:val="24"/>
          <w:lang w:val="zh-CN" w:eastAsia="zh-CN"/>
        </w:rPr>
        <w:t>营运利润增长</w:t>
      </w:r>
      <w:r w:rsidRPr="002D3A87">
        <w:rPr>
          <w:rFonts w:eastAsia="宋体" w:cs="Arial"/>
          <w:snapToGrid w:val="0"/>
          <w:color w:val="000000"/>
          <w:sz w:val="24"/>
          <w:lang w:val="en-US" w:eastAsia="zh-CN"/>
        </w:rPr>
        <w:t>12.2%</w:t>
      </w:r>
      <w:r w:rsidRPr="002D3A87">
        <w:rPr>
          <w:rFonts w:eastAsia="宋体" w:cs="Arial"/>
          <w:snapToGrid w:val="0"/>
          <w:color w:val="000000"/>
          <w:sz w:val="24"/>
          <w:lang w:val="en-US" w:eastAsia="zh-CN"/>
        </w:rPr>
        <w:t>，</w:t>
      </w:r>
      <w:r w:rsidRPr="002D3A87">
        <w:rPr>
          <w:rFonts w:eastAsia="宋体" w:cs="Arial"/>
          <w:snapToGrid w:val="0"/>
          <w:color w:val="000000"/>
          <w:sz w:val="24"/>
          <w:lang w:val="zh-CN" w:eastAsia="zh-CN"/>
        </w:rPr>
        <w:t>至</w:t>
      </w:r>
      <w:r w:rsidRPr="002D3A87">
        <w:rPr>
          <w:rFonts w:eastAsia="宋体" w:cs="Arial"/>
          <w:snapToGrid w:val="0"/>
          <w:color w:val="000000"/>
          <w:sz w:val="24"/>
          <w:lang w:val="en-US" w:eastAsia="zh-CN"/>
        </w:rPr>
        <w:t>3.88</w:t>
      </w:r>
      <w:r w:rsidRPr="002D3A87">
        <w:rPr>
          <w:rFonts w:eastAsia="宋体" w:cs="Arial"/>
          <w:snapToGrid w:val="0"/>
          <w:color w:val="000000"/>
          <w:sz w:val="24"/>
          <w:lang w:val="zh-CN" w:eastAsia="zh-CN"/>
        </w:rPr>
        <w:t>亿欧元。</w:t>
      </w:r>
    </w:p>
    <w:p w:rsidR="00385149" w:rsidRPr="002D3A87" w:rsidRDefault="00385149" w:rsidP="007C171B">
      <w:pPr>
        <w:autoSpaceDE w:val="0"/>
        <w:autoSpaceDN w:val="0"/>
        <w:adjustRightInd w:val="0"/>
        <w:spacing w:line="360" w:lineRule="auto"/>
        <w:rPr>
          <w:rFonts w:eastAsia="宋体" w:cs="Arial"/>
          <w:snapToGrid w:val="0"/>
          <w:color w:val="000000"/>
          <w:sz w:val="24"/>
          <w:lang w:val="en-US" w:eastAsia="zh-CN"/>
        </w:rPr>
      </w:pPr>
    </w:p>
    <w:p w:rsidR="00A363AD" w:rsidRPr="002D3A87" w:rsidRDefault="009B4D4D" w:rsidP="007C171B">
      <w:pPr>
        <w:autoSpaceDE w:val="0"/>
        <w:autoSpaceDN w:val="0"/>
        <w:adjustRightInd w:val="0"/>
        <w:spacing w:after="120" w:line="360" w:lineRule="auto"/>
        <w:rPr>
          <w:rFonts w:eastAsia="宋体" w:cs="Arial"/>
          <w:b/>
          <w:snapToGrid w:val="0"/>
          <w:sz w:val="24"/>
          <w:lang w:val="en-US" w:eastAsia="zh-CN"/>
        </w:rPr>
      </w:pPr>
      <w:r w:rsidRPr="004E7A83">
        <w:rPr>
          <w:rFonts w:eastAsia="宋体" w:cs="Arial"/>
          <w:b/>
          <w:snapToGrid w:val="0"/>
          <w:sz w:val="24"/>
          <w:lang w:val="en-US" w:eastAsia="zh-CN"/>
        </w:rPr>
        <w:t>2015</w:t>
      </w:r>
      <w:r w:rsidRPr="004E7A83">
        <w:rPr>
          <w:rFonts w:eastAsia="宋体" w:cs="Arial"/>
          <w:b/>
          <w:snapToGrid w:val="0"/>
          <w:sz w:val="24"/>
          <w:lang w:val="en-US" w:eastAsia="zh-CN"/>
        </w:rPr>
        <w:t>年第二季度</w:t>
      </w:r>
      <w:r w:rsidRPr="004E7A83">
        <w:rPr>
          <w:rFonts w:eastAsia="宋体" w:cs="Arial"/>
          <w:b/>
          <w:snapToGrid w:val="0"/>
          <w:color w:val="000000"/>
          <w:sz w:val="24"/>
          <w:lang w:val="zh-CN" w:eastAsia="zh-CN"/>
        </w:rPr>
        <w:t>各地区业绩表现</w:t>
      </w:r>
    </w:p>
    <w:p w:rsidR="00A363AD" w:rsidRPr="002D3A87" w:rsidRDefault="009B4D4D" w:rsidP="007C171B">
      <w:pPr>
        <w:autoSpaceDE w:val="0"/>
        <w:autoSpaceDN w:val="0"/>
        <w:adjustRightInd w:val="0"/>
        <w:spacing w:line="360" w:lineRule="auto"/>
        <w:rPr>
          <w:rFonts w:eastAsia="宋体" w:cs="Arial"/>
          <w:bCs/>
          <w:snapToGrid w:val="0"/>
          <w:color w:val="000000"/>
          <w:sz w:val="24"/>
          <w:lang w:val="en-US" w:eastAsia="zh-CN"/>
        </w:rPr>
      </w:pPr>
      <w:r w:rsidRPr="002D3A87">
        <w:rPr>
          <w:rFonts w:eastAsia="宋体" w:cs="Arial"/>
          <w:bCs/>
          <w:snapToGrid w:val="0"/>
          <w:color w:val="000000"/>
          <w:sz w:val="24"/>
          <w:lang w:val="en-US" w:eastAsia="zh-CN"/>
        </w:rPr>
        <w:t>汉高在</w:t>
      </w:r>
      <w:r w:rsidRPr="002D3A87">
        <w:rPr>
          <w:rFonts w:eastAsia="宋体" w:cs="Arial"/>
          <w:b/>
          <w:bCs/>
          <w:snapToGrid w:val="0"/>
          <w:color w:val="000000"/>
          <w:sz w:val="24"/>
          <w:lang w:val="en-US" w:eastAsia="zh-CN"/>
        </w:rPr>
        <w:t>西欧</w:t>
      </w:r>
      <w:r w:rsidRPr="002D3A87">
        <w:rPr>
          <w:rFonts w:eastAsia="宋体" w:cs="Arial"/>
          <w:bCs/>
          <w:snapToGrid w:val="0"/>
          <w:color w:val="000000"/>
          <w:sz w:val="24"/>
          <w:lang w:val="en-US" w:eastAsia="zh-CN"/>
        </w:rPr>
        <w:t>地区销售额增长</w:t>
      </w:r>
      <w:r w:rsidRPr="002D3A87">
        <w:rPr>
          <w:rFonts w:eastAsia="宋体" w:cs="Arial"/>
          <w:snapToGrid w:val="0"/>
          <w:sz w:val="24"/>
          <w:lang w:val="en-US" w:eastAsia="zh-CN"/>
        </w:rPr>
        <w:t>7.9%</w:t>
      </w:r>
      <w:r w:rsidRPr="002D3A87">
        <w:rPr>
          <w:rFonts w:eastAsia="宋体" w:cs="Arial"/>
          <w:snapToGrid w:val="0"/>
          <w:sz w:val="24"/>
          <w:lang w:val="en-US" w:eastAsia="zh-CN"/>
        </w:rPr>
        <w:t>，至</w:t>
      </w:r>
      <w:r w:rsidRPr="002D3A87">
        <w:rPr>
          <w:rFonts w:eastAsia="宋体" w:cs="Arial"/>
          <w:snapToGrid w:val="0"/>
          <w:sz w:val="24"/>
          <w:lang w:val="en-US" w:eastAsia="zh-CN"/>
        </w:rPr>
        <w:t>15.64</w:t>
      </w:r>
      <w:r w:rsidRPr="002D3A87">
        <w:rPr>
          <w:rFonts w:eastAsia="宋体" w:cs="Arial"/>
          <w:snapToGrid w:val="0"/>
          <w:sz w:val="24"/>
          <w:lang w:val="en-US" w:eastAsia="zh-CN"/>
        </w:rPr>
        <w:t>亿欧元。在竞争激烈的市场环境中，有机销售额水平与上年同期持平。南欧及</w:t>
      </w:r>
      <w:r w:rsidR="00EF10FC">
        <w:rPr>
          <w:rFonts w:eastAsia="宋体" w:cs="Arial" w:hint="eastAsia"/>
          <w:snapToGrid w:val="0"/>
          <w:sz w:val="24"/>
          <w:lang w:val="en-US" w:eastAsia="zh-CN"/>
        </w:rPr>
        <w:t>法国</w:t>
      </w:r>
      <w:r w:rsidRPr="002D3A87">
        <w:rPr>
          <w:rFonts w:eastAsia="宋体" w:cs="Arial"/>
          <w:snapToGrid w:val="0"/>
          <w:sz w:val="24"/>
          <w:lang w:val="en-US" w:eastAsia="zh-CN"/>
        </w:rPr>
        <w:t>、</w:t>
      </w:r>
      <w:r w:rsidR="00EF10FC">
        <w:rPr>
          <w:rFonts w:eastAsia="宋体" w:cs="Arial" w:hint="eastAsia"/>
          <w:snapToGrid w:val="0"/>
          <w:sz w:val="24"/>
          <w:lang w:val="en-US" w:eastAsia="zh-CN"/>
        </w:rPr>
        <w:t>德国</w:t>
      </w:r>
      <w:r w:rsidRPr="002D3A87">
        <w:rPr>
          <w:rFonts w:eastAsia="宋体" w:cs="Arial"/>
          <w:snapToGrid w:val="0"/>
          <w:sz w:val="24"/>
          <w:lang w:val="en-US" w:eastAsia="zh-CN"/>
        </w:rPr>
        <w:t>市场表现良好，北欧及瑞士销售额有所下滑。</w:t>
      </w:r>
      <w:r w:rsidRPr="002D3A87">
        <w:rPr>
          <w:rFonts w:eastAsia="宋体" w:cs="Arial"/>
          <w:b/>
          <w:snapToGrid w:val="0"/>
          <w:sz w:val="24"/>
          <w:lang w:val="en-US" w:eastAsia="zh-CN"/>
        </w:rPr>
        <w:t>东欧</w:t>
      </w:r>
      <w:r w:rsidRPr="002D3A87">
        <w:rPr>
          <w:rFonts w:eastAsia="宋体" w:cs="Arial"/>
          <w:snapToGrid w:val="0"/>
          <w:sz w:val="24"/>
          <w:lang w:val="en-US" w:eastAsia="zh-CN"/>
        </w:rPr>
        <w:t>销售额达</w:t>
      </w:r>
      <w:r w:rsidRPr="002D3A87">
        <w:rPr>
          <w:rFonts w:eastAsia="宋体" w:cs="Arial"/>
          <w:snapToGrid w:val="0"/>
          <w:sz w:val="24"/>
          <w:lang w:val="en-US" w:eastAsia="zh-CN"/>
        </w:rPr>
        <w:t>7.07</w:t>
      </w:r>
      <w:r w:rsidRPr="002D3A87">
        <w:rPr>
          <w:rFonts w:eastAsia="宋体" w:cs="Arial"/>
          <w:snapToGrid w:val="0"/>
          <w:sz w:val="24"/>
          <w:lang w:val="en-US" w:eastAsia="zh-CN"/>
        </w:rPr>
        <w:t>亿欧元，较上年同期数字为</w:t>
      </w:r>
      <w:r w:rsidRPr="002D3A87">
        <w:rPr>
          <w:rFonts w:eastAsia="宋体" w:cs="Arial"/>
          <w:snapToGrid w:val="0"/>
          <w:sz w:val="24"/>
          <w:lang w:val="en-US" w:eastAsia="zh-CN"/>
        </w:rPr>
        <w:t>7.39</w:t>
      </w:r>
      <w:r w:rsidRPr="002D3A87">
        <w:rPr>
          <w:rFonts w:eastAsia="宋体" w:cs="Arial"/>
          <w:snapToGrid w:val="0"/>
          <w:sz w:val="24"/>
          <w:lang w:val="en-US" w:eastAsia="zh-CN"/>
        </w:rPr>
        <w:t>亿欧元。但是，尽管市场环境严峻，仍然实现了</w:t>
      </w:r>
      <w:r w:rsidRPr="002D3A87">
        <w:rPr>
          <w:rFonts w:eastAsia="宋体" w:cs="Arial"/>
          <w:snapToGrid w:val="0"/>
          <w:color w:val="000000"/>
          <w:sz w:val="24"/>
          <w:lang w:val="en-US" w:eastAsia="zh-CN"/>
        </w:rPr>
        <w:t>5.5%</w:t>
      </w:r>
      <w:r w:rsidRPr="002D3A87">
        <w:rPr>
          <w:rFonts w:eastAsia="宋体" w:cs="Arial"/>
          <w:snapToGrid w:val="0"/>
          <w:color w:val="000000"/>
          <w:sz w:val="24"/>
          <w:lang w:val="en-US" w:eastAsia="zh-CN"/>
        </w:rPr>
        <w:t>的有机销售额增长。这主要得益于俄罗斯、土耳其和波兰的业务。</w:t>
      </w:r>
      <w:r w:rsidRPr="002D3A87">
        <w:rPr>
          <w:rFonts w:eastAsia="宋体" w:cs="Arial"/>
          <w:b/>
          <w:snapToGrid w:val="0"/>
          <w:color w:val="000000"/>
          <w:sz w:val="24"/>
          <w:lang w:val="en-US" w:eastAsia="zh-CN"/>
        </w:rPr>
        <w:t>非洲</w:t>
      </w:r>
      <w:r w:rsidRPr="002D3A87">
        <w:rPr>
          <w:rFonts w:eastAsia="宋体" w:cs="Arial"/>
          <w:b/>
          <w:snapToGrid w:val="0"/>
          <w:color w:val="000000"/>
          <w:sz w:val="24"/>
          <w:lang w:val="en-US" w:eastAsia="zh-CN"/>
        </w:rPr>
        <w:t>/</w:t>
      </w:r>
      <w:r w:rsidRPr="002D3A87">
        <w:rPr>
          <w:rFonts w:eastAsia="宋体" w:cs="Arial"/>
          <w:b/>
          <w:snapToGrid w:val="0"/>
          <w:color w:val="000000"/>
          <w:sz w:val="24"/>
          <w:lang w:val="en-US" w:eastAsia="zh-CN"/>
        </w:rPr>
        <w:t>中东</w:t>
      </w:r>
      <w:r w:rsidRPr="002D3A87">
        <w:rPr>
          <w:rFonts w:eastAsia="宋体" w:cs="Arial"/>
          <w:snapToGrid w:val="0"/>
          <w:color w:val="000000"/>
          <w:sz w:val="24"/>
          <w:lang w:val="en-US" w:eastAsia="zh-CN"/>
        </w:rPr>
        <w:t>地区销售额由</w:t>
      </w:r>
      <w:r w:rsidRPr="002D3A87">
        <w:rPr>
          <w:rFonts w:eastAsia="宋体" w:cs="Arial"/>
          <w:snapToGrid w:val="0"/>
          <w:color w:val="000000"/>
          <w:sz w:val="24"/>
          <w:lang w:val="en-US" w:eastAsia="zh-CN"/>
        </w:rPr>
        <w:t>2.87</w:t>
      </w:r>
      <w:r w:rsidRPr="002D3A87">
        <w:rPr>
          <w:rFonts w:eastAsia="宋体" w:cs="Arial"/>
          <w:snapToGrid w:val="0"/>
          <w:color w:val="000000"/>
          <w:sz w:val="24"/>
          <w:lang w:val="en-US" w:eastAsia="zh-CN"/>
        </w:rPr>
        <w:t>亿欧元增至</w:t>
      </w:r>
      <w:r w:rsidRPr="002D3A87">
        <w:rPr>
          <w:rFonts w:eastAsia="宋体" w:cs="Arial"/>
          <w:snapToGrid w:val="0"/>
          <w:color w:val="000000"/>
          <w:sz w:val="24"/>
          <w:lang w:val="en-US" w:eastAsia="zh-CN"/>
        </w:rPr>
        <w:t>3.42</w:t>
      </w:r>
      <w:r w:rsidRPr="002D3A87">
        <w:rPr>
          <w:rFonts w:eastAsia="宋体" w:cs="Arial"/>
          <w:snapToGrid w:val="0"/>
          <w:color w:val="000000"/>
          <w:sz w:val="24"/>
          <w:lang w:val="en-US" w:eastAsia="zh-CN"/>
        </w:rPr>
        <w:t>亿欧元。尽管部分国家的政治局势影响了增长，有机销售额仍然增长了</w:t>
      </w:r>
      <w:r w:rsidRPr="002D3A87">
        <w:rPr>
          <w:rFonts w:eastAsia="宋体" w:cs="Arial"/>
          <w:bCs/>
          <w:snapToGrid w:val="0"/>
          <w:color w:val="000000"/>
          <w:sz w:val="24"/>
          <w:lang w:val="en-US" w:eastAsia="zh-CN"/>
        </w:rPr>
        <w:t>4.4%</w:t>
      </w:r>
      <w:r w:rsidRPr="002D3A87">
        <w:rPr>
          <w:rFonts w:eastAsia="宋体" w:cs="Arial"/>
          <w:bCs/>
          <w:snapToGrid w:val="0"/>
          <w:color w:val="000000"/>
          <w:sz w:val="24"/>
          <w:lang w:val="en-US" w:eastAsia="zh-CN"/>
        </w:rPr>
        <w:t>。</w:t>
      </w:r>
    </w:p>
    <w:p w:rsidR="00A363AD" w:rsidRPr="002D3A87" w:rsidRDefault="00A363AD" w:rsidP="007C171B">
      <w:pPr>
        <w:autoSpaceDE w:val="0"/>
        <w:autoSpaceDN w:val="0"/>
        <w:adjustRightInd w:val="0"/>
        <w:spacing w:line="360" w:lineRule="auto"/>
        <w:rPr>
          <w:rFonts w:eastAsia="宋体" w:cs="Arial"/>
          <w:snapToGrid w:val="0"/>
          <w:sz w:val="24"/>
          <w:lang w:val="en-US" w:eastAsia="zh-CN"/>
        </w:rPr>
      </w:pPr>
    </w:p>
    <w:p w:rsidR="00A363AD" w:rsidRPr="002D3A87" w:rsidRDefault="009B4D4D" w:rsidP="007C171B">
      <w:pPr>
        <w:autoSpaceDE w:val="0"/>
        <w:autoSpaceDN w:val="0"/>
        <w:adjustRightInd w:val="0"/>
        <w:spacing w:line="360" w:lineRule="auto"/>
        <w:rPr>
          <w:rFonts w:eastAsia="宋体" w:cs="Arial"/>
          <w:snapToGrid w:val="0"/>
          <w:sz w:val="24"/>
          <w:lang w:val="en-US" w:eastAsia="zh-CN"/>
        </w:rPr>
      </w:pPr>
      <w:r w:rsidRPr="002D3A87">
        <w:rPr>
          <w:rFonts w:eastAsia="宋体" w:cs="Arial"/>
          <w:b/>
          <w:snapToGrid w:val="0"/>
          <w:color w:val="000000"/>
          <w:sz w:val="24"/>
          <w:lang w:val="en-US" w:eastAsia="zh-CN"/>
        </w:rPr>
        <w:t>北美</w:t>
      </w:r>
      <w:r w:rsidRPr="002D3A87">
        <w:rPr>
          <w:rFonts w:eastAsia="宋体" w:cs="Arial"/>
          <w:snapToGrid w:val="0"/>
          <w:color w:val="000000"/>
          <w:sz w:val="24"/>
          <w:lang w:val="en-US" w:eastAsia="zh-CN"/>
        </w:rPr>
        <w:t>地区销售额由</w:t>
      </w:r>
      <w:r w:rsidRPr="002D3A87">
        <w:rPr>
          <w:rFonts w:eastAsia="宋体" w:cs="Arial"/>
          <w:snapToGrid w:val="0"/>
          <w:color w:val="000000"/>
          <w:sz w:val="24"/>
          <w:lang w:val="en-US" w:eastAsia="zh-CN"/>
        </w:rPr>
        <w:t>7.03</w:t>
      </w:r>
      <w:r w:rsidRPr="002D3A87">
        <w:rPr>
          <w:rFonts w:eastAsia="宋体" w:cs="Arial"/>
          <w:snapToGrid w:val="0"/>
          <w:color w:val="000000"/>
          <w:sz w:val="24"/>
          <w:lang w:val="en-US" w:eastAsia="zh-CN"/>
        </w:rPr>
        <w:t>亿欧元增至</w:t>
      </w:r>
      <w:r w:rsidRPr="002D3A87">
        <w:rPr>
          <w:rFonts w:eastAsia="宋体" w:cs="Arial"/>
          <w:snapToGrid w:val="0"/>
          <w:color w:val="000000"/>
          <w:sz w:val="24"/>
          <w:lang w:val="en-US" w:eastAsia="zh-CN"/>
        </w:rPr>
        <w:t>9.34</w:t>
      </w:r>
      <w:r w:rsidRPr="002D3A87">
        <w:rPr>
          <w:rFonts w:eastAsia="宋体" w:cs="Arial"/>
          <w:snapToGrid w:val="0"/>
          <w:color w:val="000000"/>
          <w:sz w:val="24"/>
          <w:lang w:val="en-US" w:eastAsia="zh-CN"/>
        </w:rPr>
        <w:t>亿欧元。</w:t>
      </w:r>
      <w:bookmarkStart w:id="46" w:name="OLE_LINK268"/>
      <w:bookmarkStart w:id="47" w:name="OLE_LINK269"/>
      <w:bookmarkStart w:id="48" w:name="OLE_LINK272"/>
      <w:r w:rsidRPr="002D3A87">
        <w:rPr>
          <w:rFonts w:eastAsia="宋体" w:cs="Arial"/>
          <w:snapToGrid w:val="0"/>
          <w:color w:val="000000"/>
          <w:sz w:val="24"/>
          <w:lang w:val="en-US" w:eastAsia="zh-CN"/>
        </w:rPr>
        <w:t>有机销售额增长</w:t>
      </w:r>
      <w:bookmarkEnd w:id="46"/>
      <w:bookmarkEnd w:id="47"/>
      <w:bookmarkEnd w:id="48"/>
      <w:r w:rsidRPr="002D3A87">
        <w:rPr>
          <w:rFonts w:eastAsia="宋体" w:cs="Arial"/>
          <w:bCs/>
          <w:snapToGrid w:val="0"/>
          <w:color w:val="000000"/>
          <w:sz w:val="24"/>
          <w:lang w:val="en-US" w:eastAsia="zh-CN"/>
        </w:rPr>
        <w:t>0.3%</w:t>
      </w:r>
      <w:r w:rsidRPr="002D3A87">
        <w:rPr>
          <w:rFonts w:eastAsia="宋体" w:cs="Arial"/>
          <w:bCs/>
          <w:snapToGrid w:val="0"/>
          <w:color w:val="000000"/>
          <w:sz w:val="24"/>
          <w:lang w:val="en-US" w:eastAsia="zh-CN"/>
        </w:rPr>
        <w:t>。</w:t>
      </w:r>
      <w:r w:rsidRPr="002D3A87">
        <w:rPr>
          <w:rFonts w:eastAsia="宋体" w:cs="Arial"/>
          <w:b/>
          <w:bCs/>
          <w:snapToGrid w:val="0"/>
          <w:color w:val="000000"/>
          <w:sz w:val="24"/>
          <w:lang w:val="en-US" w:eastAsia="zh-CN"/>
        </w:rPr>
        <w:t>拉美</w:t>
      </w:r>
      <w:r w:rsidRPr="002D3A87">
        <w:rPr>
          <w:rFonts w:eastAsia="宋体" w:cs="Arial"/>
          <w:bCs/>
          <w:snapToGrid w:val="0"/>
          <w:color w:val="000000"/>
          <w:sz w:val="24"/>
          <w:lang w:val="en-US" w:eastAsia="zh-CN"/>
        </w:rPr>
        <w:t>地区销售额增长</w:t>
      </w:r>
      <w:r w:rsidRPr="002D3A87">
        <w:rPr>
          <w:rFonts w:eastAsia="宋体" w:cs="Arial"/>
          <w:bCs/>
          <w:snapToGrid w:val="0"/>
          <w:color w:val="000000"/>
          <w:sz w:val="24"/>
          <w:lang w:val="en-US" w:eastAsia="zh-CN"/>
        </w:rPr>
        <w:t>12.7%</w:t>
      </w:r>
      <w:r w:rsidRPr="002D3A87">
        <w:rPr>
          <w:rFonts w:eastAsia="宋体" w:cs="Arial"/>
          <w:bCs/>
          <w:snapToGrid w:val="0"/>
          <w:color w:val="000000"/>
          <w:sz w:val="24"/>
          <w:lang w:val="en-US" w:eastAsia="zh-CN"/>
        </w:rPr>
        <w:t>，至</w:t>
      </w:r>
      <w:r w:rsidRPr="002D3A87">
        <w:rPr>
          <w:rFonts w:eastAsia="宋体" w:cs="Arial"/>
          <w:bCs/>
          <w:snapToGrid w:val="0"/>
          <w:color w:val="000000"/>
          <w:sz w:val="24"/>
          <w:lang w:val="en-US" w:eastAsia="zh-CN"/>
        </w:rPr>
        <w:t>2.92</w:t>
      </w:r>
      <w:r w:rsidRPr="002D3A87">
        <w:rPr>
          <w:rFonts w:eastAsia="宋体" w:cs="Arial"/>
          <w:bCs/>
          <w:snapToGrid w:val="0"/>
          <w:color w:val="000000"/>
          <w:sz w:val="24"/>
          <w:lang w:val="en-US" w:eastAsia="zh-CN"/>
        </w:rPr>
        <w:t>亿欧元。</w:t>
      </w:r>
      <w:r w:rsidRPr="002D3A87">
        <w:rPr>
          <w:rFonts w:eastAsia="宋体" w:cs="Arial"/>
          <w:snapToGrid w:val="0"/>
          <w:color w:val="000000"/>
          <w:sz w:val="24"/>
          <w:lang w:val="en-US" w:eastAsia="zh-CN"/>
        </w:rPr>
        <w:t>有机销售额增长</w:t>
      </w:r>
      <w:r w:rsidRPr="002D3A87">
        <w:rPr>
          <w:rFonts w:eastAsia="宋体" w:cs="Arial"/>
          <w:bCs/>
          <w:snapToGrid w:val="0"/>
          <w:color w:val="000000"/>
          <w:sz w:val="24"/>
          <w:lang w:val="en-US" w:eastAsia="zh-CN"/>
        </w:rPr>
        <w:t>8.4%</w:t>
      </w:r>
      <w:r w:rsidRPr="002D3A87">
        <w:rPr>
          <w:rFonts w:eastAsia="宋体" w:cs="Arial"/>
          <w:bCs/>
          <w:snapToGrid w:val="0"/>
          <w:color w:val="000000"/>
          <w:sz w:val="24"/>
          <w:lang w:val="en-US" w:eastAsia="zh-CN"/>
        </w:rPr>
        <w:t>。这一强劲表现主要得益于墨西哥的表现。</w:t>
      </w:r>
      <w:r w:rsidRPr="002D3A87">
        <w:rPr>
          <w:rFonts w:eastAsia="宋体" w:cs="Arial"/>
          <w:b/>
          <w:bCs/>
          <w:snapToGrid w:val="0"/>
          <w:color w:val="000000"/>
          <w:sz w:val="24"/>
          <w:lang w:val="en-US" w:eastAsia="zh-CN"/>
        </w:rPr>
        <w:t>亚太</w:t>
      </w:r>
      <w:r w:rsidRPr="002D3A87">
        <w:rPr>
          <w:rFonts w:eastAsia="宋体" w:cs="Arial"/>
          <w:bCs/>
          <w:snapToGrid w:val="0"/>
          <w:color w:val="000000"/>
          <w:sz w:val="24"/>
          <w:lang w:val="en-US" w:eastAsia="zh-CN"/>
        </w:rPr>
        <w:t>区销售额由</w:t>
      </w:r>
      <w:r w:rsidRPr="002D3A87">
        <w:rPr>
          <w:rFonts w:eastAsia="宋体" w:cs="Arial"/>
          <w:bCs/>
          <w:snapToGrid w:val="0"/>
          <w:color w:val="000000"/>
          <w:sz w:val="24"/>
          <w:lang w:val="en-US" w:eastAsia="zh-CN"/>
        </w:rPr>
        <w:t>6.66</w:t>
      </w:r>
      <w:r w:rsidRPr="002D3A87">
        <w:rPr>
          <w:rFonts w:eastAsia="宋体" w:cs="Arial"/>
          <w:bCs/>
          <w:snapToGrid w:val="0"/>
          <w:color w:val="000000"/>
          <w:sz w:val="24"/>
          <w:lang w:val="en-US" w:eastAsia="zh-CN"/>
        </w:rPr>
        <w:t>亿欧元增至</w:t>
      </w:r>
      <w:r w:rsidRPr="002D3A87">
        <w:rPr>
          <w:rFonts w:eastAsia="宋体" w:cs="Arial"/>
          <w:bCs/>
          <w:snapToGrid w:val="0"/>
          <w:color w:val="000000"/>
          <w:sz w:val="24"/>
          <w:lang w:val="en-US" w:eastAsia="zh-CN"/>
        </w:rPr>
        <w:t>8.26</w:t>
      </w:r>
      <w:r w:rsidRPr="002D3A87">
        <w:rPr>
          <w:rFonts w:eastAsia="宋体" w:cs="Arial"/>
          <w:bCs/>
          <w:snapToGrid w:val="0"/>
          <w:color w:val="000000"/>
          <w:sz w:val="24"/>
          <w:lang w:val="en-US" w:eastAsia="zh-CN"/>
        </w:rPr>
        <w:t>亿欧元。</w:t>
      </w:r>
      <w:r w:rsidRPr="002D3A87">
        <w:rPr>
          <w:rFonts w:eastAsia="宋体" w:cs="Arial"/>
          <w:snapToGrid w:val="0"/>
          <w:color w:val="000000"/>
          <w:sz w:val="24"/>
          <w:lang w:val="en-US" w:eastAsia="zh-CN"/>
        </w:rPr>
        <w:t>有机销售额增长</w:t>
      </w:r>
      <w:r w:rsidRPr="002D3A87">
        <w:rPr>
          <w:rFonts w:eastAsia="宋体" w:cs="Arial"/>
          <w:bCs/>
          <w:snapToGrid w:val="0"/>
          <w:color w:val="000000"/>
          <w:sz w:val="24"/>
          <w:lang w:val="en-US" w:eastAsia="zh-CN"/>
        </w:rPr>
        <w:t>3.7%</w:t>
      </w:r>
      <w:r w:rsidRPr="002D3A87">
        <w:rPr>
          <w:rFonts w:eastAsia="宋体" w:cs="Arial"/>
          <w:bCs/>
          <w:snapToGrid w:val="0"/>
          <w:color w:val="000000"/>
          <w:sz w:val="24"/>
          <w:lang w:val="en-US" w:eastAsia="zh-CN"/>
        </w:rPr>
        <w:t>。这主要得益于中国、日本和印度的业绩表现。</w:t>
      </w:r>
    </w:p>
    <w:p w:rsidR="00A363AD" w:rsidRPr="002D3A87" w:rsidRDefault="00A363AD" w:rsidP="007C171B">
      <w:pPr>
        <w:autoSpaceDE w:val="0"/>
        <w:autoSpaceDN w:val="0"/>
        <w:adjustRightInd w:val="0"/>
        <w:spacing w:line="360" w:lineRule="auto"/>
        <w:rPr>
          <w:rFonts w:eastAsia="宋体" w:cs="Arial"/>
          <w:snapToGrid w:val="0"/>
          <w:sz w:val="24"/>
          <w:lang w:val="en-US" w:eastAsia="zh-CN"/>
        </w:rPr>
      </w:pPr>
    </w:p>
    <w:p w:rsidR="00A363AD" w:rsidRPr="002D3A87" w:rsidRDefault="009B4D4D" w:rsidP="007C171B">
      <w:pPr>
        <w:autoSpaceDE w:val="0"/>
        <w:autoSpaceDN w:val="0"/>
        <w:adjustRightInd w:val="0"/>
        <w:spacing w:line="360" w:lineRule="auto"/>
        <w:rPr>
          <w:rFonts w:eastAsia="宋体" w:cs="Arial"/>
          <w:bCs/>
          <w:snapToGrid w:val="0"/>
          <w:sz w:val="24"/>
          <w:lang w:val="en-US" w:eastAsia="zh-CN"/>
        </w:rPr>
      </w:pPr>
      <w:r w:rsidRPr="002D3A87">
        <w:rPr>
          <w:rFonts w:eastAsia="宋体" w:cs="Arial"/>
          <w:bCs/>
          <w:snapToGrid w:val="0"/>
          <w:sz w:val="24"/>
          <w:lang w:val="en-US" w:eastAsia="zh-CN"/>
        </w:rPr>
        <w:t>在东欧、非洲</w:t>
      </w:r>
      <w:r w:rsidRPr="002D3A87">
        <w:rPr>
          <w:rFonts w:eastAsia="宋体" w:cs="Arial"/>
          <w:bCs/>
          <w:snapToGrid w:val="0"/>
          <w:sz w:val="24"/>
          <w:lang w:val="en-US" w:eastAsia="zh-CN"/>
        </w:rPr>
        <w:t>/</w:t>
      </w:r>
      <w:r w:rsidRPr="002D3A87">
        <w:rPr>
          <w:rFonts w:eastAsia="宋体" w:cs="Arial"/>
          <w:bCs/>
          <w:snapToGrid w:val="0"/>
          <w:sz w:val="24"/>
          <w:lang w:val="en-US" w:eastAsia="zh-CN"/>
        </w:rPr>
        <w:t>中东、拉美和亚洲（日本除外）</w:t>
      </w:r>
      <w:r w:rsidRPr="002D3A87">
        <w:rPr>
          <w:rFonts w:eastAsia="宋体" w:cs="Arial"/>
          <w:b/>
          <w:bCs/>
          <w:snapToGrid w:val="0"/>
          <w:sz w:val="24"/>
          <w:lang w:val="en-US" w:eastAsia="zh-CN"/>
        </w:rPr>
        <w:t>新兴市场</w:t>
      </w:r>
      <w:r w:rsidRPr="002D3A87">
        <w:rPr>
          <w:rFonts w:eastAsia="宋体" w:cs="Arial"/>
          <w:bCs/>
          <w:snapToGrid w:val="0"/>
          <w:sz w:val="24"/>
          <w:lang w:val="en-US" w:eastAsia="zh-CN"/>
        </w:rPr>
        <w:t>的销售额显著增长</w:t>
      </w:r>
      <w:r w:rsidRPr="002D3A87">
        <w:rPr>
          <w:rFonts w:eastAsia="宋体" w:cs="Arial"/>
          <w:snapToGrid w:val="0"/>
          <w:sz w:val="24"/>
          <w:lang w:val="en-US" w:eastAsia="zh-CN"/>
        </w:rPr>
        <w:t>11.0%</w:t>
      </w:r>
      <w:r w:rsidRPr="002D3A87">
        <w:rPr>
          <w:rFonts w:eastAsia="宋体" w:cs="Arial"/>
          <w:snapToGrid w:val="0"/>
          <w:sz w:val="24"/>
          <w:lang w:val="en-US" w:eastAsia="zh-CN"/>
        </w:rPr>
        <w:t>，至</w:t>
      </w:r>
      <w:r w:rsidRPr="002D3A87">
        <w:rPr>
          <w:rFonts w:eastAsia="宋体" w:cs="Arial"/>
          <w:snapToGrid w:val="0"/>
          <w:sz w:val="24"/>
          <w:lang w:val="en-US" w:eastAsia="zh-CN"/>
        </w:rPr>
        <w:t>20.47</w:t>
      </w:r>
      <w:r w:rsidRPr="002D3A87">
        <w:rPr>
          <w:rFonts w:eastAsia="宋体" w:cs="Arial"/>
          <w:snapToGrid w:val="0"/>
          <w:sz w:val="24"/>
          <w:lang w:val="en-US" w:eastAsia="zh-CN"/>
        </w:rPr>
        <w:t>亿欧元。在所有业务部门的努力下，实现有机销售额增长</w:t>
      </w:r>
      <w:r w:rsidRPr="002D3A87">
        <w:rPr>
          <w:rFonts w:eastAsia="宋体" w:cs="Arial"/>
          <w:bCs/>
          <w:snapToGrid w:val="0"/>
          <w:color w:val="000000"/>
          <w:sz w:val="24"/>
          <w:lang w:val="en-US" w:eastAsia="zh-CN"/>
        </w:rPr>
        <w:t>5.1%</w:t>
      </w:r>
      <w:r w:rsidRPr="002D3A87">
        <w:rPr>
          <w:rFonts w:eastAsia="宋体" w:cs="Arial"/>
          <w:bCs/>
          <w:snapToGrid w:val="0"/>
          <w:color w:val="000000"/>
          <w:sz w:val="24"/>
          <w:lang w:val="en-US" w:eastAsia="zh-CN"/>
        </w:rPr>
        <w:t>，再一次超过汉高集团的平均有机增长水平。来自新兴市场的销售额比例较上年同期略有下滑，至</w:t>
      </w:r>
      <w:r w:rsidRPr="002D3A87">
        <w:rPr>
          <w:rFonts w:eastAsia="宋体" w:cs="Arial"/>
          <w:bCs/>
          <w:snapToGrid w:val="0"/>
          <w:sz w:val="24"/>
          <w:lang w:val="en-US" w:eastAsia="zh-CN"/>
        </w:rPr>
        <w:t>44%</w:t>
      </w:r>
      <w:r w:rsidRPr="002D3A87">
        <w:rPr>
          <w:rFonts w:eastAsia="宋体" w:cs="Arial"/>
          <w:bCs/>
          <w:snapToGrid w:val="0"/>
          <w:sz w:val="24"/>
          <w:lang w:val="en-US" w:eastAsia="zh-CN"/>
        </w:rPr>
        <w:t>。</w:t>
      </w:r>
      <w:r w:rsidRPr="002D3A87">
        <w:rPr>
          <w:rFonts w:eastAsia="宋体" w:cs="Arial"/>
          <w:b/>
          <w:bCs/>
          <w:snapToGrid w:val="0"/>
          <w:sz w:val="24"/>
          <w:lang w:val="en-US" w:eastAsia="zh-CN"/>
        </w:rPr>
        <w:t>成熟市场</w:t>
      </w:r>
      <w:r w:rsidRPr="002D3A87">
        <w:rPr>
          <w:rFonts w:eastAsia="宋体" w:cs="Arial"/>
          <w:bCs/>
          <w:snapToGrid w:val="0"/>
          <w:sz w:val="24"/>
          <w:lang w:val="en-US" w:eastAsia="zh-CN"/>
        </w:rPr>
        <w:t>实现有机销售额增长</w:t>
      </w:r>
      <w:r w:rsidRPr="002D3A87">
        <w:rPr>
          <w:rFonts w:eastAsia="宋体" w:cs="Arial"/>
          <w:bCs/>
          <w:snapToGrid w:val="0"/>
          <w:color w:val="000000"/>
          <w:sz w:val="24"/>
          <w:lang w:val="en-US" w:eastAsia="zh-CN"/>
        </w:rPr>
        <w:t>0.4%</w:t>
      </w:r>
      <w:r w:rsidRPr="002D3A87">
        <w:rPr>
          <w:rFonts w:eastAsia="宋体" w:cs="Arial"/>
          <w:bCs/>
          <w:snapToGrid w:val="0"/>
          <w:color w:val="000000"/>
          <w:sz w:val="24"/>
          <w:lang w:val="en-US" w:eastAsia="zh-CN"/>
        </w:rPr>
        <w:t>，至</w:t>
      </w:r>
      <w:r w:rsidRPr="002D3A87">
        <w:rPr>
          <w:rFonts w:eastAsia="宋体" w:cs="Arial"/>
          <w:bCs/>
          <w:snapToGrid w:val="0"/>
          <w:color w:val="000000"/>
          <w:sz w:val="24"/>
          <w:lang w:val="en-US" w:eastAsia="zh-CN"/>
        </w:rPr>
        <w:t>26.17</w:t>
      </w:r>
      <w:r w:rsidRPr="002D3A87">
        <w:rPr>
          <w:rFonts w:eastAsia="宋体" w:cs="Arial"/>
          <w:bCs/>
          <w:snapToGrid w:val="0"/>
          <w:color w:val="000000"/>
          <w:sz w:val="24"/>
          <w:lang w:val="en-US" w:eastAsia="zh-CN"/>
        </w:rPr>
        <w:t>亿欧元。</w:t>
      </w:r>
    </w:p>
    <w:p w:rsidR="00A363AD" w:rsidRPr="002D3A87" w:rsidRDefault="00A363AD" w:rsidP="007C171B">
      <w:pPr>
        <w:autoSpaceDE w:val="0"/>
        <w:autoSpaceDN w:val="0"/>
        <w:adjustRightInd w:val="0"/>
        <w:spacing w:after="120" w:line="360" w:lineRule="auto"/>
        <w:rPr>
          <w:rFonts w:eastAsia="宋体" w:cs="Arial"/>
          <w:b/>
          <w:snapToGrid w:val="0"/>
          <w:sz w:val="24"/>
          <w:lang w:val="en-US" w:eastAsia="zh-CN"/>
        </w:rPr>
      </w:pPr>
    </w:p>
    <w:p w:rsidR="00A363AD" w:rsidRPr="002D3A87" w:rsidRDefault="009B4D4D" w:rsidP="007C171B">
      <w:pPr>
        <w:autoSpaceDE w:val="0"/>
        <w:autoSpaceDN w:val="0"/>
        <w:adjustRightInd w:val="0"/>
        <w:spacing w:after="120" w:line="360" w:lineRule="auto"/>
        <w:rPr>
          <w:rFonts w:eastAsia="宋体" w:cs="Arial"/>
          <w:b/>
          <w:snapToGrid w:val="0"/>
          <w:sz w:val="24"/>
          <w:lang w:val="en-US" w:eastAsia="zh-CN"/>
        </w:rPr>
      </w:pPr>
      <w:r w:rsidRPr="002D3A87">
        <w:rPr>
          <w:rFonts w:eastAsia="宋体" w:cs="Arial"/>
          <w:b/>
          <w:snapToGrid w:val="0"/>
          <w:sz w:val="24"/>
          <w:lang w:val="en-US" w:eastAsia="zh-CN"/>
        </w:rPr>
        <w:t>汉高集团</w:t>
      </w:r>
      <w:r w:rsidRPr="002D3A87">
        <w:rPr>
          <w:rFonts w:eastAsia="宋体" w:cs="Arial"/>
          <w:b/>
          <w:snapToGrid w:val="0"/>
          <w:sz w:val="24"/>
          <w:lang w:val="en-US" w:eastAsia="zh-CN"/>
        </w:rPr>
        <w:t>2015</w:t>
      </w:r>
      <w:r w:rsidR="00EE6CB1">
        <w:rPr>
          <w:rFonts w:eastAsia="宋体" w:cs="Arial" w:hint="eastAsia"/>
          <w:b/>
          <w:snapToGrid w:val="0"/>
          <w:sz w:val="24"/>
          <w:lang w:val="en-US" w:eastAsia="zh-CN"/>
        </w:rPr>
        <w:t>财</w:t>
      </w:r>
      <w:r w:rsidRPr="002D3A87">
        <w:rPr>
          <w:rFonts w:eastAsia="宋体" w:cs="Arial"/>
          <w:b/>
          <w:snapToGrid w:val="0"/>
          <w:sz w:val="24"/>
          <w:lang w:val="en-US" w:eastAsia="zh-CN"/>
        </w:rPr>
        <w:t>年展望</w:t>
      </w:r>
    </w:p>
    <w:p w:rsidR="00C80CBB" w:rsidRPr="002D3A87" w:rsidRDefault="009B4D4D" w:rsidP="007C171B">
      <w:pPr>
        <w:autoSpaceDE w:val="0"/>
        <w:autoSpaceDN w:val="0"/>
        <w:adjustRightInd w:val="0"/>
        <w:spacing w:line="360" w:lineRule="auto"/>
        <w:rPr>
          <w:rFonts w:eastAsia="宋体" w:cs="Arial"/>
          <w:snapToGrid w:val="0"/>
          <w:color w:val="000000"/>
          <w:sz w:val="24"/>
          <w:lang w:val="en-US" w:eastAsia="zh-CN"/>
        </w:rPr>
      </w:pPr>
      <w:r w:rsidRPr="002D3A87">
        <w:rPr>
          <w:rFonts w:eastAsia="宋体" w:cs="Arial"/>
          <w:snapToGrid w:val="0"/>
          <w:color w:val="000000"/>
          <w:sz w:val="24"/>
          <w:lang w:val="zh-CN" w:eastAsia="zh-CN"/>
        </w:rPr>
        <w:t>汉高预计在</w:t>
      </w:r>
      <w:r w:rsidRPr="002D3A87">
        <w:rPr>
          <w:rFonts w:eastAsia="宋体" w:cs="Arial"/>
          <w:snapToGrid w:val="0"/>
          <w:color w:val="000000"/>
          <w:sz w:val="24"/>
          <w:lang w:eastAsia="zh-CN"/>
        </w:rPr>
        <w:t>2015</w:t>
      </w:r>
      <w:r w:rsidRPr="002D3A87">
        <w:rPr>
          <w:rFonts w:eastAsia="宋体" w:cs="Arial"/>
          <w:snapToGrid w:val="0"/>
          <w:color w:val="000000"/>
          <w:sz w:val="24"/>
          <w:lang w:val="zh-CN" w:eastAsia="zh-CN"/>
        </w:rPr>
        <w:t>财年可以实现</w:t>
      </w:r>
      <w:r w:rsidRPr="002D3A87">
        <w:rPr>
          <w:rFonts w:eastAsia="宋体" w:cs="Arial"/>
          <w:snapToGrid w:val="0"/>
          <w:color w:val="000000"/>
          <w:sz w:val="24"/>
          <w:lang w:eastAsia="zh-CN"/>
        </w:rPr>
        <w:t>3</w:t>
      </w:r>
      <w:r w:rsidRPr="002D3A87">
        <w:rPr>
          <w:rFonts w:eastAsia="宋体" w:cs="Arial"/>
          <w:snapToGrid w:val="0"/>
          <w:color w:val="000000"/>
          <w:sz w:val="24"/>
          <w:lang w:val="zh-CN" w:eastAsia="zh-CN"/>
        </w:rPr>
        <w:t>到</w:t>
      </w:r>
      <w:r w:rsidRPr="002D3A87">
        <w:rPr>
          <w:rFonts w:eastAsia="宋体" w:cs="Arial"/>
          <w:snapToGrid w:val="0"/>
          <w:color w:val="000000"/>
          <w:sz w:val="24"/>
          <w:lang w:eastAsia="zh-CN"/>
        </w:rPr>
        <w:t>5</w:t>
      </w:r>
      <w:r w:rsidRPr="002D3A87">
        <w:rPr>
          <w:rFonts w:eastAsia="宋体" w:cs="Arial"/>
          <w:snapToGrid w:val="0"/>
          <w:color w:val="000000"/>
          <w:sz w:val="24"/>
          <w:lang w:val="zh-CN" w:eastAsia="zh-CN"/>
        </w:rPr>
        <w:t>个百分点的有机销售额增长。汉高预期粘合剂技术业务部、洗涤剂及家用护理业务部能在各自所属领域获得有机销售额增长。</w:t>
      </w:r>
      <w:r w:rsidRPr="002D3A87">
        <w:rPr>
          <w:rFonts w:eastAsia="宋体" w:cs="Arial"/>
          <w:snapToGrid w:val="0"/>
          <w:color w:val="000000"/>
          <w:sz w:val="24"/>
          <w:lang w:val="en-US" w:eastAsia="zh-CN"/>
        </w:rPr>
        <w:t>对于化妆品</w:t>
      </w:r>
      <w:r w:rsidRPr="002D3A87">
        <w:rPr>
          <w:rFonts w:eastAsia="宋体" w:cs="Arial"/>
          <w:snapToGrid w:val="0"/>
          <w:color w:val="000000"/>
          <w:sz w:val="24"/>
          <w:lang w:val="en-US" w:eastAsia="zh-CN"/>
        </w:rPr>
        <w:t>/</w:t>
      </w:r>
      <w:r w:rsidRPr="002D3A87">
        <w:rPr>
          <w:rFonts w:eastAsia="宋体" w:cs="Arial"/>
          <w:snapToGrid w:val="0"/>
          <w:color w:val="000000"/>
          <w:sz w:val="24"/>
          <w:lang w:val="en-US" w:eastAsia="zh-CN"/>
        </w:rPr>
        <w:t>美容用品业务部，汉高预期有约</w:t>
      </w:r>
      <w:r w:rsidRPr="002D3A87">
        <w:rPr>
          <w:rFonts w:eastAsia="宋体" w:cs="Arial"/>
          <w:snapToGrid w:val="0"/>
          <w:color w:val="000000"/>
          <w:sz w:val="24"/>
          <w:lang w:val="en-US" w:eastAsia="zh-CN"/>
        </w:rPr>
        <w:t>2</w:t>
      </w:r>
      <w:r w:rsidRPr="002D3A87">
        <w:rPr>
          <w:rFonts w:eastAsia="宋体" w:cs="Arial"/>
          <w:snapToGrid w:val="0"/>
          <w:color w:val="000000"/>
          <w:sz w:val="24"/>
          <w:lang w:val="en-US" w:eastAsia="zh-CN"/>
        </w:rPr>
        <w:t>个百分点的增长。</w:t>
      </w:r>
      <w:r w:rsidR="00EE6CB1">
        <w:rPr>
          <w:rFonts w:eastAsia="宋体" w:cs="Arial" w:hint="eastAsia"/>
          <w:snapToGrid w:val="0"/>
          <w:color w:val="000000"/>
          <w:sz w:val="24"/>
          <w:lang w:val="en-US" w:eastAsia="zh-CN"/>
        </w:rPr>
        <w:t>和之前一样，</w:t>
      </w:r>
      <w:r w:rsidRPr="002D3A87">
        <w:rPr>
          <w:rFonts w:eastAsia="宋体" w:cs="Arial"/>
          <w:snapToGrid w:val="0"/>
          <w:color w:val="000000"/>
          <w:sz w:val="24"/>
          <w:lang w:val="en-US" w:eastAsia="zh-CN"/>
        </w:rPr>
        <w:t>汉高希望新兴市</w:t>
      </w:r>
      <w:r w:rsidRPr="002D3A87">
        <w:rPr>
          <w:rFonts w:eastAsia="宋体" w:cs="Arial"/>
          <w:snapToGrid w:val="0"/>
          <w:color w:val="000000"/>
          <w:sz w:val="24"/>
          <w:lang w:val="en-US" w:eastAsia="zh-CN"/>
        </w:rPr>
        <w:lastRenderedPageBreak/>
        <w:t>场的销售份额比例稳定发展。</w:t>
      </w:r>
      <w:r w:rsidRPr="002D3A87">
        <w:rPr>
          <w:rFonts w:eastAsia="宋体" w:cs="Arial"/>
          <w:snapToGrid w:val="0"/>
          <w:color w:val="000000"/>
          <w:sz w:val="24"/>
          <w:lang w:val="zh-CN" w:eastAsia="zh-CN"/>
        </w:rPr>
        <w:t>相比</w:t>
      </w:r>
      <w:r w:rsidRPr="002D3A87">
        <w:rPr>
          <w:rFonts w:eastAsia="宋体" w:cs="Arial"/>
          <w:snapToGrid w:val="0"/>
          <w:color w:val="000000"/>
          <w:sz w:val="24"/>
          <w:lang w:val="en-US" w:eastAsia="zh-CN"/>
        </w:rPr>
        <w:t>2014</w:t>
      </w:r>
      <w:r w:rsidRPr="002D3A87">
        <w:rPr>
          <w:rFonts w:eastAsia="宋体" w:cs="Arial"/>
          <w:snapToGrid w:val="0"/>
          <w:color w:val="000000"/>
          <w:sz w:val="24"/>
          <w:lang w:val="zh-CN" w:eastAsia="zh-CN"/>
        </w:rPr>
        <w:t>财年</w:t>
      </w:r>
      <w:r w:rsidRPr="002D3A87">
        <w:rPr>
          <w:rFonts w:eastAsia="宋体" w:cs="Arial"/>
          <w:snapToGrid w:val="0"/>
          <w:color w:val="000000"/>
          <w:sz w:val="24"/>
          <w:lang w:val="en-US" w:eastAsia="zh-CN"/>
        </w:rPr>
        <w:t>，</w:t>
      </w:r>
      <w:r w:rsidRPr="002D3A87">
        <w:rPr>
          <w:rFonts w:eastAsia="宋体" w:cs="Arial"/>
          <w:snapToGrid w:val="0"/>
          <w:color w:val="000000"/>
          <w:sz w:val="24"/>
          <w:lang w:val="zh-CN" w:eastAsia="zh-CN"/>
        </w:rPr>
        <w:t>汉高预计调整后销售回报率</w:t>
      </w:r>
      <w:r w:rsidRPr="002D3A87">
        <w:rPr>
          <w:rFonts w:eastAsia="宋体" w:cs="Arial"/>
          <w:snapToGrid w:val="0"/>
          <w:color w:val="000000"/>
          <w:sz w:val="24"/>
          <w:lang w:val="en-US" w:eastAsia="zh-CN"/>
        </w:rPr>
        <w:t>（息税前利润）</w:t>
      </w:r>
      <w:r w:rsidRPr="002D3A87">
        <w:rPr>
          <w:rFonts w:eastAsia="宋体" w:cs="Arial"/>
          <w:snapToGrid w:val="0"/>
          <w:color w:val="000000"/>
          <w:sz w:val="24"/>
          <w:lang w:val="zh-CN" w:eastAsia="zh-CN"/>
        </w:rPr>
        <w:t>可以增至</w:t>
      </w:r>
      <w:r w:rsidRPr="002D3A87">
        <w:rPr>
          <w:rFonts w:eastAsia="宋体" w:cs="Arial"/>
          <w:snapToGrid w:val="0"/>
          <w:color w:val="000000"/>
          <w:sz w:val="24"/>
          <w:lang w:val="en-US" w:eastAsia="zh-CN"/>
        </w:rPr>
        <w:t>16%</w:t>
      </w:r>
      <w:r w:rsidRPr="002D3A87">
        <w:rPr>
          <w:rFonts w:eastAsia="宋体" w:cs="Arial"/>
          <w:snapToGrid w:val="0"/>
          <w:color w:val="000000"/>
          <w:sz w:val="24"/>
          <w:lang w:val="zh-CN" w:eastAsia="zh-CN"/>
        </w:rPr>
        <w:t>左右</w:t>
      </w:r>
      <w:r w:rsidRPr="002D3A87">
        <w:rPr>
          <w:rFonts w:eastAsia="宋体" w:cs="Arial"/>
          <w:snapToGrid w:val="0"/>
          <w:color w:val="000000"/>
          <w:sz w:val="24"/>
          <w:lang w:val="en-US" w:eastAsia="zh-CN"/>
        </w:rPr>
        <w:t>，</w:t>
      </w:r>
      <w:r w:rsidRPr="002D3A87">
        <w:rPr>
          <w:rFonts w:eastAsia="宋体" w:cs="Arial"/>
          <w:snapToGrid w:val="0"/>
          <w:color w:val="000000"/>
          <w:sz w:val="24"/>
          <w:lang w:val="zh-CN" w:eastAsia="zh-CN"/>
        </w:rPr>
        <w:t>而调整后优先股每股收益将会至</w:t>
      </w:r>
      <w:r w:rsidRPr="002D3A87">
        <w:rPr>
          <w:rFonts w:eastAsia="宋体" w:cs="Arial"/>
          <w:snapToGrid w:val="0"/>
          <w:color w:val="000000"/>
          <w:sz w:val="24"/>
          <w:lang w:val="zh-CN" w:eastAsia="zh-CN"/>
        </w:rPr>
        <w:t>10%</w:t>
      </w:r>
      <w:r w:rsidRPr="002D3A87">
        <w:rPr>
          <w:rFonts w:eastAsia="宋体" w:cs="Arial"/>
          <w:snapToGrid w:val="0"/>
          <w:color w:val="000000"/>
          <w:sz w:val="24"/>
          <w:lang w:val="zh-CN" w:eastAsia="zh-CN"/>
        </w:rPr>
        <w:t>左右。</w:t>
      </w:r>
    </w:p>
    <w:p w:rsidR="009146DF" w:rsidRPr="002D3A87" w:rsidRDefault="009146DF">
      <w:pPr>
        <w:pStyle w:val="a5"/>
        <w:spacing w:after="0" w:line="240" w:lineRule="auto"/>
        <w:jc w:val="both"/>
        <w:rPr>
          <w:rFonts w:eastAsia="宋体" w:cs="Arial"/>
          <w:bCs/>
          <w:snapToGrid w:val="0"/>
          <w:sz w:val="16"/>
          <w:lang w:val="en-US"/>
        </w:rPr>
      </w:pPr>
    </w:p>
    <w:p w:rsidR="00A363AD" w:rsidRDefault="00A363AD">
      <w:pPr>
        <w:pStyle w:val="a5"/>
        <w:spacing w:after="0" w:line="240" w:lineRule="auto"/>
        <w:jc w:val="both"/>
        <w:rPr>
          <w:rFonts w:eastAsia="宋体" w:cs="Arial"/>
          <w:bCs/>
          <w:snapToGrid w:val="0"/>
          <w:color w:val="000000"/>
          <w:sz w:val="16"/>
          <w:lang w:val="en-US"/>
        </w:rPr>
      </w:pPr>
    </w:p>
    <w:p w:rsidR="00EE6CB1" w:rsidRPr="006D3A1C" w:rsidRDefault="00EE6CB1" w:rsidP="00EE6CB1">
      <w:pPr>
        <w:pStyle w:val="a5"/>
        <w:spacing w:after="0" w:line="240" w:lineRule="auto"/>
        <w:jc w:val="both"/>
        <w:rPr>
          <w:sz w:val="16"/>
          <w:lang w:val="en-US" w:eastAsia="zh-CN"/>
        </w:rPr>
      </w:pPr>
      <w:r w:rsidRPr="006D3A1C">
        <w:rPr>
          <w:rFonts w:hint="eastAsia"/>
          <w:sz w:val="16"/>
          <w:lang w:val="en-US" w:eastAsia="zh-CN"/>
        </w:rPr>
        <w:t>该内容所含前瞻性表述是汉高股份及两合公司管理层基于现有的预测和假设。前瞻性表述的特点是使用诸如：期望、计划、预测、假设、相信、预计、预期和类似的表述。这样的表述在任何情况下都不应该被理解成确保这些预期将是准确的。汉高股份及</w:t>
      </w:r>
    </w:p>
    <w:p w:rsidR="00EE6CB1" w:rsidRPr="006D3A1C" w:rsidRDefault="00EE6CB1" w:rsidP="00EE6CB1">
      <w:pPr>
        <w:pStyle w:val="a5"/>
        <w:spacing w:after="0" w:line="240" w:lineRule="auto"/>
        <w:jc w:val="both"/>
        <w:rPr>
          <w:sz w:val="16"/>
          <w:lang w:val="en-US" w:eastAsia="zh-CN"/>
        </w:rPr>
      </w:pPr>
      <w:r w:rsidRPr="006D3A1C">
        <w:rPr>
          <w:rFonts w:hint="eastAsia"/>
          <w:sz w:val="16"/>
          <w:lang w:val="en-US" w:eastAsia="zh-CN"/>
        </w:rPr>
        <w:t>两合公司及其关联公司实际实现的未来表现和结果基于一系列的风险和不确定性，因此，可能与前瞻性表述有明显差别。这些因素，例如未来的经济环境和竞争者行为以及市场上的其它参与者的行为，均在汉高</w:t>
      </w:r>
      <w:r w:rsidRPr="006D3A1C">
        <w:rPr>
          <w:sz w:val="16"/>
          <w:lang w:val="en-US" w:eastAsia="zh-CN"/>
        </w:rPr>
        <w:t>(Henkel)</w:t>
      </w:r>
      <w:r w:rsidRPr="006D3A1C">
        <w:rPr>
          <w:rFonts w:hint="eastAsia"/>
          <w:sz w:val="16"/>
          <w:lang w:val="en-US" w:eastAsia="zh-CN"/>
        </w:rPr>
        <w:t>的控制之外，并且无法准确预计。汉高</w:t>
      </w:r>
      <w:r w:rsidRPr="006D3A1C">
        <w:rPr>
          <w:sz w:val="16"/>
          <w:lang w:val="en-US" w:eastAsia="zh-CN"/>
        </w:rPr>
        <w:t>(Henkel)</w:t>
      </w:r>
      <w:r w:rsidRPr="006D3A1C">
        <w:rPr>
          <w:rFonts w:hint="eastAsia"/>
          <w:sz w:val="16"/>
          <w:lang w:val="en-US" w:eastAsia="zh-CN"/>
        </w:rPr>
        <w:t>将不计划或采取行动更新任何前瞻性表述。</w:t>
      </w:r>
    </w:p>
    <w:p w:rsidR="00EE6CB1" w:rsidRDefault="00EE6CB1">
      <w:pPr>
        <w:pStyle w:val="a5"/>
        <w:spacing w:after="0" w:line="240" w:lineRule="auto"/>
        <w:jc w:val="both"/>
        <w:rPr>
          <w:rFonts w:eastAsia="宋体" w:cs="Arial"/>
          <w:bCs/>
          <w:snapToGrid w:val="0"/>
          <w:color w:val="000000"/>
          <w:sz w:val="16"/>
          <w:lang w:val="en-US"/>
        </w:rPr>
      </w:pPr>
    </w:p>
    <w:p w:rsidR="003701D2" w:rsidRDefault="003701D2" w:rsidP="003701D2">
      <w:pPr>
        <w:pStyle w:val="a5"/>
        <w:spacing w:after="0"/>
        <w:rPr>
          <w:rFonts w:cs="Tahoma"/>
          <w:b/>
          <w:szCs w:val="20"/>
          <w:lang w:val="en-US"/>
        </w:rPr>
      </w:pPr>
    </w:p>
    <w:p w:rsidR="003701D2" w:rsidRDefault="003701D2" w:rsidP="003701D2">
      <w:pPr>
        <w:pStyle w:val="a5"/>
        <w:spacing w:after="0"/>
        <w:rPr>
          <w:rFonts w:cs="Tahoma"/>
          <w:b/>
          <w:szCs w:val="20"/>
          <w:lang w:val="en-US"/>
        </w:rPr>
      </w:pPr>
    </w:p>
    <w:p w:rsidR="00EE6CB1" w:rsidRPr="006D3A1C" w:rsidRDefault="00EE6CB1" w:rsidP="003701D2">
      <w:pPr>
        <w:pStyle w:val="a5"/>
        <w:spacing w:after="0"/>
        <w:rPr>
          <w:rFonts w:cs="Tahoma"/>
          <w:szCs w:val="20"/>
          <w:lang w:val="en-US"/>
        </w:rPr>
      </w:pPr>
      <w:r w:rsidRPr="006D3A1C">
        <w:rPr>
          <w:rFonts w:cs="Tahoma" w:hint="eastAsia"/>
          <w:b/>
          <w:szCs w:val="20"/>
          <w:lang w:val="en-US"/>
        </w:rPr>
        <w:t>联系人</w:t>
      </w:r>
      <w:r w:rsidRPr="006D3A1C">
        <w:rPr>
          <w:rFonts w:cs="Tahoma"/>
          <w:szCs w:val="20"/>
          <w:lang w:val="en-US"/>
        </w:rPr>
        <w:tab/>
        <w:t xml:space="preserve">             Janice Fu</w:t>
      </w:r>
    </w:p>
    <w:p w:rsidR="00EE6CB1" w:rsidRDefault="00EE6CB1" w:rsidP="003701D2">
      <w:pPr>
        <w:pStyle w:val="a5"/>
        <w:spacing w:after="0"/>
        <w:rPr>
          <w:rFonts w:cs="Tahoma"/>
          <w:szCs w:val="20"/>
          <w:lang w:val="en-US"/>
        </w:rPr>
      </w:pPr>
      <w:r w:rsidRPr="006D3A1C">
        <w:rPr>
          <w:rFonts w:cs="Tahoma"/>
          <w:szCs w:val="20"/>
          <w:lang w:val="en-US"/>
        </w:rPr>
        <w:t xml:space="preserve">E-mail    </w:t>
      </w:r>
      <w:r w:rsidRPr="006D3A1C">
        <w:rPr>
          <w:rFonts w:cs="Tahoma"/>
          <w:szCs w:val="20"/>
          <w:lang w:val="en-US" w:eastAsia="zh-CN"/>
        </w:rPr>
        <w:t xml:space="preserve"> </w:t>
      </w:r>
      <w:r w:rsidRPr="006D3A1C">
        <w:rPr>
          <w:rFonts w:cs="Tahoma"/>
          <w:szCs w:val="20"/>
          <w:lang w:val="en-US"/>
        </w:rPr>
        <w:t xml:space="preserve">          </w:t>
      </w:r>
      <w:hyperlink r:id="rId8" w:history="1">
        <w:r w:rsidR="003701D2" w:rsidRPr="00DD30CF">
          <w:rPr>
            <w:rStyle w:val="a6"/>
            <w:rFonts w:cs="Tahoma"/>
            <w:szCs w:val="20"/>
            <w:lang w:val="en-US"/>
          </w:rPr>
          <w:t>Janice.fu@cn.henkel.com</w:t>
        </w:r>
      </w:hyperlink>
    </w:p>
    <w:p w:rsidR="003701D2" w:rsidRPr="006D3A1C" w:rsidRDefault="003701D2" w:rsidP="003701D2">
      <w:pPr>
        <w:pStyle w:val="a5"/>
        <w:spacing w:after="0"/>
        <w:rPr>
          <w:rFonts w:cs="Tahoma"/>
          <w:szCs w:val="20"/>
          <w:lang w:val="en-US"/>
        </w:rPr>
      </w:pPr>
      <w:r>
        <w:rPr>
          <w:rFonts w:cs="Tahoma" w:hint="eastAsia"/>
          <w:szCs w:val="20"/>
          <w:lang w:val="en-US" w:eastAsia="zh-CN"/>
        </w:rPr>
        <w:t>电话：</w:t>
      </w:r>
      <w:r>
        <w:rPr>
          <w:rFonts w:cs="Tahoma" w:hint="eastAsia"/>
          <w:szCs w:val="20"/>
          <w:lang w:val="en-US" w:eastAsia="zh-CN"/>
        </w:rPr>
        <w:t xml:space="preserve">               86-021-2891 5121</w:t>
      </w:r>
    </w:p>
    <w:p w:rsidR="00EE6CB1" w:rsidRPr="00EE6CB1" w:rsidRDefault="00EE6CB1">
      <w:pPr>
        <w:pStyle w:val="a5"/>
        <w:spacing w:after="0" w:line="240" w:lineRule="auto"/>
        <w:jc w:val="both"/>
        <w:rPr>
          <w:rFonts w:eastAsia="宋体" w:cs="Arial"/>
          <w:bCs/>
          <w:snapToGrid w:val="0"/>
          <w:color w:val="000000"/>
          <w:sz w:val="16"/>
          <w:lang w:val="en-US"/>
        </w:rPr>
      </w:pPr>
    </w:p>
    <w:p w:rsidR="003701D2" w:rsidRDefault="003701D2" w:rsidP="00EE6CB1">
      <w:pPr>
        <w:tabs>
          <w:tab w:val="left" w:pos="0"/>
          <w:tab w:val="left" w:pos="360"/>
          <w:tab w:val="left" w:pos="1080"/>
          <w:tab w:val="left" w:pos="1800"/>
          <w:tab w:val="left" w:pos="2520"/>
          <w:tab w:val="left" w:pos="3240"/>
          <w:tab w:val="left" w:pos="3960"/>
        </w:tabs>
        <w:autoSpaceDE w:val="0"/>
        <w:autoSpaceDN w:val="0"/>
        <w:adjustRightInd w:val="0"/>
        <w:spacing w:line="240" w:lineRule="auto"/>
        <w:rPr>
          <w:rFonts w:cs="Tahoma"/>
          <w:szCs w:val="20"/>
          <w:lang w:val="en-US" w:eastAsia="zh-CN"/>
        </w:rPr>
      </w:pPr>
    </w:p>
    <w:p w:rsidR="003701D2" w:rsidRDefault="003701D2" w:rsidP="00EE6CB1">
      <w:pPr>
        <w:tabs>
          <w:tab w:val="left" w:pos="0"/>
          <w:tab w:val="left" w:pos="360"/>
          <w:tab w:val="left" w:pos="1080"/>
          <w:tab w:val="left" w:pos="1800"/>
          <w:tab w:val="left" w:pos="2520"/>
          <w:tab w:val="left" w:pos="3240"/>
          <w:tab w:val="left" w:pos="3960"/>
        </w:tabs>
        <w:autoSpaceDE w:val="0"/>
        <w:autoSpaceDN w:val="0"/>
        <w:adjustRightInd w:val="0"/>
        <w:spacing w:line="240" w:lineRule="auto"/>
        <w:rPr>
          <w:rFonts w:cs="Tahoma"/>
          <w:szCs w:val="20"/>
          <w:lang w:val="en-US" w:eastAsia="zh-CN"/>
        </w:rPr>
      </w:pPr>
    </w:p>
    <w:p w:rsidR="003701D2" w:rsidRDefault="003701D2" w:rsidP="00EE6CB1">
      <w:pPr>
        <w:tabs>
          <w:tab w:val="left" w:pos="0"/>
          <w:tab w:val="left" w:pos="360"/>
          <w:tab w:val="left" w:pos="1080"/>
          <w:tab w:val="left" w:pos="1800"/>
          <w:tab w:val="left" w:pos="2520"/>
          <w:tab w:val="left" w:pos="3240"/>
          <w:tab w:val="left" w:pos="3960"/>
        </w:tabs>
        <w:autoSpaceDE w:val="0"/>
        <w:autoSpaceDN w:val="0"/>
        <w:adjustRightInd w:val="0"/>
        <w:spacing w:line="240" w:lineRule="auto"/>
        <w:rPr>
          <w:rFonts w:cs="Tahoma"/>
          <w:szCs w:val="20"/>
          <w:lang w:val="en-US" w:eastAsia="zh-CN"/>
        </w:rPr>
      </w:pPr>
    </w:p>
    <w:p w:rsidR="00EE6CB1" w:rsidRPr="006D3A1C" w:rsidRDefault="00EE6CB1" w:rsidP="00EE6CB1">
      <w:pPr>
        <w:tabs>
          <w:tab w:val="left" w:pos="0"/>
          <w:tab w:val="left" w:pos="360"/>
          <w:tab w:val="left" w:pos="1080"/>
          <w:tab w:val="left" w:pos="1800"/>
          <w:tab w:val="left" w:pos="2520"/>
          <w:tab w:val="left" w:pos="3240"/>
          <w:tab w:val="left" w:pos="3960"/>
        </w:tabs>
        <w:autoSpaceDE w:val="0"/>
        <w:autoSpaceDN w:val="0"/>
        <w:adjustRightInd w:val="0"/>
        <w:spacing w:line="240" w:lineRule="auto"/>
        <w:rPr>
          <w:rFonts w:cs="Tahoma"/>
          <w:szCs w:val="20"/>
          <w:lang w:val="en-US" w:eastAsia="zh-CN"/>
        </w:rPr>
      </w:pPr>
      <w:r w:rsidRPr="006D3A1C">
        <w:rPr>
          <w:rFonts w:cs="Tahoma" w:hint="eastAsia"/>
          <w:szCs w:val="20"/>
          <w:lang w:val="en-US" w:eastAsia="zh-CN"/>
        </w:rPr>
        <w:t>欲获取</w:t>
      </w:r>
      <w:r w:rsidRPr="006D3A1C">
        <w:rPr>
          <w:rFonts w:cs="Tahoma"/>
          <w:szCs w:val="20"/>
          <w:lang w:val="en-US" w:eastAsia="zh-CN"/>
        </w:rPr>
        <w:t>201</w:t>
      </w:r>
      <w:r>
        <w:rPr>
          <w:rFonts w:cs="Tahoma"/>
          <w:szCs w:val="20"/>
          <w:lang w:val="en-US" w:eastAsia="zh-CN"/>
        </w:rPr>
        <w:t>5</w:t>
      </w:r>
      <w:r w:rsidRPr="006D3A1C">
        <w:rPr>
          <w:rFonts w:cs="Tahoma" w:hint="eastAsia"/>
          <w:szCs w:val="20"/>
          <w:lang w:val="en-US" w:eastAsia="zh-CN"/>
        </w:rPr>
        <w:t>财年</w:t>
      </w:r>
      <w:r w:rsidR="009402F9">
        <w:rPr>
          <w:rFonts w:cs="Tahoma" w:hint="eastAsia"/>
          <w:szCs w:val="20"/>
          <w:lang w:val="en-US" w:eastAsia="zh-CN"/>
        </w:rPr>
        <w:t>第二</w:t>
      </w:r>
      <w:bookmarkStart w:id="49" w:name="_GoBack"/>
      <w:bookmarkEnd w:id="49"/>
      <w:r>
        <w:rPr>
          <w:rFonts w:cs="Tahoma" w:hint="eastAsia"/>
          <w:szCs w:val="20"/>
          <w:lang w:val="en-US" w:eastAsia="zh-CN"/>
        </w:rPr>
        <w:t>季度财报</w:t>
      </w:r>
      <w:r w:rsidRPr="006D3A1C">
        <w:rPr>
          <w:rFonts w:cs="Tahoma" w:hint="eastAsia"/>
          <w:szCs w:val="20"/>
          <w:lang w:val="en-US" w:eastAsia="zh-CN"/>
        </w:rPr>
        <w:t>及更多信息和下载资料，以及新闻发布会的网络直播链接，请访问</w:t>
      </w:r>
    </w:p>
    <w:p w:rsidR="00EE6CB1" w:rsidRPr="00B51C62" w:rsidRDefault="00EE6CB1" w:rsidP="00B51C62">
      <w:pPr>
        <w:autoSpaceDE w:val="0"/>
        <w:autoSpaceDN w:val="0"/>
        <w:adjustRightInd w:val="0"/>
        <w:snapToGrid w:val="0"/>
        <w:spacing w:afterLines="100" w:after="240" w:line="288" w:lineRule="auto"/>
        <w:rPr>
          <w:rFonts w:cs="Arial"/>
          <w:sz w:val="24"/>
          <w:lang w:val="en-US" w:eastAsia="de-DE"/>
        </w:rPr>
      </w:pPr>
      <w:r w:rsidRPr="006D3A1C">
        <w:rPr>
          <w:rFonts w:cs="Tahoma" w:hint="eastAsia"/>
          <w:szCs w:val="20"/>
          <w:lang w:val="en-US" w:eastAsia="zh-CN"/>
        </w:rPr>
        <w:t>我司网站中的新闻页面：</w:t>
      </w:r>
    </w:p>
    <w:p w:rsidR="00A363AD" w:rsidRPr="002D3A87" w:rsidRDefault="00B03731">
      <w:pPr>
        <w:autoSpaceDE w:val="0"/>
        <w:autoSpaceDN w:val="0"/>
        <w:rPr>
          <w:rFonts w:eastAsia="宋体" w:cs="Arial"/>
          <w:snapToGrid w:val="0"/>
          <w:lang w:val="en-US"/>
        </w:rPr>
      </w:pPr>
      <w:hyperlink r:id="rId9" w:history="1">
        <w:r w:rsidR="00A363AD" w:rsidRPr="002D3A87">
          <w:rPr>
            <w:rStyle w:val="a6"/>
            <w:rFonts w:eastAsia="宋体" w:cs="Arial"/>
            <w:snapToGrid w:val="0"/>
            <w:lang w:val="en-US"/>
          </w:rPr>
          <w:t>www.henkel.com/ir</w:t>
        </w:r>
      </w:hyperlink>
    </w:p>
    <w:p w:rsidR="00A363AD" w:rsidRPr="002D3A87" w:rsidRDefault="00B03731">
      <w:pPr>
        <w:autoSpaceDE w:val="0"/>
        <w:autoSpaceDN w:val="0"/>
        <w:rPr>
          <w:rFonts w:eastAsia="宋体" w:cs="Arial"/>
          <w:snapToGrid w:val="0"/>
          <w:sz w:val="22"/>
          <w:szCs w:val="22"/>
          <w:lang w:val="en-US"/>
        </w:rPr>
      </w:pPr>
      <w:hyperlink r:id="rId10" w:history="1">
        <w:r w:rsidR="00A363AD" w:rsidRPr="002D3A87">
          <w:rPr>
            <w:rStyle w:val="a6"/>
            <w:rFonts w:eastAsia="宋体" w:cs="Arial"/>
            <w:snapToGrid w:val="0"/>
            <w:lang w:val="en-US"/>
          </w:rPr>
          <w:t>www.henkel.com/press</w:t>
        </w:r>
      </w:hyperlink>
    </w:p>
    <w:sectPr w:rsidR="00A363AD" w:rsidRPr="002D3A87">
      <w:headerReference w:type="default" r:id="rId11"/>
      <w:footerReference w:type="default" r:id="rId12"/>
      <w:headerReference w:type="first" r:id="rId13"/>
      <w:footerReference w:type="first" r:id="rId14"/>
      <w:pgSz w:w="11907" w:h="16840" w:code="9"/>
      <w:pgMar w:top="510" w:right="1418" w:bottom="1985" w:left="1418" w:header="720" w:footer="9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731" w:rsidRDefault="00B03731">
      <w:pPr>
        <w:rPr>
          <w:lang w:val="en-GB"/>
        </w:rPr>
      </w:pPr>
      <w:r>
        <w:rPr>
          <w:lang w:val="en-GB"/>
        </w:rPr>
        <w:separator/>
      </w:r>
    </w:p>
  </w:endnote>
  <w:endnote w:type="continuationSeparator" w:id="0">
    <w:p w:rsidR="00B03731" w:rsidRDefault="00B03731">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AD" w:rsidRDefault="00A363AD">
    <w:pPr>
      <w:pStyle w:val="a4"/>
      <w:tabs>
        <w:tab w:val="clear" w:pos="7083"/>
        <w:tab w:val="clear" w:pos="8640"/>
        <w:tab w:val="right" w:pos="9057"/>
      </w:tabs>
      <w:rPr>
        <w:b w:val="0"/>
        <w:color w:val="auto"/>
        <w:lang w:val="en-GB"/>
      </w:rPr>
    </w:pPr>
    <w:r>
      <w:rPr>
        <w:color w:val="auto"/>
        <w:lang w:val="en-GB"/>
      </w:rPr>
      <w:t>Henkel AG &amp; Co.</w:t>
    </w:r>
    <w:r>
      <w:rPr>
        <w:b w:val="0"/>
        <w:color w:val="auto"/>
        <w:lang w:val="en-GB"/>
      </w:rPr>
      <w:t xml:space="preserve"> </w:t>
    </w:r>
    <w:r>
      <w:rPr>
        <w:color w:val="auto"/>
        <w:lang w:val="en-GB"/>
      </w:rPr>
      <w:t>KGaA</w:t>
    </w:r>
    <w:r>
      <w:rPr>
        <w:color w:val="auto"/>
        <w:lang w:val="en-GB"/>
      </w:rPr>
      <w:tab/>
    </w:r>
    <w:r>
      <w:rPr>
        <w:b w:val="0"/>
        <w:color w:val="auto"/>
        <w:lang w:val="en-GB"/>
      </w:rPr>
      <w:t xml:space="preserve">Page </w:t>
    </w:r>
    <w:r w:rsidR="003B70E3" w:rsidRPr="00706CEC">
      <w:rPr>
        <w:b w:val="0"/>
        <w:color w:val="auto"/>
        <w:lang w:val="en-US" w:eastAsia="x-none"/>
      </w:rPr>
      <w:fldChar w:fldCharType="begin"/>
    </w:r>
    <w:r w:rsidR="003B70E3" w:rsidRPr="00706CEC">
      <w:rPr>
        <w:b w:val="0"/>
        <w:color w:val="auto"/>
        <w:lang w:val="en-US" w:eastAsia="x-none"/>
      </w:rPr>
      <w:instrText xml:space="preserve"> PAGE  \* Arabic  \* MERGEFORMAT </w:instrText>
    </w:r>
    <w:r w:rsidR="003B70E3" w:rsidRPr="00706CEC">
      <w:rPr>
        <w:b w:val="0"/>
        <w:color w:val="auto"/>
        <w:lang w:val="en-US" w:eastAsia="x-none"/>
      </w:rPr>
      <w:fldChar w:fldCharType="separate"/>
    </w:r>
    <w:r w:rsidR="009402F9" w:rsidRPr="009402F9">
      <w:rPr>
        <w:b w:val="0"/>
        <w:noProof/>
        <w:color w:val="auto"/>
        <w:lang w:val="en-GB"/>
      </w:rPr>
      <w:t>5</w:t>
    </w:r>
    <w:r w:rsidR="003B70E3" w:rsidRPr="00706CEC">
      <w:rPr>
        <w:b w:val="0"/>
        <w:color w:val="auto"/>
        <w:lang w:val="en-US" w:eastAsia="x-none"/>
      </w:rPr>
      <w:fldChar w:fldCharType="end"/>
    </w:r>
    <w:r>
      <w:rPr>
        <w:b w:val="0"/>
        <w:color w:val="auto"/>
        <w:lang w:val="en-GB"/>
      </w:rPr>
      <w:t>/</w:t>
    </w:r>
    <w:r w:rsidR="003B70E3" w:rsidRPr="00706CEC">
      <w:rPr>
        <w:b w:val="0"/>
        <w:color w:val="auto"/>
        <w:lang w:val="en-US" w:eastAsia="x-none"/>
      </w:rPr>
      <w:fldChar w:fldCharType="begin"/>
    </w:r>
    <w:r w:rsidR="003B70E3" w:rsidRPr="00706CEC">
      <w:rPr>
        <w:b w:val="0"/>
        <w:color w:val="auto"/>
        <w:lang w:val="en-US" w:eastAsia="x-none"/>
      </w:rPr>
      <w:instrText xml:space="preserve"> NUMPAGES  \* Arabic  \* MERGEFORMAT </w:instrText>
    </w:r>
    <w:r w:rsidR="003B70E3" w:rsidRPr="00706CEC">
      <w:rPr>
        <w:b w:val="0"/>
        <w:color w:val="auto"/>
        <w:lang w:val="en-US" w:eastAsia="x-none"/>
      </w:rPr>
      <w:fldChar w:fldCharType="separate"/>
    </w:r>
    <w:r w:rsidR="009402F9" w:rsidRPr="009402F9">
      <w:rPr>
        <w:b w:val="0"/>
        <w:noProof/>
        <w:color w:val="auto"/>
        <w:lang w:val="en-GB"/>
      </w:rPr>
      <w:t>6</w:t>
    </w:r>
    <w:r w:rsidR="003B70E3" w:rsidRPr="00706CEC">
      <w:rPr>
        <w:b w:val="0"/>
        <w:color w:val="auto"/>
        <w:lang w:val="en-US" w:eastAsia="x-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AD" w:rsidRDefault="00A363AD">
    <w:pPr>
      <w:pStyle w:val="a4"/>
      <w:jc w:val="right"/>
      <w:rPr>
        <w:b w:val="0"/>
        <w:color w:val="auto"/>
        <w:lang w:val="en-GB"/>
      </w:rPr>
    </w:pPr>
    <w:r>
      <w:rPr>
        <w:b w:val="0"/>
        <w:color w:val="auto"/>
        <w:lang w:val="en-GB"/>
      </w:rPr>
      <w:t xml:space="preserve">Page </w:t>
    </w:r>
    <w:r w:rsidR="003B70E3">
      <w:rPr>
        <w:b w:val="0"/>
        <w:color w:val="auto"/>
        <w:lang w:val="en-GB"/>
      </w:rPr>
      <w:fldChar w:fldCharType="begin"/>
    </w:r>
    <w:r w:rsidR="003B70E3">
      <w:rPr>
        <w:b w:val="0"/>
        <w:color w:val="auto"/>
        <w:lang w:val="en-GB"/>
      </w:rPr>
      <w:instrText xml:space="preserve"> PAGE  \* Arabic  \* MERGEFORMAT </w:instrText>
    </w:r>
    <w:r w:rsidR="003B70E3">
      <w:rPr>
        <w:b w:val="0"/>
        <w:color w:val="auto"/>
        <w:lang w:val="en-GB"/>
      </w:rPr>
      <w:fldChar w:fldCharType="separate"/>
    </w:r>
    <w:r w:rsidR="009402F9">
      <w:rPr>
        <w:b w:val="0"/>
        <w:noProof/>
        <w:color w:val="auto"/>
        <w:lang w:val="en-GB"/>
      </w:rPr>
      <w:t>1</w:t>
    </w:r>
    <w:r w:rsidR="003B70E3">
      <w:rPr>
        <w:b w:val="0"/>
        <w:color w:val="auto"/>
        <w:lang w:val="en-GB"/>
      </w:rPr>
      <w:fldChar w:fldCharType="end"/>
    </w:r>
    <w:r>
      <w:rPr>
        <w:b w:val="0"/>
        <w:color w:val="auto"/>
        <w:lang w:val="en-GB"/>
      </w:rPr>
      <w:t>/</w:t>
    </w:r>
    <w:r w:rsidR="003B70E3">
      <w:rPr>
        <w:b w:val="0"/>
        <w:color w:val="auto"/>
        <w:lang w:val="en-GB"/>
      </w:rPr>
      <w:fldChar w:fldCharType="begin"/>
    </w:r>
    <w:r w:rsidR="003B70E3">
      <w:rPr>
        <w:b w:val="0"/>
        <w:color w:val="auto"/>
        <w:lang w:val="en-GB"/>
      </w:rPr>
      <w:instrText xml:space="preserve"> NUMPAGES  \* Arabic  \* MERGEFORMAT </w:instrText>
    </w:r>
    <w:r w:rsidR="003B70E3">
      <w:rPr>
        <w:b w:val="0"/>
        <w:color w:val="auto"/>
        <w:lang w:val="en-GB"/>
      </w:rPr>
      <w:fldChar w:fldCharType="separate"/>
    </w:r>
    <w:r w:rsidR="009402F9">
      <w:rPr>
        <w:b w:val="0"/>
        <w:noProof/>
        <w:color w:val="auto"/>
        <w:lang w:val="en-GB"/>
      </w:rPr>
      <w:t>6</w:t>
    </w:r>
    <w:r w:rsidR="003B70E3">
      <w:rPr>
        <w:b w:val="0"/>
        <w:color w:val="auto"/>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731" w:rsidRDefault="00B03731">
      <w:pPr>
        <w:rPr>
          <w:lang w:val="en-GB"/>
        </w:rPr>
      </w:pPr>
      <w:r>
        <w:rPr>
          <w:lang w:val="en-GB"/>
        </w:rPr>
        <w:separator/>
      </w:r>
    </w:p>
  </w:footnote>
  <w:footnote w:type="continuationSeparator" w:id="0">
    <w:p w:rsidR="00B03731" w:rsidRDefault="00B03731">
      <w:pPr>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AD" w:rsidRDefault="00A363AD">
    <w:pPr>
      <w:pStyle w:val="a3"/>
      <w:spacing w:after="567" w:line="280" w:lineRule="exact"/>
      <w:jc w:val="righ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AD" w:rsidRPr="002D3A87" w:rsidRDefault="00A363AD">
    <w:pPr>
      <w:pStyle w:val="a3"/>
      <w:tabs>
        <w:tab w:val="clear" w:pos="8640"/>
      </w:tabs>
      <w:spacing w:line="2155" w:lineRule="exact"/>
      <w:jc w:val="right"/>
      <w:rPr>
        <w:rFonts w:eastAsia="宋体" w:cs="Arial"/>
        <w:b/>
        <w:bCs/>
        <w:snapToGrid w:val="0"/>
        <w:sz w:val="36"/>
        <w:szCs w:val="36"/>
        <w:lang w:val="en-GB"/>
      </w:rPr>
    </w:pPr>
  </w:p>
  <w:p w:rsidR="00A363AD" w:rsidRPr="002D3A87" w:rsidRDefault="007C171B">
    <w:pPr>
      <w:pStyle w:val="a3"/>
      <w:tabs>
        <w:tab w:val="clear" w:pos="8640"/>
      </w:tabs>
      <w:spacing w:line="420" w:lineRule="atLeast"/>
      <w:jc w:val="right"/>
      <w:rPr>
        <w:rFonts w:eastAsia="宋体" w:cs="Arial"/>
        <w:b/>
        <w:bCs/>
        <w:snapToGrid w:val="0"/>
        <w:sz w:val="36"/>
        <w:szCs w:val="36"/>
        <w:lang w:val="en-GB" w:eastAsia="zh-CN"/>
      </w:rPr>
    </w:pPr>
    <w:r w:rsidRPr="002D3A87">
      <w:rPr>
        <w:rFonts w:eastAsia="宋体" w:cs="Arial"/>
        <w:b/>
        <w:bCs/>
        <w:snapToGrid w:val="0"/>
        <w:sz w:val="36"/>
        <w:szCs w:val="36"/>
        <w:lang w:val="en-GB" w:eastAsia="zh-CN"/>
      </w:rPr>
      <w:t>新闻稿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hint="default"/>
        <w:color w:val="E1000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70FC8"/>
    <w:multiLevelType w:val="hybridMultilevel"/>
    <w:tmpl w:val="453ECC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E073C1"/>
    <w:multiLevelType w:val="hybridMultilevel"/>
    <w:tmpl w:val="CDD85988"/>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14"/>
    <w:rsid w:val="00020A1B"/>
    <w:rsid w:val="000214C7"/>
    <w:rsid w:val="00047FD6"/>
    <w:rsid w:val="00083546"/>
    <w:rsid w:val="000935FB"/>
    <w:rsid w:val="000B0B87"/>
    <w:rsid w:val="000E07FD"/>
    <w:rsid w:val="000E41E8"/>
    <w:rsid w:val="00107992"/>
    <w:rsid w:val="00156F3B"/>
    <w:rsid w:val="00182C1B"/>
    <w:rsid w:val="00197551"/>
    <w:rsid w:val="001B1AEB"/>
    <w:rsid w:val="001C2ABF"/>
    <w:rsid w:val="001C6D1D"/>
    <w:rsid w:val="00233523"/>
    <w:rsid w:val="00234A52"/>
    <w:rsid w:val="002665AC"/>
    <w:rsid w:val="00267108"/>
    <w:rsid w:val="00273B74"/>
    <w:rsid w:val="002B273E"/>
    <w:rsid w:val="002D3A87"/>
    <w:rsid w:val="00333E30"/>
    <w:rsid w:val="00336E26"/>
    <w:rsid w:val="00350463"/>
    <w:rsid w:val="003619D4"/>
    <w:rsid w:val="003626B8"/>
    <w:rsid w:val="003701D2"/>
    <w:rsid w:val="003826EB"/>
    <w:rsid w:val="00382CC0"/>
    <w:rsid w:val="00385149"/>
    <w:rsid w:val="003A4BCE"/>
    <w:rsid w:val="003B70E3"/>
    <w:rsid w:val="003B79E8"/>
    <w:rsid w:val="003C0700"/>
    <w:rsid w:val="003C746B"/>
    <w:rsid w:val="00420D11"/>
    <w:rsid w:val="004247DB"/>
    <w:rsid w:val="0049298B"/>
    <w:rsid w:val="004B1D5A"/>
    <w:rsid w:val="004E07BA"/>
    <w:rsid w:val="004E7A83"/>
    <w:rsid w:val="00500185"/>
    <w:rsid w:val="005014B8"/>
    <w:rsid w:val="00512742"/>
    <w:rsid w:val="0051751F"/>
    <w:rsid w:val="00531D8E"/>
    <w:rsid w:val="0058322F"/>
    <w:rsid w:val="00593C39"/>
    <w:rsid w:val="005D5E6F"/>
    <w:rsid w:val="005D6E5C"/>
    <w:rsid w:val="0060486E"/>
    <w:rsid w:val="00617554"/>
    <w:rsid w:val="006265D0"/>
    <w:rsid w:val="00650966"/>
    <w:rsid w:val="0065118E"/>
    <w:rsid w:val="00656719"/>
    <w:rsid w:val="00706CEC"/>
    <w:rsid w:val="007131CA"/>
    <w:rsid w:val="007142E4"/>
    <w:rsid w:val="00745F31"/>
    <w:rsid w:val="007A61B9"/>
    <w:rsid w:val="007B33DD"/>
    <w:rsid w:val="007C171B"/>
    <w:rsid w:val="007E1326"/>
    <w:rsid w:val="008304DF"/>
    <w:rsid w:val="00846C52"/>
    <w:rsid w:val="008926DC"/>
    <w:rsid w:val="008A4AC1"/>
    <w:rsid w:val="008A6A2D"/>
    <w:rsid w:val="008B6D97"/>
    <w:rsid w:val="008F3896"/>
    <w:rsid w:val="008F73CB"/>
    <w:rsid w:val="00904E6F"/>
    <w:rsid w:val="009146DF"/>
    <w:rsid w:val="009304EC"/>
    <w:rsid w:val="009402F9"/>
    <w:rsid w:val="0098664A"/>
    <w:rsid w:val="00994A89"/>
    <w:rsid w:val="00997257"/>
    <w:rsid w:val="009A0370"/>
    <w:rsid w:val="009A1074"/>
    <w:rsid w:val="009B4D4D"/>
    <w:rsid w:val="009C3CAC"/>
    <w:rsid w:val="009D0316"/>
    <w:rsid w:val="009F158F"/>
    <w:rsid w:val="00A04247"/>
    <w:rsid w:val="00A11CA5"/>
    <w:rsid w:val="00A363AD"/>
    <w:rsid w:val="00A70E56"/>
    <w:rsid w:val="00AB315E"/>
    <w:rsid w:val="00AB4566"/>
    <w:rsid w:val="00AC3074"/>
    <w:rsid w:val="00AD1E73"/>
    <w:rsid w:val="00AE05D7"/>
    <w:rsid w:val="00AE5C27"/>
    <w:rsid w:val="00AF6D21"/>
    <w:rsid w:val="00B02C81"/>
    <w:rsid w:val="00B03731"/>
    <w:rsid w:val="00B038EC"/>
    <w:rsid w:val="00B25281"/>
    <w:rsid w:val="00B41B99"/>
    <w:rsid w:val="00B43754"/>
    <w:rsid w:val="00B4613B"/>
    <w:rsid w:val="00B51C62"/>
    <w:rsid w:val="00B57BFB"/>
    <w:rsid w:val="00B85BD1"/>
    <w:rsid w:val="00BB57C7"/>
    <w:rsid w:val="00BC2F04"/>
    <w:rsid w:val="00BC5F37"/>
    <w:rsid w:val="00C05CAA"/>
    <w:rsid w:val="00C334C3"/>
    <w:rsid w:val="00C347BF"/>
    <w:rsid w:val="00C45E08"/>
    <w:rsid w:val="00C65B32"/>
    <w:rsid w:val="00C7000E"/>
    <w:rsid w:val="00C80CBB"/>
    <w:rsid w:val="00CA2F05"/>
    <w:rsid w:val="00CC78B2"/>
    <w:rsid w:val="00CE7E29"/>
    <w:rsid w:val="00D12307"/>
    <w:rsid w:val="00D63FAE"/>
    <w:rsid w:val="00D673D9"/>
    <w:rsid w:val="00D90623"/>
    <w:rsid w:val="00D952AC"/>
    <w:rsid w:val="00DB65BF"/>
    <w:rsid w:val="00E0686A"/>
    <w:rsid w:val="00E22B12"/>
    <w:rsid w:val="00E75D41"/>
    <w:rsid w:val="00E94E9A"/>
    <w:rsid w:val="00EA38C1"/>
    <w:rsid w:val="00EC3CAA"/>
    <w:rsid w:val="00EC58B9"/>
    <w:rsid w:val="00ED09B8"/>
    <w:rsid w:val="00ED0F7D"/>
    <w:rsid w:val="00ED7AD1"/>
    <w:rsid w:val="00EE4E84"/>
    <w:rsid w:val="00EE6CB1"/>
    <w:rsid w:val="00EF10FC"/>
    <w:rsid w:val="00F162AF"/>
    <w:rsid w:val="00F177FF"/>
    <w:rsid w:val="00F87FAA"/>
    <w:rsid w:val="00FA1033"/>
    <w:rsid w:val="00FA1DED"/>
    <w:rsid w:val="00FA442E"/>
    <w:rsid w:val="00FA5121"/>
    <w:rsid w:val="00FB2064"/>
    <w:rsid w:val="00FE6A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5CF932-923E-497B-B8C5-EB379F6B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60" w:lineRule="atLeast"/>
    </w:pPr>
    <w:rPr>
      <w:rFonts w:ascii="Arial" w:hAnsi="Arial"/>
      <w:szCs w:val="24"/>
      <w:lang w:eastAsia="en-US"/>
    </w:rPr>
  </w:style>
  <w:style w:type="paragraph" w:styleId="1">
    <w:name w:val="heading 1"/>
    <w:basedOn w:val="a"/>
    <w:next w:val="a"/>
    <w:link w:val="1Char"/>
    <w:uiPriority w:val="99"/>
    <w:qFormat/>
    <w:pPr>
      <w:keepNext/>
      <w:spacing w:line="420" w:lineRule="atLeast"/>
      <w:outlineLvl w:val="0"/>
    </w:pPr>
    <w:rPr>
      <w:rFonts w:cs="Arial"/>
      <w:b/>
      <w:bCs/>
      <w:kern w:val="32"/>
      <w:sz w:val="36"/>
      <w:szCs w:val="32"/>
    </w:rPr>
  </w:style>
  <w:style w:type="paragraph" w:styleId="2">
    <w:name w:val="heading 2"/>
    <w:basedOn w:val="a"/>
    <w:next w:val="a"/>
    <w:link w:val="2Char"/>
    <w:uiPriority w:val="9"/>
    <w:qFormat/>
    <w:pPr>
      <w:keepNext/>
      <w:outlineLvl w:val="1"/>
    </w:pPr>
    <w:rPr>
      <w:rFonts w:cs="Arial"/>
      <w:bCs/>
      <w:iCs/>
      <w:color w:val="E1000F"/>
      <w:sz w:val="22"/>
      <w:szCs w:val="28"/>
    </w:rPr>
  </w:style>
  <w:style w:type="paragraph" w:styleId="3">
    <w:name w:val="heading 3"/>
    <w:basedOn w:val="2"/>
    <w:next w:val="a"/>
    <w:link w:val="3Char"/>
    <w:uiPriority w:val="9"/>
    <w:qFormat/>
    <w:pPr>
      <w:outlineLvl w:val="2"/>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Arial" w:hAnsi="Arial"/>
      <w:b/>
      <w:kern w:val="32"/>
      <w:sz w:val="32"/>
      <w:lang w:val="x-none" w:eastAsia="en-US"/>
    </w:rPr>
  </w:style>
  <w:style w:type="character" w:customStyle="1" w:styleId="2Char">
    <w:name w:val="标题 2 Char"/>
    <w:basedOn w:val="a0"/>
    <w:link w:val="2"/>
    <w:uiPriority w:val="9"/>
    <w:semiHidden/>
    <w:locked/>
    <w:rPr>
      <w:rFonts w:ascii="Cambria" w:hAnsi="Cambria"/>
      <w:b/>
      <w:i/>
      <w:sz w:val="28"/>
      <w:lang w:val="de-DE" w:eastAsia="en-US"/>
    </w:rPr>
  </w:style>
  <w:style w:type="character" w:customStyle="1" w:styleId="3Char">
    <w:name w:val="标题 3 Char"/>
    <w:basedOn w:val="a0"/>
    <w:link w:val="3"/>
    <w:uiPriority w:val="9"/>
    <w:semiHidden/>
    <w:locked/>
    <w:rPr>
      <w:rFonts w:ascii="Cambria" w:hAnsi="Cambria"/>
      <w:b/>
      <w:sz w:val="26"/>
      <w:lang w:val="de-DE" w:eastAsia="en-US"/>
    </w:rPr>
  </w:style>
  <w:style w:type="paragraph" w:styleId="a3">
    <w:name w:val="header"/>
    <w:basedOn w:val="a"/>
    <w:link w:val="Char"/>
    <w:uiPriority w:val="99"/>
    <w:pPr>
      <w:tabs>
        <w:tab w:val="center" w:pos="4320"/>
        <w:tab w:val="right" w:pos="8640"/>
      </w:tabs>
    </w:pPr>
  </w:style>
  <w:style w:type="character" w:customStyle="1" w:styleId="Char">
    <w:name w:val="页眉 Char"/>
    <w:basedOn w:val="a0"/>
    <w:link w:val="a3"/>
    <w:uiPriority w:val="99"/>
    <w:semiHidden/>
    <w:locked/>
    <w:rPr>
      <w:rFonts w:ascii="Arial" w:hAnsi="Arial"/>
      <w:sz w:val="24"/>
      <w:lang w:val="de-DE" w:eastAsia="en-US"/>
    </w:rPr>
  </w:style>
  <w:style w:type="paragraph" w:styleId="a4">
    <w:name w:val="footer"/>
    <w:basedOn w:val="a"/>
    <w:link w:val="Char0"/>
    <w:uiPriority w:val="99"/>
    <w:pPr>
      <w:tabs>
        <w:tab w:val="right" w:pos="7083"/>
        <w:tab w:val="right" w:pos="8640"/>
      </w:tabs>
      <w:spacing w:line="180" w:lineRule="atLeast"/>
    </w:pPr>
    <w:rPr>
      <w:b/>
      <w:color w:val="E1000F"/>
      <w:sz w:val="14"/>
      <w:lang w:eastAsia="en-GB"/>
    </w:rPr>
  </w:style>
  <w:style w:type="character" w:customStyle="1" w:styleId="Char0">
    <w:name w:val="页脚 Char"/>
    <w:basedOn w:val="a0"/>
    <w:link w:val="a4"/>
    <w:uiPriority w:val="99"/>
    <w:locked/>
    <w:rPr>
      <w:rFonts w:ascii="Arial" w:hAnsi="Arial"/>
      <w:b/>
      <w:color w:val="E1000F"/>
      <w:sz w:val="24"/>
    </w:rPr>
  </w:style>
  <w:style w:type="paragraph" w:customStyle="1" w:styleId="Intro">
    <w:name w:val="Intro"/>
    <w:basedOn w:val="a"/>
    <w:pPr>
      <w:spacing w:after="300"/>
    </w:pPr>
    <w:rPr>
      <w:color w:val="415055"/>
      <w:sz w:val="24"/>
    </w:rPr>
  </w:style>
  <w:style w:type="paragraph" w:customStyle="1" w:styleId="NumBullet">
    <w:name w:val="Num_Bullet"/>
    <w:basedOn w:val="a"/>
    <w:pPr>
      <w:numPr>
        <w:numId w:val="1"/>
      </w:numPr>
      <w:tabs>
        <w:tab w:val="left" w:pos="357"/>
      </w:tabs>
      <w:ind w:left="357" w:hanging="357"/>
    </w:pPr>
  </w:style>
  <w:style w:type="paragraph" w:customStyle="1" w:styleId="Page1Name">
    <w:name w:val="Page1_Name"/>
    <w:basedOn w:val="a"/>
    <w:pPr>
      <w:spacing w:after="420" w:line="360" w:lineRule="atLeast"/>
    </w:pPr>
    <w:rPr>
      <w:b/>
      <w:sz w:val="30"/>
    </w:rPr>
  </w:style>
  <w:style w:type="paragraph" w:customStyle="1" w:styleId="Page1Title">
    <w:name w:val="Page1_Title"/>
    <w:basedOn w:val="a"/>
    <w:pPr>
      <w:spacing w:line="228" w:lineRule="auto"/>
    </w:pPr>
    <w:rPr>
      <w:color w:val="E1000F"/>
      <w:sz w:val="90"/>
    </w:rPr>
  </w:style>
  <w:style w:type="paragraph" w:customStyle="1" w:styleId="Page1Author">
    <w:name w:val="Page1_Author"/>
    <w:basedOn w:val="Page1Name"/>
    <w:pPr>
      <w:spacing w:before="240" w:after="0"/>
    </w:pPr>
    <w:rPr>
      <w:b w:val="0"/>
      <w:bCs/>
    </w:rPr>
  </w:style>
  <w:style w:type="paragraph" w:styleId="a5">
    <w:name w:val="Body Text"/>
    <w:basedOn w:val="a"/>
    <w:link w:val="Char1"/>
    <w:uiPriority w:val="99"/>
    <w:pPr>
      <w:spacing w:after="120" w:line="280" w:lineRule="exact"/>
    </w:pPr>
    <w:rPr>
      <w:lang w:eastAsia="de-DE"/>
    </w:rPr>
  </w:style>
  <w:style w:type="character" w:customStyle="1" w:styleId="Char1">
    <w:name w:val="正文文本 Char"/>
    <w:basedOn w:val="a0"/>
    <w:link w:val="a5"/>
    <w:uiPriority w:val="99"/>
    <w:locked/>
    <w:rPr>
      <w:rFonts w:ascii="Arial" w:hAnsi="Arial"/>
      <w:sz w:val="24"/>
      <w:lang w:val="x-none" w:eastAsia="de-DE"/>
    </w:rPr>
  </w:style>
  <w:style w:type="paragraph" w:customStyle="1" w:styleId="Info">
    <w:name w:val="Info"/>
    <w:basedOn w:val="a"/>
    <w:pPr>
      <w:spacing w:line="240" w:lineRule="atLeast"/>
    </w:pPr>
    <w:rPr>
      <w:sz w:val="13"/>
    </w:rPr>
  </w:style>
  <w:style w:type="character" w:customStyle="1" w:styleId="InfoZchn">
    <w:name w:val="Info Zchn"/>
    <w:rPr>
      <w:rFonts w:ascii="Arial" w:hAnsi="Arial"/>
      <w:sz w:val="24"/>
      <w:lang w:val="x-none" w:eastAsia="en-US"/>
    </w:rPr>
  </w:style>
  <w:style w:type="paragraph" w:customStyle="1" w:styleId="Standard12pt">
    <w:name w:val="Standard_12pt"/>
    <w:basedOn w:val="a"/>
    <w:pPr>
      <w:spacing w:line="300" w:lineRule="atLeast"/>
    </w:pPr>
    <w:rPr>
      <w:sz w:val="24"/>
    </w:rPr>
  </w:style>
  <w:style w:type="paragraph" w:customStyle="1" w:styleId="BodyText31">
    <w:name w:val="Body Text 31"/>
    <w:basedOn w:val="a"/>
    <w:pPr>
      <w:keepLines/>
      <w:overflowPunct w:val="0"/>
      <w:autoSpaceDE w:val="0"/>
      <w:autoSpaceDN w:val="0"/>
      <w:adjustRightInd w:val="0"/>
      <w:spacing w:line="360" w:lineRule="auto"/>
      <w:jc w:val="both"/>
      <w:textAlignment w:val="baseline"/>
    </w:pPr>
    <w:rPr>
      <w:color w:val="000000"/>
      <w:sz w:val="24"/>
      <w:szCs w:val="20"/>
    </w:rPr>
  </w:style>
  <w:style w:type="paragraph" w:customStyle="1" w:styleId="PRContact">
    <w:name w:val="_PR_Contact"/>
    <w:basedOn w:val="a"/>
    <w:pPr>
      <w:keepNext/>
      <w:keepLines/>
      <w:tabs>
        <w:tab w:val="left" w:pos="284"/>
        <w:tab w:val="left" w:pos="567"/>
        <w:tab w:val="left" w:pos="4451"/>
        <w:tab w:val="left" w:pos="4734"/>
        <w:tab w:val="left" w:pos="5018"/>
      </w:tabs>
      <w:spacing w:line="280" w:lineRule="exact"/>
    </w:pPr>
    <w:rPr>
      <w:rFonts w:cs="Arial"/>
      <w:szCs w:val="20"/>
      <w:lang w:eastAsia="de-DE"/>
    </w:rPr>
  </w:style>
  <w:style w:type="paragraph" w:customStyle="1" w:styleId="PRBoilerplate">
    <w:name w:val="_PR_Boilerplate"/>
    <w:basedOn w:val="a"/>
    <w:next w:val="PRContact"/>
    <w:pPr>
      <w:keepLines/>
      <w:spacing w:after="280" w:line="280" w:lineRule="exact"/>
      <w:jc w:val="both"/>
    </w:pPr>
    <w:rPr>
      <w:rFonts w:cs="Arial"/>
      <w:szCs w:val="20"/>
      <w:lang w:eastAsia="de-DE"/>
    </w:rPr>
  </w:style>
  <w:style w:type="character" w:styleId="a6">
    <w:name w:val="Hyperlink"/>
    <w:basedOn w:val="a0"/>
    <w:uiPriority w:val="99"/>
    <w:rPr>
      <w:color w:val="0000FF"/>
      <w:u w:val="single"/>
    </w:rPr>
  </w:style>
  <w:style w:type="character" w:customStyle="1" w:styleId="PRHalfblank">
    <w:name w:val="_PR_Halfblank"/>
    <w:rPr>
      <w:w w:val="50"/>
    </w:rPr>
  </w:style>
  <w:style w:type="character" w:styleId="a7">
    <w:name w:val="FollowedHyperlink"/>
    <w:basedOn w:val="a0"/>
    <w:uiPriority w:val="99"/>
    <w:rPr>
      <w:color w:val="800080"/>
      <w:u w:val="single"/>
    </w:rPr>
  </w:style>
  <w:style w:type="paragraph" w:styleId="30">
    <w:name w:val="Body Text 3"/>
    <w:basedOn w:val="a"/>
    <w:link w:val="3Char0"/>
    <w:uiPriority w:val="99"/>
    <w:pPr>
      <w:spacing w:after="120" w:line="280" w:lineRule="exact"/>
    </w:pPr>
    <w:rPr>
      <w:sz w:val="16"/>
      <w:szCs w:val="16"/>
      <w:lang w:eastAsia="de-DE"/>
    </w:rPr>
  </w:style>
  <w:style w:type="character" w:customStyle="1" w:styleId="3Char0">
    <w:name w:val="正文文本 3 Char"/>
    <w:basedOn w:val="a0"/>
    <w:link w:val="30"/>
    <w:uiPriority w:val="99"/>
    <w:semiHidden/>
    <w:locked/>
    <w:rPr>
      <w:rFonts w:ascii="Arial" w:hAnsi="Arial"/>
      <w:sz w:val="16"/>
      <w:lang w:val="de-DE" w:eastAsia="en-US"/>
    </w:rPr>
  </w:style>
  <w:style w:type="paragraph" w:styleId="a8">
    <w:name w:val="Balloon Text"/>
    <w:basedOn w:val="a"/>
    <w:link w:val="Char2"/>
    <w:uiPriority w:val="99"/>
    <w:pPr>
      <w:spacing w:line="240" w:lineRule="auto"/>
    </w:pPr>
    <w:rPr>
      <w:rFonts w:ascii="Tahoma" w:hAnsi="Tahoma"/>
      <w:sz w:val="16"/>
      <w:szCs w:val="16"/>
      <w:lang w:val="en-GB"/>
    </w:rPr>
  </w:style>
  <w:style w:type="character" w:customStyle="1" w:styleId="Char2">
    <w:name w:val="批注框文本 Char"/>
    <w:basedOn w:val="a0"/>
    <w:link w:val="a8"/>
    <w:uiPriority w:val="99"/>
    <w:locked/>
    <w:rPr>
      <w:rFonts w:ascii="Tahoma" w:hAnsi="Tahoma"/>
      <w:sz w:val="16"/>
      <w:lang w:val="x-none" w:eastAsia="en-US"/>
    </w:rPr>
  </w:style>
  <w:style w:type="paragraph" w:styleId="a9">
    <w:name w:val="footnote text"/>
    <w:basedOn w:val="a"/>
    <w:link w:val="Char3"/>
    <w:uiPriority w:val="99"/>
    <w:semiHidden/>
    <w:rPr>
      <w:szCs w:val="20"/>
    </w:rPr>
  </w:style>
  <w:style w:type="character" w:customStyle="1" w:styleId="Char3">
    <w:name w:val="脚注文本 Char"/>
    <w:basedOn w:val="a0"/>
    <w:link w:val="a9"/>
    <w:uiPriority w:val="99"/>
    <w:semiHidden/>
    <w:locked/>
    <w:rPr>
      <w:rFonts w:ascii="Arial" w:hAnsi="Arial"/>
      <w:lang w:val="de-DE" w:eastAsia="en-US"/>
    </w:rPr>
  </w:style>
  <w:style w:type="character" w:styleId="aa">
    <w:name w:val="footnote reference"/>
    <w:basedOn w:val="a0"/>
    <w:uiPriority w:val="99"/>
    <w:semiHidden/>
    <w:rPr>
      <w:vertAlign w:val="superscript"/>
    </w:rPr>
  </w:style>
  <w:style w:type="character" w:styleId="ab">
    <w:name w:val="annotation reference"/>
    <w:basedOn w:val="a0"/>
    <w:uiPriority w:val="99"/>
    <w:rPr>
      <w:sz w:val="16"/>
    </w:rPr>
  </w:style>
  <w:style w:type="paragraph" w:styleId="ac">
    <w:name w:val="annotation text"/>
    <w:basedOn w:val="a"/>
    <w:link w:val="Char4"/>
    <w:uiPriority w:val="99"/>
    <w:rPr>
      <w:szCs w:val="20"/>
      <w:lang w:val="en-GB"/>
    </w:rPr>
  </w:style>
  <w:style w:type="character" w:customStyle="1" w:styleId="Char4">
    <w:name w:val="批注文字 Char"/>
    <w:basedOn w:val="a0"/>
    <w:link w:val="ac"/>
    <w:uiPriority w:val="99"/>
    <w:locked/>
    <w:rPr>
      <w:rFonts w:ascii="Arial" w:hAnsi="Arial"/>
      <w:lang w:val="x-none" w:eastAsia="en-US"/>
    </w:rPr>
  </w:style>
  <w:style w:type="paragraph" w:styleId="ad">
    <w:name w:val="annotation subject"/>
    <w:basedOn w:val="ac"/>
    <w:next w:val="ac"/>
    <w:link w:val="Char5"/>
    <w:uiPriority w:val="99"/>
    <w:rPr>
      <w:b/>
      <w:bCs/>
    </w:rPr>
  </w:style>
  <w:style w:type="character" w:customStyle="1" w:styleId="Char5">
    <w:name w:val="批注主题 Char"/>
    <w:basedOn w:val="Char4"/>
    <w:link w:val="ad"/>
    <w:uiPriority w:val="99"/>
    <w:locked/>
    <w:rPr>
      <w:rFonts w:ascii="Arial" w:hAnsi="Arial"/>
      <w:b/>
      <w:lang w:val="x-none" w:eastAsia="en-US"/>
    </w:rPr>
  </w:style>
  <w:style w:type="paragraph" w:styleId="ae">
    <w:name w:val="Revision"/>
    <w:hidden/>
    <w:uiPriority w:val="99"/>
    <w:semiHidden/>
    <w:rPr>
      <w:rFonts w:ascii="Arial" w:hAnsi="Arial"/>
      <w:szCs w:val="24"/>
      <w:lang w:eastAsia="en-US"/>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674784">
      <w:marLeft w:val="0"/>
      <w:marRight w:val="0"/>
      <w:marTop w:val="0"/>
      <w:marBottom w:val="0"/>
      <w:divBdr>
        <w:top w:val="none" w:sz="0" w:space="0" w:color="auto"/>
        <w:left w:val="none" w:sz="0" w:space="0" w:color="auto"/>
        <w:bottom w:val="none" w:sz="0" w:space="0" w:color="auto"/>
        <w:right w:val="none" w:sz="0" w:space="0" w:color="auto"/>
      </w:divBdr>
    </w:div>
    <w:div w:id="1707674785">
      <w:marLeft w:val="0"/>
      <w:marRight w:val="0"/>
      <w:marTop w:val="0"/>
      <w:marBottom w:val="0"/>
      <w:divBdr>
        <w:top w:val="none" w:sz="0" w:space="0" w:color="auto"/>
        <w:left w:val="none" w:sz="0" w:space="0" w:color="auto"/>
        <w:bottom w:val="none" w:sz="0" w:space="0" w:color="auto"/>
        <w:right w:val="none" w:sz="0" w:space="0" w:color="auto"/>
      </w:divBdr>
    </w:div>
    <w:div w:id="1707674786">
      <w:marLeft w:val="0"/>
      <w:marRight w:val="0"/>
      <w:marTop w:val="0"/>
      <w:marBottom w:val="0"/>
      <w:divBdr>
        <w:top w:val="none" w:sz="0" w:space="0" w:color="auto"/>
        <w:left w:val="none" w:sz="0" w:space="0" w:color="auto"/>
        <w:bottom w:val="none" w:sz="0" w:space="0" w:color="auto"/>
        <w:right w:val="none" w:sz="0" w:space="0" w:color="auto"/>
      </w:divBdr>
    </w:div>
    <w:div w:id="1707674787">
      <w:marLeft w:val="0"/>
      <w:marRight w:val="0"/>
      <w:marTop w:val="0"/>
      <w:marBottom w:val="0"/>
      <w:divBdr>
        <w:top w:val="none" w:sz="0" w:space="0" w:color="auto"/>
        <w:left w:val="none" w:sz="0" w:space="0" w:color="auto"/>
        <w:bottom w:val="none" w:sz="0" w:space="0" w:color="auto"/>
        <w:right w:val="none" w:sz="0" w:space="0" w:color="auto"/>
      </w:divBdr>
    </w:div>
    <w:div w:id="1707674788">
      <w:marLeft w:val="0"/>
      <w:marRight w:val="0"/>
      <w:marTop w:val="0"/>
      <w:marBottom w:val="0"/>
      <w:divBdr>
        <w:top w:val="none" w:sz="0" w:space="0" w:color="auto"/>
        <w:left w:val="none" w:sz="0" w:space="0" w:color="auto"/>
        <w:bottom w:val="none" w:sz="0" w:space="0" w:color="auto"/>
        <w:right w:val="none" w:sz="0" w:space="0" w:color="auto"/>
      </w:divBdr>
    </w:div>
    <w:div w:id="1707674789">
      <w:marLeft w:val="0"/>
      <w:marRight w:val="0"/>
      <w:marTop w:val="0"/>
      <w:marBottom w:val="0"/>
      <w:divBdr>
        <w:top w:val="none" w:sz="0" w:space="0" w:color="auto"/>
        <w:left w:val="none" w:sz="0" w:space="0" w:color="auto"/>
        <w:bottom w:val="none" w:sz="0" w:space="0" w:color="auto"/>
        <w:right w:val="none" w:sz="0" w:space="0" w:color="auto"/>
      </w:divBdr>
    </w:div>
    <w:div w:id="20366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fu@cn.henke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nkel.de/presse" TargetMode="External"/><Relationship Id="rId4" Type="http://schemas.openxmlformats.org/officeDocument/2006/relationships/settings" Target="settings.xml"/><Relationship Id="rId9" Type="http://schemas.openxmlformats.org/officeDocument/2006/relationships/hyperlink" Target="http://www.henkel.de/i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0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2B501-31A6-4228-8BBD-274753B5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HENKEL_DE_Pressemitteilung_110203.dot</Template>
  <TotalTime>0</TotalTime>
  <Pages>1</Pages>
  <Words>615</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Klueppelholz</dc:creator>
  <cp:keywords/>
  <dc:description>Henkel Q2/2011</dc:description>
  <cp:lastModifiedBy>Janice  Fu</cp:lastModifiedBy>
  <cp:revision>27</cp:revision>
  <cp:lastPrinted>2015-08-11T15:34:00Z</cp:lastPrinted>
  <dcterms:created xsi:type="dcterms:W3CDTF">2015-08-12T05:33:00Z</dcterms:created>
  <dcterms:modified xsi:type="dcterms:W3CDTF">2015-08-13T03:54:00Z</dcterms:modified>
</cp:coreProperties>
</file>