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4B2" w:rsidRDefault="003C54B2" w:rsidP="003C54B2">
      <w:pPr>
        <w:pStyle w:val="BodyText1"/>
        <w:shd w:val="clear" w:color="auto" w:fill="auto"/>
        <w:spacing w:before="0" w:after="642" w:line="220" w:lineRule="exact"/>
        <w:ind w:left="6520" w:right="20" w:firstLine="1304"/>
        <w:jc w:val="left"/>
      </w:pPr>
      <w:bookmarkStart w:id="0" w:name="_GoBack"/>
      <w:bookmarkEnd w:id="0"/>
      <w:proofErr w:type="gramStart"/>
      <w:r>
        <w:t>2015/03/04</w:t>
      </w:r>
      <w:proofErr w:type="gramEnd"/>
    </w:p>
    <w:p w:rsidR="003C54B2" w:rsidRDefault="003C54B2" w:rsidP="003C54B2">
      <w:pPr>
        <w:pStyle w:val="BodyText1"/>
        <w:shd w:val="clear" w:color="auto" w:fill="auto"/>
        <w:spacing w:before="0" w:after="255" w:line="220" w:lineRule="exact"/>
        <w:ind w:left="20"/>
        <w:jc w:val="both"/>
      </w:pPr>
      <w:r>
        <w:t>24:e hållbarhetsrapporten publicerad</w:t>
      </w:r>
    </w:p>
    <w:p w:rsidR="003C54B2" w:rsidRDefault="003C54B2" w:rsidP="003C54B2">
      <w:pPr>
        <w:pStyle w:val="Heading10"/>
        <w:keepNext/>
        <w:keepLines/>
        <w:shd w:val="clear" w:color="auto" w:fill="auto"/>
        <w:spacing w:before="0" w:after="197" w:line="413" w:lineRule="exact"/>
        <w:ind w:left="20" w:right="20"/>
        <w:jc w:val="both"/>
      </w:pPr>
      <w:bookmarkStart w:id="1" w:name="bookmark1"/>
      <w:r>
        <w:t>Henkel når första hållbarhetsmålen före tidtabellen</w:t>
      </w:r>
      <w:bookmarkEnd w:id="1"/>
    </w:p>
    <w:p w:rsidR="003C54B2" w:rsidRDefault="003C54B2" w:rsidP="003C54B2">
      <w:pPr>
        <w:pStyle w:val="Bodytext20"/>
        <w:shd w:val="clear" w:color="auto" w:fill="auto"/>
        <w:spacing w:before="0"/>
        <w:ind w:left="20" w:right="20"/>
      </w:pPr>
      <w:r>
        <w:t>Düsseldorf – Henkels hållbarhetsrapport redogör för företagets miljömässiga och sociala framsteg 2014. Den belyser medarbetarnas aktiva deltagande världen över och företagets framsteg mot sina hållbarhetsmål för 2030.</w:t>
      </w:r>
    </w:p>
    <w:p w:rsidR="003C54B2" w:rsidRDefault="003C54B2" w:rsidP="003C54B2">
      <w:pPr>
        <w:pStyle w:val="BodyText1"/>
        <w:shd w:val="clear" w:color="auto" w:fill="auto"/>
        <w:spacing w:before="0" w:after="240" w:line="317" w:lineRule="exact"/>
        <w:ind w:left="20" w:right="20"/>
        <w:jc w:val="both"/>
      </w:pPr>
      <w:r>
        <w:t xml:space="preserve">"Henkels tydliga hållbarhetsstrategi har visat sig vara mycket effektiv, vilket gjort det möjligt för oss att nå fyra av de fem delmålen före tidtabellen", säger Kathrin </w:t>
      </w:r>
      <w:proofErr w:type="spellStart"/>
      <w:r>
        <w:t>Menges</w:t>
      </w:r>
      <w:proofErr w:type="spellEnd"/>
      <w:r>
        <w:t xml:space="preserve">, </w:t>
      </w:r>
      <w:proofErr w:type="spellStart"/>
      <w:r>
        <w:t>Executive</w:t>
      </w:r>
      <w:proofErr w:type="spellEnd"/>
      <w:r>
        <w:t xml:space="preserve"> Vice President Human Resources och ordförande för Henkels hållbarhetsråd. "Våra medarbetare har spelat en avgörande roll för uppnåendet av dessa goda resultat och vi är även fortsättningsvis beroende av deras engagemang och expertis för att kunna uppnå fortsatta framsteg.”</w:t>
      </w:r>
    </w:p>
    <w:p w:rsidR="003C54B2" w:rsidRDefault="003C54B2" w:rsidP="003C54B2">
      <w:pPr>
        <w:pStyle w:val="BodyText1"/>
        <w:shd w:val="clear" w:color="auto" w:fill="auto"/>
        <w:spacing w:before="0" w:after="240" w:line="317" w:lineRule="exact"/>
        <w:ind w:left="20" w:right="20"/>
        <w:jc w:val="both"/>
      </w:pPr>
      <w:r>
        <w:t xml:space="preserve">Strategin som presenterades 2012 har som långsiktigt mål att uppnå mer med mindre och att tredubbla resurseffektivitetet till 2030. Henkel har som mål att förbättra relationen mellan det värde man skapar och företagets miljöavtryck med 30 procent under femårsperioden </w:t>
      </w:r>
      <w:r>
        <w:br/>
        <w:t>2011–2015.</w:t>
      </w:r>
    </w:p>
    <w:p w:rsidR="003C54B2" w:rsidRDefault="003C54B2" w:rsidP="003C54B2">
      <w:pPr>
        <w:pStyle w:val="BodyText1"/>
        <w:shd w:val="clear" w:color="auto" w:fill="auto"/>
        <w:spacing w:before="0" w:after="0" w:line="317" w:lineRule="exact"/>
        <w:ind w:left="20" w:right="20"/>
        <w:jc w:val="both"/>
      </w:pPr>
      <w:r>
        <w:t>Mot slutet av 2014 hade Henkel gjort avsevärda framsteg, med förbättringar på 20 procent när det gäller energieffektivitet, 19 procent när det gäller vattenförbrukning, 18 procent när det gäller avfallsvolymen (22 procent exklusive bygg- och rivningsavfall) och 25 procent när det gäller en säker arbetsmiljö. Företaget har som mål att åter förbättra resultaten 2015 och arbetar på att definiera nya delmål för 2020. Henkel ser ledarskap på hållbarhetsområdet inte bara som ett ansvar, utan även en möjlighet att fortlöpande stärka sin konkurrenskraft. Tre strategiska principer är avgörande för implementeringen av hållbarhetsstrategin: produkter, partners och mäniskor. Företaget lägger fokus på att utveckla produkter som erbjuder mer värde och bättre prestanda kombinerat med ett mindre miljöavtryck. Tillsammans med sina partners strävar Henkel fortlöpande efter att förbättra sina produkter i alla delar av värdekedjan.</w:t>
      </w:r>
      <w:r>
        <w:br w:type="page"/>
      </w:r>
    </w:p>
    <w:p w:rsidR="003C54B2" w:rsidRDefault="003C54B2" w:rsidP="003C54B2">
      <w:pPr>
        <w:pStyle w:val="BodyText1"/>
        <w:shd w:val="clear" w:color="auto" w:fill="auto"/>
        <w:spacing w:before="0" w:after="300" w:line="317" w:lineRule="exact"/>
        <w:ind w:left="40" w:right="20"/>
        <w:jc w:val="both"/>
      </w:pPr>
      <w:r>
        <w:lastRenderedPageBreak/>
        <w:t>Vidare spelar medarbetarnas aktiva deltagande en avgörande roll för Henkel när det gäller uppnåendet av företagets ambitiösa mål för 2030.</w:t>
      </w:r>
    </w:p>
    <w:p w:rsidR="003C54B2" w:rsidRDefault="003C54B2" w:rsidP="003C54B2">
      <w:pPr>
        <w:pStyle w:val="BodyText1"/>
        <w:shd w:val="clear" w:color="auto" w:fill="auto"/>
        <w:spacing w:before="0" w:after="300" w:line="317" w:lineRule="exact"/>
        <w:ind w:left="40" w:right="20"/>
        <w:jc w:val="both"/>
      </w:pPr>
      <w:r>
        <w:t>Ett viktigt verktyg som vidareutvecklades 2014 är Henkels program med hållbarhetsambassadörer. Programmet ger medarbetarna en god förståelse av begreppet hållbarhet som gör att de kan förmedla hur viktigt det är med hållbarhet till ko</w:t>
      </w:r>
      <w:r>
        <w:softHyphen/>
        <w:t>llegor, leverantörer, kunder, konsumenter och skolbarn. Sedan lanseringen i juli 2012 har mer än 3 800 medarbetare i 70 länder blivit ambassadörer och man har nått ut till runt 36 000 skolbarn i 37 länder.</w:t>
      </w:r>
    </w:p>
    <w:p w:rsidR="003C54B2" w:rsidRDefault="003C54B2" w:rsidP="003C54B2">
      <w:pPr>
        <w:pStyle w:val="BodyText1"/>
        <w:shd w:val="clear" w:color="auto" w:fill="auto"/>
        <w:spacing w:before="0" w:after="316" w:line="317" w:lineRule="exact"/>
        <w:ind w:left="40" w:right="20"/>
        <w:jc w:val="both"/>
      </w:pPr>
      <w:r>
        <w:t>Henkels goda resultat på hållbarhetsområdet fick återigen erkännanden under 2014 med ledande positioner i olika nationella och internationella hållbarhetsrankningar och -index. Henkel fanns åter med i Dow Jones globala hållbarhetsindex (DSJI World). Företaget har funnits med i Dow Jones hållbarhetsindex sedan deras lansering 1999, och åtta gånger har företaget rankats som branschledande. För fjortonden året i rad fanns man också med i det internationella etiska indexet FTSE4Good.</w:t>
      </w:r>
    </w:p>
    <w:p w:rsidR="003C54B2" w:rsidRDefault="003C54B2" w:rsidP="003C54B2">
      <w:pPr>
        <w:pStyle w:val="Bodytext60"/>
        <w:shd w:val="clear" w:color="auto" w:fill="auto"/>
        <w:spacing w:before="0" w:after="355"/>
        <w:ind w:left="40" w:right="20"/>
      </w:pPr>
      <w:r>
        <w:t>För mer information om Henkels hållbarhetsstrategi och för att ladda ner hållbarhetsrapporten, besök:</w:t>
      </w:r>
    </w:p>
    <w:p w:rsidR="003C54B2" w:rsidRDefault="00854FB6" w:rsidP="003C54B2">
      <w:pPr>
        <w:pStyle w:val="Bodytext60"/>
        <w:shd w:val="clear" w:color="auto" w:fill="auto"/>
        <w:spacing w:before="0" w:after="254" w:line="190" w:lineRule="exact"/>
        <w:ind w:left="40"/>
      </w:pPr>
      <w:hyperlink r:id="rId8">
        <w:r w:rsidR="003C54B2">
          <w:rPr>
            <w:rStyle w:val="Hyperlnk"/>
          </w:rPr>
          <w:t>http://www.henkel.com/press-and-media/specials/sustainability-strateqy</w:t>
        </w:r>
      </w:hyperlink>
    </w:p>
    <w:p w:rsidR="003C54B2" w:rsidRDefault="00854FB6" w:rsidP="003C54B2">
      <w:pPr>
        <w:pStyle w:val="Bodytext60"/>
        <w:shd w:val="clear" w:color="auto" w:fill="auto"/>
        <w:spacing w:before="0" w:after="14" w:line="190" w:lineRule="exact"/>
        <w:ind w:left="40"/>
      </w:pPr>
      <w:hyperlink r:id="rId9">
        <w:r w:rsidR="003C54B2">
          <w:rPr>
            <w:rStyle w:val="Hyperlnk"/>
          </w:rPr>
          <w:t>http://www.henkel.com/press-and-media/press-releases-and-kits/2Q15-Q3-04-publication-of-</w:t>
        </w:r>
      </w:hyperlink>
    </w:p>
    <w:p w:rsidR="003C54B2" w:rsidRPr="003C54B2" w:rsidRDefault="00854FB6" w:rsidP="003C54B2">
      <w:pPr>
        <w:pStyle w:val="Bodytext60"/>
        <w:shd w:val="clear" w:color="auto" w:fill="auto"/>
        <w:spacing w:before="0" w:after="502" w:line="190" w:lineRule="exact"/>
        <w:ind w:left="40"/>
        <w:rPr>
          <w:lang w:val="en-US"/>
        </w:rPr>
      </w:pPr>
      <w:r>
        <w:fldChar w:fldCharType="begin"/>
      </w:r>
      <w:r w:rsidRPr="005C7DDD">
        <w:rPr>
          <w:lang w:val="en-US"/>
        </w:rPr>
        <w:instrText xml:space="preserve"> HYPERLINK "http://www.henkel.com/press-and-media/press-releases-and-kits/2015-03-04-publication-of-2014-annual-report-and-sustainability-report/395534" \h </w:instrText>
      </w:r>
      <w:r>
        <w:fldChar w:fldCharType="separate"/>
      </w:r>
      <w:r w:rsidR="003C54B2" w:rsidRPr="003C54B2">
        <w:rPr>
          <w:rStyle w:val="Hyperlnk"/>
          <w:lang w:val="en-US"/>
        </w:rPr>
        <w:t>2014-annual-report-and-sustainability-report/395534</w:t>
      </w:r>
      <w:r>
        <w:rPr>
          <w:rStyle w:val="Hyperlnk"/>
          <w:lang w:val="en-US"/>
        </w:rPr>
        <w:fldChar w:fldCharType="end"/>
      </w:r>
    </w:p>
    <w:p w:rsidR="00C52461" w:rsidRDefault="00C52461" w:rsidP="00C52461">
      <w:pPr>
        <w:pStyle w:val="Brdtext"/>
        <w:spacing w:after="0"/>
        <w:rPr>
          <w:b/>
          <w:bCs/>
          <w:noProof/>
          <w:lang w:val="en-US"/>
        </w:rPr>
      </w:pPr>
    </w:p>
    <w:p w:rsidR="00C52461" w:rsidRDefault="00C52461" w:rsidP="00C52461">
      <w:pPr>
        <w:pStyle w:val="Brdtext"/>
        <w:spacing w:after="0"/>
        <w:rPr>
          <w:b/>
          <w:bCs/>
          <w:lang w:val="en-US"/>
        </w:rPr>
      </w:pPr>
      <w:r>
        <w:rPr>
          <w:b/>
          <w:bCs/>
          <w:noProof/>
          <w:lang w:val="en-US"/>
        </w:rPr>
        <w:t>Kontaktinformation</w:t>
      </w:r>
    </w:p>
    <w:p w:rsidR="00C52461" w:rsidRDefault="00C52461" w:rsidP="00C52461">
      <w:pPr>
        <w:pStyle w:val="Brdtext"/>
        <w:spacing w:after="0"/>
        <w:rPr>
          <w:lang w:val="en-US"/>
        </w:rPr>
      </w:pPr>
      <w:r>
        <w:rPr>
          <w:noProof/>
          <w:lang w:val="en-US"/>
        </w:rPr>
        <w:t>Cecilia Levin Destoup, Head of Corporate Communications, Nordic Region</w:t>
      </w:r>
    </w:p>
    <w:p w:rsidR="00C52461" w:rsidRDefault="00C52461" w:rsidP="00C52461">
      <w:pPr>
        <w:pStyle w:val="Brdtext"/>
        <w:spacing w:after="0"/>
      </w:pPr>
      <w:r>
        <w:rPr>
          <w:noProof/>
        </w:rPr>
        <w:t>Henkel Norden AB</w:t>
      </w:r>
    </w:p>
    <w:p w:rsidR="00C52461" w:rsidRDefault="00C52461" w:rsidP="00C52461">
      <w:pPr>
        <w:pStyle w:val="Brdtext"/>
        <w:spacing w:after="0"/>
      </w:pPr>
      <w:r>
        <w:t xml:space="preserve">+46 10 480 76 11 </w:t>
      </w:r>
      <w:hyperlink r:id="rId10" w:history="1">
        <w:r w:rsidRPr="0073121F">
          <w:rPr>
            <w:rStyle w:val="Hyperlnk"/>
            <w:noProof/>
          </w:rPr>
          <w:t>cecilia.l.destoup@henkel.com</w:t>
        </w:r>
      </w:hyperlink>
      <w:r>
        <w:t xml:space="preserve"> </w:t>
      </w:r>
      <w:hyperlink r:id="rId11" w:history="1">
        <w:r>
          <w:rPr>
            <w:rStyle w:val="Hyperlnk"/>
            <w:noProof/>
          </w:rPr>
          <w:t>www.henkel.se</w:t>
        </w:r>
      </w:hyperlink>
      <w:r>
        <w:t xml:space="preserve"> </w:t>
      </w:r>
    </w:p>
    <w:p w:rsidR="00226C2E" w:rsidRPr="00C52461" w:rsidRDefault="00226C2E" w:rsidP="00226C2E">
      <w:pPr>
        <w:autoSpaceDE w:val="0"/>
        <w:autoSpaceDN w:val="0"/>
        <w:adjustRightInd w:val="0"/>
        <w:spacing w:line="240" w:lineRule="auto"/>
        <w:rPr>
          <w:rFonts w:ascii="Arial" w:hAnsi="Arial" w:cs="Arial"/>
          <w:color w:val="000000"/>
          <w:szCs w:val="20"/>
        </w:rPr>
      </w:pPr>
    </w:p>
    <w:p w:rsidR="00A14D93" w:rsidRPr="00C52461" w:rsidRDefault="003C54B2" w:rsidP="00952FBF">
      <w:pPr>
        <w:pStyle w:val="Bodytext50"/>
        <w:shd w:val="clear" w:color="auto" w:fill="auto"/>
        <w:spacing w:before="0" w:after="571"/>
        <w:ind w:left="40" w:right="20"/>
      </w:pPr>
      <w:r>
        <w:t>Henkel är verksamt i hela världen med ledande varumärken och tekno</w:t>
      </w:r>
      <w:r w:rsidR="00952FBF">
        <w:t>logier inom tre affärsområden: t</w:t>
      </w:r>
      <w:r>
        <w:t>vätt och hushållsrengöring</w:t>
      </w:r>
      <w:r w:rsidR="00952FBF">
        <w:t xml:space="preserve"> (</w:t>
      </w:r>
      <w:proofErr w:type="spellStart"/>
      <w:r w:rsidR="00952FBF">
        <w:t>Laundry</w:t>
      </w:r>
      <w:proofErr w:type="spellEnd"/>
      <w:r w:rsidR="00952FBF">
        <w:t xml:space="preserve"> &amp; </w:t>
      </w:r>
      <w:proofErr w:type="spellStart"/>
      <w:r w:rsidR="00952FBF">
        <w:t>Home</w:t>
      </w:r>
      <w:proofErr w:type="spellEnd"/>
      <w:r w:rsidR="00952FBF">
        <w:t xml:space="preserve"> Care)</w:t>
      </w:r>
      <w:r>
        <w:t xml:space="preserve">, </w:t>
      </w:r>
      <w:r w:rsidR="00952FBF">
        <w:t xml:space="preserve">hår- och kroppsvård (Beauty Care) samt lim, tätning och ytbehandling (Adhesive </w:t>
      </w:r>
      <w:proofErr w:type="spellStart"/>
      <w:r w:rsidR="00952FBF">
        <w:t>Technology</w:t>
      </w:r>
      <w:proofErr w:type="spellEnd"/>
      <w:r w:rsidR="00952FBF">
        <w:t>)</w:t>
      </w:r>
      <w:r>
        <w:t xml:space="preserve">. Företaget grundades 1876 och innehar ledande globala marknadspositioner inom både konsument- och industrisektorerna med välkända varumärken som </w:t>
      </w:r>
      <w:proofErr w:type="spellStart"/>
      <w:r>
        <w:t>Persil</w:t>
      </w:r>
      <w:proofErr w:type="spellEnd"/>
      <w:r>
        <w:t xml:space="preserve">, </w:t>
      </w:r>
      <w:proofErr w:type="spellStart"/>
      <w:r>
        <w:t>Schwartzkopf</w:t>
      </w:r>
      <w:proofErr w:type="spellEnd"/>
      <w:r>
        <w:t xml:space="preserve"> och </w:t>
      </w:r>
      <w:proofErr w:type="spellStart"/>
      <w:r>
        <w:t>Loctite</w:t>
      </w:r>
      <w:proofErr w:type="spellEnd"/>
      <w:r>
        <w:t>. Företaget sysselsätter nästan 50 000 personer och rapporterade en omsättning på 16,4 miljarder euro och en justerad rörelsevinst på 2,6 miljarder euro för räkenskapsåret 2014. Henkels preferensaktier ingår i det tyska aktieindexet DAX.</w:t>
      </w:r>
      <w:r w:rsidR="00843DEB" w:rsidRPr="00C52461">
        <w:tab/>
      </w:r>
      <w:r w:rsidR="00843DEB" w:rsidRPr="00C52461">
        <w:tab/>
      </w:r>
    </w:p>
    <w:sectPr w:rsidR="00A14D93" w:rsidRPr="00C52461">
      <w:headerReference w:type="default" r:id="rId12"/>
      <w:footerReference w:type="default" r:id="rId13"/>
      <w:headerReference w:type="first" r:id="rId14"/>
      <w:footerReference w:type="first" r:id="rId15"/>
      <w:pgSz w:w="11907" w:h="16840" w:code="9"/>
      <w:pgMar w:top="510" w:right="1418" w:bottom="1985" w:left="1418" w:header="720"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FB6" w:rsidRDefault="00854FB6">
      <w:pPr>
        <w:spacing w:after="0" w:line="240" w:lineRule="auto"/>
      </w:pPr>
      <w:r>
        <w:separator/>
      </w:r>
    </w:p>
  </w:endnote>
  <w:endnote w:type="continuationSeparator" w:id="0">
    <w:p w:rsidR="00854FB6" w:rsidRDefault="00854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275" w:rsidRDefault="00B00E2F">
    <w:pPr>
      <w:pStyle w:val="Sidfot"/>
      <w:tabs>
        <w:tab w:val="clear" w:pos="7083"/>
        <w:tab w:val="clear" w:pos="8640"/>
        <w:tab w:val="right" w:pos="9057"/>
      </w:tabs>
      <w:rPr>
        <w:b w:val="0"/>
        <w:color w:val="000000"/>
      </w:rPr>
    </w:pPr>
    <w:r w:rsidRPr="00C52461">
      <w:rPr>
        <w:color w:val="000000"/>
        <w:lang w:val="en-US"/>
      </w:rPr>
      <w:t>Henkel AG &amp; Co.</w:t>
    </w:r>
    <w:r w:rsidRPr="00C52461">
      <w:rPr>
        <w:b w:val="0"/>
        <w:color w:val="000000"/>
        <w:lang w:val="en-US"/>
      </w:rPr>
      <w:t xml:space="preserve"> </w:t>
    </w:r>
    <w:proofErr w:type="spellStart"/>
    <w:r w:rsidRPr="00C52461">
      <w:rPr>
        <w:color w:val="000000"/>
        <w:lang w:val="en-US"/>
      </w:rPr>
      <w:t>KGaA</w:t>
    </w:r>
    <w:proofErr w:type="spellEnd"/>
    <w:r w:rsidRPr="00C52461">
      <w:rPr>
        <w:color w:val="000000"/>
        <w:lang w:val="en-US"/>
      </w:rPr>
      <w:t>, Corporate Communications</w:t>
    </w:r>
    <w:r w:rsidRPr="00C52461">
      <w:rPr>
        <w:color w:val="000000"/>
        <w:lang w:val="en-US"/>
      </w:rPr>
      <w:tab/>
    </w:r>
    <w:r w:rsidRPr="00C52461">
      <w:rPr>
        <w:b w:val="0"/>
        <w:color w:val="000000"/>
        <w:lang w:val="en-US"/>
      </w:rPr>
      <w:t xml:space="preserve">Sid. </w:t>
    </w:r>
    <w:r>
      <w:rPr>
        <w:b w:val="0"/>
        <w:color w:val="000000"/>
      </w:rPr>
      <w:fldChar w:fldCharType="begin"/>
    </w:r>
    <w:r w:rsidRPr="00C52461">
      <w:rPr>
        <w:b w:val="0"/>
        <w:color w:val="000000"/>
        <w:lang w:val="en-US"/>
      </w:rPr>
      <w:instrText xml:space="preserve"> PAGE  \* Arabic  \* MERGEFORMAT </w:instrText>
    </w:r>
    <w:r>
      <w:rPr>
        <w:b w:val="0"/>
        <w:color w:val="000000"/>
      </w:rPr>
      <w:fldChar w:fldCharType="separate"/>
    </w:r>
    <w:r w:rsidR="005C7DDD" w:rsidRPr="005C7DDD">
      <w:rPr>
        <w:b w:val="0"/>
        <w:noProof/>
        <w:color w:val="000000"/>
      </w:rPr>
      <w:t>2</w:t>
    </w:r>
    <w:r>
      <w:rPr>
        <w:b w:val="0"/>
        <w:color w:val="000000"/>
      </w:rPr>
      <w:fldChar w:fldCharType="end"/>
    </w:r>
    <w:r>
      <w:rPr>
        <w:b w:val="0"/>
        <w:color w:val="000000"/>
      </w:rPr>
      <w:t>/</w:t>
    </w:r>
    <w:r>
      <w:rPr>
        <w:b w:val="0"/>
        <w:color w:val="000000"/>
      </w:rPr>
      <w:fldChar w:fldCharType="begin"/>
    </w:r>
    <w:r>
      <w:rPr>
        <w:b w:val="0"/>
        <w:color w:val="000000"/>
      </w:rPr>
      <w:instrText xml:space="preserve"> NUMPAGES  \* Arabic  \* MERGEFORMAT </w:instrText>
    </w:r>
    <w:r>
      <w:rPr>
        <w:b w:val="0"/>
        <w:color w:val="000000"/>
      </w:rPr>
      <w:fldChar w:fldCharType="separate"/>
    </w:r>
    <w:r w:rsidR="005C7DDD">
      <w:rPr>
        <w:b w:val="0"/>
        <w:noProof/>
        <w:color w:val="000000"/>
      </w:rPr>
      <w:t>2</w:t>
    </w:r>
    <w:r>
      <w:rPr>
        <w:b w:val="0"/>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275" w:rsidRDefault="00047A13">
    <w:pPr>
      <w:pStyle w:val="Sidfot"/>
      <w:jc w:val="distribute"/>
      <w:rPr>
        <w:b w:val="0"/>
        <w:color w:val="000000"/>
      </w:rPr>
    </w:pPr>
    <w:r>
      <w:rPr>
        <w:b w:val="0"/>
        <w:noProof/>
        <w:color w:val="000000"/>
      </w:rPr>
      <w:drawing>
        <wp:inline distT="0" distB="0" distL="0" distR="0" wp14:anchorId="5DC33B16" wp14:editId="25BEA3AB">
          <wp:extent cx="381635" cy="111125"/>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111125"/>
                  </a:xfrm>
                  <a:prstGeom prst="rect">
                    <a:avLst/>
                  </a:prstGeom>
                  <a:noFill/>
                  <a:ln>
                    <a:noFill/>
                  </a:ln>
                </pic:spPr>
              </pic:pic>
            </a:graphicData>
          </a:graphic>
        </wp:inline>
      </w:drawing>
    </w:r>
    <w:r w:rsidR="00B00E2F">
      <w:rPr>
        <w:b w:val="0"/>
        <w:color w:val="000000"/>
      </w:rPr>
      <w:t xml:space="preserve"> </w:t>
    </w:r>
    <w:r>
      <w:rPr>
        <w:b w:val="0"/>
        <w:noProof/>
        <w:color w:val="000000"/>
        <w:position w:val="-2"/>
      </w:rPr>
      <w:drawing>
        <wp:inline distT="0" distB="0" distL="0" distR="0" wp14:anchorId="1D99A772" wp14:editId="2AB98F77">
          <wp:extent cx="286385" cy="127000"/>
          <wp:effectExtent l="0" t="0" r="0" b="63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385" cy="127000"/>
                  </a:xfrm>
                  <a:prstGeom prst="rect">
                    <a:avLst/>
                  </a:prstGeom>
                  <a:noFill/>
                  <a:ln>
                    <a:noFill/>
                  </a:ln>
                </pic:spPr>
              </pic:pic>
            </a:graphicData>
          </a:graphic>
        </wp:inline>
      </w:drawing>
    </w:r>
    <w:r w:rsidR="00B00E2F">
      <w:rPr>
        <w:b w:val="0"/>
        <w:color w:val="000000"/>
      </w:rPr>
      <w:t xml:space="preserve"> </w:t>
    </w:r>
    <w:r>
      <w:rPr>
        <w:b w:val="0"/>
        <w:noProof/>
        <w:color w:val="000000"/>
        <w:position w:val="-14"/>
      </w:rPr>
      <w:drawing>
        <wp:inline distT="0" distB="0" distL="0" distR="0" wp14:anchorId="2BC193E9" wp14:editId="3C5416A7">
          <wp:extent cx="230505" cy="23050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sidR="00B00E2F">
      <w:rPr>
        <w:b w:val="0"/>
        <w:color w:val="000000"/>
      </w:rPr>
      <w:t xml:space="preserve"> </w:t>
    </w:r>
    <w:r>
      <w:rPr>
        <w:b w:val="0"/>
        <w:noProof/>
        <w:color w:val="000000"/>
        <w:position w:val="-10"/>
      </w:rPr>
      <w:drawing>
        <wp:inline distT="0" distB="0" distL="0" distR="0" wp14:anchorId="00F5E9AD" wp14:editId="75123FA0">
          <wp:extent cx="564515" cy="191135"/>
          <wp:effectExtent l="0" t="0" r="698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515" cy="191135"/>
                  </a:xfrm>
                  <a:prstGeom prst="rect">
                    <a:avLst/>
                  </a:prstGeom>
                  <a:noFill/>
                  <a:ln>
                    <a:noFill/>
                  </a:ln>
                </pic:spPr>
              </pic:pic>
            </a:graphicData>
          </a:graphic>
        </wp:inline>
      </w:drawing>
    </w:r>
    <w:r w:rsidR="00B00E2F">
      <w:rPr>
        <w:b w:val="0"/>
        <w:color w:val="000000"/>
      </w:rPr>
      <w:t xml:space="preserve"> </w:t>
    </w:r>
    <w:r>
      <w:rPr>
        <w:b w:val="0"/>
        <w:noProof/>
        <w:color w:val="000000"/>
        <w:position w:val="-10"/>
      </w:rPr>
      <w:drawing>
        <wp:inline distT="0" distB="0" distL="0" distR="0" wp14:anchorId="581FDCA7" wp14:editId="5960DDE4">
          <wp:extent cx="349885" cy="21463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885" cy="214630"/>
                  </a:xfrm>
                  <a:prstGeom prst="rect">
                    <a:avLst/>
                  </a:prstGeom>
                  <a:noFill/>
                  <a:ln>
                    <a:noFill/>
                  </a:ln>
                </pic:spPr>
              </pic:pic>
            </a:graphicData>
          </a:graphic>
        </wp:inline>
      </w:drawing>
    </w:r>
    <w:r w:rsidR="00B00E2F">
      <w:rPr>
        <w:b w:val="0"/>
        <w:color w:val="000000"/>
      </w:rPr>
      <w:t xml:space="preserve"> </w:t>
    </w:r>
    <w:r>
      <w:rPr>
        <w:b w:val="0"/>
        <w:noProof/>
        <w:color w:val="000000"/>
        <w:position w:val="-4"/>
      </w:rPr>
      <w:drawing>
        <wp:inline distT="0" distB="0" distL="0" distR="0" wp14:anchorId="742D4AE4" wp14:editId="089F0F95">
          <wp:extent cx="397510" cy="103505"/>
          <wp:effectExtent l="0" t="0" r="254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510" cy="103505"/>
                  </a:xfrm>
                  <a:prstGeom prst="rect">
                    <a:avLst/>
                  </a:prstGeom>
                  <a:noFill/>
                  <a:ln>
                    <a:noFill/>
                  </a:ln>
                </pic:spPr>
              </pic:pic>
            </a:graphicData>
          </a:graphic>
        </wp:inline>
      </w:drawing>
    </w:r>
    <w:r w:rsidR="00B00E2F">
      <w:rPr>
        <w:b w:val="0"/>
        <w:color w:val="000000"/>
      </w:rPr>
      <w:t xml:space="preserve"> </w:t>
    </w:r>
    <w:r>
      <w:rPr>
        <w:b w:val="0"/>
        <w:noProof/>
        <w:color w:val="000000"/>
      </w:rPr>
      <w:drawing>
        <wp:inline distT="0" distB="0" distL="0" distR="0" wp14:anchorId="59257941" wp14:editId="0DA9A050">
          <wp:extent cx="501015" cy="9525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015" cy="95250"/>
                  </a:xfrm>
                  <a:prstGeom prst="rect">
                    <a:avLst/>
                  </a:prstGeom>
                  <a:noFill/>
                  <a:ln>
                    <a:noFill/>
                  </a:ln>
                </pic:spPr>
              </pic:pic>
            </a:graphicData>
          </a:graphic>
        </wp:inline>
      </w:drawing>
    </w:r>
    <w:r w:rsidR="00B00E2F">
      <w:rPr>
        <w:b w:val="0"/>
        <w:color w:val="000000"/>
      </w:rPr>
      <w:t xml:space="preserve"> </w:t>
    </w:r>
    <w:r>
      <w:rPr>
        <w:b w:val="0"/>
        <w:noProof/>
        <w:color w:val="000000"/>
      </w:rPr>
      <w:drawing>
        <wp:inline distT="0" distB="0" distL="0" distR="0" wp14:anchorId="3F77CD8B" wp14:editId="721514FA">
          <wp:extent cx="699770" cy="95250"/>
          <wp:effectExtent l="0" t="0" r="508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70" cy="95250"/>
                  </a:xfrm>
                  <a:prstGeom prst="rect">
                    <a:avLst/>
                  </a:prstGeom>
                  <a:noFill/>
                  <a:ln>
                    <a:noFill/>
                  </a:ln>
                </pic:spPr>
              </pic:pic>
            </a:graphicData>
          </a:graphic>
        </wp:inline>
      </w:drawing>
    </w:r>
    <w:r w:rsidR="00B00E2F">
      <w:rPr>
        <w:b w:val="0"/>
        <w:color w:val="000000"/>
      </w:rPr>
      <w:t xml:space="preserve"> </w:t>
    </w:r>
    <w:r>
      <w:rPr>
        <w:b w:val="0"/>
        <w:noProof/>
        <w:color w:val="000000"/>
      </w:rPr>
      <w:drawing>
        <wp:inline distT="0" distB="0" distL="0" distR="0" wp14:anchorId="2DD29F9A" wp14:editId="04419644">
          <wp:extent cx="970280" cy="103505"/>
          <wp:effectExtent l="0" t="0" r="127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280" cy="103505"/>
                  </a:xfrm>
                  <a:prstGeom prst="rect">
                    <a:avLst/>
                  </a:prstGeom>
                  <a:noFill/>
                  <a:ln>
                    <a:noFill/>
                  </a:ln>
                </pic:spPr>
              </pic:pic>
            </a:graphicData>
          </a:graphic>
        </wp:inline>
      </w:drawing>
    </w:r>
  </w:p>
  <w:p w:rsidR="009F1275" w:rsidRDefault="00B00E2F">
    <w:pPr>
      <w:pStyle w:val="Sidfot"/>
      <w:tabs>
        <w:tab w:val="clear" w:pos="8640"/>
        <w:tab w:val="right" w:pos="9072"/>
      </w:tabs>
      <w:rPr>
        <w:b w:val="0"/>
        <w:color w:val="000000"/>
      </w:rPr>
    </w:pPr>
    <w:r>
      <w:rPr>
        <w:b w:val="0"/>
        <w:color w:val="000000"/>
      </w:rPr>
      <w:tab/>
    </w:r>
    <w:r>
      <w:rPr>
        <w:b w:val="0"/>
        <w:color w:val="000000"/>
      </w:rPr>
      <w:tab/>
      <w:t xml:space="preserve">Sid. </w:t>
    </w:r>
    <w:r>
      <w:rPr>
        <w:b w:val="0"/>
        <w:color w:val="000000"/>
      </w:rPr>
      <w:fldChar w:fldCharType="begin"/>
    </w:r>
    <w:r>
      <w:rPr>
        <w:b w:val="0"/>
        <w:color w:val="000000"/>
      </w:rPr>
      <w:instrText xml:space="preserve"> PAGE  \* Arabic  \* MERGEFORMAT </w:instrText>
    </w:r>
    <w:r>
      <w:rPr>
        <w:b w:val="0"/>
        <w:color w:val="000000"/>
      </w:rPr>
      <w:fldChar w:fldCharType="separate"/>
    </w:r>
    <w:r w:rsidR="005C7DDD">
      <w:rPr>
        <w:b w:val="0"/>
        <w:noProof/>
        <w:color w:val="000000"/>
      </w:rPr>
      <w:t>1</w:t>
    </w:r>
    <w:r>
      <w:rPr>
        <w:b w:val="0"/>
        <w:color w:val="000000"/>
      </w:rPr>
      <w:fldChar w:fldCharType="end"/>
    </w:r>
    <w:r>
      <w:rPr>
        <w:b w:val="0"/>
        <w:color w:val="000000"/>
      </w:rPr>
      <w:t>/</w:t>
    </w:r>
    <w:r>
      <w:rPr>
        <w:b w:val="0"/>
        <w:color w:val="000000"/>
      </w:rPr>
      <w:fldChar w:fldCharType="begin"/>
    </w:r>
    <w:r>
      <w:rPr>
        <w:b w:val="0"/>
        <w:color w:val="000000"/>
      </w:rPr>
      <w:instrText xml:space="preserve"> NUMPAGES  \* Arabic  \* MERGEFORMAT </w:instrText>
    </w:r>
    <w:r>
      <w:rPr>
        <w:b w:val="0"/>
        <w:color w:val="000000"/>
      </w:rPr>
      <w:fldChar w:fldCharType="separate"/>
    </w:r>
    <w:r w:rsidR="005C7DDD">
      <w:rPr>
        <w:b w:val="0"/>
        <w:noProof/>
        <w:color w:val="000000"/>
      </w:rPr>
      <w:t>2</w:t>
    </w:r>
    <w:r>
      <w:rPr>
        <w:b w:val="0"/>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FB6" w:rsidRDefault="00854FB6">
      <w:pPr>
        <w:spacing w:after="0" w:line="240" w:lineRule="auto"/>
      </w:pPr>
      <w:r>
        <w:separator/>
      </w:r>
    </w:p>
  </w:footnote>
  <w:footnote w:type="continuationSeparator" w:id="0">
    <w:p w:rsidR="00854FB6" w:rsidRDefault="00854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275" w:rsidRDefault="00047A13">
    <w:pPr>
      <w:pStyle w:val="Sidhuvud"/>
      <w:spacing w:after="567" w:line="280" w:lineRule="exact"/>
      <w:jc w:val="right"/>
    </w:pPr>
    <w:r>
      <w:rPr>
        <w:noProof/>
      </w:rPr>
      <mc:AlternateContent>
        <mc:Choice Requires="wpg">
          <w:drawing>
            <wp:anchor distT="0" distB="0" distL="114300" distR="114300" simplePos="0" relativeHeight="251658752" behindDoc="0" locked="0" layoutInCell="1" allowOverlap="1">
              <wp:simplePos x="0" y="0"/>
              <wp:positionH relativeFrom="page">
                <wp:posOffset>180340</wp:posOffset>
              </wp:positionH>
              <wp:positionV relativeFrom="page">
                <wp:posOffset>3780790</wp:posOffset>
              </wp:positionV>
              <wp:extent cx="183515" cy="3796030"/>
              <wp:effectExtent l="0" t="0" r="26035" b="13970"/>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6" name="Line 2"/>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7" name="Line 3"/>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8" name="Line 4"/>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4.2pt;margin-top:297.7pt;width:14.45pt;height:298.9pt;z-index:25165875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">
              <v:line id="Line 2"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668MAAADaAAAADwAAAGRycy9kb3ducmV2LnhtbESPwWrCQBCG7wXfYRmhN93oIZToJpSg&#10;Uio9NCq9TrPTJJidDdltEvv03YLQ48z8/zd822wyrRiod41lBatlBIK4tLrhSsH5tF88gXAeWWNr&#10;mRTcyEGWzh62mGg78jsNha9EgLBLUEHtfZdI6cqaDLql7YjD7cv2Bn0Y+0rqHscAN61cR1EsDTYc&#10;PtTYUV5TeS2+TaDYt9fjz+fB7rSnKS/K4uMy5Eo9zqfnDYiw8//he/tFK4jhTyVo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l+uvDAAAA2gAAAA8AAAAAAAAAAAAA&#10;AAAAoQIAAGRycy9kb3ducmV2LnhtbFBLBQYAAAAABAAEAPkAAACRAwAAAAA=&#10;" strokecolor="#e1000f" strokeweight=".5pt"/>
              <v:line id="Line 3"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fcMIAAADaAAAADwAAAGRycy9kb3ducmV2LnhtbESPwWrCQBCG74W+wzIFb3VTD1qiq0io&#10;IooHU8XrmB2TYHY2ZNcYfXpXKPQ4M///Dd9k1plKtNS40rKCr34EgjizuuRcwf538fkNwnlkjZVl&#10;UnAnB7Pp+9sEY21vvKM29bkIEHYxKii8r2MpXVaQQde3NXG4nW1j0IexyaVu8BbgppKDKBpKgyWH&#10;DwXWlBSUXdKrCRS7XW8ep6X90Z66JM3S46FNlOp9dPMxiLDz/+G/9korGMFLJWi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lfcMIAAADaAAAADwAAAAAAAAAAAAAA&#10;AAChAgAAZHJzL2Rvd25yZXYueG1sUEsFBgAAAAAEAAQA+QAAAJADAAAAAA==&#10;" strokecolor="#e1000f" strokeweight=".5pt"/>
              <v:line id="Line 4"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LAsMAAADaAAAADwAAAGRycy9kb3ducmV2LnhtbESPQWvCQBCF7wX/wzKCt2ZjD1JSV5Gg&#10;RZQeGi29TrNjEszOhuwa0/76zqHQ45v35pt5y/XoWjVQHxrPBuZJCoq49LbhysD5tHt8BhUissXW&#10;Mxn4pgDr1eRhiZn1d36noYiVEgiHDA3UMXaZ1qGsyWFIfEcs3sX3DqPIvtK2x7vAXauf0nShHTYs&#10;F2rsKK+pvBY3JxT/djj+fL36rY005kVZfH4MuTGz6bh5ASWz+B/+295bA/KrVJEa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2ywLDAAAA2gAAAA8AAAAAAAAAAAAA&#10;AAAAoQIAAGRycy9kb3ducmV2LnhtbFBLBQYAAAAABAAEAPkAAACRAw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275" w:rsidRDefault="009F1275">
    <w:pPr>
      <w:pStyle w:val="Sidhuvud"/>
      <w:tabs>
        <w:tab w:val="clear" w:pos="8640"/>
      </w:tabs>
      <w:spacing w:line="2155" w:lineRule="exact"/>
      <w:jc w:val="right"/>
      <w:rPr>
        <w:b/>
        <w:bCs/>
        <w:sz w:val="36"/>
        <w:szCs w:val="36"/>
      </w:rPr>
    </w:pPr>
  </w:p>
  <w:p w:rsidR="009F1275" w:rsidRDefault="00047A13">
    <w:pPr>
      <w:pStyle w:val="Sidhuvud"/>
      <w:tabs>
        <w:tab w:val="clear" w:pos="8640"/>
      </w:tabs>
      <w:spacing w:line="420" w:lineRule="atLeast"/>
      <w:jc w:val="right"/>
      <w:rPr>
        <w:b/>
        <w:bCs/>
        <w:sz w:val="36"/>
        <w:szCs w:val="36"/>
      </w:rPr>
    </w:pPr>
    <w:r>
      <w:rPr>
        <w:noProof/>
      </w:rPr>
      <mc:AlternateContent>
        <mc:Choice Requires="wpg">
          <w:drawing>
            <wp:anchor distT="0" distB="0" distL="114300" distR="114300" simplePos="0" relativeHeight="251657728" behindDoc="0" locked="0" layoutInCell="1" allowOverlap="1">
              <wp:simplePos x="0" y="0"/>
              <wp:positionH relativeFrom="page">
                <wp:posOffset>180340</wp:posOffset>
              </wp:positionH>
              <wp:positionV relativeFrom="page">
                <wp:posOffset>3780790</wp:posOffset>
              </wp:positionV>
              <wp:extent cx="179705" cy="3780155"/>
              <wp:effectExtent l="0" t="0" r="10795" b="1079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2" name="Line 6"/>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3" name="Line 7"/>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4" name="Line 8"/>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4.2pt;margin-top:297.7pt;width:14.15pt;height:297.65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">
              <v:line id="Line 6"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86MEAAADaAAAADwAAAGRycy9kb3ducmV2LnhtbESPwYrCMBCG74LvEEbwtqZ6kKUaRYou&#10;i+Jhq+J1bMa22ExKE2v16TcLCx5n5v+/4ZsvO1OJlhpXWlYwHkUgiDOrS84VHA+bj08QziNrrCyT&#10;gic5WC76vTnG2j74h9rU5yJA2MWooPC+jqV0WUEG3cjWxOF2tY1BH8Yml7rBR4CbSk6iaCoNlhw+&#10;FFhTUlB2S+8mUOx+u3tdvuxae+qSNEvPpzZRajjoVjMQYeff4f/2t1YwgT+VoAF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vzowQAAANoAAAAPAAAAAAAAAAAAAAAA&#10;AKECAABkcnMvZG93bnJldi54bWxQSwUGAAAAAAQABAD5AAAAjwMAAAAA&#10;" strokecolor="#e1000f" strokeweight=".5pt"/>
              <v:line id="Line 7"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Zc8IAAADaAAAADwAAAGRycy9kb3ducmV2LnhtbESPwWrCQBCG74W+wzIFb3VTBSnRVSRU&#10;EcWDqeJ1zI5JMDsbsmuMPr0rFHqcmf//hm8y60wlWmpcaVnBVz8CQZxZXXKuYP+7+PwG4Tyyxsoy&#10;KbiTg9n0/W2CsbY33lGb+lwECLsYFRTe17GULivIoOvbmjjczrYx6MPY5FI3eAtwU8lBFI2kwZLD&#10;hwJrSgrKLunVBIrdrjeP09L+aE9dkmbp8dAmSvU+uvkYRNj5//Bfe6UVDOGlEjR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JZc8IAAADaAAAADwAAAAAAAAAAAAAA&#10;AAChAgAAZHJzL2Rvd25yZXYueG1sUEsFBgAAAAAEAAQA+QAAAJADAAAAAA==&#10;" strokecolor="#e1000f" strokeweight=".5pt"/>
              <v:line id="Line 8"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BB8IAAADaAAAADwAAAGRycy9kb3ducmV2LnhtbESPwWrCQBCG74W+wzIFb3VTESnRVSRU&#10;EcWDqeJ1zI5JMDsbsmuMPr0rFHqcmf//hm8y60wlWmpcaVnBVz8CQZxZXXKuYP+7+PwG4Tyyxsoy&#10;KbiTg9n0/W2CsbY33lGb+lwECLsYFRTe17GULivIoOvbmjjczrYx6MPY5FI3eAtwU8lBFI2kwZLD&#10;hwJrSgrKLunVBIrdrjeP09L+aE9dkmbp8dAmSvU+uvkYRNj5//Bfe6UVDOGlEjR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vBB8IAAADaAAAADwAAAAAAAAAAAAAA&#10;AAChAgAAZHJzL2Rvd25yZXYueG1sUEsFBgAAAAAEAAQA+QAAAJADAAAAAA==&#10;" strokecolor="#e1000f" strokeweight=".5pt"/>
              <w10:wrap anchorx="page" anchory="page"/>
            </v:group>
          </w:pict>
        </mc:Fallback>
      </mc:AlternateContent>
    </w:r>
    <w:r w:rsidR="00B00E2F">
      <w:rPr>
        <w:b/>
        <w:sz w:val="36"/>
      </w:rPr>
      <w:t>Pressmeddelande</w:t>
    </w:r>
    <w:r>
      <w:rPr>
        <w:noProof/>
      </w:rPr>
      <w:drawing>
        <wp:anchor distT="0" distB="0" distL="114300" distR="114300" simplePos="0" relativeHeight="251656704" behindDoc="1" locked="0" layoutInCell="1" allowOverlap="1">
          <wp:simplePos x="0" y="0"/>
          <wp:positionH relativeFrom="page">
            <wp:posOffset>0</wp:posOffset>
          </wp:positionH>
          <wp:positionV relativeFrom="page">
            <wp:posOffset>0</wp:posOffset>
          </wp:positionV>
          <wp:extent cx="4029075" cy="11525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70FC8"/>
    <w:multiLevelType w:val="hybridMultilevel"/>
    <w:tmpl w:val="453ECC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C2E"/>
    <w:rsid w:val="000445D4"/>
    <w:rsid w:val="0004572A"/>
    <w:rsid w:val="00047A13"/>
    <w:rsid w:val="00226C2E"/>
    <w:rsid w:val="003C54B2"/>
    <w:rsid w:val="004365D1"/>
    <w:rsid w:val="005731CC"/>
    <w:rsid w:val="005A5633"/>
    <w:rsid w:val="005C7DDD"/>
    <w:rsid w:val="00716781"/>
    <w:rsid w:val="00734B29"/>
    <w:rsid w:val="00843DEB"/>
    <w:rsid w:val="00854FB6"/>
    <w:rsid w:val="009255E4"/>
    <w:rsid w:val="00952FBF"/>
    <w:rsid w:val="009F1275"/>
    <w:rsid w:val="00A14D93"/>
    <w:rsid w:val="00A9243E"/>
    <w:rsid w:val="00B00E2F"/>
    <w:rsid w:val="00C52461"/>
    <w:rsid w:val="00DC57F8"/>
    <w:rsid w:val="00E612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pPr>
      <w:tabs>
        <w:tab w:val="center" w:pos="4320"/>
        <w:tab w:val="right" w:pos="8640"/>
      </w:tabs>
      <w:spacing w:after="0" w:line="260" w:lineRule="atLeast"/>
    </w:pPr>
    <w:rPr>
      <w:rFonts w:ascii="Arial" w:hAnsi="Arial"/>
      <w:sz w:val="20"/>
      <w:szCs w:val="24"/>
    </w:rPr>
  </w:style>
  <w:style w:type="character" w:customStyle="1" w:styleId="SidhuvudChar">
    <w:name w:val="Sidhuvud Char"/>
    <w:basedOn w:val="Standardstycketeckensnitt"/>
    <w:link w:val="Sidhuvud"/>
    <w:uiPriority w:val="99"/>
    <w:locked/>
    <w:rPr>
      <w:rFonts w:ascii="Arial" w:hAnsi="Arial"/>
      <w:sz w:val="24"/>
      <w:lang w:val="sv-SE" w:eastAsia="sv-SE"/>
    </w:rPr>
  </w:style>
  <w:style w:type="paragraph" w:styleId="Sidfot">
    <w:name w:val="footer"/>
    <w:basedOn w:val="Normal"/>
    <w:link w:val="SidfotChar"/>
    <w:uiPriority w:val="99"/>
    <w:pPr>
      <w:tabs>
        <w:tab w:val="right" w:pos="7083"/>
        <w:tab w:val="right" w:pos="8640"/>
      </w:tabs>
      <w:spacing w:after="0" w:line="180" w:lineRule="atLeast"/>
    </w:pPr>
    <w:rPr>
      <w:rFonts w:ascii="Arial" w:hAnsi="Arial"/>
      <w:b/>
      <w:color w:val="E1000F"/>
      <w:sz w:val="14"/>
      <w:szCs w:val="24"/>
    </w:rPr>
  </w:style>
  <w:style w:type="character" w:customStyle="1" w:styleId="SidfotChar">
    <w:name w:val="Sidfot Char"/>
    <w:basedOn w:val="Standardstycketeckensnitt"/>
    <w:link w:val="Sidfot"/>
    <w:uiPriority w:val="99"/>
    <w:locked/>
    <w:rPr>
      <w:rFonts w:ascii="Arial" w:hAnsi="Arial"/>
      <w:b/>
      <w:color w:val="E1000F"/>
      <w:sz w:val="24"/>
      <w:lang w:val="sv-SE" w:eastAsia="sv-SE"/>
    </w:rPr>
  </w:style>
  <w:style w:type="paragraph" w:styleId="Brdtext">
    <w:name w:val="Body Text"/>
    <w:basedOn w:val="Normal"/>
    <w:link w:val="BrdtextChar"/>
    <w:uiPriority w:val="99"/>
    <w:pPr>
      <w:spacing w:after="120" w:line="280" w:lineRule="exact"/>
    </w:pPr>
    <w:rPr>
      <w:rFonts w:ascii="Arial" w:hAnsi="Arial"/>
      <w:sz w:val="20"/>
      <w:szCs w:val="24"/>
    </w:rPr>
  </w:style>
  <w:style w:type="character" w:customStyle="1" w:styleId="BrdtextChar">
    <w:name w:val="Brödtext Char"/>
    <w:basedOn w:val="Standardstycketeckensnitt"/>
    <w:link w:val="Brdtext"/>
    <w:uiPriority w:val="99"/>
    <w:locked/>
    <w:rPr>
      <w:rFonts w:ascii="Arial" w:hAnsi="Arial"/>
      <w:sz w:val="24"/>
      <w:lang w:val="sv-SE" w:eastAsia="sv-SE"/>
    </w:rPr>
  </w:style>
  <w:style w:type="paragraph" w:customStyle="1" w:styleId="Standard12pt">
    <w:name w:val="Standard_12pt"/>
    <w:basedOn w:val="Normal"/>
    <w:pPr>
      <w:spacing w:after="0" w:line="300" w:lineRule="atLeast"/>
    </w:pPr>
    <w:rPr>
      <w:rFonts w:ascii="Arial" w:hAnsi="Arial"/>
      <w:sz w:val="24"/>
      <w:szCs w:val="24"/>
    </w:rPr>
  </w:style>
  <w:style w:type="character" w:styleId="Hyperlnk">
    <w:name w:val="Hyperlink"/>
    <w:basedOn w:val="Standardstycketeckensnitt"/>
    <w:uiPriority w:val="99"/>
    <w:rPr>
      <w:color w:val="0000FF"/>
      <w:u w:val="single"/>
      <w:lang w:val="sv-SE" w:eastAsia="sv-SE"/>
    </w:rPr>
  </w:style>
  <w:style w:type="paragraph" w:styleId="Ballongtext">
    <w:name w:val="Balloon Text"/>
    <w:basedOn w:val="Normal"/>
    <w:link w:val="BallongtextChar"/>
    <w:uiPriority w:val="99"/>
    <w:semiHidden/>
    <w:unhideWhenUse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Pr>
      <w:rFonts w:ascii="Tahoma" w:hAnsi="Tahoma"/>
      <w:sz w:val="16"/>
      <w:lang w:val="sv-SE" w:eastAsia="sv-SE"/>
    </w:rPr>
  </w:style>
  <w:style w:type="character" w:customStyle="1" w:styleId="Heading1">
    <w:name w:val="Heading #1_"/>
    <w:basedOn w:val="Standardstycketeckensnitt"/>
    <w:link w:val="Heading10"/>
    <w:rsid w:val="003C54B2"/>
    <w:rPr>
      <w:rFonts w:ascii="Arial" w:eastAsia="Arial" w:hAnsi="Arial" w:cs="Arial"/>
      <w:b/>
      <w:bCs/>
      <w:sz w:val="35"/>
      <w:szCs w:val="35"/>
      <w:shd w:val="clear" w:color="auto" w:fill="FFFFFF"/>
    </w:rPr>
  </w:style>
  <w:style w:type="character" w:customStyle="1" w:styleId="Bodytext">
    <w:name w:val="Body text_"/>
    <w:basedOn w:val="Standardstycketeckensnitt"/>
    <w:link w:val="BodyText1"/>
    <w:rsid w:val="003C54B2"/>
    <w:rPr>
      <w:rFonts w:ascii="Arial" w:eastAsia="Arial" w:hAnsi="Arial" w:cs="Arial"/>
      <w:sz w:val="22"/>
      <w:szCs w:val="22"/>
      <w:shd w:val="clear" w:color="auto" w:fill="FFFFFF"/>
    </w:rPr>
  </w:style>
  <w:style w:type="character" w:customStyle="1" w:styleId="Bodytext2">
    <w:name w:val="Body text (2)_"/>
    <w:basedOn w:val="Standardstycketeckensnitt"/>
    <w:link w:val="Bodytext20"/>
    <w:rsid w:val="003C54B2"/>
    <w:rPr>
      <w:rFonts w:ascii="Arial" w:eastAsia="Arial" w:hAnsi="Arial" w:cs="Arial"/>
      <w:b/>
      <w:bCs/>
      <w:sz w:val="23"/>
      <w:szCs w:val="23"/>
      <w:shd w:val="clear" w:color="auto" w:fill="FFFFFF"/>
    </w:rPr>
  </w:style>
  <w:style w:type="character" w:customStyle="1" w:styleId="Bodytext5">
    <w:name w:val="Body text (5)_"/>
    <w:basedOn w:val="Standardstycketeckensnitt"/>
    <w:link w:val="Bodytext50"/>
    <w:rsid w:val="003C54B2"/>
    <w:rPr>
      <w:rFonts w:ascii="Arial" w:eastAsia="Arial" w:hAnsi="Arial" w:cs="Arial"/>
      <w:sz w:val="18"/>
      <w:szCs w:val="18"/>
      <w:shd w:val="clear" w:color="auto" w:fill="FFFFFF"/>
    </w:rPr>
  </w:style>
  <w:style w:type="character" w:customStyle="1" w:styleId="Bodytext6">
    <w:name w:val="Body text (6)_"/>
    <w:basedOn w:val="Standardstycketeckensnitt"/>
    <w:link w:val="Bodytext60"/>
    <w:rsid w:val="003C54B2"/>
    <w:rPr>
      <w:rFonts w:ascii="Arial" w:eastAsia="Arial" w:hAnsi="Arial" w:cs="Arial"/>
      <w:b/>
      <w:bCs/>
      <w:sz w:val="19"/>
      <w:szCs w:val="19"/>
      <w:shd w:val="clear" w:color="auto" w:fill="FFFFFF"/>
    </w:rPr>
  </w:style>
  <w:style w:type="paragraph" w:customStyle="1" w:styleId="Heading10">
    <w:name w:val="Heading #1"/>
    <w:basedOn w:val="Normal"/>
    <w:link w:val="Heading1"/>
    <w:rsid w:val="003C54B2"/>
    <w:pPr>
      <w:widowControl w:val="0"/>
      <w:shd w:val="clear" w:color="auto" w:fill="FFFFFF"/>
      <w:spacing w:before="1080" w:after="120" w:line="0" w:lineRule="atLeast"/>
      <w:jc w:val="right"/>
      <w:outlineLvl w:val="0"/>
    </w:pPr>
    <w:rPr>
      <w:rFonts w:ascii="Arial" w:eastAsia="Arial" w:hAnsi="Arial" w:cs="Arial"/>
      <w:b/>
      <w:bCs/>
      <w:sz w:val="35"/>
      <w:szCs w:val="35"/>
    </w:rPr>
  </w:style>
  <w:style w:type="paragraph" w:customStyle="1" w:styleId="BodyText1">
    <w:name w:val="Body Text1"/>
    <w:basedOn w:val="Normal"/>
    <w:link w:val="Bodytext"/>
    <w:rsid w:val="003C54B2"/>
    <w:pPr>
      <w:widowControl w:val="0"/>
      <w:shd w:val="clear" w:color="auto" w:fill="FFFFFF"/>
      <w:spacing w:before="120" w:after="660" w:line="0" w:lineRule="atLeast"/>
      <w:jc w:val="right"/>
    </w:pPr>
    <w:rPr>
      <w:rFonts w:ascii="Arial" w:eastAsia="Arial" w:hAnsi="Arial" w:cs="Arial"/>
    </w:rPr>
  </w:style>
  <w:style w:type="paragraph" w:customStyle="1" w:styleId="Bodytext20">
    <w:name w:val="Body text (2)"/>
    <w:basedOn w:val="Normal"/>
    <w:link w:val="Bodytext2"/>
    <w:rsid w:val="003C54B2"/>
    <w:pPr>
      <w:widowControl w:val="0"/>
      <w:shd w:val="clear" w:color="auto" w:fill="FFFFFF"/>
      <w:spacing w:before="120" w:after="240" w:line="317" w:lineRule="exact"/>
      <w:jc w:val="both"/>
    </w:pPr>
    <w:rPr>
      <w:rFonts w:ascii="Arial" w:eastAsia="Arial" w:hAnsi="Arial" w:cs="Arial"/>
      <w:b/>
      <w:bCs/>
      <w:sz w:val="23"/>
      <w:szCs w:val="23"/>
    </w:rPr>
  </w:style>
  <w:style w:type="paragraph" w:customStyle="1" w:styleId="Bodytext50">
    <w:name w:val="Body text (5)"/>
    <w:basedOn w:val="Normal"/>
    <w:link w:val="Bodytext5"/>
    <w:rsid w:val="003C54B2"/>
    <w:pPr>
      <w:widowControl w:val="0"/>
      <w:shd w:val="clear" w:color="auto" w:fill="FFFFFF"/>
      <w:spacing w:before="300" w:after="480" w:line="298" w:lineRule="exact"/>
      <w:jc w:val="both"/>
    </w:pPr>
    <w:rPr>
      <w:rFonts w:ascii="Arial" w:eastAsia="Arial" w:hAnsi="Arial" w:cs="Arial"/>
      <w:sz w:val="18"/>
      <w:szCs w:val="18"/>
    </w:rPr>
  </w:style>
  <w:style w:type="paragraph" w:customStyle="1" w:styleId="Bodytext60">
    <w:name w:val="Body text (6)"/>
    <w:basedOn w:val="Normal"/>
    <w:link w:val="Bodytext6"/>
    <w:rsid w:val="003C54B2"/>
    <w:pPr>
      <w:widowControl w:val="0"/>
      <w:shd w:val="clear" w:color="auto" w:fill="FFFFFF"/>
      <w:spacing w:before="480" w:after="300" w:line="259" w:lineRule="exact"/>
      <w:jc w:val="both"/>
    </w:pPr>
    <w:rPr>
      <w:rFonts w:ascii="Arial" w:eastAsia="Arial" w:hAnsi="Arial" w:cs="Arial"/>
      <w:b/>
      <w:b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pPr>
      <w:tabs>
        <w:tab w:val="center" w:pos="4320"/>
        <w:tab w:val="right" w:pos="8640"/>
      </w:tabs>
      <w:spacing w:after="0" w:line="260" w:lineRule="atLeast"/>
    </w:pPr>
    <w:rPr>
      <w:rFonts w:ascii="Arial" w:hAnsi="Arial"/>
      <w:sz w:val="20"/>
      <w:szCs w:val="24"/>
    </w:rPr>
  </w:style>
  <w:style w:type="character" w:customStyle="1" w:styleId="SidhuvudChar">
    <w:name w:val="Sidhuvud Char"/>
    <w:basedOn w:val="Standardstycketeckensnitt"/>
    <w:link w:val="Sidhuvud"/>
    <w:uiPriority w:val="99"/>
    <w:locked/>
    <w:rPr>
      <w:rFonts w:ascii="Arial" w:hAnsi="Arial"/>
      <w:sz w:val="24"/>
      <w:lang w:val="sv-SE" w:eastAsia="sv-SE"/>
    </w:rPr>
  </w:style>
  <w:style w:type="paragraph" w:styleId="Sidfot">
    <w:name w:val="footer"/>
    <w:basedOn w:val="Normal"/>
    <w:link w:val="SidfotChar"/>
    <w:uiPriority w:val="99"/>
    <w:pPr>
      <w:tabs>
        <w:tab w:val="right" w:pos="7083"/>
        <w:tab w:val="right" w:pos="8640"/>
      </w:tabs>
      <w:spacing w:after="0" w:line="180" w:lineRule="atLeast"/>
    </w:pPr>
    <w:rPr>
      <w:rFonts w:ascii="Arial" w:hAnsi="Arial"/>
      <w:b/>
      <w:color w:val="E1000F"/>
      <w:sz w:val="14"/>
      <w:szCs w:val="24"/>
    </w:rPr>
  </w:style>
  <w:style w:type="character" w:customStyle="1" w:styleId="SidfotChar">
    <w:name w:val="Sidfot Char"/>
    <w:basedOn w:val="Standardstycketeckensnitt"/>
    <w:link w:val="Sidfot"/>
    <w:uiPriority w:val="99"/>
    <w:locked/>
    <w:rPr>
      <w:rFonts w:ascii="Arial" w:hAnsi="Arial"/>
      <w:b/>
      <w:color w:val="E1000F"/>
      <w:sz w:val="24"/>
      <w:lang w:val="sv-SE" w:eastAsia="sv-SE"/>
    </w:rPr>
  </w:style>
  <w:style w:type="paragraph" w:styleId="Brdtext">
    <w:name w:val="Body Text"/>
    <w:basedOn w:val="Normal"/>
    <w:link w:val="BrdtextChar"/>
    <w:uiPriority w:val="99"/>
    <w:pPr>
      <w:spacing w:after="120" w:line="280" w:lineRule="exact"/>
    </w:pPr>
    <w:rPr>
      <w:rFonts w:ascii="Arial" w:hAnsi="Arial"/>
      <w:sz w:val="20"/>
      <w:szCs w:val="24"/>
    </w:rPr>
  </w:style>
  <w:style w:type="character" w:customStyle="1" w:styleId="BrdtextChar">
    <w:name w:val="Brödtext Char"/>
    <w:basedOn w:val="Standardstycketeckensnitt"/>
    <w:link w:val="Brdtext"/>
    <w:uiPriority w:val="99"/>
    <w:locked/>
    <w:rPr>
      <w:rFonts w:ascii="Arial" w:hAnsi="Arial"/>
      <w:sz w:val="24"/>
      <w:lang w:val="sv-SE" w:eastAsia="sv-SE"/>
    </w:rPr>
  </w:style>
  <w:style w:type="paragraph" w:customStyle="1" w:styleId="Standard12pt">
    <w:name w:val="Standard_12pt"/>
    <w:basedOn w:val="Normal"/>
    <w:pPr>
      <w:spacing w:after="0" w:line="300" w:lineRule="atLeast"/>
    </w:pPr>
    <w:rPr>
      <w:rFonts w:ascii="Arial" w:hAnsi="Arial"/>
      <w:sz w:val="24"/>
      <w:szCs w:val="24"/>
    </w:rPr>
  </w:style>
  <w:style w:type="character" w:styleId="Hyperlnk">
    <w:name w:val="Hyperlink"/>
    <w:basedOn w:val="Standardstycketeckensnitt"/>
    <w:uiPriority w:val="99"/>
    <w:rPr>
      <w:color w:val="0000FF"/>
      <w:u w:val="single"/>
      <w:lang w:val="sv-SE" w:eastAsia="sv-SE"/>
    </w:rPr>
  </w:style>
  <w:style w:type="paragraph" w:styleId="Ballongtext">
    <w:name w:val="Balloon Text"/>
    <w:basedOn w:val="Normal"/>
    <w:link w:val="BallongtextChar"/>
    <w:uiPriority w:val="99"/>
    <w:semiHidden/>
    <w:unhideWhenUse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Pr>
      <w:rFonts w:ascii="Tahoma" w:hAnsi="Tahoma"/>
      <w:sz w:val="16"/>
      <w:lang w:val="sv-SE" w:eastAsia="sv-SE"/>
    </w:rPr>
  </w:style>
  <w:style w:type="character" w:customStyle="1" w:styleId="Heading1">
    <w:name w:val="Heading #1_"/>
    <w:basedOn w:val="Standardstycketeckensnitt"/>
    <w:link w:val="Heading10"/>
    <w:rsid w:val="003C54B2"/>
    <w:rPr>
      <w:rFonts w:ascii="Arial" w:eastAsia="Arial" w:hAnsi="Arial" w:cs="Arial"/>
      <w:b/>
      <w:bCs/>
      <w:sz w:val="35"/>
      <w:szCs w:val="35"/>
      <w:shd w:val="clear" w:color="auto" w:fill="FFFFFF"/>
    </w:rPr>
  </w:style>
  <w:style w:type="character" w:customStyle="1" w:styleId="Bodytext">
    <w:name w:val="Body text_"/>
    <w:basedOn w:val="Standardstycketeckensnitt"/>
    <w:link w:val="BodyText1"/>
    <w:rsid w:val="003C54B2"/>
    <w:rPr>
      <w:rFonts w:ascii="Arial" w:eastAsia="Arial" w:hAnsi="Arial" w:cs="Arial"/>
      <w:sz w:val="22"/>
      <w:szCs w:val="22"/>
      <w:shd w:val="clear" w:color="auto" w:fill="FFFFFF"/>
    </w:rPr>
  </w:style>
  <w:style w:type="character" w:customStyle="1" w:styleId="Bodytext2">
    <w:name w:val="Body text (2)_"/>
    <w:basedOn w:val="Standardstycketeckensnitt"/>
    <w:link w:val="Bodytext20"/>
    <w:rsid w:val="003C54B2"/>
    <w:rPr>
      <w:rFonts w:ascii="Arial" w:eastAsia="Arial" w:hAnsi="Arial" w:cs="Arial"/>
      <w:b/>
      <w:bCs/>
      <w:sz w:val="23"/>
      <w:szCs w:val="23"/>
      <w:shd w:val="clear" w:color="auto" w:fill="FFFFFF"/>
    </w:rPr>
  </w:style>
  <w:style w:type="character" w:customStyle="1" w:styleId="Bodytext5">
    <w:name w:val="Body text (5)_"/>
    <w:basedOn w:val="Standardstycketeckensnitt"/>
    <w:link w:val="Bodytext50"/>
    <w:rsid w:val="003C54B2"/>
    <w:rPr>
      <w:rFonts w:ascii="Arial" w:eastAsia="Arial" w:hAnsi="Arial" w:cs="Arial"/>
      <w:sz w:val="18"/>
      <w:szCs w:val="18"/>
      <w:shd w:val="clear" w:color="auto" w:fill="FFFFFF"/>
    </w:rPr>
  </w:style>
  <w:style w:type="character" w:customStyle="1" w:styleId="Bodytext6">
    <w:name w:val="Body text (6)_"/>
    <w:basedOn w:val="Standardstycketeckensnitt"/>
    <w:link w:val="Bodytext60"/>
    <w:rsid w:val="003C54B2"/>
    <w:rPr>
      <w:rFonts w:ascii="Arial" w:eastAsia="Arial" w:hAnsi="Arial" w:cs="Arial"/>
      <w:b/>
      <w:bCs/>
      <w:sz w:val="19"/>
      <w:szCs w:val="19"/>
      <w:shd w:val="clear" w:color="auto" w:fill="FFFFFF"/>
    </w:rPr>
  </w:style>
  <w:style w:type="paragraph" w:customStyle="1" w:styleId="Heading10">
    <w:name w:val="Heading #1"/>
    <w:basedOn w:val="Normal"/>
    <w:link w:val="Heading1"/>
    <w:rsid w:val="003C54B2"/>
    <w:pPr>
      <w:widowControl w:val="0"/>
      <w:shd w:val="clear" w:color="auto" w:fill="FFFFFF"/>
      <w:spacing w:before="1080" w:after="120" w:line="0" w:lineRule="atLeast"/>
      <w:jc w:val="right"/>
      <w:outlineLvl w:val="0"/>
    </w:pPr>
    <w:rPr>
      <w:rFonts w:ascii="Arial" w:eastAsia="Arial" w:hAnsi="Arial" w:cs="Arial"/>
      <w:b/>
      <w:bCs/>
      <w:sz w:val="35"/>
      <w:szCs w:val="35"/>
    </w:rPr>
  </w:style>
  <w:style w:type="paragraph" w:customStyle="1" w:styleId="BodyText1">
    <w:name w:val="Body Text1"/>
    <w:basedOn w:val="Normal"/>
    <w:link w:val="Bodytext"/>
    <w:rsid w:val="003C54B2"/>
    <w:pPr>
      <w:widowControl w:val="0"/>
      <w:shd w:val="clear" w:color="auto" w:fill="FFFFFF"/>
      <w:spacing w:before="120" w:after="660" w:line="0" w:lineRule="atLeast"/>
      <w:jc w:val="right"/>
    </w:pPr>
    <w:rPr>
      <w:rFonts w:ascii="Arial" w:eastAsia="Arial" w:hAnsi="Arial" w:cs="Arial"/>
    </w:rPr>
  </w:style>
  <w:style w:type="paragraph" w:customStyle="1" w:styleId="Bodytext20">
    <w:name w:val="Body text (2)"/>
    <w:basedOn w:val="Normal"/>
    <w:link w:val="Bodytext2"/>
    <w:rsid w:val="003C54B2"/>
    <w:pPr>
      <w:widowControl w:val="0"/>
      <w:shd w:val="clear" w:color="auto" w:fill="FFFFFF"/>
      <w:spacing w:before="120" w:after="240" w:line="317" w:lineRule="exact"/>
      <w:jc w:val="both"/>
    </w:pPr>
    <w:rPr>
      <w:rFonts w:ascii="Arial" w:eastAsia="Arial" w:hAnsi="Arial" w:cs="Arial"/>
      <w:b/>
      <w:bCs/>
      <w:sz w:val="23"/>
      <w:szCs w:val="23"/>
    </w:rPr>
  </w:style>
  <w:style w:type="paragraph" w:customStyle="1" w:styleId="Bodytext50">
    <w:name w:val="Body text (5)"/>
    <w:basedOn w:val="Normal"/>
    <w:link w:val="Bodytext5"/>
    <w:rsid w:val="003C54B2"/>
    <w:pPr>
      <w:widowControl w:val="0"/>
      <w:shd w:val="clear" w:color="auto" w:fill="FFFFFF"/>
      <w:spacing w:before="300" w:after="480" w:line="298" w:lineRule="exact"/>
      <w:jc w:val="both"/>
    </w:pPr>
    <w:rPr>
      <w:rFonts w:ascii="Arial" w:eastAsia="Arial" w:hAnsi="Arial" w:cs="Arial"/>
      <w:sz w:val="18"/>
      <w:szCs w:val="18"/>
    </w:rPr>
  </w:style>
  <w:style w:type="paragraph" w:customStyle="1" w:styleId="Bodytext60">
    <w:name w:val="Body text (6)"/>
    <w:basedOn w:val="Normal"/>
    <w:link w:val="Bodytext6"/>
    <w:rsid w:val="003C54B2"/>
    <w:pPr>
      <w:widowControl w:val="0"/>
      <w:shd w:val="clear" w:color="auto" w:fill="FFFFFF"/>
      <w:spacing w:before="480" w:after="300" w:line="259" w:lineRule="exact"/>
      <w:jc w:val="both"/>
    </w:pPr>
    <w:rPr>
      <w:rFonts w:ascii="Arial" w:eastAsia="Arial" w:hAnsi="Arial" w:cs="Arial"/>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21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com/press-and-media/specials/sustainability-strateqy"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enkel.s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ecilia.l.destoup@henkel.com" TargetMode="External"/><Relationship Id="rId4" Type="http://schemas.openxmlformats.org/officeDocument/2006/relationships/settings" Target="settings.xml"/><Relationship Id="rId9" Type="http://schemas.openxmlformats.org/officeDocument/2006/relationships/hyperlink" Target="http://www.henkel.com/press-and-media/press-releases-and-kits/2Q15-Q3-04-publication-of-"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736</Words>
  <Characters>3903</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dc:creator>
  <cp:lastModifiedBy>Susanna Salomon</cp:lastModifiedBy>
  <cp:revision>9</cp:revision>
  <cp:lastPrinted>2015-03-04T13:20:00Z</cp:lastPrinted>
  <dcterms:created xsi:type="dcterms:W3CDTF">2015-03-04T11:07:00Z</dcterms:created>
  <dcterms:modified xsi:type="dcterms:W3CDTF">2015-03-04T13:20:00Z</dcterms:modified>
</cp:coreProperties>
</file>