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255" w:rsidRDefault="00D72C37" w:rsidP="008F07B0">
      <w:pPr>
        <w:pStyle w:val="Heading1"/>
        <w:jc w:val="center"/>
        <w:rPr>
          <w:lang w:val="pt-BR"/>
        </w:rPr>
      </w:pPr>
      <w:r>
        <w:rPr>
          <w:lang w:val="pt-BR"/>
        </w:rPr>
        <w:t>Henkel apresenta sólido desempenho no segundo trimestre</w:t>
      </w:r>
    </w:p>
    <w:p w:rsidR="00480255" w:rsidRDefault="00480255">
      <w:pPr>
        <w:pStyle w:val="Standard12pt"/>
        <w:rPr>
          <w:lang w:val="pt-BR"/>
        </w:rPr>
      </w:pPr>
    </w:p>
    <w:p w:rsidR="00AA2F6B" w:rsidRPr="008F07B0" w:rsidRDefault="00AA2F6B" w:rsidP="008F07B0">
      <w:pPr>
        <w:pStyle w:val="Standard12pt"/>
        <w:jc w:val="center"/>
        <w:rPr>
          <w:b/>
          <w:lang w:val="pt-BR"/>
        </w:rPr>
      </w:pPr>
      <w:r w:rsidRPr="008F07B0">
        <w:rPr>
          <w:b/>
          <w:lang w:val="pt-BR"/>
        </w:rPr>
        <w:t xml:space="preserve">Previsão para o ano </w:t>
      </w:r>
      <w:r w:rsidR="00764E7E">
        <w:rPr>
          <w:b/>
          <w:lang w:val="pt-BR"/>
        </w:rPr>
        <w:t xml:space="preserve">é </w:t>
      </w:r>
      <w:r w:rsidRPr="008F07B0">
        <w:rPr>
          <w:b/>
          <w:lang w:val="pt-BR"/>
        </w:rPr>
        <w:t>confirmada, apesar do ambiente desafiador</w:t>
      </w:r>
      <w:r w:rsidR="00764E7E">
        <w:rPr>
          <w:b/>
          <w:lang w:val="pt-BR"/>
        </w:rPr>
        <w:t>. Companhia</w:t>
      </w:r>
      <w:r w:rsidRPr="008F07B0">
        <w:rPr>
          <w:b/>
          <w:lang w:val="pt-BR"/>
        </w:rPr>
        <w:t xml:space="preserve"> apresentou crescimento de 13,5% nas vendas</w:t>
      </w:r>
    </w:p>
    <w:p w:rsidR="00AA2F6B" w:rsidRDefault="00AA2F6B">
      <w:pPr>
        <w:pStyle w:val="BodyText"/>
        <w:spacing w:after="0" w:line="360" w:lineRule="auto"/>
        <w:rPr>
          <w:b/>
          <w:sz w:val="24"/>
          <w:lang w:val="pt-BR"/>
        </w:rPr>
      </w:pPr>
    </w:p>
    <w:p w:rsidR="00480255" w:rsidRPr="008F07B0" w:rsidRDefault="00AA2F6B" w:rsidP="008F07B0">
      <w:pPr>
        <w:autoSpaceDE w:val="0"/>
        <w:spacing w:after="100" w:afterAutospacing="1" w:line="360" w:lineRule="auto"/>
        <w:jc w:val="both"/>
        <w:rPr>
          <w:rFonts w:cs="Arial"/>
          <w:b/>
          <w:sz w:val="22"/>
          <w:szCs w:val="22"/>
          <w:lang w:val="pt-BR"/>
        </w:rPr>
      </w:pPr>
      <w:bookmarkStart w:id="0" w:name="OLE_LINK4"/>
      <w:r w:rsidRPr="008F07B0">
        <w:rPr>
          <w:rFonts w:cs="Arial"/>
          <w:b/>
          <w:sz w:val="22"/>
          <w:szCs w:val="22"/>
          <w:lang w:val="pt-BR"/>
        </w:rPr>
        <w:t>Düsseldorf, 12 de agosto de 2015</w:t>
      </w:r>
      <w:r w:rsidR="00D72C37" w:rsidRPr="008F07B0">
        <w:rPr>
          <w:rFonts w:cs="Arial"/>
          <w:b/>
          <w:sz w:val="22"/>
          <w:szCs w:val="22"/>
          <w:lang w:val="pt-BR"/>
        </w:rPr>
        <w:t xml:space="preserve"> – “Em um mercado desafiador, a Henkel apresentou, no geral, um desempenho </w:t>
      </w:r>
      <w:r w:rsidR="00692247" w:rsidRPr="007B0E77">
        <w:rPr>
          <w:rFonts w:cs="Arial"/>
          <w:b/>
          <w:sz w:val="22"/>
          <w:szCs w:val="22"/>
          <w:lang w:val="pt-BR"/>
        </w:rPr>
        <w:t xml:space="preserve">sólido </w:t>
      </w:r>
      <w:r w:rsidR="00D72C37" w:rsidRPr="008F07B0">
        <w:rPr>
          <w:rFonts w:cs="Arial"/>
          <w:b/>
          <w:sz w:val="22"/>
          <w:szCs w:val="22"/>
          <w:lang w:val="pt-BR"/>
        </w:rPr>
        <w:t>no segundo trimestre. Mais uma vez, o</w:t>
      </w:r>
      <w:r w:rsidR="00D56702">
        <w:rPr>
          <w:rFonts w:cs="Arial"/>
          <w:b/>
          <w:sz w:val="22"/>
          <w:szCs w:val="22"/>
          <w:lang w:val="pt-BR"/>
        </w:rPr>
        <w:t>btivemos crescimento na casa de</w:t>
      </w:r>
      <w:r w:rsidR="00D72C37" w:rsidRPr="008F07B0">
        <w:rPr>
          <w:rFonts w:cs="Arial"/>
          <w:b/>
          <w:sz w:val="22"/>
          <w:szCs w:val="22"/>
          <w:lang w:val="pt-BR"/>
        </w:rPr>
        <w:t xml:space="preserve"> dois dígitos nas vendas e nos </w:t>
      </w:r>
      <w:r w:rsidR="00692247">
        <w:rPr>
          <w:rFonts w:cs="Arial"/>
          <w:b/>
          <w:sz w:val="22"/>
          <w:szCs w:val="22"/>
          <w:lang w:val="pt-BR"/>
        </w:rPr>
        <w:t>lucros</w:t>
      </w:r>
      <w:r w:rsidR="00D72C37" w:rsidRPr="008F07B0">
        <w:rPr>
          <w:rFonts w:cs="Arial"/>
          <w:b/>
          <w:sz w:val="22"/>
          <w:szCs w:val="22"/>
          <w:lang w:val="pt-BR"/>
        </w:rPr>
        <w:t xml:space="preserve">. As vendas orgânicas nos mercados emergentes foram fortes, contribuindo mais uma vez para o crescimento acima da média", disse o CEO da Henkel, </w:t>
      </w:r>
      <w:proofErr w:type="spellStart"/>
      <w:r w:rsidR="00D72C37" w:rsidRPr="008F07B0">
        <w:rPr>
          <w:rFonts w:cs="Arial"/>
          <w:b/>
          <w:sz w:val="22"/>
          <w:szCs w:val="22"/>
          <w:lang w:val="pt-BR"/>
        </w:rPr>
        <w:t>Kasper</w:t>
      </w:r>
      <w:proofErr w:type="spellEnd"/>
      <w:r w:rsidR="00D72C37" w:rsidRPr="008F07B0">
        <w:rPr>
          <w:rFonts w:cs="Arial"/>
          <w:b/>
          <w:sz w:val="22"/>
          <w:szCs w:val="22"/>
          <w:lang w:val="pt-BR"/>
        </w:rPr>
        <w:t xml:space="preserve"> </w:t>
      </w:r>
      <w:proofErr w:type="spellStart"/>
      <w:r w:rsidR="00D72C37" w:rsidRPr="008F07B0">
        <w:rPr>
          <w:rFonts w:cs="Arial"/>
          <w:b/>
          <w:sz w:val="22"/>
          <w:szCs w:val="22"/>
          <w:lang w:val="pt-BR"/>
        </w:rPr>
        <w:t>R</w:t>
      </w:r>
      <w:r w:rsidR="008F07B0">
        <w:rPr>
          <w:rFonts w:cs="Arial"/>
          <w:b/>
          <w:sz w:val="22"/>
          <w:szCs w:val="22"/>
          <w:lang w:val="pt-BR"/>
        </w:rPr>
        <w:t>o</w:t>
      </w:r>
      <w:r w:rsidR="00D72C37" w:rsidRPr="008F07B0">
        <w:rPr>
          <w:rFonts w:cs="Arial"/>
          <w:b/>
          <w:sz w:val="22"/>
          <w:szCs w:val="22"/>
          <w:lang w:val="pt-BR"/>
        </w:rPr>
        <w:t>rsted</w:t>
      </w:r>
      <w:proofErr w:type="spellEnd"/>
      <w:r w:rsidR="00D72C37" w:rsidRPr="008F07B0">
        <w:rPr>
          <w:rFonts w:cs="Arial"/>
          <w:b/>
          <w:sz w:val="22"/>
          <w:szCs w:val="22"/>
          <w:lang w:val="pt-BR"/>
        </w:rPr>
        <w:t>.</w:t>
      </w:r>
    </w:p>
    <w:p w:rsidR="00E15CA8" w:rsidRPr="009A5ADA" w:rsidRDefault="00E15CA8" w:rsidP="008F07B0">
      <w:pPr>
        <w:spacing w:after="100" w:afterAutospacing="1" w:line="360" w:lineRule="auto"/>
        <w:jc w:val="both"/>
        <w:rPr>
          <w:rFonts w:cs="Arial"/>
          <w:sz w:val="22"/>
          <w:szCs w:val="22"/>
        </w:rPr>
      </w:pPr>
      <w:r w:rsidRPr="009A5ADA">
        <w:rPr>
          <w:rFonts w:cs="Arial"/>
          <w:sz w:val="22"/>
          <w:szCs w:val="22"/>
          <w:lang w:val="pt-BR"/>
        </w:rPr>
        <w:t>No segundo trimestre de 2015</w:t>
      </w:r>
      <w:r w:rsidRPr="00D72C37">
        <w:rPr>
          <w:rFonts w:cs="Arial"/>
          <w:sz w:val="22"/>
          <w:szCs w:val="22"/>
          <w:lang w:val="pt-BR"/>
        </w:rPr>
        <w:t xml:space="preserve">, </w:t>
      </w:r>
      <w:r w:rsidRPr="008F07B0">
        <w:rPr>
          <w:rFonts w:cs="Arial"/>
          <w:sz w:val="22"/>
          <w:szCs w:val="22"/>
          <w:lang w:val="pt-BR"/>
        </w:rPr>
        <w:t>as vendas da Henkel</w:t>
      </w:r>
      <w:r w:rsidRPr="009A5ADA">
        <w:rPr>
          <w:rFonts w:cs="Arial"/>
          <w:sz w:val="22"/>
          <w:szCs w:val="22"/>
          <w:lang w:val="pt-BR"/>
        </w:rPr>
        <w:t xml:space="preserve"> mais uma vez aumentaram</w:t>
      </w:r>
      <w:r>
        <w:rPr>
          <w:rFonts w:cs="Arial"/>
          <w:sz w:val="22"/>
          <w:szCs w:val="22"/>
          <w:lang w:val="pt-BR"/>
        </w:rPr>
        <w:t xml:space="preserve"> na casa dos dois dígitos, registrando um crescimento</w:t>
      </w:r>
      <w:r w:rsidRPr="009A5ADA">
        <w:rPr>
          <w:rFonts w:cs="Arial"/>
          <w:sz w:val="22"/>
          <w:szCs w:val="22"/>
          <w:lang w:val="pt-BR"/>
        </w:rPr>
        <w:t xml:space="preserve"> 13,5 %</w:t>
      </w:r>
      <w:r>
        <w:rPr>
          <w:rFonts w:cs="Arial"/>
          <w:sz w:val="22"/>
          <w:szCs w:val="22"/>
          <w:lang w:val="pt-BR"/>
        </w:rPr>
        <w:t xml:space="preserve">, atingindo a marca de </w:t>
      </w:r>
      <w:r w:rsidRPr="009A5ADA">
        <w:rPr>
          <w:rFonts w:cs="Arial"/>
          <w:sz w:val="22"/>
          <w:szCs w:val="22"/>
          <w:lang w:val="pt-BR"/>
        </w:rPr>
        <w:t>4.695 milhões</w:t>
      </w:r>
      <w:r>
        <w:rPr>
          <w:rFonts w:cs="Arial"/>
          <w:sz w:val="22"/>
          <w:szCs w:val="22"/>
          <w:lang w:val="pt-BR"/>
        </w:rPr>
        <w:t xml:space="preserve"> de euros</w:t>
      </w:r>
      <w:r w:rsidRPr="009A5ADA">
        <w:rPr>
          <w:rFonts w:cs="Arial"/>
          <w:sz w:val="22"/>
          <w:szCs w:val="22"/>
          <w:lang w:val="pt-BR"/>
        </w:rPr>
        <w:t xml:space="preserve">. </w:t>
      </w:r>
      <w:r w:rsidR="00692247">
        <w:rPr>
          <w:rFonts w:cs="Arial"/>
          <w:sz w:val="22"/>
          <w:szCs w:val="22"/>
          <w:lang w:val="pt-BR"/>
        </w:rPr>
        <w:t xml:space="preserve">Considerando </w:t>
      </w:r>
      <w:r w:rsidRPr="009A5ADA">
        <w:rPr>
          <w:rFonts w:cs="Arial"/>
          <w:sz w:val="22"/>
          <w:szCs w:val="22"/>
          <w:lang w:val="pt-BR"/>
        </w:rPr>
        <w:t>os efeitos positivos do câmbio de 7,3%,</w:t>
      </w:r>
      <w:r w:rsidR="00692247">
        <w:rPr>
          <w:rFonts w:cs="Arial"/>
          <w:sz w:val="22"/>
          <w:szCs w:val="22"/>
          <w:lang w:val="pt-BR"/>
        </w:rPr>
        <w:t xml:space="preserve"> as vendas cresceram 6,2%. Organicamente – ou seja, considerando ajustes de câmbio e aquisições/desinvestimentos – as venda</w:t>
      </w:r>
      <w:r w:rsidR="0003360E">
        <w:rPr>
          <w:rFonts w:cs="Arial"/>
          <w:sz w:val="22"/>
          <w:szCs w:val="22"/>
          <w:lang w:val="pt-BR"/>
        </w:rPr>
        <w:t>s</w:t>
      </w:r>
      <w:r w:rsidR="00692247">
        <w:rPr>
          <w:rFonts w:cs="Arial"/>
          <w:sz w:val="22"/>
          <w:szCs w:val="22"/>
          <w:lang w:val="pt-BR"/>
        </w:rPr>
        <w:t xml:space="preserve"> cresceram 2,4%. </w:t>
      </w:r>
      <w:r w:rsidRPr="008F07B0">
        <w:rPr>
          <w:rFonts w:cs="Arial"/>
          <w:sz w:val="22"/>
          <w:szCs w:val="22"/>
          <w:lang w:val="pt-BR"/>
        </w:rPr>
        <w:t>"Esperamos</w:t>
      </w:r>
      <w:r w:rsidRPr="00764E7E">
        <w:rPr>
          <w:rFonts w:cs="Arial"/>
          <w:sz w:val="22"/>
          <w:szCs w:val="22"/>
          <w:lang w:val="pt-BR"/>
        </w:rPr>
        <w:t xml:space="preserve"> conseguir </w:t>
      </w:r>
      <w:r w:rsidRPr="008F07B0">
        <w:rPr>
          <w:rFonts w:cs="Arial"/>
          <w:sz w:val="22"/>
          <w:szCs w:val="22"/>
          <w:lang w:val="pt-BR"/>
        </w:rPr>
        <w:t>crescimento orgânico das vendas de 3 a 5% em 2015. Esperamos um</w:t>
      </w:r>
      <w:r w:rsidR="00D56702">
        <w:rPr>
          <w:rFonts w:cs="Arial"/>
          <w:sz w:val="22"/>
          <w:szCs w:val="22"/>
          <w:lang w:val="pt-BR"/>
        </w:rPr>
        <w:t xml:space="preserve"> aumento do</w:t>
      </w:r>
      <w:r w:rsidRPr="008F07B0">
        <w:rPr>
          <w:rFonts w:cs="Arial"/>
          <w:sz w:val="22"/>
          <w:szCs w:val="22"/>
          <w:lang w:val="pt-BR"/>
        </w:rPr>
        <w:t xml:space="preserve"> retorno sobre vendas ajustado de aproximadamente 16% e antecipamos um aumento nos </w:t>
      </w:r>
      <w:r w:rsidR="00692247">
        <w:rPr>
          <w:rFonts w:cs="Arial"/>
          <w:sz w:val="22"/>
          <w:szCs w:val="22"/>
          <w:lang w:val="pt-BR"/>
        </w:rPr>
        <w:t xml:space="preserve">lucros </w:t>
      </w:r>
      <w:r w:rsidRPr="008F07B0">
        <w:rPr>
          <w:rFonts w:cs="Arial"/>
          <w:sz w:val="22"/>
          <w:szCs w:val="22"/>
          <w:lang w:val="pt-BR"/>
        </w:rPr>
        <w:t xml:space="preserve">por ação preferencial de cerca de 10%", comenta </w:t>
      </w:r>
      <w:proofErr w:type="spellStart"/>
      <w:r w:rsidRPr="008F07B0">
        <w:rPr>
          <w:rFonts w:cs="Arial"/>
          <w:sz w:val="22"/>
          <w:szCs w:val="22"/>
          <w:lang w:val="pt-BR"/>
        </w:rPr>
        <w:t>R</w:t>
      </w:r>
      <w:r w:rsidR="008F07B0">
        <w:rPr>
          <w:rFonts w:cs="Arial"/>
          <w:sz w:val="22"/>
          <w:szCs w:val="22"/>
          <w:lang w:val="pt-BR"/>
        </w:rPr>
        <w:t>o</w:t>
      </w:r>
      <w:r w:rsidRPr="008F07B0">
        <w:rPr>
          <w:rFonts w:cs="Arial"/>
          <w:sz w:val="22"/>
          <w:szCs w:val="22"/>
          <w:lang w:val="pt-BR"/>
        </w:rPr>
        <w:t>rsted</w:t>
      </w:r>
      <w:proofErr w:type="spellEnd"/>
      <w:r w:rsidRPr="008F07B0">
        <w:rPr>
          <w:rFonts w:cs="Arial"/>
          <w:sz w:val="22"/>
          <w:szCs w:val="22"/>
          <w:lang w:val="pt-BR"/>
        </w:rPr>
        <w:t>.</w:t>
      </w:r>
    </w:p>
    <w:p w:rsidR="00E15CA8" w:rsidRDefault="00E15CA8" w:rsidP="008F07B0">
      <w:pPr>
        <w:spacing w:after="100" w:afterAutospacing="1" w:line="360" w:lineRule="auto"/>
        <w:jc w:val="both"/>
        <w:rPr>
          <w:rFonts w:cs="Arial"/>
          <w:sz w:val="22"/>
          <w:szCs w:val="22"/>
          <w:lang w:val="pt-BR"/>
        </w:rPr>
      </w:pPr>
      <w:r>
        <w:rPr>
          <w:rFonts w:cs="Arial"/>
          <w:sz w:val="22"/>
          <w:szCs w:val="22"/>
          <w:lang w:val="pt-BR"/>
        </w:rPr>
        <w:t xml:space="preserve">O </w:t>
      </w:r>
      <w:r w:rsidRPr="008F07B0">
        <w:rPr>
          <w:rFonts w:cs="Arial"/>
          <w:bCs/>
          <w:sz w:val="22"/>
          <w:szCs w:val="22"/>
          <w:lang w:val="pt-BR"/>
        </w:rPr>
        <w:t>lucro operacional ajustado</w:t>
      </w:r>
      <w:r w:rsidRPr="009A5ADA">
        <w:rPr>
          <w:rFonts w:cs="Arial"/>
          <w:sz w:val="22"/>
          <w:szCs w:val="22"/>
          <w:lang w:val="pt-BR"/>
        </w:rPr>
        <w:t xml:space="preserve"> </w:t>
      </w:r>
      <w:r>
        <w:rPr>
          <w:rFonts w:cs="Arial"/>
          <w:sz w:val="22"/>
          <w:szCs w:val="22"/>
          <w:lang w:val="pt-BR"/>
        </w:rPr>
        <w:t xml:space="preserve">da empresa </w:t>
      </w:r>
      <w:r w:rsidRPr="009A5ADA">
        <w:rPr>
          <w:rFonts w:cs="Arial"/>
          <w:sz w:val="22"/>
          <w:szCs w:val="22"/>
          <w:lang w:val="pt-BR"/>
        </w:rPr>
        <w:t xml:space="preserve">aumentou em 14,0%, </w:t>
      </w:r>
      <w:r>
        <w:rPr>
          <w:rFonts w:cs="Arial"/>
          <w:sz w:val="22"/>
          <w:szCs w:val="22"/>
          <w:lang w:val="pt-BR"/>
        </w:rPr>
        <w:t xml:space="preserve">passando </w:t>
      </w:r>
      <w:r w:rsidRPr="009A5ADA">
        <w:rPr>
          <w:rFonts w:cs="Arial"/>
          <w:sz w:val="22"/>
          <w:szCs w:val="22"/>
          <w:lang w:val="pt-BR"/>
        </w:rPr>
        <w:t>de € 674 milhões para</w:t>
      </w:r>
      <w:r>
        <w:rPr>
          <w:rFonts w:cs="Arial"/>
          <w:sz w:val="22"/>
          <w:szCs w:val="22"/>
          <w:lang w:val="pt-BR"/>
        </w:rPr>
        <w:t xml:space="preserve"> € 768 milhões e o</w:t>
      </w:r>
      <w:r w:rsidRPr="009A5ADA">
        <w:rPr>
          <w:rFonts w:cs="Arial"/>
          <w:sz w:val="22"/>
          <w:szCs w:val="22"/>
          <w:lang w:val="pt-BR"/>
        </w:rPr>
        <w:t xml:space="preserve"> lucro operacional reportado (EBIT) cresceu 21,4%, de € 589 milhões para € 715 milhões.  </w:t>
      </w:r>
    </w:p>
    <w:p w:rsidR="006951B2" w:rsidRDefault="00E15CA8" w:rsidP="008F07B0">
      <w:pPr>
        <w:spacing w:after="100" w:afterAutospacing="1" w:line="360" w:lineRule="auto"/>
        <w:jc w:val="both"/>
        <w:rPr>
          <w:rFonts w:cs="Arial"/>
          <w:sz w:val="22"/>
          <w:szCs w:val="22"/>
          <w:lang w:val="pt-BR"/>
        </w:rPr>
      </w:pPr>
      <w:r w:rsidRPr="008F07B0">
        <w:rPr>
          <w:rFonts w:cs="Arial"/>
          <w:sz w:val="22"/>
          <w:szCs w:val="22"/>
          <w:lang w:val="pt-BR"/>
        </w:rPr>
        <w:t>O retorno ajustado sobre as vendas</w:t>
      </w:r>
      <w:r w:rsidRPr="009A5ADA">
        <w:rPr>
          <w:rFonts w:cs="Arial"/>
          <w:b/>
          <w:sz w:val="22"/>
          <w:szCs w:val="22"/>
          <w:lang w:val="pt-BR"/>
        </w:rPr>
        <w:t xml:space="preserve"> </w:t>
      </w:r>
      <w:r w:rsidRPr="009A5ADA">
        <w:rPr>
          <w:rFonts w:cs="Arial"/>
          <w:sz w:val="22"/>
          <w:szCs w:val="22"/>
          <w:lang w:val="pt-BR"/>
        </w:rPr>
        <w:t xml:space="preserve">cresceu 0,1 pontos percentuais </w:t>
      </w:r>
      <w:r w:rsidR="006951B2">
        <w:rPr>
          <w:rFonts w:cs="Arial"/>
          <w:sz w:val="22"/>
          <w:szCs w:val="22"/>
          <w:lang w:val="pt-BR"/>
        </w:rPr>
        <w:t xml:space="preserve">passando </w:t>
      </w:r>
      <w:r w:rsidRPr="009A5ADA">
        <w:rPr>
          <w:rFonts w:cs="Arial"/>
          <w:sz w:val="22"/>
          <w:szCs w:val="22"/>
          <w:lang w:val="pt-BR"/>
        </w:rPr>
        <w:t xml:space="preserve">para 16,4%.  O retorno reportado sobre as vendas </w:t>
      </w:r>
      <w:r w:rsidR="006951B2">
        <w:rPr>
          <w:rFonts w:cs="Arial"/>
          <w:sz w:val="22"/>
          <w:szCs w:val="22"/>
          <w:lang w:val="pt-BR"/>
        </w:rPr>
        <w:t>obteve um crescimento de</w:t>
      </w:r>
      <w:r w:rsidRPr="009A5ADA">
        <w:rPr>
          <w:rFonts w:cs="Arial"/>
          <w:sz w:val="22"/>
          <w:szCs w:val="22"/>
          <w:lang w:val="pt-BR"/>
        </w:rPr>
        <w:t xml:space="preserve"> 1,0 ponto percentual, </w:t>
      </w:r>
      <w:r w:rsidR="006951B2">
        <w:rPr>
          <w:rFonts w:cs="Arial"/>
          <w:sz w:val="22"/>
          <w:szCs w:val="22"/>
          <w:lang w:val="pt-BR"/>
        </w:rPr>
        <w:t>subindo de</w:t>
      </w:r>
      <w:r w:rsidRPr="009A5ADA">
        <w:rPr>
          <w:rFonts w:cs="Arial"/>
          <w:sz w:val="22"/>
          <w:szCs w:val="22"/>
          <w:lang w:val="pt-BR"/>
        </w:rPr>
        <w:t xml:space="preserve"> 1</w:t>
      </w:r>
      <w:r w:rsidR="006951B2">
        <w:rPr>
          <w:rFonts w:cs="Arial"/>
          <w:sz w:val="22"/>
          <w:szCs w:val="22"/>
          <w:lang w:val="pt-BR"/>
        </w:rPr>
        <w:t>4,2% para 15,2%.</w:t>
      </w:r>
    </w:p>
    <w:p w:rsidR="006951B2" w:rsidRDefault="006951B2" w:rsidP="008F07B0">
      <w:pPr>
        <w:spacing w:after="100" w:afterAutospacing="1" w:line="360" w:lineRule="auto"/>
        <w:jc w:val="both"/>
        <w:rPr>
          <w:rFonts w:cs="Arial"/>
          <w:color w:val="000000"/>
          <w:sz w:val="22"/>
          <w:szCs w:val="22"/>
          <w:lang w:val="pt-BR"/>
        </w:rPr>
      </w:pPr>
      <w:r w:rsidRPr="00D72C37">
        <w:rPr>
          <w:rFonts w:cs="Arial"/>
          <w:sz w:val="22"/>
          <w:szCs w:val="22"/>
        </w:rPr>
        <w:t xml:space="preserve">Os </w:t>
      </w:r>
      <w:r w:rsidR="00692247">
        <w:rPr>
          <w:rFonts w:cs="Arial"/>
          <w:color w:val="000000"/>
          <w:sz w:val="22"/>
          <w:szCs w:val="22"/>
          <w:lang w:val="pt-BR"/>
        </w:rPr>
        <w:t>lucros</w:t>
      </w:r>
      <w:r w:rsidRPr="008F07B0">
        <w:rPr>
          <w:rFonts w:cs="Arial"/>
          <w:color w:val="000000"/>
          <w:sz w:val="22"/>
          <w:szCs w:val="22"/>
          <w:lang w:val="pt-BR"/>
        </w:rPr>
        <w:t xml:space="preserve"> ajustados por ação preferencial</w:t>
      </w:r>
      <w:r w:rsidRPr="009A5ADA">
        <w:rPr>
          <w:rFonts w:cs="Arial"/>
          <w:b/>
          <w:color w:val="000000"/>
          <w:sz w:val="22"/>
          <w:szCs w:val="22"/>
          <w:lang w:val="pt-BR"/>
        </w:rPr>
        <w:t xml:space="preserve"> </w:t>
      </w:r>
      <w:r w:rsidRPr="009A5ADA">
        <w:rPr>
          <w:rFonts w:cs="Arial"/>
          <w:color w:val="000000"/>
          <w:sz w:val="22"/>
          <w:szCs w:val="22"/>
          <w:lang w:val="pt-BR"/>
        </w:rPr>
        <w:t>(EPS) subiram 11,2%, de € 1,16 para € 1,29. O EPS reportado subiu de € 1,02 para € 1,20.</w:t>
      </w:r>
    </w:p>
    <w:p w:rsidR="00E15CA8" w:rsidRDefault="00E15CA8" w:rsidP="008F07B0">
      <w:pPr>
        <w:spacing w:after="100" w:afterAutospacing="1" w:line="360" w:lineRule="auto"/>
        <w:jc w:val="both"/>
        <w:rPr>
          <w:rFonts w:cs="Arial"/>
          <w:color w:val="000000"/>
          <w:sz w:val="22"/>
          <w:szCs w:val="22"/>
          <w:lang w:val="pt-BR"/>
        </w:rPr>
      </w:pPr>
      <w:r w:rsidRPr="00D72C37">
        <w:rPr>
          <w:rFonts w:cs="Arial"/>
          <w:sz w:val="22"/>
          <w:szCs w:val="22"/>
          <w:lang w:val="pt-BR"/>
        </w:rPr>
        <w:lastRenderedPageBreak/>
        <w:t xml:space="preserve">O </w:t>
      </w:r>
      <w:r w:rsidRPr="008F07B0">
        <w:rPr>
          <w:rFonts w:cs="Arial"/>
          <w:bCs/>
          <w:sz w:val="22"/>
          <w:szCs w:val="22"/>
          <w:lang w:val="pt-BR"/>
        </w:rPr>
        <w:t>resultado financeiro</w:t>
      </w:r>
      <w:r w:rsidRPr="009A5ADA">
        <w:rPr>
          <w:rFonts w:cs="Arial"/>
          <w:sz w:val="22"/>
          <w:szCs w:val="22"/>
          <w:lang w:val="pt-BR"/>
        </w:rPr>
        <w:t xml:space="preserve"> da Henkel de -11</w:t>
      </w:r>
      <w:r w:rsidR="009A7D74">
        <w:rPr>
          <w:rFonts w:cs="Arial"/>
          <w:sz w:val="22"/>
          <w:szCs w:val="22"/>
          <w:lang w:val="pt-BR"/>
        </w:rPr>
        <w:t xml:space="preserve"> </w:t>
      </w:r>
      <w:r w:rsidRPr="009A5ADA">
        <w:rPr>
          <w:rFonts w:cs="Arial"/>
          <w:sz w:val="22"/>
          <w:szCs w:val="22"/>
          <w:lang w:val="pt-BR"/>
        </w:rPr>
        <w:t>milhões</w:t>
      </w:r>
      <w:r w:rsidR="0003360E">
        <w:rPr>
          <w:rFonts w:cs="Arial"/>
          <w:sz w:val="22"/>
          <w:szCs w:val="22"/>
          <w:lang w:val="pt-BR"/>
        </w:rPr>
        <w:t xml:space="preserve"> de e</w:t>
      </w:r>
      <w:r w:rsidR="00692247">
        <w:rPr>
          <w:rFonts w:cs="Arial"/>
          <w:sz w:val="22"/>
          <w:szCs w:val="22"/>
          <w:lang w:val="pt-BR"/>
        </w:rPr>
        <w:t>uros</w:t>
      </w:r>
      <w:r w:rsidRPr="009A5ADA">
        <w:rPr>
          <w:rFonts w:cs="Arial"/>
          <w:sz w:val="22"/>
          <w:szCs w:val="22"/>
          <w:lang w:val="pt-BR"/>
        </w:rPr>
        <w:t xml:space="preserve"> </w:t>
      </w:r>
      <w:r w:rsidR="006951B2">
        <w:rPr>
          <w:rFonts w:cs="Arial"/>
          <w:sz w:val="22"/>
          <w:szCs w:val="22"/>
          <w:lang w:val="pt-BR"/>
        </w:rPr>
        <w:t xml:space="preserve">se manteve no </w:t>
      </w:r>
      <w:r w:rsidRPr="009A5ADA">
        <w:rPr>
          <w:rFonts w:cs="Arial"/>
          <w:sz w:val="22"/>
          <w:szCs w:val="22"/>
          <w:lang w:val="pt-BR"/>
        </w:rPr>
        <w:t>nível do mes</w:t>
      </w:r>
      <w:r w:rsidR="006951B2">
        <w:rPr>
          <w:rFonts w:cs="Arial"/>
          <w:sz w:val="22"/>
          <w:szCs w:val="22"/>
          <w:lang w:val="pt-BR"/>
        </w:rPr>
        <w:t xml:space="preserve">mo trimestre do ano anterior. </w:t>
      </w:r>
      <w:r w:rsidR="006951B2">
        <w:rPr>
          <w:rFonts w:cs="Arial"/>
          <w:color w:val="000000"/>
          <w:sz w:val="22"/>
          <w:szCs w:val="22"/>
          <w:lang w:val="pt-BR"/>
        </w:rPr>
        <w:t xml:space="preserve">A taxa de impostos somou 24,6%, </w:t>
      </w:r>
      <w:r w:rsidR="00D56702">
        <w:rPr>
          <w:rFonts w:cs="Arial"/>
          <w:color w:val="000000"/>
          <w:sz w:val="22"/>
          <w:szCs w:val="22"/>
          <w:lang w:val="pt-BR"/>
        </w:rPr>
        <w:t xml:space="preserve">(valor no mesmo trimestre do ano anterior: 22,8%). </w:t>
      </w:r>
    </w:p>
    <w:p w:rsidR="00B5586B" w:rsidRDefault="006951B2" w:rsidP="008F07B0">
      <w:pPr>
        <w:autoSpaceDE w:val="0"/>
        <w:spacing w:after="100" w:afterAutospacing="1" w:line="360" w:lineRule="auto"/>
        <w:jc w:val="both"/>
        <w:rPr>
          <w:rFonts w:cs="Arial"/>
          <w:color w:val="000000"/>
          <w:sz w:val="22"/>
          <w:szCs w:val="22"/>
          <w:lang w:val="pt-BR"/>
        </w:rPr>
      </w:pPr>
      <w:r w:rsidRPr="009A5ADA">
        <w:rPr>
          <w:rFonts w:cs="Arial"/>
          <w:sz w:val="22"/>
          <w:szCs w:val="22"/>
        </w:rPr>
        <w:t xml:space="preserve">O </w:t>
      </w:r>
      <w:r w:rsidRPr="008F07B0">
        <w:rPr>
          <w:rFonts w:cs="Arial"/>
          <w:sz w:val="22"/>
          <w:szCs w:val="22"/>
          <w:lang w:val="pt-BR"/>
        </w:rPr>
        <w:t xml:space="preserve">capital </w:t>
      </w:r>
      <w:r w:rsidR="009A7D74">
        <w:rPr>
          <w:rFonts w:cs="Arial"/>
          <w:sz w:val="22"/>
          <w:szCs w:val="22"/>
          <w:lang w:val="pt-BR"/>
        </w:rPr>
        <w:t xml:space="preserve">de giro </w:t>
      </w:r>
      <w:r w:rsidRPr="009A5ADA">
        <w:rPr>
          <w:rFonts w:cs="Arial"/>
          <w:sz w:val="22"/>
          <w:szCs w:val="22"/>
          <w:lang w:val="pt-BR"/>
        </w:rPr>
        <w:t>relativo às vendas subiu 0,6 pontos percentuais de ano para ano,</w:t>
      </w:r>
      <w:r w:rsidR="00B5586B">
        <w:rPr>
          <w:rFonts w:cs="Arial"/>
          <w:sz w:val="22"/>
          <w:szCs w:val="22"/>
          <w:lang w:val="pt-BR"/>
        </w:rPr>
        <w:t xml:space="preserve"> chegando aos</w:t>
      </w:r>
      <w:r w:rsidRPr="009A5ADA">
        <w:rPr>
          <w:rFonts w:cs="Arial"/>
          <w:sz w:val="22"/>
          <w:szCs w:val="22"/>
          <w:lang w:val="pt-BR"/>
        </w:rPr>
        <w:t xml:space="preserve"> 6,6%.</w:t>
      </w:r>
      <w:r w:rsidRPr="009A5ADA">
        <w:rPr>
          <w:rFonts w:cs="Arial"/>
          <w:color w:val="000000"/>
          <w:sz w:val="22"/>
          <w:szCs w:val="22"/>
          <w:lang w:val="pt-BR"/>
        </w:rPr>
        <w:t xml:space="preserve"> Tal aumento deve-se principalmente às aquisições </w:t>
      </w:r>
      <w:r w:rsidR="00B5586B">
        <w:rPr>
          <w:rFonts w:cs="Arial"/>
          <w:color w:val="000000"/>
          <w:sz w:val="22"/>
          <w:szCs w:val="22"/>
          <w:lang w:val="pt-BR"/>
        </w:rPr>
        <w:t xml:space="preserve">da empresa </w:t>
      </w:r>
      <w:r w:rsidRPr="009A5ADA">
        <w:rPr>
          <w:rFonts w:cs="Arial"/>
          <w:color w:val="000000"/>
          <w:sz w:val="22"/>
          <w:szCs w:val="22"/>
          <w:lang w:val="pt-BR"/>
        </w:rPr>
        <w:t>e aos efeitos do câmbio.</w:t>
      </w:r>
    </w:p>
    <w:p w:rsidR="00E15CA8" w:rsidRDefault="00E15CA8" w:rsidP="008F07B0">
      <w:pPr>
        <w:autoSpaceDE w:val="0"/>
        <w:spacing w:after="120" w:line="360" w:lineRule="auto"/>
        <w:jc w:val="both"/>
        <w:rPr>
          <w:rStyle w:val="Fontepargpadro"/>
          <w:rFonts w:cs="Arial"/>
          <w:color w:val="000000"/>
          <w:sz w:val="22"/>
          <w:szCs w:val="22"/>
          <w:lang w:val="pt-BR"/>
        </w:rPr>
      </w:pPr>
      <w:r w:rsidRPr="008F07B0">
        <w:rPr>
          <w:rFonts w:cs="Arial"/>
          <w:sz w:val="22"/>
          <w:szCs w:val="22"/>
          <w:lang w:val="pt-BR"/>
        </w:rPr>
        <w:t xml:space="preserve">O lucro líquido ajustado </w:t>
      </w:r>
      <w:r w:rsidR="00B5586B">
        <w:rPr>
          <w:rFonts w:cs="Arial"/>
          <w:sz w:val="22"/>
          <w:szCs w:val="22"/>
          <w:lang w:val="pt-BR"/>
        </w:rPr>
        <w:t xml:space="preserve">da Henkel </w:t>
      </w:r>
      <w:r w:rsidRPr="008F07B0">
        <w:rPr>
          <w:rFonts w:cs="Arial"/>
          <w:sz w:val="22"/>
          <w:szCs w:val="22"/>
          <w:lang w:val="pt-BR"/>
        </w:rPr>
        <w:t>para o trimestre,</w:t>
      </w:r>
      <w:r w:rsidRPr="009A5ADA">
        <w:rPr>
          <w:rFonts w:cs="Arial"/>
          <w:sz w:val="22"/>
          <w:szCs w:val="22"/>
          <w:lang w:val="pt-BR"/>
        </w:rPr>
        <w:t xml:space="preserve"> após dedução dos juros não controlados, subiu 11,8%, </w:t>
      </w:r>
      <w:r w:rsidR="00B5586B">
        <w:rPr>
          <w:rFonts w:cs="Arial"/>
          <w:sz w:val="22"/>
          <w:szCs w:val="22"/>
          <w:lang w:val="pt-BR"/>
        </w:rPr>
        <w:t xml:space="preserve">passando </w:t>
      </w:r>
      <w:r w:rsidRPr="009A5ADA">
        <w:rPr>
          <w:rFonts w:cs="Arial"/>
          <w:sz w:val="22"/>
          <w:szCs w:val="22"/>
          <w:lang w:val="pt-BR"/>
        </w:rPr>
        <w:t>de € 49</w:t>
      </w:r>
      <w:r w:rsidR="009A7D74">
        <w:rPr>
          <w:rFonts w:cs="Arial"/>
          <w:sz w:val="22"/>
          <w:szCs w:val="22"/>
          <w:lang w:val="pt-BR"/>
        </w:rPr>
        <w:t xml:space="preserve">9 milhões para € 558 milhões. </w:t>
      </w:r>
      <w:r w:rsidRPr="009A5ADA">
        <w:rPr>
          <w:rFonts w:cs="Arial"/>
          <w:color w:val="000000"/>
          <w:sz w:val="22"/>
          <w:szCs w:val="22"/>
          <w:lang w:val="pt-BR"/>
        </w:rPr>
        <w:t xml:space="preserve">O lucro líquido reportado para o trimestre </w:t>
      </w:r>
      <w:r w:rsidR="00B5586B">
        <w:rPr>
          <w:rFonts w:cs="Arial"/>
          <w:color w:val="000000"/>
          <w:sz w:val="22"/>
          <w:szCs w:val="22"/>
          <w:lang w:val="pt-BR"/>
        </w:rPr>
        <w:t>cresceu</w:t>
      </w:r>
      <w:r w:rsidRPr="009A5ADA">
        <w:rPr>
          <w:rFonts w:cs="Arial"/>
          <w:color w:val="000000"/>
          <w:sz w:val="22"/>
          <w:szCs w:val="22"/>
          <w:lang w:val="pt-BR"/>
        </w:rPr>
        <w:t xml:space="preserve"> 19,1%, de € 446 milhões para € 531 milhões. Após dedução de € 10 milhões, atribuíveis a</w:t>
      </w:r>
      <w:r w:rsidR="009A7D74">
        <w:rPr>
          <w:rFonts w:cs="Arial"/>
          <w:color w:val="000000"/>
          <w:sz w:val="22"/>
          <w:szCs w:val="22"/>
          <w:lang w:val="pt-BR"/>
        </w:rPr>
        <w:t>os</w:t>
      </w:r>
      <w:r w:rsidRPr="009A5ADA">
        <w:rPr>
          <w:rFonts w:cs="Arial"/>
          <w:color w:val="000000"/>
          <w:sz w:val="22"/>
          <w:szCs w:val="22"/>
          <w:lang w:val="pt-BR"/>
        </w:rPr>
        <w:t xml:space="preserve"> lucros não controlados, o lucro líquido trime</w:t>
      </w:r>
      <w:r w:rsidR="00D56702">
        <w:rPr>
          <w:rFonts w:cs="Arial"/>
          <w:color w:val="000000"/>
          <w:sz w:val="22"/>
          <w:szCs w:val="22"/>
          <w:lang w:val="pt-BR"/>
        </w:rPr>
        <w:t>stral subiu para € 521 milhões</w:t>
      </w:r>
      <w:r w:rsidR="00D56702" w:rsidRPr="00D56702">
        <w:rPr>
          <w:rFonts w:cs="Arial"/>
          <w:color w:val="000000"/>
          <w:sz w:val="22"/>
          <w:szCs w:val="22"/>
          <w:lang w:val="pt-BR"/>
        </w:rPr>
        <w:t xml:space="preserve"> </w:t>
      </w:r>
      <w:r w:rsidR="00D56702" w:rsidRPr="00D56702">
        <w:rPr>
          <w:rStyle w:val="Fontepargpadro"/>
          <w:rFonts w:cs="Arial"/>
          <w:color w:val="000000"/>
          <w:sz w:val="22"/>
          <w:szCs w:val="22"/>
          <w:lang w:val="pt-BR"/>
        </w:rPr>
        <w:t>(valor no mesmo trimestre do ano anterior: € 441 milhões).</w:t>
      </w:r>
    </w:p>
    <w:p w:rsidR="00D56702" w:rsidRDefault="00D56702" w:rsidP="00B5586B">
      <w:pPr>
        <w:autoSpaceDE w:val="0"/>
        <w:spacing w:after="120" w:line="360" w:lineRule="auto"/>
        <w:jc w:val="both"/>
        <w:rPr>
          <w:rFonts w:cs="Arial"/>
          <w:b/>
          <w:sz w:val="22"/>
          <w:szCs w:val="22"/>
          <w:lang w:val="pt-BR"/>
        </w:rPr>
      </w:pPr>
    </w:p>
    <w:p w:rsidR="00B5586B" w:rsidRDefault="00B5586B" w:rsidP="00B5586B">
      <w:pPr>
        <w:autoSpaceDE w:val="0"/>
        <w:spacing w:after="120" w:line="360" w:lineRule="auto"/>
        <w:jc w:val="both"/>
        <w:rPr>
          <w:rFonts w:cs="Arial"/>
          <w:b/>
          <w:sz w:val="22"/>
          <w:szCs w:val="22"/>
          <w:lang w:val="pt-BR"/>
        </w:rPr>
      </w:pPr>
      <w:r w:rsidRPr="009A5ADA">
        <w:rPr>
          <w:rFonts w:cs="Arial"/>
          <w:b/>
          <w:sz w:val="22"/>
          <w:szCs w:val="22"/>
          <w:lang w:val="pt-BR"/>
        </w:rPr>
        <w:t>Bom desempenho comercial na primeira metade de 2015</w:t>
      </w:r>
    </w:p>
    <w:p w:rsidR="00B5586B" w:rsidRPr="008F07B0" w:rsidRDefault="00B5586B" w:rsidP="008F07B0">
      <w:pPr>
        <w:autoSpaceDE w:val="0"/>
        <w:spacing w:after="100" w:afterAutospacing="1" w:line="360" w:lineRule="auto"/>
        <w:jc w:val="both"/>
        <w:rPr>
          <w:rFonts w:cs="Arial"/>
          <w:sz w:val="22"/>
          <w:szCs w:val="22"/>
          <w:lang w:val="pt-BR"/>
        </w:rPr>
      </w:pPr>
      <w:r w:rsidRPr="009A5ADA">
        <w:rPr>
          <w:rFonts w:cs="Arial"/>
          <w:sz w:val="22"/>
          <w:szCs w:val="22"/>
          <w:lang w:val="pt-BR"/>
        </w:rPr>
        <w:t>Na primeira metade de 2015, as vendas da Henke</w:t>
      </w:r>
      <w:r>
        <w:rPr>
          <w:rFonts w:cs="Arial"/>
          <w:sz w:val="22"/>
          <w:szCs w:val="22"/>
          <w:lang w:val="pt-BR"/>
        </w:rPr>
        <w:t xml:space="preserve">l aumentaram </w:t>
      </w:r>
      <w:r w:rsidRPr="00D9695E">
        <w:rPr>
          <w:rFonts w:cs="Arial"/>
          <w:sz w:val="22"/>
          <w:szCs w:val="22"/>
          <w:lang w:val="pt-BR"/>
        </w:rPr>
        <w:t xml:space="preserve">significativamente, </w:t>
      </w:r>
      <w:r w:rsidR="00D9695E" w:rsidRPr="008F07B0">
        <w:rPr>
          <w:rFonts w:cs="Arial"/>
          <w:sz w:val="22"/>
          <w:szCs w:val="22"/>
          <w:lang w:val="pt-BR"/>
        </w:rPr>
        <w:t>com um aumento de</w:t>
      </w:r>
      <w:r w:rsidRPr="00D9695E">
        <w:rPr>
          <w:rFonts w:cs="Arial"/>
          <w:sz w:val="22"/>
          <w:szCs w:val="22"/>
          <w:lang w:val="pt-BR"/>
        </w:rPr>
        <w:t xml:space="preserve"> € 1.059 milhões, </w:t>
      </w:r>
      <w:r w:rsidR="00D9695E" w:rsidRPr="008F07B0">
        <w:rPr>
          <w:rFonts w:cs="Arial"/>
          <w:sz w:val="22"/>
          <w:szCs w:val="22"/>
          <w:lang w:val="pt-BR"/>
        </w:rPr>
        <w:t>totalizando</w:t>
      </w:r>
      <w:r w:rsidRPr="00D9695E">
        <w:rPr>
          <w:rFonts w:cs="Arial"/>
          <w:sz w:val="22"/>
          <w:szCs w:val="22"/>
          <w:lang w:val="pt-BR"/>
        </w:rPr>
        <w:t xml:space="preserve"> € 9.125 milhões. I</w:t>
      </w:r>
      <w:r w:rsidRPr="00D9695E">
        <w:rPr>
          <w:rFonts w:cs="Arial"/>
          <w:color w:val="000000"/>
          <w:sz w:val="22"/>
          <w:szCs w:val="22"/>
          <w:lang w:val="pt-BR"/>
        </w:rPr>
        <w:t xml:space="preserve">sso representa um aumento de 13,1% em comparação à primeira metade de 2014. </w:t>
      </w:r>
      <w:r w:rsidR="00692247" w:rsidRPr="00D9695E">
        <w:rPr>
          <w:rFonts w:cs="Arial"/>
          <w:color w:val="000000"/>
          <w:sz w:val="22"/>
          <w:szCs w:val="22"/>
          <w:lang w:val="pt-BR"/>
        </w:rPr>
        <w:t>Considerando ajustes do</w:t>
      </w:r>
      <w:r w:rsidRPr="009A5ADA">
        <w:rPr>
          <w:rFonts w:cs="Arial"/>
          <w:color w:val="000000"/>
          <w:sz w:val="22"/>
          <w:szCs w:val="22"/>
          <w:lang w:val="pt-BR"/>
        </w:rPr>
        <w:t xml:space="preserve"> câmbio, as vendas </w:t>
      </w:r>
      <w:r>
        <w:rPr>
          <w:rFonts w:cs="Arial"/>
          <w:color w:val="000000"/>
          <w:sz w:val="22"/>
          <w:szCs w:val="22"/>
          <w:lang w:val="pt-BR"/>
        </w:rPr>
        <w:t xml:space="preserve">orgânicas </w:t>
      </w:r>
      <w:r w:rsidRPr="009A5ADA">
        <w:rPr>
          <w:rFonts w:cs="Arial"/>
          <w:color w:val="000000"/>
          <w:sz w:val="22"/>
          <w:szCs w:val="22"/>
          <w:lang w:val="pt-BR"/>
        </w:rPr>
        <w:t>cresceram 6,5</w:t>
      </w:r>
      <w:r>
        <w:rPr>
          <w:rFonts w:cs="Arial"/>
          <w:color w:val="000000"/>
          <w:sz w:val="22"/>
          <w:szCs w:val="22"/>
          <w:lang w:val="pt-BR"/>
        </w:rPr>
        <w:t>%.</w:t>
      </w:r>
      <w:r>
        <w:rPr>
          <w:rFonts w:cs="Arial"/>
          <w:sz w:val="22"/>
          <w:szCs w:val="22"/>
          <w:lang w:val="pt-BR"/>
        </w:rPr>
        <w:t xml:space="preserve"> </w:t>
      </w:r>
      <w:r w:rsidR="00547387">
        <w:rPr>
          <w:rFonts w:cs="Arial"/>
          <w:sz w:val="22"/>
          <w:szCs w:val="22"/>
          <w:lang w:val="pt-BR"/>
        </w:rPr>
        <w:t>Organicamente</w:t>
      </w:r>
      <w:r w:rsidR="00ED46D4">
        <w:rPr>
          <w:rFonts w:cs="Arial"/>
          <w:sz w:val="22"/>
          <w:szCs w:val="22"/>
          <w:lang w:val="pt-BR"/>
        </w:rPr>
        <w:t xml:space="preserve"> </w:t>
      </w:r>
      <w:r w:rsidR="009A7D74">
        <w:rPr>
          <w:rFonts w:cs="Arial"/>
          <w:sz w:val="22"/>
          <w:szCs w:val="22"/>
          <w:lang w:val="pt-BR"/>
        </w:rPr>
        <w:t>–</w:t>
      </w:r>
      <w:r w:rsidR="00ED46D4">
        <w:rPr>
          <w:rFonts w:cs="Arial"/>
          <w:sz w:val="22"/>
          <w:szCs w:val="22"/>
          <w:lang w:val="pt-BR"/>
        </w:rPr>
        <w:t xml:space="preserve"> </w:t>
      </w:r>
      <w:r w:rsidR="009A7D74">
        <w:rPr>
          <w:rFonts w:cs="Arial"/>
          <w:sz w:val="22"/>
          <w:szCs w:val="22"/>
          <w:lang w:val="pt-BR"/>
        </w:rPr>
        <w:t xml:space="preserve">ou seja, </w:t>
      </w:r>
      <w:r w:rsidR="00ED46D4">
        <w:rPr>
          <w:rFonts w:cs="Arial"/>
          <w:sz w:val="22"/>
          <w:szCs w:val="22"/>
          <w:lang w:val="pt-BR"/>
        </w:rPr>
        <w:t>c</w:t>
      </w:r>
      <w:r w:rsidR="00692247">
        <w:rPr>
          <w:rFonts w:cs="Arial"/>
          <w:sz w:val="22"/>
          <w:szCs w:val="22"/>
          <w:lang w:val="pt-BR"/>
        </w:rPr>
        <w:t>onsiderando ajustes de</w:t>
      </w:r>
      <w:r w:rsidRPr="009A5ADA">
        <w:rPr>
          <w:rFonts w:cs="Arial"/>
          <w:sz w:val="22"/>
          <w:szCs w:val="22"/>
          <w:lang w:val="pt-BR"/>
        </w:rPr>
        <w:t xml:space="preserve"> câmbio e </w:t>
      </w:r>
      <w:r w:rsidR="00692247">
        <w:rPr>
          <w:rFonts w:cs="Arial"/>
          <w:sz w:val="22"/>
          <w:szCs w:val="22"/>
          <w:lang w:val="pt-BR"/>
        </w:rPr>
        <w:t>de</w:t>
      </w:r>
      <w:r>
        <w:rPr>
          <w:rFonts w:cs="Arial"/>
          <w:sz w:val="22"/>
          <w:szCs w:val="22"/>
          <w:lang w:val="pt-BR"/>
        </w:rPr>
        <w:t xml:space="preserve"> aquisições/desinvestimentos</w:t>
      </w:r>
      <w:r w:rsidR="00692247">
        <w:rPr>
          <w:rFonts w:cs="Arial"/>
          <w:sz w:val="22"/>
          <w:szCs w:val="22"/>
          <w:lang w:val="pt-BR"/>
        </w:rPr>
        <w:t>,</w:t>
      </w:r>
      <w:r>
        <w:rPr>
          <w:rFonts w:cs="Arial"/>
          <w:sz w:val="22"/>
          <w:szCs w:val="22"/>
          <w:lang w:val="pt-BR"/>
        </w:rPr>
        <w:t xml:space="preserve"> </w:t>
      </w:r>
      <w:r w:rsidRPr="009A5ADA">
        <w:rPr>
          <w:rFonts w:cs="Arial"/>
          <w:sz w:val="22"/>
          <w:szCs w:val="22"/>
          <w:lang w:val="pt-BR"/>
        </w:rPr>
        <w:t xml:space="preserve">as vendas cresceram 3,0%, com todas as unidades </w:t>
      </w:r>
      <w:r w:rsidR="009A7D74">
        <w:rPr>
          <w:rFonts w:cs="Arial"/>
          <w:sz w:val="22"/>
          <w:szCs w:val="22"/>
          <w:lang w:val="pt-BR"/>
        </w:rPr>
        <w:t>de negócios</w:t>
      </w:r>
      <w:r w:rsidRPr="009A5ADA">
        <w:rPr>
          <w:rFonts w:cs="Arial"/>
          <w:sz w:val="22"/>
          <w:szCs w:val="22"/>
          <w:lang w:val="pt-BR"/>
        </w:rPr>
        <w:t xml:space="preserve"> da Henkel contribuindo</w:t>
      </w:r>
      <w:r w:rsidR="009A7D74">
        <w:rPr>
          <w:rFonts w:cs="Arial"/>
          <w:sz w:val="22"/>
          <w:szCs w:val="22"/>
          <w:lang w:val="pt-BR"/>
        </w:rPr>
        <w:t xml:space="preserve"> para</w:t>
      </w:r>
      <w:r w:rsidR="00D9695E">
        <w:rPr>
          <w:rFonts w:cs="Arial"/>
          <w:sz w:val="22"/>
          <w:szCs w:val="22"/>
          <w:lang w:val="pt-BR"/>
        </w:rPr>
        <w:t xml:space="preserve"> um</w:t>
      </w:r>
      <w:r w:rsidRPr="009A5ADA">
        <w:rPr>
          <w:rFonts w:cs="Arial"/>
          <w:sz w:val="22"/>
          <w:szCs w:val="22"/>
          <w:lang w:val="pt-BR"/>
        </w:rPr>
        <w:t xml:space="preserve"> desempenho</w:t>
      </w:r>
      <w:r w:rsidR="00D9695E" w:rsidRPr="00D9695E">
        <w:rPr>
          <w:rFonts w:cs="Arial"/>
          <w:sz w:val="22"/>
          <w:szCs w:val="22"/>
          <w:lang w:val="pt-BR"/>
        </w:rPr>
        <w:t xml:space="preserve"> </w:t>
      </w:r>
      <w:r w:rsidR="00D9695E" w:rsidRPr="009A5ADA">
        <w:rPr>
          <w:rFonts w:cs="Arial"/>
          <w:sz w:val="22"/>
          <w:szCs w:val="22"/>
          <w:lang w:val="pt-BR"/>
        </w:rPr>
        <w:t>sólido</w:t>
      </w:r>
      <w:r w:rsidRPr="009A5ADA">
        <w:rPr>
          <w:rFonts w:cs="Arial"/>
          <w:sz w:val="22"/>
          <w:szCs w:val="22"/>
          <w:lang w:val="pt-BR"/>
        </w:rPr>
        <w:t>.</w:t>
      </w:r>
      <w:r w:rsidRPr="009A5ADA">
        <w:rPr>
          <w:rFonts w:cs="Arial"/>
          <w:color w:val="000000"/>
          <w:sz w:val="22"/>
          <w:szCs w:val="22"/>
          <w:lang w:val="pt-BR"/>
        </w:rPr>
        <w:t xml:space="preserve"> </w:t>
      </w:r>
    </w:p>
    <w:p w:rsidR="00B5586B" w:rsidRPr="008F07B0" w:rsidRDefault="00ED46D4" w:rsidP="008F07B0">
      <w:pPr>
        <w:autoSpaceDE w:val="0"/>
        <w:spacing w:after="100" w:afterAutospacing="1"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color w:val="000000"/>
          <w:sz w:val="22"/>
          <w:szCs w:val="22"/>
          <w:lang w:val="pt-BR"/>
        </w:rPr>
        <w:t>O l</w:t>
      </w:r>
      <w:r w:rsidR="00B5586B" w:rsidRPr="008F07B0">
        <w:rPr>
          <w:rFonts w:cs="Arial"/>
          <w:color w:val="000000"/>
          <w:sz w:val="22"/>
          <w:szCs w:val="22"/>
          <w:lang w:val="pt-BR"/>
        </w:rPr>
        <w:t>ucro operacional ajustado</w:t>
      </w:r>
      <w:r w:rsidR="00B5586B" w:rsidRPr="00D72C37">
        <w:rPr>
          <w:rFonts w:cs="Arial"/>
          <w:color w:val="000000"/>
          <w:sz w:val="22"/>
          <w:szCs w:val="22"/>
          <w:lang w:val="pt-BR"/>
        </w:rPr>
        <w:t xml:space="preserve"> </w:t>
      </w:r>
      <w:r w:rsidR="00B5586B">
        <w:rPr>
          <w:rFonts w:cs="Arial"/>
          <w:color w:val="000000"/>
          <w:sz w:val="22"/>
          <w:szCs w:val="22"/>
          <w:lang w:val="pt-BR"/>
        </w:rPr>
        <w:t xml:space="preserve">obteve um crescimento de </w:t>
      </w:r>
      <w:r w:rsidR="00B5586B" w:rsidRPr="00D72C37">
        <w:rPr>
          <w:rFonts w:cs="Arial"/>
          <w:color w:val="000000"/>
          <w:sz w:val="22"/>
          <w:szCs w:val="22"/>
          <w:lang w:val="pt-BR"/>
        </w:rPr>
        <w:t xml:space="preserve">€ 182 milhões, </w:t>
      </w:r>
      <w:r w:rsidR="00B5586B">
        <w:rPr>
          <w:rFonts w:cs="Arial"/>
          <w:color w:val="000000"/>
          <w:sz w:val="22"/>
          <w:szCs w:val="22"/>
          <w:lang w:val="pt-BR"/>
        </w:rPr>
        <w:t xml:space="preserve">subindo </w:t>
      </w:r>
      <w:r w:rsidR="00B5586B" w:rsidRPr="00D72C37">
        <w:rPr>
          <w:rFonts w:cs="Arial"/>
          <w:color w:val="000000"/>
          <w:sz w:val="22"/>
          <w:szCs w:val="22"/>
          <w:lang w:val="pt-BR"/>
        </w:rPr>
        <w:t>de € 1.293 milhões para € 1.4</w:t>
      </w:r>
      <w:r w:rsidR="00B5586B">
        <w:rPr>
          <w:rFonts w:cs="Arial"/>
          <w:color w:val="000000"/>
          <w:sz w:val="22"/>
          <w:szCs w:val="22"/>
          <w:lang w:val="pt-BR"/>
        </w:rPr>
        <w:t xml:space="preserve">75 milhões (+14,0%). </w:t>
      </w:r>
      <w:r w:rsidR="00B5586B" w:rsidRPr="008F07B0">
        <w:rPr>
          <w:rFonts w:cs="Arial"/>
          <w:color w:val="000000"/>
          <w:sz w:val="22"/>
          <w:szCs w:val="22"/>
          <w:lang w:val="pt-BR"/>
        </w:rPr>
        <w:t xml:space="preserve">O retorno ajustado sobre as vendas </w:t>
      </w:r>
      <w:r w:rsidR="00B5586B">
        <w:rPr>
          <w:rFonts w:cs="Arial"/>
          <w:color w:val="000000"/>
          <w:sz w:val="22"/>
          <w:szCs w:val="22"/>
          <w:lang w:val="pt-BR"/>
        </w:rPr>
        <w:t xml:space="preserve">passou </w:t>
      </w:r>
      <w:r w:rsidR="00B5586B" w:rsidRPr="00D72C37">
        <w:rPr>
          <w:rFonts w:cs="Arial"/>
          <w:color w:val="000000"/>
          <w:sz w:val="22"/>
          <w:szCs w:val="22"/>
          <w:lang w:val="pt-BR"/>
        </w:rPr>
        <w:t>de 16,0 para 16,2%.</w:t>
      </w:r>
      <w:r w:rsidR="00B5586B" w:rsidRPr="00B5586B">
        <w:rPr>
          <w:rFonts w:cs="Arial"/>
          <w:sz w:val="22"/>
          <w:szCs w:val="22"/>
        </w:rPr>
        <w:t xml:space="preserve"> </w:t>
      </w:r>
    </w:p>
    <w:p w:rsidR="00B5586B" w:rsidRPr="00D72C37" w:rsidRDefault="00B5586B" w:rsidP="008F07B0">
      <w:pPr>
        <w:autoSpaceDE w:val="0"/>
        <w:spacing w:after="100" w:afterAutospacing="1" w:line="360" w:lineRule="auto"/>
        <w:jc w:val="both"/>
        <w:rPr>
          <w:rFonts w:cs="Arial"/>
          <w:sz w:val="22"/>
          <w:szCs w:val="22"/>
          <w:lang w:val="pt-BR"/>
        </w:rPr>
      </w:pPr>
      <w:r w:rsidRPr="00D72C37">
        <w:rPr>
          <w:rFonts w:cs="Arial"/>
          <w:sz w:val="22"/>
          <w:szCs w:val="22"/>
        </w:rPr>
        <w:t xml:space="preserve">O </w:t>
      </w:r>
      <w:r w:rsidRPr="008F07B0">
        <w:rPr>
          <w:rFonts w:cs="Arial"/>
          <w:sz w:val="22"/>
          <w:szCs w:val="22"/>
          <w:lang w:val="pt-BR"/>
        </w:rPr>
        <w:t>lucro líquido ajustado para a metade do ano,</w:t>
      </w:r>
      <w:r w:rsidRPr="00D72C37">
        <w:rPr>
          <w:rFonts w:cs="Arial"/>
          <w:sz w:val="22"/>
          <w:szCs w:val="22"/>
        </w:rPr>
        <w:t xml:space="preserve"> </w:t>
      </w:r>
      <w:r w:rsidRPr="00B5586B">
        <w:rPr>
          <w:rFonts w:cs="Arial"/>
          <w:sz w:val="22"/>
          <w:szCs w:val="22"/>
          <w:lang w:val="pt-BR"/>
        </w:rPr>
        <w:t>após dedução dos lucros não-controlados, cresceu 12,3%, de € 951 milhões para € 1.068 milhões.</w:t>
      </w:r>
      <w:r w:rsidR="00D56702">
        <w:rPr>
          <w:rFonts w:cs="Arial"/>
          <w:sz w:val="22"/>
          <w:szCs w:val="22"/>
        </w:rPr>
        <w:t xml:space="preserve"> O</w:t>
      </w:r>
      <w:r w:rsidRPr="00D72C37">
        <w:rPr>
          <w:rFonts w:cs="Arial"/>
          <w:sz w:val="22"/>
          <w:szCs w:val="22"/>
        </w:rPr>
        <w:t xml:space="preserve">s </w:t>
      </w:r>
      <w:r w:rsidRPr="008F07B0">
        <w:rPr>
          <w:rFonts w:cs="Arial"/>
          <w:color w:val="000000"/>
          <w:sz w:val="22"/>
          <w:szCs w:val="22"/>
          <w:lang w:val="pt-BR"/>
        </w:rPr>
        <w:t xml:space="preserve">rendimentos ajustados por ação preferencial </w:t>
      </w:r>
      <w:r w:rsidRPr="00D72C37">
        <w:rPr>
          <w:rFonts w:cs="Arial"/>
          <w:color w:val="000000"/>
          <w:sz w:val="22"/>
          <w:szCs w:val="22"/>
          <w:lang w:val="pt-BR"/>
        </w:rPr>
        <w:t>(EPS) subiram 12,3% (</w:t>
      </w:r>
      <w:r w:rsidRPr="00B5586B">
        <w:rPr>
          <w:rFonts w:cs="Arial"/>
          <w:color w:val="000000"/>
          <w:sz w:val="22"/>
          <w:szCs w:val="22"/>
          <w:lang w:val="pt-BR"/>
        </w:rPr>
        <w:t>€ 0,27</w:t>
      </w:r>
      <w:r>
        <w:rPr>
          <w:rFonts w:cs="Arial"/>
          <w:color w:val="000000"/>
          <w:sz w:val="22"/>
          <w:szCs w:val="22"/>
          <w:lang w:val="pt-BR"/>
        </w:rPr>
        <w:t>)</w:t>
      </w:r>
      <w:r w:rsidRPr="00D72C37">
        <w:rPr>
          <w:rFonts w:cs="Arial"/>
          <w:color w:val="000000"/>
          <w:sz w:val="22"/>
          <w:szCs w:val="22"/>
          <w:lang w:val="pt-BR"/>
        </w:rPr>
        <w:t xml:space="preserve">, </w:t>
      </w:r>
      <w:r>
        <w:rPr>
          <w:rFonts w:cs="Arial"/>
          <w:color w:val="000000"/>
          <w:sz w:val="22"/>
          <w:szCs w:val="22"/>
          <w:lang w:val="pt-BR"/>
        </w:rPr>
        <w:t xml:space="preserve">passando </w:t>
      </w:r>
      <w:r w:rsidRPr="00D72C37">
        <w:rPr>
          <w:rFonts w:cs="Arial"/>
          <w:color w:val="000000"/>
          <w:sz w:val="22"/>
          <w:szCs w:val="22"/>
          <w:lang w:val="pt-BR"/>
        </w:rPr>
        <w:t>de € 2,20 para € 2,47.</w:t>
      </w:r>
      <w:r w:rsidR="00732B30">
        <w:rPr>
          <w:rFonts w:cs="Arial"/>
          <w:color w:val="000000"/>
          <w:sz w:val="22"/>
          <w:szCs w:val="22"/>
          <w:lang w:val="pt-BR"/>
        </w:rPr>
        <w:t xml:space="preserve"> </w:t>
      </w:r>
      <w:r w:rsidR="00732B30" w:rsidRPr="00732B30">
        <w:rPr>
          <w:rFonts w:cs="Arial"/>
          <w:color w:val="000000"/>
          <w:sz w:val="22"/>
          <w:szCs w:val="22"/>
          <w:lang w:val="pt-BR"/>
        </w:rPr>
        <w:t xml:space="preserve">"Na primeira metade de 2015, conseguimos aumentar as vendas em quase € 1,1 bilhão, para mais de € 9,1 bilhões. Com um crescimento </w:t>
      </w:r>
      <w:r w:rsidR="00D56702">
        <w:rPr>
          <w:rFonts w:cs="Arial"/>
          <w:color w:val="000000"/>
          <w:sz w:val="22"/>
          <w:szCs w:val="22"/>
          <w:lang w:val="pt-BR"/>
        </w:rPr>
        <w:t xml:space="preserve">orgânico </w:t>
      </w:r>
      <w:r w:rsidR="00EB03B9">
        <w:rPr>
          <w:rFonts w:cs="Arial"/>
          <w:color w:val="000000"/>
          <w:sz w:val="22"/>
          <w:szCs w:val="22"/>
          <w:lang w:val="pt-BR"/>
        </w:rPr>
        <w:t>d</w:t>
      </w:r>
      <w:bookmarkStart w:id="1" w:name="_GoBack"/>
      <w:bookmarkEnd w:id="1"/>
      <w:r w:rsidR="00732B30" w:rsidRPr="00732B30">
        <w:rPr>
          <w:rFonts w:cs="Arial"/>
          <w:color w:val="000000"/>
          <w:sz w:val="22"/>
          <w:szCs w:val="22"/>
          <w:lang w:val="pt-BR"/>
        </w:rPr>
        <w:t>as vendas de 3,0%, uma margem EBIT ajustada de 16,2% e um crescimento EPS ajustado de 12,3%, continuamos no rumo certo para ating</w:t>
      </w:r>
      <w:r w:rsidR="00732B30">
        <w:rPr>
          <w:rFonts w:cs="Arial"/>
          <w:color w:val="000000"/>
          <w:sz w:val="22"/>
          <w:szCs w:val="22"/>
          <w:lang w:val="pt-BR"/>
        </w:rPr>
        <w:t xml:space="preserve">ir nossa orientação para o ano", afirmou </w:t>
      </w:r>
      <w:proofErr w:type="spellStart"/>
      <w:r w:rsidR="00732B30" w:rsidRPr="00732B30">
        <w:rPr>
          <w:rFonts w:cs="Arial"/>
          <w:color w:val="000000"/>
          <w:sz w:val="22"/>
          <w:szCs w:val="22"/>
          <w:lang w:val="pt-BR"/>
        </w:rPr>
        <w:t>R</w:t>
      </w:r>
      <w:r w:rsidR="00FE14DA">
        <w:rPr>
          <w:rFonts w:cs="Arial"/>
          <w:color w:val="000000"/>
          <w:sz w:val="22"/>
          <w:szCs w:val="22"/>
          <w:lang w:val="pt-BR"/>
        </w:rPr>
        <w:t>o</w:t>
      </w:r>
      <w:r w:rsidR="00732B30" w:rsidRPr="00732B30">
        <w:rPr>
          <w:rFonts w:cs="Arial"/>
          <w:color w:val="000000"/>
          <w:sz w:val="22"/>
          <w:szCs w:val="22"/>
          <w:lang w:val="pt-BR"/>
        </w:rPr>
        <w:t>rsted</w:t>
      </w:r>
      <w:proofErr w:type="spellEnd"/>
      <w:r w:rsidR="00732B30">
        <w:rPr>
          <w:rFonts w:cs="Arial"/>
          <w:color w:val="000000"/>
          <w:sz w:val="22"/>
          <w:szCs w:val="22"/>
          <w:lang w:val="pt-BR"/>
        </w:rPr>
        <w:t xml:space="preserve"> re</w:t>
      </w:r>
      <w:r w:rsidR="00732B30" w:rsidRPr="00732B30">
        <w:rPr>
          <w:rFonts w:cs="Arial"/>
          <w:color w:val="000000"/>
          <w:sz w:val="22"/>
          <w:szCs w:val="22"/>
          <w:lang w:val="pt-BR"/>
        </w:rPr>
        <w:t>ferindo-se ao desempenho da Henkel nos primeiros seis meses de 2015</w:t>
      </w:r>
      <w:r w:rsidR="00732B30">
        <w:rPr>
          <w:rFonts w:cs="Arial"/>
          <w:color w:val="000000"/>
          <w:sz w:val="22"/>
          <w:szCs w:val="22"/>
          <w:lang w:val="pt-BR"/>
        </w:rPr>
        <w:t>.</w:t>
      </w:r>
    </w:p>
    <w:p w:rsidR="00E15CA8" w:rsidRPr="00D72C37" w:rsidRDefault="00B5586B" w:rsidP="008F07B0">
      <w:pPr>
        <w:autoSpaceDE w:val="0"/>
        <w:spacing w:after="100" w:afterAutospacing="1" w:line="360" w:lineRule="auto"/>
        <w:jc w:val="both"/>
        <w:rPr>
          <w:rFonts w:cs="Arial"/>
          <w:sz w:val="22"/>
          <w:szCs w:val="22"/>
          <w:lang w:val="pt-BR"/>
        </w:rPr>
      </w:pPr>
      <w:r w:rsidRPr="00B5586B">
        <w:rPr>
          <w:rFonts w:cs="Arial"/>
          <w:sz w:val="22"/>
          <w:szCs w:val="22"/>
        </w:rPr>
        <w:lastRenderedPageBreak/>
        <w:t>A</w:t>
      </w:r>
      <w:r w:rsidR="00D56702">
        <w:rPr>
          <w:rFonts w:cs="Arial"/>
          <w:sz w:val="22"/>
          <w:szCs w:val="22"/>
        </w:rPr>
        <w:t xml:space="preserve"> </w:t>
      </w:r>
      <w:r w:rsidRPr="008F07B0">
        <w:rPr>
          <w:rFonts w:cs="Arial"/>
          <w:sz w:val="22"/>
          <w:szCs w:val="22"/>
          <w:lang w:val="pt-BR"/>
        </w:rPr>
        <w:t>posição financeira líquida da Henkel</w:t>
      </w:r>
      <w:r w:rsidRPr="00D72C37">
        <w:rPr>
          <w:rFonts w:cs="Arial"/>
          <w:sz w:val="22"/>
          <w:szCs w:val="22"/>
          <w:lang w:val="pt-BR"/>
        </w:rPr>
        <w:t xml:space="preserve"> em 30 de junho de 2015 era de € - 634 milhões</w:t>
      </w:r>
      <w:r w:rsidR="00732B30">
        <w:rPr>
          <w:rFonts w:cs="Arial"/>
          <w:sz w:val="22"/>
          <w:szCs w:val="22"/>
          <w:lang w:val="pt-BR"/>
        </w:rPr>
        <w:t xml:space="preserve">, e </w:t>
      </w:r>
      <w:r w:rsidRPr="00B5586B">
        <w:rPr>
          <w:rFonts w:cs="Arial"/>
          <w:sz w:val="22"/>
          <w:szCs w:val="22"/>
          <w:lang w:val="pt-BR"/>
        </w:rPr>
        <w:t>em 31 de dezembro de 2014: € - 153 milhões.</w:t>
      </w:r>
      <w:r w:rsidRPr="00B5586B">
        <w:rPr>
          <w:rFonts w:cs="Arial"/>
          <w:bCs/>
          <w:color w:val="000000"/>
          <w:sz w:val="22"/>
          <w:szCs w:val="22"/>
          <w:lang w:val="pt-BR"/>
        </w:rPr>
        <w:t xml:space="preserve"> A alteração em comparação ao final de 2014 </w:t>
      </w:r>
      <w:r w:rsidR="00FE14DA">
        <w:rPr>
          <w:rFonts w:cs="Arial"/>
          <w:bCs/>
          <w:color w:val="000000"/>
          <w:sz w:val="22"/>
          <w:szCs w:val="22"/>
          <w:lang w:val="pt-BR"/>
        </w:rPr>
        <w:t>deve-se</w:t>
      </w:r>
      <w:r w:rsidR="009A7D74">
        <w:rPr>
          <w:rFonts w:cs="Arial"/>
          <w:bCs/>
          <w:color w:val="000000"/>
          <w:sz w:val="22"/>
          <w:szCs w:val="22"/>
          <w:lang w:val="pt-BR"/>
        </w:rPr>
        <w:t>,</w:t>
      </w:r>
      <w:r w:rsidR="00FE14DA">
        <w:rPr>
          <w:rFonts w:cs="Arial"/>
          <w:bCs/>
          <w:color w:val="000000"/>
          <w:sz w:val="22"/>
          <w:szCs w:val="22"/>
          <w:lang w:val="pt-BR"/>
        </w:rPr>
        <w:t xml:space="preserve"> </w:t>
      </w:r>
      <w:r w:rsidRPr="00B5586B">
        <w:rPr>
          <w:rFonts w:cs="Arial"/>
          <w:bCs/>
          <w:color w:val="000000"/>
          <w:sz w:val="22"/>
          <w:szCs w:val="22"/>
          <w:lang w:val="pt-BR"/>
        </w:rPr>
        <w:t>principalmente</w:t>
      </w:r>
      <w:r w:rsidR="009A7D74">
        <w:rPr>
          <w:rFonts w:cs="Arial"/>
          <w:bCs/>
          <w:color w:val="000000"/>
          <w:sz w:val="22"/>
          <w:szCs w:val="22"/>
          <w:lang w:val="pt-BR"/>
        </w:rPr>
        <w:t>,</w:t>
      </w:r>
      <w:r w:rsidRPr="00B5586B">
        <w:rPr>
          <w:rFonts w:cs="Arial"/>
          <w:bCs/>
          <w:color w:val="000000"/>
          <w:sz w:val="22"/>
          <w:szCs w:val="22"/>
          <w:lang w:val="pt-BR"/>
        </w:rPr>
        <w:t xml:space="preserve"> ao pagamento de dividendos.  </w:t>
      </w:r>
    </w:p>
    <w:p w:rsidR="00732B30" w:rsidRPr="009A5ADA" w:rsidRDefault="00732B30" w:rsidP="008F07B0">
      <w:pPr>
        <w:autoSpaceDE w:val="0"/>
        <w:spacing w:after="100" w:afterAutospacing="1" w:line="360" w:lineRule="auto"/>
        <w:jc w:val="both"/>
        <w:rPr>
          <w:rFonts w:cs="Arial"/>
          <w:b/>
          <w:sz w:val="22"/>
          <w:szCs w:val="22"/>
          <w:lang w:val="pt-BR"/>
        </w:rPr>
      </w:pPr>
      <w:r w:rsidRPr="009A5ADA">
        <w:rPr>
          <w:rFonts w:cs="Arial"/>
          <w:b/>
          <w:sz w:val="22"/>
          <w:szCs w:val="22"/>
          <w:lang w:val="pt-BR"/>
        </w:rPr>
        <w:t>Desempenho das unidades comerciais no segundo trimestre de 2015</w:t>
      </w:r>
    </w:p>
    <w:p w:rsidR="00FE14DA" w:rsidRDefault="00732B30" w:rsidP="008F07B0">
      <w:pPr>
        <w:autoSpaceDE w:val="0"/>
        <w:spacing w:after="100" w:afterAutospacing="1" w:line="360" w:lineRule="auto"/>
        <w:jc w:val="both"/>
        <w:rPr>
          <w:rFonts w:cs="Arial"/>
          <w:sz w:val="22"/>
          <w:szCs w:val="22"/>
          <w:lang w:val="pt-BR"/>
        </w:rPr>
      </w:pPr>
      <w:r w:rsidRPr="00732B30">
        <w:rPr>
          <w:rFonts w:cs="Arial"/>
          <w:sz w:val="22"/>
          <w:szCs w:val="22"/>
          <w:lang w:val="pt-BR"/>
        </w:rPr>
        <w:t>A unidade</w:t>
      </w:r>
      <w:r w:rsidR="009A7D74">
        <w:rPr>
          <w:rFonts w:cs="Arial"/>
          <w:sz w:val="22"/>
          <w:szCs w:val="22"/>
          <w:lang w:val="pt-BR"/>
        </w:rPr>
        <w:t xml:space="preserve"> de negócio de</w:t>
      </w:r>
      <w:r w:rsidRPr="00732B30">
        <w:rPr>
          <w:rFonts w:cs="Arial"/>
          <w:sz w:val="22"/>
          <w:szCs w:val="22"/>
          <w:lang w:val="pt-BR"/>
        </w:rPr>
        <w:t xml:space="preserve"> </w:t>
      </w:r>
      <w:proofErr w:type="spellStart"/>
      <w:r w:rsidRPr="008F07B0">
        <w:rPr>
          <w:rFonts w:cs="Arial"/>
          <w:b/>
          <w:i/>
          <w:sz w:val="22"/>
          <w:szCs w:val="22"/>
          <w:lang w:val="pt-BR"/>
        </w:rPr>
        <w:t>Laundry</w:t>
      </w:r>
      <w:proofErr w:type="spellEnd"/>
      <w:r w:rsidRPr="008F07B0">
        <w:rPr>
          <w:rFonts w:cs="Arial"/>
          <w:b/>
          <w:i/>
          <w:sz w:val="22"/>
          <w:szCs w:val="22"/>
          <w:lang w:val="pt-BR"/>
        </w:rPr>
        <w:t xml:space="preserve"> &amp; Home </w:t>
      </w:r>
      <w:proofErr w:type="spellStart"/>
      <w:r w:rsidRPr="008F07B0">
        <w:rPr>
          <w:rFonts w:cs="Arial"/>
          <w:b/>
          <w:i/>
          <w:sz w:val="22"/>
          <w:szCs w:val="22"/>
          <w:lang w:val="pt-BR"/>
        </w:rPr>
        <w:t>Care</w:t>
      </w:r>
      <w:proofErr w:type="spellEnd"/>
      <w:r w:rsidRPr="00732B30">
        <w:rPr>
          <w:rFonts w:cs="Arial"/>
          <w:sz w:val="22"/>
          <w:szCs w:val="22"/>
          <w:lang w:val="pt-BR"/>
        </w:rPr>
        <w:t xml:space="preserve"> registrou um forte crescimento</w:t>
      </w:r>
      <w:r w:rsidR="00D56702">
        <w:rPr>
          <w:rFonts w:cs="Arial"/>
          <w:sz w:val="22"/>
          <w:szCs w:val="22"/>
          <w:lang w:val="pt-BR"/>
        </w:rPr>
        <w:t xml:space="preserve"> orgânico</w:t>
      </w:r>
      <w:r w:rsidR="00EB03B9">
        <w:rPr>
          <w:rFonts w:cs="Arial"/>
          <w:sz w:val="22"/>
          <w:szCs w:val="22"/>
          <w:lang w:val="pt-BR"/>
        </w:rPr>
        <w:t xml:space="preserve"> d</w:t>
      </w:r>
      <w:r w:rsidRPr="00732B30">
        <w:rPr>
          <w:rFonts w:cs="Arial"/>
          <w:sz w:val="22"/>
          <w:szCs w:val="22"/>
          <w:lang w:val="pt-BR"/>
        </w:rPr>
        <w:t>as vendas</w:t>
      </w:r>
      <w:r w:rsidR="00D56702">
        <w:rPr>
          <w:rFonts w:cs="Arial"/>
          <w:sz w:val="22"/>
          <w:szCs w:val="22"/>
          <w:lang w:val="pt-BR"/>
        </w:rPr>
        <w:t xml:space="preserve"> </w:t>
      </w:r>
      <w:r w:rsidRPr="00732B30">
        <w:rPr>
          <w:rFonts w:cs="Arial"/>
          <w:sz w:val="22"/>
          <w:szCs w:val="22"/>
          <w:lang w:val="pt-BR"/>
        </w:rPr>
        <w:t>de 4,3%.</w:t>
      </w:r>
      <w:r>
        <w:rPr>
          <w:rFonts w:cs="Arial"/>
          <w:sz w:val="22"/>
          <w:szCs w:val="22"/>
          <w:lang w:val="pt-BR"/>
        </w:rPr>
        <w:t xml:space="preserve"> </w:t>
      </w:r>
      <w:r w:rsidR="009A7D74">
        <w:rPr>
          <w:rFonts w:cs="Arial"/>
          <w:sz w:val="22"/>
          <w:szCs w:val="22"/>
          <w:lang w:val="pt-BR"/>
        </w:rPr>
        <w:t xml:space="preserve">Em </w:t>
      </w:r>
      <w:proofErr w:type="spellStart"/>
      <w:r w:rsidRPr="008F07B0">
        <w:rPr>
          <w:rFonts w:cs="Arial"/>
          <w:b/>
          <w:i/>
          <w:sz w:val="22"/>
          <w:szCs w:val="22"/>
          <w:lang w:val="pt-BR"/>
        </w:rPr>
        <w:t>Beauty</w:t>
      </w:r>
      <w:proofErr w:type="spellEnd"/>
      <w:r w:rsidRPr="008F07B0">
        <w:rPr>
          <w:rFonts w:cs="Arial"/>
          <w:b/>
          <w:i/>
          <w:sz w:val="22"/>
          <w:szCs w:val="22"/>
          <w:lang w:val="pt-BR"/>
        </w:rPr>
        <w:t xml:space="preserve"> </w:t>
      </w:r>
      <w:proofErr w:type="spellStart"/>
      <w:r w:rsidRPr="008F07B0">
        <w:rPr>
          <w:rFonts w:cs="Arial"/>
          <w:b/>
          <w:i/>
          <w:sz w:val="22"/>
          <w:szCs w:val="22"/>
          <w:lang w:val="pt-BR"/>
        </w:rPr>
        <w:t>Care</w:t>
      </w:r>
      <w:proofErr w:type="spellEnd"/>
      <w:r w:rsidRPr="00732B30">
        <w:rPr>
          <w:rFonts w:cs="Arial"/>
          <w:sz w:val="22"/>
          <w:szCs w:val="22"/>
          <w:lang w:val="pt-BR"/>
        </w:rPr>
        <w:t>, foi obtido um aumento</w:t>
      </w:r>
      <w:r w:rsidR="00D56702">
        <w:rPr>
          <w:rFonts w:cs="Arial"/>
          <w:sz w:val="22"/>
          <w:szCs w:val="22"/>
          <w:lang w:val="pt-BR"/>
        </w:rPr>
        <w:t xml:space="preserve"> orgânico</w:t>
      </w:r>
      <w:r w:rsidRPr="00732B30">
        <w:rPr>
          <w:rFonts w:cs="Arial"/>
          <w:sz w:val="22"/>
          <w:szCs w:val="22"/>
          <w:lang w:val="pt-BR"/>
        </w:rPr>
        <w:t xml:space="preserve"> positivo</w:t>
      </w:r>
      <w:r>
        <w:rPr>
          <w:rFonts w:cs="Arial"/>
          <w:sz w:val="22"/>
          <w:szCs w:val="22"/>
          <w:lang w:val="pt-BR"/>
        </w:rPr>
        <w:t xml:space="preserve"> </w:t>
      </w:r>
      <w:r w:rsidRPr="00732B30">
        <w:rPr>
          <w:rFonts w:cs="Arial"/>
          <w:sz w:val="22"/>
          <w:szCs w:val="22"/>
          <w:lang w:val="pt-BR"/>
        </w:rPr>
        <w:t>de 1,9% nas vendas.</w:t>
      </w:r>
      <w:r>
        <w:rPr>
          <w:rFonts w:cs="Arial"/>
          <w:sz w:val="22"/>
          <w:szCs w:val="22"/>
          <w:lang w:val="pt-BR"/>
        </w:rPr>
        <w:t xml:space="preserve"> E a </w:t>
      </w:r>
      <w:r w:rsidR="00DC02D8">
        <w:rPr>
          <w:rFonts w:cs="Arial"/>
          <w:sz w:val="22"/>
          <w:szCs w:val="22"/>
          <w:lang w:val="pt-BR"/>
        </w:rPr>
        <w:t xml:space="preserve">unidade de negócio de </w:t>
      </w:r>
      <w:proofErr w:type="spellStart"/>
      <w:r w:rsidRPr="008F07B0">
        <w:rPr>
          <w:rFonts w:cs="Arial"/>
          <w:b/>
          <w:i/>
          <w:sz w:val="22"/>
          <w:szCs w:val="22"/>
          <w:lang w:val="pt-BR"/>
        </w:rPr>
        <w:t>Adhesive</w:t>
      </w:r>
      <w:proofErr w:type="spellEnd"/>
      <w:r w:rsidRPr="008F07B0">
        <w:rPr>
          <w:rFonts w:cs="Arial"/>
          <w:b/>
          <w:i/>
          <w:sz w:val="22"/>
          <w:szCs w:val="22"/>
          <w:lang w:val="pt-BR"/>
        </w:rPr>
        <w:t xml:space="preserve"> Technologies</w:t>
      </w:r>
      <w:r w:rsidRPr="00732B30">
        <w:rPr>
          <w:rFonts w:cs="Arial"/>
          <w:sz w:val="22"/>
          <w:szCs w:val="22"/>
          <w:lang w:val="pt-BR"/>
        </w:rPr>
        <w:t xml:space="preserve"> apresentou um</w:t>
      </w:r>
      <w:r w:rsidR="00D56702">
        <w:rPr>
          <w:rFonts w:cs="Arial"/>
          <w:sz w:val="22"/>
          <w:szCs w:val="22"/>
          <w:lang w:val="pt-BR"/>
        </w:rPr>
        <w:t xml:space="preserve"> crescimento orgânico </w:t>
      </w:r>
      <w:r w:rsidR="00EB03B9">
        <w:rPr>
          <w:rFonts w:cs="Arial"/>
          <w:sz w:val="22"/>
          <w:szCs w:val="22"/>
          <w:lang w:val="pt-BR"/>
        </w:rPr>
        <w:t>d</w:t>
      </w:r>
      <w:r w:rsidRPr="00732B30">
        <w:rPr>
          <w:rFonts w:cs="Arial"/>
          <w:sz w:val="22"/>
          <w:szCs w:val="22"/>
          <w:lang w:val="pt-BR"/>
        </w:rPr>
        <w:t>as vendas de 1,7%</w:t>
      </w:r>
      <w:r>
        <w:rPr>
          <w:rFonts w:cs="Arial"/>
          <w:sz w:val="22"/>
          <w:szCs w:val="22"/>
          <w:lang w:val="pt-BR"/>
        </w:rPr>
        <w:t>.</w:t>
      </w:r>
      <w:bookmarkEnd w:id="0"/>
    </w:p>
    <w:p w:rsidR="00480255" w:rsidRPr="008F07B0" w:rsidRDefault="00D72C37" w:rsidP="008F07B0">
      <w:pPr>
        <w:autoSpaceDE w:val="0"/>
        <w:spacing w:after="100" w:afterAutospacing="1" w:line="360" w:lineRule="auto"/>
        <w:jc w:val="both"/>
        <w:rPr>
          <w:rFonts w:cs="Arial"/>
          <w:b/>
          <w:sz w:val="22"/>
          <w:szCs w:val="22"/>
          <w:lang w:val="pt-BR"/>
        </w:rPr>
      </w:pPr>
      <w:r w:rsidRPr="008F07B0">
        <w:rPr>
          <w:rFonts w:cs="Arial"/>
          <w:b/>
          <w:sz w:val="22"/>
          <w:szCs w:val="22"/>
          <w:lang w:val="pt-BR"/>
        </w:rPr>
        <w:t>Desempenho regional no segundo trimestre de 2015</w:t>
      </w:r>
    </w:p>
    <w:p w:rsidR="00480255" w:rsidRDefault="00D72C37" w:rsidP="008F07B0">
      <w:pPr>
        <w:autoSpaceDE w:val="0"/>
        <w:spacing w:after="100" w:afterAutospacing="1" w:line="360" w:lineRule="auto"/>
        <w:jc w:val="both"/>
        <w:rPr>
          <w:rFonts w:cs="Arial"/>
          <w:bCs/>
          <w:color w:val="000000"/>
          <w:sz w:val="22"/>
          <w:szCs w:val="22"/>
          <w:lang w:val="pt-BR"/>
        </w:rPr>
      </w:pPr>
      <w:r w:rsidRPr="008F07B0">
        <w:rPr>
          <w:rFonts w:cs="Arial"/>
          <w:bCs/>
          <w:color w:val="000000"/>
          <w:sz w:val="22"/>
          <w:szCs w:val="22"/>
          <w:lang w:val="pt-BR"/>
        </w:rPr>
        <w:t xml:space="preserve">Na </w:t>
      </w:r>
      <w:r w:rsidRPr="008F07B0">
        <w:rPr>
          <w:rFonts w:cs="Arial"/>
          <w:b/>
          <w:bCs/>
          <w:color w:val="000000"/>
          <w:sz w:val="22"/>
          <w:szCs w:val="22"/>
          <w:lang w:val="pt-BR"/>
        </w:rPr>
        <w:t>América Latina</w:t>
      </w:r>
      <w:r w:rsidRPr="008F07B0">
        <w:rPr>
          <w:rFonts w:cs="Arial"/>
          <w:bCs/>
          <w:color w:val="000000"/>
          <w:sz w:val="22"/>
          <w:szCs w:val="22"/>
          <w:lang w:val="pt-BR"/>
        </w:rPr>
        <w:t xml:space="preserve">, as vendas aumentaram 12,7%, </w:t>
      </w:r>
      <w:r w:rsidR="00732B30">
        <w:rPr>
          <w:rFonts w:cs="Arial"/>
          <w:bCs/>
          <w:color w:val="000000"/>
          <w:sz w:val="22"/>
          <w:szCs w:val="22"/>
          <w:lang w:val="pt-BR"/>
        </w:rPr>
        <w:t xml:space="preserve">atingindo </w:t>
      </w:r>
      <w:r w:rsidRPr="008F07B0">
        <w:rPr>
          <w:rFonts w:cs="Arial"/>
          <w:bCs/>
          <w:color w:val="000000"/>
          <w:sz w:val="22"/>
          <w:szCs w:val="22"/>
          <w:lang w:val="pt-BR"/>
        </w:rPr>
        <w:t>€ 292 milhões.</w:t>
      </w:r>
      <w:r w:rsidRPr="008F07B0">
        <w:rPr>
          <w:rFonts w:cs="Arial"/>
          <w:b/>
          <w:bCs/>
          <w:color w:val="000000"/>
          <w:sz w:val="22"/>
          <w:szCs w:val="22"/>
          <w:lang w:val="pt-BR"/>
        </w:rPr>
        <w:t xml:space="preserve"> </w:t>
      </w:r>
      <w:r w:rsidRPr="008F07B0">
        <w:rPr>
          <w:rFonts w:cs="Arial"/>
          <w:bCs/>
          <w:color w:val="000000"/>
          <w:sz w:val="22"/>
          <w:szCs w:val="22"/>
          <w:lang w:val="pt-BR"/>
        </w:rPr>
        <w:t xml:space="preserve"> </w:t>
      </w:r>
      <w:r w:rsidR="00EB03B9">
        <w:rPr>
          <w:rFonts w:cs="Arial"/>
          <w:bCs/>
          <w:color w:val="000000"/>
          <w:sz w:val="22"/>
          <w:szCs w:val="22"/>
          <w:lang w:val="pt-BR"/>
        </w:rPr>
        <w:t>O crescimento orgânico d</w:t>
      </w:r>
      <w:r w:rsidR="00D56702">
        <w:rPr>
          <w:rFonts w:cs="Arial"/>
          <w:bCs/>
          <w:color w:val="000000"/>
          <w:sz w:val="22"/>
          <w:szCs w:val="22"/>
          <w:lang w:val="pt-BR"/>
        </w:rPr>
        <w:t xml:space="preserve">as vendas </w:t>
      </w:r>
      <w:r w:rsidRPr="008F07B0">
        <w:rPr>
          <w:rFonts w:cs="Arial"/>
          <w:bCs/>
          <w:color w:val="000000"/>
          <w:sz w:val="22"/>
          <w:szCs w:val="22"/>
          <w:lang w:val="pt-BR"/>
        </w:rPr>
        <w:t>foi de 8,4%.</w:t>
      </w:r>
      <w:r w:rsidR="00732B30">
        <w:rPr>
          <w:rFonts w:cs="Arial"/>
          <w:bCs/>
          <w:color w:val="000000"/>
          <w:sz w:val="22"/>
          <w:szCs w:val="22"/>
          <w:lang w:val="pt-BR"/>
        </w:rPr>
        <w:t xml:space="preserve"> </w:t>
      </w:r>
      <w:proofErr w:type="spellStart"/>
      <w:r w:rsidRPr="008F07B0">
        <w:rPr>
          <w:rFonts w:cs="Arial"/>
          <w:bCs/>
          <w:color w:val="000000"/>
          <w:sz w:val="22"/>
          <w:szCs w:val="22"/>
          <w:lang w:val="pt-BR"/>
        </w:rPr>
        <w:t>Esta</w:t>
      </w:r>
      <w:proofErr w:type="spellEnd"/>
      <w:r w:rsidRPr="008F07B0">
        <w:rPr>
          <w:rFonts w:cs="Arial"/>
          <w:bCs/>
          <w:color w:val="000000"/>
          <w:sz w:val="22"/>
          <w:szCs w:val="22"/>
          <w:lang w:val="pt-BR"/>
        </w:rPr>
        <w:t xml:space="preserve"> forte melhora </w:t>
      </w:r>
      <w:r w:rsidR="00732B30">
        <w:rPr>
          <w:rFonts w:cs="Arial"/>
          <w:bCs/>
          <w:color w:val="000000"/>
          <w:sz w:val="22"/>
          <w:szCs w:val="22"/>
          <w:lang w:val="pt-BR"/>
        </w:rPr>
        <w:t xml:space="preserve">no desempenho da região </w:t>
      </w:r>
      <w:r w:rsidRPr="008F07B0">
        <w:rPr>
          <w:rFonts w:cs="Arial"/>
          <w:bCs/>
          <w:color w:val="000000"/>
          <w:sz w:val="22"/>
          <w:szCs w:val="22"/>
          <w:lang w:val="pt-BR"/>
        </w:rPr>
        <w:t xml:space="preserve">foi impulsionada principalmente pelo desempenho do México. </w:t>
      </w:r>
    </w:p>
    <w:p w:rsidR="00DC02D8" w:rsidRPr="00DC02D8" w:rsidRDefault="00DC02D8" w:rsidP="008F07B0">
      <w:pPr>
        <w:autoSpaceDE w:val="0"/>
        <w:spacing w:after="100" w:afterAutospacing="1" w:line="360" w:lineRule="auto"/>
        <w:jc w:val="both"/>
        <w:rPr>
          <w:rFonts w:cs="Arial"/>
          <w:sz w:val="22"/>
          <w:szCs w:val="22"/>
          <w:lang w:val="pt-BR"/>
        </w:rPr>
      </w:pPr>
      <w:r w:rsidRPr="00DC02D8">
        <w:rPr>
          <w:rStyle w:val="Fontepargpadro"/>
          <w:rFonts w:cs="Arial"/>
          <w:sz w:val="22"/>
          <w:szCs w:val="22"/>
          <w:lang w:val="pt-BR"/>
        </w:rPr>
        <w:t xml:space="preserve">Nos </w:t>
      </w:r>
      <w:r w:rsidRPr="00DC02D8">
        <w:rPr>
          <w:rStyle w:val="Fontepargpadro"/>
          <w:rFonts w:cs="Arial"/>
          <w:b/>
          <w:bCs/>
          <w:sz w:val="22"/>
          <w:szCs w:val="22"/>
          <w:lang w:val="pt-BR"/>
        </w:rPr>
        <w:t>mercados emergentes</w:t>
      </w:r>
      <w:r w:rsidRPr="00DC02D8">
        <w:rPr>
          <w:rStyle w:val="Fontepargpadro"/>
          <w:rFonts w:cs="Arial"/>
          <w:sz w:val="22"/>
          <w:szCs w:val="22"/>
          <w:lang w:val="pt-BR"/>
        </w:rPr>
        <w:t xml:space="preserve"> do Leste da Europa, da África/Oriente Médio, América Latina e Ásia (excluindo o Japão), as vendas cresceram significativamente em 11,0%, para € 2.047 milhões. </w:t>
      </w:r>
      <w:r w:rsidRPr="00DC02D8">
        <w:rPr>
          <w:rStyle w:val="Fontepargpadro"/>
          <w:bCs/>
          <w:color w:val="000000"/>
          <w:sz w:val="22"/>
          <w:szCs w:val="22"/>
          <w:lang w:val="pt-BR"/>
        </w:rPr>
        <w:t xml:space="preserve">Impulsionadas por todas as unidades comerciais, </w:t>
      </w:r>
      <w:r w:rsidR="00D56702">
        <w:rPr>
          <w:rStyle w:val="Fontepargpadro"/>
          <w:bCs/>
          <w:color w:val="000000"/>
          <w:sz w:val="22"/>
          <w:szCs w:val="22"/>
          <w:lang w:val="pt-BR"/>
        </w:rPr>
        <w:t xml:space="preserve">o </w:t>
      </w:r>
      <w:r w:rsidR="00EB03B9">
        <w:rPr>
          <w:rStyle w:val="Fontepargpadro"/>
          <w:bCs/>
          <w:color w:val="000000"/>
          <w:sz w:val="22"/>
          <w:szCs w:val="22"/>
          <w:lang w:val="pt-BR"/>
        </w:rPr>
        <w:t>aumento orgânico d</w:t>
      </w:r>
      <w:r w:rsidR="00D56702" w:rsidRPr="00DC02D8">
        <w:rPr>
          <w:rStyle w:val="Fontepargpadro"/>
          <w:bCs/>
          <w:color w:val="000000"/>
          <w:sz w:val="22"/>
          <w:szCs w:val="22"/>
          <w:lang w:val="pt-BR"/>
        </w:rPr>
        <w:t>as vendas subiu</w:t>
      </w:r>
      <w:r w:rsidRPr="00DC02D8">
        <w:rPr>
          <w:rStyle w:val="Fontepargpadro"/>
          <w:bCs/>
          <w:color w:val="000000"/>
          <w:sz w:val="22"/>
          <w:szCs w:val="22"/>
          <w:lang w:val="pt-BR"/>
        </w:rPr>
        <w:t xml:space="preserve"> 5,1% e, mais um</w:t>
      </w:r>
      <w:r w:rsidR="00D56702">
        <w:rPr>
          <w:rStyle w:val="Fontepargpadro"/>
          <w:bCs/>
          <w:color w:val="000000"/>
          <w:sz w:val="22"/>
          <w:szCs w:val="22"/>
          <w:lang w:val="pt-BR"/>
        </w:rPr>
        <w:t>a vez, contribuiu</w:t>
      </w:r>
      <w:r w:rsidRPr="00DC02D8">
        <w:rPr>
          <w:rStyle w:val="Fontepargpadro"/>
          <w:bCs/>
          <w:color w:val="000000"/>
          <w:sz w:val="22"/>
          <w:szCs w:val="22"/>
          <w:lang w:val="pt-BR"/>
        </w:rPr>
        <w:t xml:space="preserve"> para o crescimento acima da média do Grupo Henkel.  </w:t>
      </w:r>
    </w:p>
    <w:p w:rsidR="00480255" w:rsidRPr="008F07B0" w:rsidRDefault="00D72C37" w:rsidP="008F07B0">
      <w:pPr>
        <w:autoSpaceDE w:val="0"/>
        <w:spacing w:after="100" w:afterAutospacing="1" w:line="360" w:lineRule="auto"/>
        <w:jc w:val="both"/>
        <w:rPr>
          <w:rFonts w:cs="Arial"/>
          <w:b/>
          <w:sz w:val="22"/>
          <w:szCs w:val="22"/>
          <w:lang w:val="pt-BR"/>
        </w:rPr>
      </w:pPr>
      <w:r w:rsidRPr="008F07B0">
        <w:rPr>
          <w:rFonts w:cs="Arial"/>
          <w:b/>
          <w:sz w:val="22"/>
          <w:szCs w:val="22"/>
          <w:lang w:val="pt-BR"/>
        </w:rPr>
        <w:t xml:space="preserve">Panorama para o Grupo Henkel </w:t>
      </w:r>
      <w:r w:rsidR="00732B30">
        <w:rPr>
          <w:rFonts w:cs="Arial"/>
          <w:b/>
          <w:sz w:val="22"/>
          <w:szCs w:val="22"/>
          <w:lang w:val="pt-BR"/>
        </w:rPr>
        <w:t xml:space="preserve">em </w:t>
      </w:r>
      <w:r w:rsidRPr="008F07B0">
        <w:rPr>
          <w:rFonts w:cs="Arial"/>
          <w:b/>
          <w:sz w:val="22"/>
          <w:szCs w:val="22"/>
          <w:lang w:val="pt-BR"/>
        </w:rPr>
        <w:t>2015</w:t>
      </w:r>
    </w:p>
    <w:p w:rsidR="00D72C37" w:rsidRDefault="00D72C37" w:rsidP="008F07B0">
      <w:pPr>
        <w:autoSpaceDE w:val="0"/>
        <w:spacing w:line="360" w:lineRule="auto"/>
        <w:jc w:val="both"/>
        <w:rPr>
          <w:rFonts w:cs="Arial"/>
          <w:sz w:val="22"/>
          <w:szCs w:val="22"/>
          <w:lang w:val="pt-BR"/>
        </w:rPr>
      </w:pPr>
      <w:r w:rsidRPr="008F07B0">
        <w:rPr>
          <w:rFonts w:cs="Arial"/>
          <w:sz w:val="22"/>
          <w:szCs w:val="22"/>
          <w:lang w:val="pt-BR"/>
        </w:rPr>
        <w:t xml:space="preserve">A Henkel continua </w:t>
      </w:r>
      <w:r w:rsidR="00DC02D8">
        <w:rPr>
          <w:rFonts w:cs="Arial"/>
          <w:sz w:val="22"/>
          <w:szCs w:val="22"/>
          <w:lang w:val="pt-BR"/>
        </w:rPr>
        <w:t xml:space="preserve">projetando </w:t>
      </w:r>
      <w:r w:rsidRPr="008F07B0">
        <w:rPr>
          <w:rFonts w:cs="Arial"/>
          <w:sz w:val="22"/>
          <w:szCs w:val="22"/>
          <w:lang w:val="pt-BR"/>
        </w:rPr>
        <w:t>um crescimento</w:t>
      </w:r>
      <w:r>
        <w:rPr>
          <w:rFonts w:cs="Arial"/>
          <w:sz w:val="22"/>
          <w:szCs w:val="22"/>
          <w:lang w:val="pt-BR"/>
        </w:rPr>
        <w:t xml:space="preserve"> </w:t>
      </w:r>
      <w:r w:rsidR="00EB03B9">
        <w:rPr>
          <w:rFonts w:cs="Arial"/>
          <w:sz w:val="22"/>
          <w:szCs w:val="22"/>
          <w:lang w:val="pt-BR"/>
        </w:rPr>
        <w:t xml:space="preserve">orgânico </w:t>
      </w:r>
      <w:r>
        <w:rPr>
          <w:rFonts w:cs="Arial"/>
          <w:sz w:val="22"/>
          <w:szCs w:val="22"/>
          <w:lang w:val="pt-BR"/>
        </w:rPr>
        <w:t xml:space="preserve">de </w:t>
      </w:r>
      <w:r w:rsidRPr="009A5ADA">
        <w:rPr>
          <w:rFonts w:cs="Arial"/>
          <w:sz w:val="22"/>
          <w:szCs w:val="22"/>
          <w:lang w:val="pt-BR"/>
        </w:rPr>
        <w:t>3 a 5%</w:t>
      </w:r>
      <w:r w:rsidRPr="008F07B0">
        <w:rPr>
          <w:rFonts w:cs="Arial"/>
          <w:sz w:val="22"/>
          <w:szCs w:val="22"/>
          <w:lang w:val="pt-BR"/>
        </w:rPr>
        <w:t xml:space="preserve"> nas vendas no ano fiscal de 2015. </w:t>
      </w:r>
      <w:r w:rsidRPr="008F07B0">
        <w:rPr>
          <w:rFonts w:cs="Arial"/>
          <w:color w:val="000000"/>
          <w:sz w:val="22"/>
          <w:szCs w:val="22"/>
          <w:lang w:val="pt-BR"/>
        </w:rPr>
        <w:t xml:space="preserve"> A </w:t>
      </w:r>
      <w:r>
        <w:rPr>
          <w:rFonts w:cs="Arial"/>
          <w:color w:val="000000"/>
          <w:sz w:val="22"/>
          <w:szCs w:val="22"/>
          <w:lang w:val="pt-BR"/>
        </w:rPr>
        <w:t>companhia</w:t>
      </w:r>
      <w:r w:rsidRPr="008F07B0">
        <w:rPr>
          <w:rFonts w:cs="Arial"/>
          <w:color w:val="000000"/>
          <w:sz w:val="22"/>
          <w:szCs w:val="22"/>
          <w:lang w:val="pt-BR"/>
        </w:rPr>
        <w:t xml:space="preserve"> </w:t>
      </w:r>
      <w:r w:rsidR="00DC02D8">
        <w:rPr>
          <w:rFonts w:cs="Arial"/>
          <w:color w:val="000000"/>
          <w:sz w:val="22"/>
          <w:szCs w:val="22"/>
          <w:lang w:val="pt-BR"/>
        </w:rPr>
        <w:t xml:space="preserve">acredita </w:t>
      </w:r>
      <w:r w:rsidRPr="008F07B0">
        <w:rPr>
          <w:rFonts w:cs="Arial"/>
          <w:color w:val="000000"/>
          <w:sz w:val="22"/>
          <w:szCs w:val="22"/>
          <w:lang w:val="pt-BR"/>
        </w:rPr>
        <w:t xml:space="preserve">que as unidades </w:t>
      </w:r>
      <w:r w:rsidR="00FE14DA">
        <w:rPr>
          <w:rFonts w:cs="Arial"/>
          <w:color w:val="000000"/>
          <w:sz w:val="22"/>
          <w:szCs w:val="22"/>
          <w:lang w:val="pt-BR"/>
        </w:rPr>
        <w:t xml:space="preserve">de negócios de </w:t>
      </w:r>
      <w:proofErr w:type="spellStart"/>
      <w:r w:rsidRPr="008F07B0">
        <w:rPr>
          <w:rFonts w:cs="Arial"/>
          <w:i/>
          <w:color w:val="000000"/>
          <w:sz w:val="22"/>
          <w:szCs w:val="22"/>
          <w:lang w:val="pt-BR"/>
        </w:rPr>
        <w:t>Adhesive</w:t>
      </w:r>
      <w:proofErr w:type="spellEnd"/>
      <w:r w:rsidRPr="008F07B0">
        <w:rPr>
          <w:rFonts w:cs="Arial"/>
          <w:i/>
          <w:color w:val="000000"/>
          <w:sz w:val="22"/>
          <w:szCs w:val="22"/>
          <w:lang w:val="pt-BR"/>
        </w:rPr>
        <w:t xml:space="preserve"> Technologies</w:t>
      </w:r>
      <w:r w:rsidRPr="008F07B0">
        <w:rPr>
          <w:rFonts w:cs="Arial"/>
          <w:color w:val="000000"/>
          <w:sz w:val="22"/>
          <w:szCs w:val="22"/>
          <w:lang w:val="pt-BR"/>
        </w:rPr>
        <w:t xml:space="preserve"> e </w:t>
      </w:r>
      <w:proofErr w:type="spellStart"/>
      <w:r w:rsidRPr="008F07B0">
        <w:rPr>
          <w:rFonts w:cs="Arial"/>
          <w:i/>
          <w:color w:val="000000"/>
          <w:sz w:val="22"/>
          <w:szCs w:val="22"/>
          <w:lang w:val="pt-BR"/>
        </w:rPr>
        <w:t>Laundry</w:t>
      </w:r>
      <w:proofErr w:type="spellEnd"/>
      <w:r w:rsidRPr="008F07B0">
        <w:rPr>
          <w:rFonts w:cs="Arial"/>
          <w:i/>
          <w:color w:val="000000"/>
          <w:sz w:val="22"/>
          <w:szCs w:val="22"/>
          <w:lang w:val="pt-BR"/>
        </w:rPr>
        <w:t xml:space="preserve"> &amp; Home </w:t>
      </w:r>
      <w:proofErr w:type="spellStart"/>
      <w:r w:rsidRPr="008F07B0">
        <w:rPr>
          <w:rFonts w:cs="Arial"/>
          <w:i/>
          <w:color w:val="000000"/>
          <w:sz w:val="22"/>
          <w:szCs w:val="22"/>
          <w:lang w:val="pt-BR"/>
        </w:rPr>
        <w:t>Care</w:t>
      </w:r>
      <w:proofErr w:type="spellEnd"/>
      <w:r w:rsidRPr="008F07B0">
        <w:rPr>
          <w:rFonts w:cs="Arial"/>
          <w:color w:val="000000"/>
          <w:sz w:val="22"/>
          <w:szCs w:val="22"/>
          <w:lang w:val="pt-BR"/>
        </w:rPr>
        <w:t xml:space="preserve"> gerem, separadamente, um crescimento </w:t>
      </w:r>
      <w:r w:rsidR="00EB03B9">
        <w:rPr>
          <w:rFonts w:cs="Arial"/>
          <w:color w:val="000000"/>
          <w:sz w:val="22"/>
          <w:szCs w:val="22"/>
          <w:lang w:val="pt-BR"/>
        </w:rPr>
        <w:t xml:space="preserve">orgânico </w:t>
      </w:r>
      <w:r w:rsidRPr="008F07B0">
        <w:rPr>
          <w:rFonts w:cs="Arial"/>
          <w:color w:val="000000"/>
          <w:sz w:val="22"/>
          <w:szCs w:val="22"/>
          <w:lang w:val="pt-BR"/>
        </w:rPr>
        <w:t xml:space="preserve">nas vendas dentro dessa faixa. Na unidade </w:t>
      </w:r>
      <w:r w:rsidR="00DC02D8">
        <w:rPr>
          <w:rFonts w:cs="Arial"/>
          <w:color w:val="000000"/>
          <w:sz w:val="22"/>
          <w:szCs w:val="22"/>
          <w:lang w:val="pt-BR"/>
        </w:rPr>
        <w:t xml:space="preserve">de negócio de </w:t>
      </w:r>
      <w:proofErr w:type="spellStart"/>
      <w:r w:rsidRPr="008F07B0">
        <w:rPr>
          <w:rFonts w:cs="Arial"/>
          <w:i/>
          <w:color w:val="000000"/>
          <w:sz w:val="22"/>
          <w:szCs w:val="22"/>
          <w:lang w:val="pt-BR"/>
        </w:rPr>
        <w:t>Beauty</w:t>
      </w:r>
      <w:proofErr w:type="spellEnd"/>
      <w:r w:rsidRPr="008F07B0">
        <w:rPr>
          <w:rFonts w:cs="Arial"/>
          <w:i/>
          <w:color w:val="000000"/>
          <w:sz w:val="22"/>
          <w:szCs w:val="22"/>
          <w:lang w:val="pt-BR"/>
        </w:rPr>
        <w:t xml:space="preserve"> </w:t>
      </w:r>
      <w:proofErr w:type="spellStart"/>
      <w:r w:rsidRPr="008F07B0">
        <w:rPr>
          <w:rFonts w:cs="Arial"/>
          <w:i/>
          <w:color w:val="000000"/>
          <w:sz w:val="22"/>
          <w:szCs w:val="22"/>
          <w:lang w:val="pt-BR"/>
        </w:rPr>
        <w:t>Care</w:t>
      </w:r>
      <w:proofErr w:type="spellEnd"/>
      <w:r w:rsidRPr="008F07B0">
        <w:rPr>
          <w:rFonts w:cs="Arial"/>
          <w:color w:val="000000"/>
          <w:sz w:val="22"/>
          <w:szCs w:val="22"/>
          <w:lang w:val="pt-BR"/>
        </w:rPr>
        <w:t xml:space="preserve">, a </w:t>
      </w:r>
      <w:r w:rsidR="00DC02D8">
        <w:rPr>
          <w:rFonts w:cs="Arial"/>
          <w:color w:val="000000"/>
          <w:sz w:val="22"/>
          <w:szCs w:val="22"/>
          <w:lang w:val="pt-BR"/>
        </w:rPr>
        <w:t xml:space="preserve">companhia aguarda </w:t>
      </w:r>
      <w:r w:rsidRPr="008F07B0">
        <w:rPr>
          <w:rFonts w:cs="Arial"/>
          <w:color w:val="000000"/>
          <w:sz w:val="22"/>
          <w:szCs w:val="22"/>
          <w:lang w:val="pt-BR"/>
        </w:rPr>
        <w:t xml:space="preserve">um crescimento de aproximadamente 2%. Como anteriormente, a Henkel </w:t>
      </w:r>
      <w:r w:rsidR="00DC02D8">
        <w:rPr>
          <w:rFonts w:cs="Arial"/>
          <w:color w:val="000000"/>
          <w:sz w:val="22"/>
          <w:szCs w:val="22"/>
          <w:lang w:val="pt-BR"/>
        </w:rPr>
        <w:t xml:space="preserve">prevê </w:t>
      </w:r>
      <w:r w:rsidRPr="008F07B0">
        <w:rPr>
          <w:rFonts w:cs="Arial"/>
          <w:color w:val="000000"/>
          <w:sz w:val="22"/>
          <w:szCs w:val="22"/>
          <w:lang w:val="pt-BR"/>
        </w:rPr>
        <w:t>um desenvolvimento estável na parcela de vendas dos mercados emergentes. Em comparação aos números de 2014, a Henkel espera um retorno ajustado sobre as vendas</w:t>
      </w:r>
      <w:r w:rsidR="00764E7E">
        <w:rPr>
          <w:rFonts w:cs="Arial"/>
          <w:color w:val="000000"/>
          <w:sz w:val="22"/>
          <w:szCs w:val="22"/>
          <w:lang w:val="pt-BR"/>
        </w:rPr>
        <w:t xml:space="preserve"> (EBIT)</w:t>
      </w:r>
      <w:r w:rsidRPr="008F07B0">
        <w:rPr>
          <w:rFonts w:cs="Arial"/>
          <w:color w:val="000000"/>
          <w:sz w:val="22"/>
          <w:szCs w:val="22"/>
          <w:lang w:val="pt-BR"/>
        </w:rPr>
        <w:t xml:space="preserve"> de aproximadamente 16% e um aumento nos rendimentos ajustados por ação preferencial de aproximadamente 10%.</w:t>
      </w:r>
      <w:r>
        <w:rPr>
          <w:rFonts w:cs="Arial"/>
          <w:color w:val="000000"/>
          <w:sz w:val="24"/>
          <w:lang w:val="pt-BR"/>
        </w:rPr>
        <w:t xml:space="preserve"> </w:t>
      </w:r>
      <w:r w:rsidR="00732B30" w:rsidRPr="008F07B0">
        <w:rPr>
          <w:rFonts w:cs="Arial"/>
          <w:sz w:val="22"/>
          <w:szCs w:val="22"/>
          <w:lang w:val="pt-BR"/>
        </w:rPr>
        <w:t xml:space="preserve">"Esperamos que o atual ambiente </w:t>
      </w:r>
      <w:r w:rsidR="00EB03B9" w:rsidRPr="008F07B0">
        <w:rPr>
          <w:rFonts w:cs="Arial"/>
          <w:sz w:val="22"/>
          <w:szCs w:val="22"/>
          <w:lang w:val="pt-BR"/>
        </w:rPr>
        <w:t>econômico</w:t>
      </w:r>
      <w:r w:rsidR="00EB03B9" w:rsidRPr="008F07B0">
        <w:rPr>
          <w:rFonts w:cs="Arial"/>
          <w:sz w:val="22"/>
          <w:szCs w:val="22"/>
          <w:lang w:val="pt-BR"/>
        </w:rPr>
        <w:t xml:space="preserve"> </w:t>
      </w:r>
      <w:r w:rsidR="00732B30" w:rsidRPr="008F07B0">
        <w:rPr>
          <w:rFonts w:cs="Arial"/>
          <w:sz w:val="22"/>
          <w:szCs w:val="22"/>
          <w:lang w:val="pt-BR"/>
        </w:rPr>
        <w:t>global continue</w:t>
      </w:r>
      <w:r w:rsidR="00EB03B9">
        <w:rPr>
          <w:rFonts w:cs="Arial"/>
          <w:sz w:val="22"/>
          <w:szCs w:val="22"/>
          <w:lang w:val="pt-BR"/>
        </w:rPr>
        <w:t xml:space="preserve"> </w:t>
      </w:r>
      <w:r w:rsidR="00EB03B9" w:rsidRPr="008F07B0">
        <w:rPr>
          <w:rFonts w:cs="Arial"/>
          <w:sz w:val="22"/>
          <w:szCs w:val="22"/>
          <w:lang w:val="pt-BR"/>
        </w:rPr>
        <w:t>difícil</w:t>
      </w:r>
      <w:r w:rsidR="00732B30" w:rsidRPr="008F07B0">
        <w:rPr>
          <w:rFonts w:cs="Arial"/>
          <w:sz w:val="22"/>
          <w:szCs w:val="22"/>
          <w:lang w:val="pt-BR"/>
        </w:rPr>
        <w:t>. A volatilidade do mercado continuará alta. Neste contexto, agilidade e fl</w:t>
      </w:r>
      <w:r w:rsidR="00764E7E">
        <w:rPr>
          <w:rFonts w:cs="Arial"/>
          <w:sz w:val="22"/>
          <w:szCs w:val="22"/>
          <w:lang w:val="pt-BR"/>
        </w:rPr>
        <w:t>exibilidade são fatores-chave, p</w:t>
      </w:r>
      <w:r w:rsidR="00732B30" w:rsidRPr="008F07B0">
        <w:rPr>
          <w:rFonts w:cs="Arial"/>
          <w:sz w:val="22"/>
          <w:szCs w:val="22"/>
          <w:lang w:val="pt-BR"/>
        </w:rPr>
        <w:t>ortanto, continuaremos a nos adaptar, simplificando e acelerando ainda mais nossas estruturas e processos, acompanhando as mudanças nas condições dos mercados"</w:t>
      </w:r>
      <w:r w:rsidRPr="008F07B0">
        <w:rPr>
          <w:rFonts w:cs="Arial"/>
          <w:sz w:val="22"/>
          <w:szCs w:val="22"/>
          <w:lang w:val="pt-BR"/>
        </w:rPr>
        <w:t xml:space="preserve">, </w:t>
      </w:r>
      <w:r w:rsidR="00764E7E">
        <w:rPr>
          <w:rFonts w:cs="Arial"/>
          <w:sz w:val="22"/>
          <w:szCs w:val="22"/>
          <w:lang w:val="pt-BR"/>
        </w:rPr>
        <w:t xml:space="preserve">finalizou </w:t>
      </w:r>
      <w:proofErr w:type="spellStart"/>
      <w:r w:rsidRPr="008F07B0">
        <w:rPr>
          <w:rFonts w:cs="Arial"/>
          <w:sz w:val="22"/>
          <w:szCs w:val="22"/>
          <w:lang w:val="pt-BR"/>
        </w:rPr>
        <w:t>R</w:t>
      </w:r>
      <w:r w:rsidR="00764E7E">
        <w:rPr>
          <w:rFonts w:cs="Arial"/>
          <w:sz w:val="22"/>
          <w:szCs w:val="22"/>
          <w:lang w:val="pt-BR"/>
        </w:rPr>
        <w:t>o</w:t>
      </w:r>
      <w:r w:rsidRPr="008F07B0">
        <w:rPr>
          <w:rFonts w:cs="Arial"/>
          <w:sz w:val="22"/>
          <w:szCs w:val="22"/>
          <w:lang w:val="pt-BR"/>
        </w:rPr>
        <w:t>rsted</w:t>
      </w:r>
      <w:proofErr w:type="spellEnd"/>
      <w:r w:rsidRPr="008F07B0">
        <w:rPr>
          <w:rFonts w:cs="Arial"/>
          <w:sz w:val="22"/>
          <w:szCs w:val="22"/>
          <w:lang w:val="pt-BR"/>
        </w:rPr>
        <w:t>.</w:t>
      </w:r>
    </w:p>
    <w:p w:rsidR="00D72C37" w:rsidRDefault="00D72C37" w:rsidP="008F07B0">
      <w:pPr>
        <w:autoSpaceDE w:val="0"/>
        <w:spacing w:line="360" w:lineRule="auto"/>
        <w:jc w:val="both"/>
        <w:rPr>
          <w:rFonts w:cs="Arial"/>
          <w:sz w:val="22"/>
          <w:szCs w:val="22"/>
          <w:lang w:val="pt-BR"/>
        </w:rPr>
      </w:pPr>
    </w:p>
    <w:p w:rsidR="00D72C37" w:rsidRPr="00673CD4" w:rsidRDefault="00D72C37" w:rsidP="00D72C37">
      <w:pPr>
        <w:rPr>
          <w:b/>
          <w:bCs/>
        </w:rPr>
      </w:pPr>
      <w:r>
        <w:rPr>
          <w:b/>
          <w:bCs/>
        </w:rPr>
        <w:t>Sobre a Henkel</w:t>
      </w:r>
    </w:p>
    <w:p w:rsidR="00D72C37" w:rsidRPr="00673CD4" w:rsidRDefault="00D72C37" w:rsidP="00D72C37">
      <w:pPr>
        <w:pStyle w:val="Standard12pt"/>
        <w:spacing w:line="240" w:lineRule="auto"/>
        <w:jc w:val="both"/>
        <w:rPr>
          <w:rFonts w:eastAsia="Arial Unicode MS" w:cs="Arial"/>
          <w:sz w:val="20"/>
          <w:szCs w:val="20"/>
        </w:rPr>
      </w:pPr>
      <w:r w:rsidRPr="00673CD4">
        <w:rPr>
          <w:rFonts w:eastAsia="Arial Unicode MS" w:cs="Arial"/>
          <w:sz w:val="20"/>
          <w:szCs w:val="20"/>
        </w:rPr>
        <w:t xml:space="preserve">A Henkel opera no mundo todo com marcas e tecnologias líderes em três áreas de negócios: Laundry &amp; Home Care, Beauty Care e Adhesive Technologies. Fundada em 1876, a Henkel ocupa posições de liderança no Mercado global nos setores de consumo e industrial com marcas conhecidas, como Persil, Schwarzkopf e Loctite. A Henkel emprega cerca de 50 mil pessoas e apresentou vendas de € </w:t>
      </w:r>
      <w:r w:rsidRPr="00673CD4">
        <w:rPr>
          <w:rFonts w:eastAsia="Arial Unicode MS" w:cs="Arial"/>
          <w:sz w:val="20"/>
          <w:szCs w:val="20"/>
        </w:rPr>
        <w:lastRenderedPageBreak/>
        <w:t>16,4 bilhões e um lucro operacional ajustado de € 2,6 bilhões no ano fiscal de 2014. As ações preferenciais da Henkel constam do índice DAX da bolsa de valores alemã.</w:t>
      </w:r>
    </w:p>
    <w:p w:rsidR="00D72C37" w:rsidRPr="00673CD4" w:rsidRDefault="00D72C37" w:rsidP="00D72C37">
      <w:pPr>
        <w:pStyle w:val="Standard12pt"/>
        <w:spacing w:line="240" w:lineRule="auto"/>
        <w:jc w:val="both"/>
        <w:rPr>
          <w:rFonts w:eastAsia="Arial Unicode MS" w:cs="Arial"/>
          <w:sz w:val="20"/>
          <w:szCs w:val="20"/>
        </w:rPr>
      </w:pPr>
    </w:p>
    <w:p w:rsidR="00D72C37" w:rsidRPr="00673CD4" w:rsidRDefault="00D72C37" w:rsidP="00D72C37">
      <w:pPr>
        <w:pStyle w:val="Standard12pt"/>
        <w:spacing w:line="240" w:lineRule="auto"/>
        <w:jc w:val="both"/>
        <w:rPr>
          <w:rFonts w:eastAsia="Arial Unicode MS" w:cs="Arial"/>
          <w:sz w:val="20"/>
          <w:szCs w:val="20"/>
        </w:rPr>
      </w:pPr>
      <w:r w:rsidRPr="00673CD4">
        <w:rPr>
          <w:rFonts w:eastAsia="Arial Unicode MS" w:cs="Arial"/>
          <w:sz w:val="20"/>
          <w:szCs w:val="20"/>
        </w:rPr>
        <w:t xml:space="preserve">Para mais informação sobre a companhia, acesse </w:t>
      </w:r>
      <w:hyperlink r:id="rId7" w:history="1">
        <w:r w:rsidRPr="00673CD4">
          <w:rPr>
            <w:rFonts w:eastAsia="Arial Unicode MS" w:cs="Arial"/>
            <w:color w:val="0000FF"/>
            <w:sz w:val="20"/>
            <w:szCs w:val="20"/>
            <w:u w:val="single"/>
          </w:rPr>
          <w:t>www.henkel.com</w:t>
        </w:r>
      </w:hyperlink>
    </w:p>
    <w:p w:rsidR="00D72C37" w:rsidRPr="00A939BE" w:rsidRDefault="00D72C37" w:rsidP="00D72C37">
      <w:pPr>
        <w:spacing w:line="276" w:lineRule="auto"/>
        <w:jc w:val="both"/>
        <w:rPr>
          <w:sz w:val="24"/>
        </w:rPr>
      </w:pPr>
    </w:p>
    <w:p w:rsidR="00D72C37" w:rsidRPr="00A939BE" w:rsidRDefault="00D72C37" w:rsidP="00D72C37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A939BE">
        <w:rPr>
          <w:rFonts w:ascii="Arial" w:hAnsi="Arial" w:cs="Arial"/>
          <w:b/>
          <w:sz w:val="20"/>
          <w:szCs w:val="20"/>
        </w:rPr>
        <w:t>Sobre a Henkel Brasil</w:t>
      </w:r>
    </w:p>
    <w:p w:rsidR="00D72C37" w:rsidRPr="00554CBE" w:rsidRDefault="00D72C37" w:rsidP="00D72C37">
      <w:pPr>
        <w:pStyle w:val="Standard12pt"/>
        <w:spacing w:line="240" w:lineRule="auto"/>
        <w:jc w:val="both"/>
        <w:rPr>
          <w:rFonts w:eastAsia="Arial Unicode MS" w:cs="Arial"/>
          <w:sz w:val="20"/>
          <w:szCs w:val="20"/>
        </w:rPr>
      </w:pPr>
      <w:r w:rsidRPr="00554CBE">
        <w:rPr>
          <w:rFonts w:eastAsia="Arial Unicode MS" w:cs="Arial"/>
          <w:sz w:val="20"/>
          <w:szCs w:val="20"/>
        </w:rPr>
        <w:t xml:space="preserve">A Henkel está no Brasil há 59 anos e atua nas áreas de Adesivos, Selantes e Tratamento de Superfícies e Beauty Care, com marcas como Cascola, Loctite, Pritt e Schwarzkopf.  A Henkel Brasil conta com mais de </w:t>
      </w:r>
      <w:r>
        <w:rPr>
          <w:rFonts w:eastAsia="Arial Unicode MS" w:cs="Arial"/>
          <w:sz w:val="20"/>
          <w:szCs w:val="20"/>
        </w:rPr>
        <w:t xml:space="preserve">928 </w:t>
      </w:r>
      <w:r w:rsidRPr="00554CBE">
        <w:rPr>
          <w:rFonts w:eastAsia="Arial Unicode MS" w:cs="Arial"/>
          <w:sz w:val="20"/>
          <w:szCs w:val="20"/>
        </w:rPr>
        <w:t xml:space="preserve">profissionais distribuídos nas plantas de Diadema, Itapevi, Jundiaí e Manaus. </w:t>
      </w:r>
    </w:p>
    <w:p w:rsidR="00D72C37" w:rsidRDefault="00D72C37" w:rsidP="00D72C37">
      <w:pPr>
        <w:pStyle w:val="Standard12pt"/>
        <w:spacing w:line="240" w:lineRule="auto"/>
        <w:jc w:val="both"/>
        <w:rPr>
          <w:rFonts w:eastAsia="Arial Unicode MS" w:cs="Arial"/>
          <w:b/>
          <w:sz w:val="20"/>
          <w:szCs w:val="20"/>
        </w:rPr>
      </w:pPr>
    </w:p>
    <w:p w:rsidR="00D72C37" w:rsidRPr="00673CD4" w:rsidRDefault="00D72C37" w:rsidP="00D72C37">
      <w:pPr>
        <w:pStyle w:val="Standard12pt"/>
        <w:spacing w:line="240" w:lineRule="auto"/>
        <w:jc w:val="both"/>
        <w:rPr>
          <w:rFonts w:eastAsia="Arial Unicode MS" w:cs="Arial"/>
          <w:b/>
          <w:sz w:val="20"/>
          <w:szCs w:val="20"/>
        </w:rPr>
      </w:pPr>
      <w:r w:rsidRPr="00673CD4">
        <w:rPr>
          <w:rFonts w:eastAsia="Arial Unicode MS" w:cs="Arial"/>
          <w:b/>
          <w:sz w:val="20"/>
          <w:szCs w:val="20"/>
        </w:rPr>
        <w:t xml:space="preserve">Informações para a imprensa: </w:t>
      </w:r>
    </w:p>
    <w:p w:rsidR="00D72C37" w:rsidRPr="00673CD4" w:rsidRDefault="00D72C37" w:rsidP="00D72C37">
      <w:pPr>
        <w:pStyle w:val="Standard12pt"/>
        <w:spacing w:line="240" w:lineRule="auto"/>
        <w:jc w:val="both"/>
        <w:rPr>
          <w:rFonts w:eastAsia="Arial Unicode MS" w:cs="Arial"/>
          <w:b/>
          <w:sz w:val="20"/>
          <w:szCs w:val="20"/>
        </w:rPr>
      </w:pPr>
      <w:r w:rsidRPr="00673CD4">
        <w:rPr>
          <w:rFonts w:eastAsia="Arial Unicode MS" w:cs="Arial"/>
          <w:b/>
          <w:sz w:val="20"/>
          <w:szCs w:val="20"/>
        </w:rPr>
        <w:t>Burson-Marsteller Brasil – (11) 3094-2240</w:t>
      </w:r>
    </w:p>
    <w:p w:rsidR="00D72C37" w:rsidRPr="00162A9C" w:rsidRDefault="00D72C37" w:rsidP="00D72C37">
      <w:pPr>
        <w:pStyle w:val="Standard12pt"/>
        <w:spacing w:line="240" w:lineRule="auto"/>
        <w:jc w:val="both"/>
        <w:rPr>
          <w:rFonts w:eastAsia="Arial Unicode MS" w:cs="Arial"/>
          <w:sz w:val="20"/>
          <w:szCs w:val="20"/>
        </w:rPr>
      </w:pPr>
      <w:r w:rsidRPr="00162A9C">
        <w:rPr>
          <w:rFonts w:eastAsia="Arial Unicode MS" w:cs="Arial"/>
          <w:sz w:val="20"/>
          <w:szCs w:val="20"/>
        </w:rPr>
        <w:t xml:space="preserve">Danilo Valeta – </w:t>
      </w:r>
      <w:hyperlink r:id="rId8" w:history="1">
        <w:r w:rsidRPr="00673CD4">
          <w:rPr>
            <w:rFonts w:eastAsia="Arial Unicode MS"/>
            <w:color w:val="0000FF"/>
            <w:sz w:val="20"/>
            <w:szCs w:val="20"/>
            <w:u w:val="single"/>
          </w:rPr>
          <w:t>danilo.valeta@bm.com</w:t>
        </w:r>
      </w:hyperlink>
      <w:r w:rsidRPr="00162A9C">
        <w:rPr>
          <w:rFonts w:eastAsia="Arial Unicode MS" w:cs="Arial"/>
          <w:sz w:val="20"/>
          <w:szCs w:val="20"/>
        </w:rPr>
        <w:t xml:space="preserve"> – (11) 3094-2251</w:t>
      </w:r>
    </w:p>
    <w:p w:rsidR="00D72C37" w:rsidRPr="00162A9C" w:rsidRDefault="00D72C37" w:rsidP="00D72C37">
      <w:pPr>
        <w:pStyle w:val="Standard12pt"/>
        <w:spacing w:line="240" w:lineRule="auto"/>
        <w:jc w:val="both"/>
        <w:rPr>
          <w:rFonts w:eastAsia="Arial Unicode MS" w:cs="Arial"/>
          <w:sz w:val="20"/>
          <w:szCs w:val="20"/>
        </w:rPr>
      </w:pPr>
      <w:r w:rsidRPr="00162A9C">
        <w:rPr>
          <w:rFonts w:eastAsia="Arial Unicode MS" w:cs="Arial"/>
          <w:sz w:val="20"/>
          <w:szCs w:val="20"/>
        </w:rPr>
        <w:t xml:space="preserve">Eduardo Bastos – </w:t>
      </w:r>
      <w:hyperlink r:id="rId9" w:history="1">
        <w:r w:rsidRPr="00673CD4">
          <w:rPr>
            <w:rFonts w:eastAsia="Arial Unicode MS"/>
            <w:color w:val="0000FF"/>
            <w:sz w:val="20"/>
            <w:szCs w:val="20"/>
            <w:u w:val="single"/>
          </w:rPr>
          <w:t>eduardo.bastos@bm.com</w:t>
        </w:r>
      </w:hyperlink>
      <w:r w:rsidRPr="00162A9C">
        <w:rPr>
          <w:rFonts w:eastAsia="Arial Unicode MS" w:cs="Arial"/>
          <w:sz w:val="20"/>
          <w:szCs w:val="20"/>
        </w:rPr>
        <w:t xml:space="preserve"> – (11) 3094-2245</w:t>
      </w:r>
    </w:p>
    <w:p w:rsidR="00480255" w:rsidRDefault="00480255" w:rsidP="008F07B0">
      <w:pPr>
        <w:autoSpaceDE w:val="0"/>
        <w:spacing w:line="360" w:lineRule="auto"/>
        <w:jc w:val="both"/>
      </w:pPr>
    </w:p>
    <w:sectPr w:rsidR="00480255">
      <w:headerReference w:type="default" r:id="rId10"/>
      <w:footerReference w:type="default" r:id="rId11"/>
      <w:headerReference w:type="first" r:id="rId12"/>
      <w:footerReference w:type="first" r:id="rId13"/>
      <w:pgSz w:w="11907" w:h="16840"/>
      <w:pgMar w:top="510" w:right="1418" w:bottom="1985" w:left="1418" w:header="720" w:footer="94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DD2" w:rsidRDefault="00D72C37">
      <w:pPr>
        <w:spacing w:line="240" w:lineRule="auto"/>
      </w:pPr>
      <w:r>
        <w:separator/>
      </w:r>
    </w:p>
  </w:endnote>
  <w:endnote w:type="continuationSeparator" w:id="0">
    <w:p w:rsidR="00381DD2" w:rsidRDefault="00D72C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549" w:rsidRPr="008F07B0" w:rsidRDefault="00D72C37" w:rsidP="008F07B0">
    <w:pPr>
      <w:pStyle w:val="Footer"/>
      <w:jc w:val="distribute"/>
      <w:rPr>
        <w:b w:val="0"/>
        <w:color w:val="000000"/>
      </w:rPr>
    </w:pPr>
    <w:r>
      <w:rPr>
        <w:b w:val="0"/>
        <w:noProof/>
        <w:color w:val="000000"/>
        <w:lang w:val="pt-BR" w:eastAsia="pt-BR"/>
      </w:rPr>
      <w:drawing>
        <wp:inline distT="0" distB="0" distL="0" distR="0" wp14:anchorId="43239995" wp14:editId="47C7C60A">
          <wp:extent cx="419100" cy="142875"/>
          <wp:effectExtent l="0" t="0" r="0" b="9525"/>
          <wp:docPr id="11" name="Imagem 11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tulo2Char"/>
        <w:b/>
        <w:color w:val="000000"/>
      </w:rPr>
      <w:t xml:space="preserve"> </w:t>
    </w:r>
    <w:r>
      <w:rPr>
        <w:b w:val="0"/>
        <w:noProof/>
        <w:color w:val="000000"/>
        <w:position w:val="-1"/>
        <w:lang w:val="pt-BR" w:eastAsia="pt-BR"/>
      </w:rPr>
      <w:drawing>
        <wp:inline distT="0" distB="0" distL="0" distR="0" wp14:anchorId="56055076" wp14:editId="24ECAF1D">
          <wp:extent cx="352425" cy="142875"/>
          <wp:effectExtent l="0" t="0" r="9525" b="9525"/>
          <wp:docPr id="12" name="Imagem 12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tulo2Char"/>
        <w:b/>
        <w:color w:val="000000"/>
      </w:rPr>
      <w:t xml:space="preserve"> </w:t>
    </w:r>
    <w:r>
      <w:rPr>
        <w:b w:val="0"/>
        <w:noProof/>
        <w:color w:val="000000"/>
        <w:position w:val="-14"/>
        <w:lang w:val="pt-BR" w:eastAsia="pt-BR"/>
      </w:rPr>
      <w:drawing>
        <wp:inline distT="0" distB="0" distL="0" distR="0" wp14:anchorId="2706A2C2" wp14:editId="449EC14C">
          <wp:extent cx="257175" cy="285750"/>
          <wp:effectExtent l="0" t="0" r="9525" b="0"/>
          <wp:docPr id="13" name="Imagem 13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tulo2Char"/>
        <w:b/>
        <w:color w:val="000000"/>
      </w:rPr>
      <w:t xml:space="preserve"> </w:t>
    </w:r>
    <w:r>
      <w:rPr>
        <w:b w:val="0"/>
        <w:noProof/>
        <w:color w:val="000000"/>
        <w:position w:val="-8"/>
        <w:lang w:val="pt-BR" w:eastAsia="pt-BR"/>
      </w:rPr>
      <w:drawing>
        <wp:inline distT="0" distB="0" distL="0" distR="0" wp14:anchorId="196A4BC4" wp14:editId="1DE958CD">
          <wp:extent cx="695325" cy="266700"/>
          <wp:effectExtent l="0" t="0" r="9525" b="0"/>
          <wp:docPr id="14" name="Imagem 14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tulo2Char"/>
        <w:b/>
        <w:color w:val="000000"/>
      </w:rPr>
      <w:t xml:space="preserve"> </w:t>
    </w:r>
    <w:r>
      <w:rPr>
        <w:b w:val="0"/>
        <w:noProof/>
        <w:color w:val="000000"/>
        <w:position w:val="-10"/>
        <w:lang w:val="pt-BR" w:eastAsia="pt-BR"/>
      </w:rPr>
      <w:drawing>
        <wp:inline distT="0" distB="0" distL="0" distR="0" wp14:anchorId="1C006599" wp14:editId="5646701A">
          <wp:extent cx="352425" cy="266700"/>
          <wp:effectExtent l="0" t="0" r="9525" b="0"/>
          <wp:docPr id="15" name="Imagem 1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tulo2Char"/>
        <w:b/>
        <w:color w:val="000000"/>
      </w:rPr>
      <w:t xml:space="preserve"> </w:t>
    </w:r>
    <w:r>
      <w:rPr>
        <w:b w:val="0"/>
        <w:noProof/>
        <w:color w:val="000000"/>
        <w:position w:val="-4"/>
        <w:lang w:val="pt-BR" w:eastAsia="pt-BR"/>
      </w:rPr>
      <w:drawing>
        <wp:inline distT="0" distB="0" distL="0" distR="0" wp14:anchorId="67478742" wp14:editId="3E1CEBCF">
          <wp:extent cx="495300" cy="123825"/>
          <wp:effectExtent l="0" t="0" r="0" b="9525"/>
          <wp:docPr id="16" name="Imagem 16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tulo2Char"/>
        <w:b/>
        <w:color w:val="000000"/>
      </w:rPr>
      <w:t xml:space="preserve"> </w:t>
    </w:r>
    <w:r>
      <w:rPr>
        <w:b w:val="0"/>
        <w:noProof/>
        <w:color w:val="000000"/>
        <w:lang w:val="pt-BR" w:eastAsia="pt-BR"/>
      </w:rPr>
      <w:drawing>
        <wp:inline distT="0" distB="0" distL="0" distR="0" wp14:anchorId="768F2F33" wp14:editId="6E12B0E9">
          <wp:extent cx="590550" cy="104775"/>
          <wp:effectExtent l="0" t="0" r="0" b="9525"/>
          <wp:docPr id="17" name="Imagem 17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tulo2Char"/>
        <w:b/>
        <w:color w:val="000000"/>
      </w:rPr>
      <w:t xml:space="preserve"> </w:t>
    </w:r>
    <w:r>
      <w:rPr>
        <w:b w:val="0"/>
        <w:noProof/>
        <w:color w:val="000000"/>
        <w:lang w:val="pt-BR" w:eastAsia="pt-BR"/>
      </w:rPr>
      <w:drawing>
        <wp:inline distT="0" distB="0" distL="0" distR="0" wp14:anchorId="5E19BE5F" wp14:editId="1CA939BA">
          <wp:extent cx="1000125" cy="104775"/>
          <wp:effectExtent l="0" t="0" r="9525" b="9525"/>
          <wp:docPr id="18" name="Imagem 18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tulo2Char"/>
        <w:b/>
        <w:color w:val="000000"/>
      </w:rPr>
      <w:t xml:space="preserve"> </w:t>
    </w:r>
    <w:r>
      <w:rPr>
        <w:b w:val="0"/>
        <w:noProof/>
        <w:lang w:val="pt-BR" w:eastAsia="pt-BR"/>
      </w:rPr>
      <w:drawing>
        <wp:inline distT="0" distB="0" distL="0" distR="0" wp14:anchorId="231847AC" wp14:editId="758266AD">
          <wp:extent cx="838200" cy="104775"/>
          <wp:effectExtent l="0" t="0" r="0" b="9525"/>
          <wp:docPr id="19" name="Imagem 19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C37" w:rsidRDefault="00D72C37" w:rsidP="00D72C37">
    <w:pPr>
      <w:pStyle w:val="Footer"/>
      <w:jc w:val="distribute"/>
      <w:rPr>
        <w:b w:val="0"/>
        <w:color w:val="000000"/>
      </w:rPr>
    </w:pPr>
    <w:r>
      <w:rPr>
        <w:b w:val="0"/>
        <w:noProof/>
        <w:color w:val="000000"/>
        <w:lang w:val="pt-BR" w:eastAsia="pt-BR"/>
      </w:rPr>
      <w:drawing>
        <wp:inline distT="0" distB="0" distL="0" distR="0" wp14:anchorId="03CBA6C3" wp14:editId="36C92650">
          <wp:extent cx="419100" cy="142875"/>
          <wp:effectExtent l="0" t="0" r="0" b="9525"/>
          <wp:docPr id="10" name="Imagem 10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tulo2Char"/>
        <w:b/>
        <w:color w:val="000000"/>
      </w:rPr>
      <w:t xml:space="preserve"> </w:t>
    </w:r>
    <w:r>
      <w:rPr>
        <w:b w:val="0"/>
        <w:noProof/>
        <w:color w:val="000000"/>
        <w:position w:val="-1"/>
        <w:lang w:val="pt-BR" w:eastAsia="pt-BR"/>
      </w:rPr>
      <w:drawing>
        <wp:inline distT="0" distB="0" distL="0" distR="0" wp14:anchorId="5DCF89A0" wp14:editId="7DDFB2A9">
          <wp:extent cx="352425" cy="142875"/>
          <wp:effectExtent l="0" t="0" r="9525" b="9525"/>
          <wp:docPr id="9" name="Imagem 9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tulo2Char"/>
        <w:b/>
        <w:color w:val="000000"/>
      </w:rPr>
      <w:t xml:space="preserve"> </w:t>
    </w:r>
    <w:r>
      <w:rPr>
        <w:b w:val="0"/>
        <w:noProof/>
        <w:color w:val="000000"/>
        <w:position w:val="-14"/>
        <w:lang w:val="pt-BR" w:eastAsia="pt-BR"/>
      </w:rPr>
      <w:drawing>
        <wp:inline distT="0" distB="0" distL="0" distR="0" wp14:anchorId="09D6010C" wp14:editId="71F2E261">
          <wp:extent cx="257175" cy="285750"/>
          <wp:effectExtent l="0" t="0" r="9525" b="0"/>
          <wp:docPr id="8" name="Imagem 8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tulo2Char"/>
        <w:b/>
        <w:color w:val="000000"/>
      </w:rPr>
      <w:t xml:space="preserve"> </w:t>
    </w:r>
    <w:r>
      <w:rPr>
        <w:b w:val="0"/>
        <w:noProof/>
        <w:color w:val="000000"/>
        <w:position w:val="-8"/>
        <w:lang w:val="pt-BR" w:eastAsia="pt-BR"/>
      </w:rPr>
      <w:drawing>
        <wp:inline distT="0" distB="0" distL="0" distR="0" wp14:anchorId="0DE385D9" wp14:editId="6C928ACE">
          <wp:extent cx="695325" cy="266700"/>
          <wp:effectExtent l="0" t="0" r="9525" b="0"/>
          <wp:docPr id="7" name="Imagem 7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tulo2Char"/>
        <w:b/>
        <w:color w:val="000000"/>
      </w:rPr>
      <w:t xml:space="preserve"> </w:t>
    </w:r>
    <w:r>
      <w:rPr>
        <w:b w:val="0"/>
        <w:noProof/>
        <w:color w:val="000000"/>
        <w:position w:val="-10"/>
        <w:lang w:val="pt-BR" w:eastAsia="pt-BR"/>
      </w:rPr>
      <w:drawing>
        <wp:inline distT="0" distB="0" distL="0" distR="0" wp14:anchorId="4CE3EAC9" wp14:editId="5EB2F4DD">
          <wp:extent cx="352425" cy="266700"/>
          <wp:effectExtent l="0" t="0" r="9525" b="0"/>
          <wp:docPr id="6" name="Imagem 6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tulo2Char"/>
        <w:b/>
        <w:color w:val="000000"/>
      </w:rPr>
      <w:t xml:space="preserve"> </w:t>
    </w:r>
    <w:r>
      <w:rPr>
        <w:b w:val="0"/>
        <w:noProof/>
        <w:color w:val="000000"/>
        <w:position w:val="-4"/>
        <w:lang w:val="pt-BR" w:eastAsia="pt-BR"/>
      </w:rPr>
      <w:drawing>
        <wp:inline distT="0" distB="0" distL="0" distR="0" wp14:anchorId="1268A5F1" wp14:editId="53B2D85B">
          <wp:extent cx="495300" cy="123825"/>
          <wp:effectExtent l="0" t="0" r="0" b="9525"/>
          <wp:docPr id="5" name="Imagem 5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tulo2Char"/>
        <w:b/>
        <w:color w:val="000000"/>
      </w:rPr>
      <w:t xml:space="preserve"> </w:t>
    </w:r>
    <w:r>
      <w:rPr>
        <w:b w:val="0"/>
        <w:noProof/>
        <w:color w:val="000000"/>
        <w:lang w:val="pt-BR" w:eastAsia="pt-BR"/>
      </w:rPr>
      <w:drawing>
        <wp:inline distT="0" distB="0" distL="0" distR="0" wp14:anchorId="0F22F1AE" wp14:editId="4A9E52CA">
          <wp:extent cx="590550" cy="104775"/>
          <wp:effectExtent l="0" t="0" r="0" b="9525"/>
          <wp:docPr id="4" name="Imagem 4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tulo2Char"/>
        <w:b/>
        <w:color w:val="000000"/>
      </w:rPr>
      <w:t xml:space="preserve"> </w:t>
    </w:r>
    <w:r>
      <w:rPr>
        <w:b w:val="0"/>
        <w:noProof/>
        <w:color w:val="000000"/>
        <w:lang w:val="pt-BR" w:eastAsia="pt-BR"/>
      </w:rPr>
      <w:drawing>
        <wp:inline distT="0" distB="0" distL="0" distR="0" wp14:anchorId="36DADA2A" wp14:editId="04F03B61">
          <wp:extent cx="1000125" cy="104775"/>
          <wp:effectExtent l="0" t="0" r="9525" b="9525"/>
          <wp:docPr id="3" name="Imagem 3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tulo2Char"/>
        <w:b/>
        <w:color w:val="000000"/>
      </w:rPr>
      <w:t xml:space="preserve"> </w:t>
    </w:r>
    <w:r>
      <w:rPr>
        <w:b w:val="0"/>
        <w:noProof/>
        <w:lang w:val="pt-BR" w:eastAsia="pt-BR"/>
      </w:rPr>
      <w:drawing>
        <wp:inline distT="0" distB="0" distL="0" distR="0" wp14:anchorId="0F229B9C" wp14:editId="3DB858F5">
          <wp:extent cx="838200" cy="104775"/>
          <wp:effectExtent l="0" t="0" r="0" b="9525"/>
          <wp:docPr id="2" name="Imagem 2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55549" w:rsidRDefault="00EB03B9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DD2" w:rsidRDefault="00D72C37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381DD2" w:rsidRDefault="00D72C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549" w:rsidRDefault="00EB03B9">
    <w:pPr>
      <w:pStyle w:val="Header"/>
      <w:spacing w:after="567" w:line="280" w:lineRule="exact"/>
      <w:jc w:val="right"/>
      <w:rPr>
        <w:lang w:val="pt-B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549" w:rsidRDefault="00AA2F6B">
    <w:pPr>
      <w:pStyle w:val="Header"/>
      <w:tabs>
        <w:tab w:val="clear" w:pos="8640"/>
      </w:tabs>
      <w:spacing w:line="2155" w:lineRule="exact"/>
      <w:jc w:val="right"/>
      <w:rPr>
        <w:b/>
        <w:bCs/>
        <w:sz w:val="36"/>
        <w:szCs w:val="36"/>
        <w:lang w:val="pt-BR"/>
      </w:rPr>
    </w:pPr>
    <w:r>
      <w:rPr>
        <w:b/>
        <w:bCs/>
        <w:noProof/>
        <w:sz w:val="36"/>
        <w:szCs w:val="36"/>
        <w:lang w:val="pt-BR"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" name="Imagem 1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60307"/>
    <w:multiLevelType w:val="multilevel"/>
    <w:tmpl w:val="9DFC79EC"/>
    <w:styleLink w:val="LFO1"/>
    <w:lvl w:ilvl="0">
      <w:numFmt w:val="bullet"/>
      <w:pStyle w:val="NumBullet"/>
      <w:lvlText w:val="•"/>
      <w:lvlJc w:val="left"/>
      <w:pPr>
        <w:ind w:left="567" w:hanging="567"/>
      </w:pPr>
      <w:rPr>
        <w:rFonts w:ascii="Times New Roman" w:hAnsi="Times New Roman"/>
        <w:color w:val="E1000F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6F124867"/>
    <w:multiLevelType w:val="multilevel"/>
    <w:tmpl w:val="99CA768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255"/>
    <w:rsid w:val="0003360E"/>
    <w:rsid w:val="00381DD2"/>
    <w:rsid w:val="00480255"/>
    <w:rsid w:val="00547387"/>
    <w:rsid w:val="00692247"/>
    <w:rsid w:val="006951B2"/>
    <w:rsid w:val="00732B30"/>
    <w:rsid w:val="00764E7E"/>
    <w:rsid w:val="008F07B0"/>
    <w:rsid w:val="009A7D74"/>
    <w:rsid w:val="00AA2F6B"/>
    <w:rsid w:val="00B5586B"/>
    <w:rsid w:val="00D56702"/>
    <w:rsid w:val="00D72C37"/>
    <w:rsid w:val="00D9695E"/>
    <w:rsid w:val="00DC02D8"/>
    <w:rsid w:val="00E15CA8"/>
    <w:rsid w:val="00EB03B9"/>
    <w:rsid w:val="00ED46D4"/>
    <w:rsid w:val="00FE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4CED9CF5-9C30-4C15-9F5B-2472237B7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260" w:lineRule="atLeast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pPr>
      <w:keepNext/>
      <w:spacing w:line="420" w:lineRule="atLeast"/>
      <w:outlineLvl w:val="0"/>
    </w:pPr>
    <w:rPr>
      <w:rFonts w:cs="Arial"/>
      <w:b/>
      <w:bCs/>
      <w:kern w:val="3"/>
      <w:sz w:val="36"/>
      <w:szCs w:val="32"/>
    </w:rPr>
  </w:style>
  <w:style w:type="paragraph" w:styleId="Heading2">
    <w:name w:val="heading 2"/>
    <w:basedOn w:val="Normal"/>
    <w:next w:val="Normal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basedOn w:val="DefaultParagraphFont"/>
    <w:rPr>
      <w:rFonts w:ascii="Arial" w:hAnsi="Arial"/>
      <w:b/>
      <w:kern w:val="3"/>
      <w:sz w:val="32"/>
      <w:lang w:eastAsia="en-US"/>
    </w:rPr>
  </w:style>
  <w:style w:type="character" w:customStyle="1" w:styleId="Ttulo2Char">
    <w:name w:val="Título 2 Char"/>
    <w:basedOn w:val="DefaultParagraphFont"/>
    <w:rPr>
      <w:rFonts w:ascii="Cambria" w:hAnsi="Cambria"/>
      <w:b/>
      <w:i/>
      <w:sz w:val="28"/>
      <w:lang w:val="de-DE" w:eastAsia="en-US"/>
    </w:rPr>
  </w:style>
  <w:style w:type="character" w:customStyle="1" w:styleId="Ttulo3Char">
    <w:name w:val="Título 3 Char"/>
    <w:basedOn w:val="DefaultParagraphFont"/>
    <w:rPr>
      <w:rFonts w:ascii="Cambria" w:hAnsi="Cambria"/>
      <w:b/>
      <w:sz w:val="26"/>
      <w:lang w:val="de-DE" w:eastAsia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DefaultParagraphFont"/>
    <w:rPr>
      <w:rFonts w:ascii="Arial" w:hAnsi="Arial"/>
      <w:sz w:val="24"/>
      <w:lang w:val="de-DE" w:eastAsia="en-US"/>
    </w:rPr>
  </w:style>
  <w:style w:type="paragraph" w:styleId="Footer">
    <w:name w:val="footer"/>
    <w:basedOn w:val="Normal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  <w:lang w:eastAsia="en-GB"/>
    </w:rPr>
  </w:style>
  <w:style w:type="character" w:customStyle="1" w:styleId="RodapChar">
    <w:name w:val="Rodapé Char"/>
    <w:basedOn w:val="DefaultParagraphFont"/>
    <w:rPr>
      <w:rFonts w:ascii="Arial" w:hAnsi="Arial"/>
      <w:b/>
      <w:color w:val="E1000F"/>
      <w:sz w:val="24"/>
    </w:rPr>
  </w:style>
  <w:style w:type="paragraph" w:customStyle="1" w:styleId="Intro">
    <w:name w:val="Intro"/>
    <w:basedOn w:val="Normal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pPr>
      <w:numPr>
        <w:numId w:val="1"/>
      </w:numPr>
      <w:tabs>
        <w:tab w:val="left" w:pos="-210"/>
        <w:tab w:val="left" w:pos="0"/>
      </w:tabs>
    </w:pPr>
  </w:style>
  <w:style w:type="paragraph" w:customStyle="1" w:styleId="Page1Name">
    <w:name w:val="Page1_Name"/>
    <w:basedOn w:val="Normal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pPr>
      <w:spacing w:before="240" w:after="0"/>
    </w:pPr>
    <w:rPr>
      <w:b w:val="0"/>
      <w:bCs/>
    </w:rPr>
  </w:style>
  <w:style w:type="paragraph" w:styleId="BodyText">
    <w:name w:val="Body Text"/>
    <w:basedOn w:val="Normal"/>
    <w:pPr>
      <w:spacing w:after="120" w:line="280" w:lineRule="exact"/>
    </w:pPr>
    <w:rPr>
      <w:lang w:eastAsia="de-DE"/>
    </w:rPr>
  </w:style>
  <w:style w:type="character" w:customStyle="1" w:styleId="CorpodetextoChar">
    <w:name w:val="Corpo de texto Char"/>
    <w:basedOn w:val="DefaultParagraphFont"/>
    <w:rPr>
      <w:rFonts w:ascii="Arial" w:hAnsi="Arial"/>
      <w:sz w:val="24"/>
      <w:lang w:eastAsia="de-DE"/>
    </w:rPr>
  </w:style>
  <w:style w:type="paragraph" w:customStyle="1" w:styleId="Info">
    <w:name w:val="Info"/>
    <w:basedOn w:val="Normal"/>
    <w:pPr>
      <w:spacing w:line="240" w:lineRule="atLeast"/>
    </w:pPr>
    <w:rPr>
      <w:sz w:val="13"/>
    </w:rPr>
  </w:style>
  <w:style w:type="character" w:customStyle="1" w:styleId="InfoZchn">
    <w:name w:val="Info Zchn"/>
    <w:rPr>
      <w:rFonts w:ascii="Arial" w:hAnsi="Arial"/>
      <w:sz w:val="24"/>
      <w:lang w:eastAsia="en-US"/>
    </w:rPr>
  </w:style>
  <w:style w:type="paragraph" w:customStyle="1" w:styleId="Standard12pt">
    <w:name w:val="Standard_12pt"/>
    <w:basedOn w:val="Normal"/>
    <w:pPr>
      <w:spacing w:line="300" w:lineRule="atLeast"/>
    </w:pPr>
    <w:rPr>
      <w:sz w:val="24"/>
    </w:rPr>
  </w:style>
  <w:style w:type="paragraph" w:customStyle="1" w:styleId="BodyText31">
    <w:name w:val="Body Text 31"/>
    <w:basedOn w:val="Normal"/>
    <w:pPr>
      <w:keepLines/>
      <w:overflowPunct w:val="0"/>
      <w:autoSpaceDE w:val="0"/>
      <w:spacing w:line="360" w:lineRule="auto"/>
      <w:jc w:val="both"/>
    </w:pPr>
    <w:rPr>
      <w:color w:val="000000"/>
      <w:sz w:val="24"/>
      <w:szCs w:val="20"/>
    </w:rPr>
  </w:style>
  <w:style w:type="paragraph" w:customStyle="1" w:styleId="PRContact">
    <w:name w:val="_PR_Contact"/>
    <w:basedOn w:val="Normal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paragraph" w:customStyle="1" w:styleId="PRBoilerplate">
    <w:name w:val="_PR_Boilerplate"/>
    <w:basedOn w:val="Normal"/>
    <w:next w:val="PRContact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customStyle="1" w:styleId="PRHalfblank">
    <w:name w:val="_PR_Halfblank"/>
    <w:rPr>
      <w:w w:val="50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odyText3">
    <w:name w:val="Body Text 3"/>
    <w:basedOn w:val="Normal"/>
    <w:pPr>
      <w:spacing w:after="120" w:line="280" w:lineRule="exact"/>
    </w:pPr>
    <w:rPr>
      <w:sz w:val="16"/>
      <w:szCs w:val="16"/>
      <w:lang w:eastAsia="de-DE"/>
    </w:rPr>
  </w:style>
  <w:style w:type="character" w:customStyle="1" w:styleId="Corpodetexto3Char">
    <w:name w:val="Corpo de texto 3 Char"/>
    <w:basedOn w:val="DefaultParagraphFont"/>
    <w:rPr>
      <w:rFonts w:ascii="Arial" w:hAnsi="Arial"/>
      <w:sz w:val="16"/>
      <w:lang w:val="de-DE" w:eastAsia="en-US"/>
    </w:rPr>
  </w:style>
  <w:style w:type="paragraph" w:styleId="BalloonText">
    <w:name w:val="Balloon Text"/>
    <w:basedOn w:val="Normal"/>
    <w:pPr>
      <w:spacing w:line="240" w:lineRule="auto"/>
    </w:pPr>
    <w:rPr>
      <w:rFonts w:ascii="Tahoma" w:hAnsi="Tahoma"/>
      <w:sz w:val="16"/>
      <w:szCs w:val="16"/>
      <w:lang w:val="pt-BR"/>
    </w:rPr>
  </w:style>
  <w:style w:type="character" w:customStyle="1" w:styleId="TextodebaloChar">
    <w:name w:val="Texto de balão Char"/>
    <w:basedOn w:val="DefaultParagraphFont"/>
    <w:rPr>
      <w:rFonts w:ascii="Tahoma" w:hAnsi="Tahoma"/>
      <w:sz w:val="16"/>
      <w:lang w:eastAsia="en-US"/>
    </w:rPr>
  </w:style>
  <w:style w:type="paragraph" w:styleId="FootnoteText">
    <w:name w:val="footnote text"/>
    <w:basedOn w:val="Normal"/>
    <w:rPr>
      <w:szCs w:val="20"/>
    </w:rPr>
  </w:style>
  <w:style w:type="character" w:customStyle="1" w:styleId="TextodenotaderodapChar">
    <w:name w:val="Texto de nota de rodapé Char"/>
    <w:basedOn w:val="DefaultParagraphFont"/>
    <w:rPr>
      <w:rFonts w:ascii="Arial" w:hAnsi="Arial"/>
      <w:lang w:val="de-DE" w:eastAsia="en-US"/>
    </w:rPr>
  </w:style>
  <w:style w:type="character" w:styleId="FootnoteReference">
    <w:name w:val="footnote reference"/>
    <w:basedOn w:val="DefaultParagraphFont"/>
    <w:rPr>
      <w:position w:val="0"/>
      <w:vertAlign w:val="superscript"/>
    </w:rPr>
  </w:style>
  <w:style w:type="character" w:styleId="CommentReference">
    <w:name w:val="annotation reference"/>
    <w:basedOn w:val="DefaultParagraphFont"/>
    <w:rPr>
      <w:sz w:val="16"/>
    </w:rPr>
  </w:style>
  <w:style w:type="paragraph" w:styleId="CommentText">
    <w:name w:val="annotation text"/>
    <w:basedOn w:val="Normal"/>
    <w:rPr>
      <w:szCs w:val="20"/>
      <w:lang w:val="pt-BR"/>
    </w:rPr>
  </w:style>
  <w:style w:type="character" w:customStyle="1" w:styleId="TextodecomentrioChar">
    <w:name w:val="Texto de comentário Char"/>
    <w:basedOn w:val="DefaultParagraphFont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AssuntodocomentrioChar">
    <w:name w:val="Assunto do comentário Char"/>
    <w:basedOn w:val="TextodecomentrioChar"/>
    <w:rPr>
      <w:rFonts w:ascii="Arial" w:hAnsi="Arial"/>
      <w:b/>
      <w:lang w:eastAsia="en-US"/>
    </w:rPr>
  </w:style>
  <w:style w:type="paragraph" w:styleId="Revision">
    <w:name w:val="Revision"/>
    <w:pPr>
      <w:suppressAutoHyphens/>
    </w:pPr>
    <w:rPr>
      <w:rFonts w:ascii="Arial" w:hAnsi="Arial"/>
      <w:szCs w:val="24"/>
      <w:lang w:eastAsia="en-US"/>
    </w:rPr>
  </w:style>
  <w:style w:type="character" w:customStyle="1" w:styleId="tw4winMark">
    <w:name w:val="tw4winMark"/>
    <w:rPr>
      <w:rFonts w:ascii="Courier New" w:hAnsi="Courier New"/>
      <w:vanish/>
      <w:color w:val="800080"/>
      <w:position w:val="0"/>
      <w:vertAlign w:val="subscript"/>
    </w:rPr>
  </w:style>
  <w:style w:type="paragraph" w:styleId="NormalWeb">
    <w:name w:val="Normal (Web)"/>
    <w:basedOn w:val="Normal"/>
    <w:uiPriority w:val="99"/>
    <w:rsid w:val="00D72C3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lang w:eastAsia="de-DE"/>
    </w:rPr>
  </w:style>
  <w:style w:type="numbering" w:customStyle="1" w:styleId="LFO1">
    <w:name w:val="LFO1"/>
    <w:basedOn w:val="NoList"/>
    <w:pPr>
      <w:numPr>
        <w:numId w:val="1"/>
      </w:numPr>
    </w:pPr>
  </w:style>
  <w:style w:type="character" w:customStyle="1" w:styleId="Fontepargpadro">
    <w:name w:val="Fonte parág. padrão"/>
    <w:rsid w:val="00DC02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lo.valeta@bm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henkel.com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duardo.bastos@bm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letad\Documents\HENKEL_DE_Pressemitteilung_110203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HENKEL_DE_Pressemitteilung_110203</Template>
  <TotalTime>0</TotalTime>
  <Pages>4</Pages>
  <Words>1155</Words>
  <Characters>6243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HP</Company>
  <LinksUpToDate>false</LinksUpToDate>
  <CharactersWithSpaces>7384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Klueppelholz</dc:creator>
  <dc:description>Henkel Q2/2011</dc:description>
  <cp:lastModifiedBy>Karinne DaSilva</cp:lastModifiedBy>
  <cp:revision>2</cp:revision>
  <cp:lastPrinted>2015-08-12T17:57:00Z</cp:lastPrinted>
  <dcterms:created xsi:type="dcterms:W3CDTF">2015-08-12T18:54:00Z</dcterms:created>
  <dcterms:modified xsi:type="dcterms:W3CDTF">2015-08-12T18:54:00Z</dcterms:modified>
</cp:coreProperties>
</file>