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3E4" w:rsidRPr="003D469D" w:rsidRDefault="00BF03E4" w:rsidP="00BF03E4">
      <w:pPr>
        <w:pStyle w:val="Standard12pt"/>
        <w:jc w:val="right"/>
      </w:pPr>
      <w:r>
        <w:rPr>
          <w:noProof/>
        </w:rPr>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4029075" cy="115252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2907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1 décembre</w:t>
      </w:r>
      <w:r>
        <w:t> 2015</w:t>
      </w:r>
    </w:p>
    <w:p w:rsidR="00BF03E4" w:rsidRPr="003D469D" w:rsidRDefault="00BF03E4" w:rsidP="00BF03E4">
      <w:pPr>
        <w:pStyle w:val="Standard12pt"/>
      </w:pPr>
    </w:p>
    <w:p w:rsidR="00BF03E4" w:rsidRPr="003D469D" w:rsidRDefault="00BF03E4" w:rsidP="00BF03E4">
      <w:pPr>
        <w:pStyle w:val="Standard12pt"/>
      </w:pPr>
    </w:p>
    <w:p w:rsidR="00BF03E4" w:rsidRPr="00736AFD" w:rsidRDefault="00BF03E4" w:rsidP="00BF03E4">
      <w:pPr>
        <w:rPr>
          <w:b/>
          <w:sz w:val="24"/>
        </w:rPr>
      </w:pPr>
      <w:proofErr w:type="spellStart"/>
      <w:r>
        <w:rPr>
          <w:b/>
          <w:sz w:val="24"/>
        </w:rPr>
        <w:t>Kasper</w:t>
      </w:r>
      <w:proofErr w:type="spellEnd"/>
      <w:r>
        <w:rPr>
          <w:b/>
          <w:sz w:val="24"/>
        </w:rPr>
        <w:t xml:space="preserve"> </w:t>
      </w:r>
      <w:proofErr w:type="spellStart"/>
      <w:r>
        <w:rPr>
          <w:b/>
          <w:sz w:val="24"/>
        </w:rPr>
        <w:t>Rorsted</w:t>
      </w:r>
      <w:proofErr w:type="spellEnd"/>
      <w:r>
        <w:rPr>
          <w:b/>
          <w:sz w:val="24"/>
        </w:rPr>
        <w:t xml:space="preserve"> prend position pour un accord climatique ambitieux lors de la conférence de l'ONU sur le climat </w:t>
      </w:r>
    </w:p>
    <w:p w:rsidR="00BF03E4" w:rsidRPr="00D25938" w:rsidRDefault="00BF03E4" w:rsidP="00BF03E4">
      <w:pPr>
        <w:pStyle w:val="Standard12pt"/>
      </w:pPr>
    </w:p>
    <w:p w:rsidR="00BF03E4" w:rsidRPr="00FE31BA" w:rsidRDefault="00BF03E4" w:rsidP="00BF03E4">
      <w:pPr>
        <w:jc w:val="both"/>
        <w:rPr>
          <w:b/>
          <w:sz w:val="28"/>
          <w:szCs w:val="28"/>
        </w:rPr>
      </w:pPr>
      <w:r>
        <w:rPr>
          <w:b/>
          <w:sz w:val="32"/>
        </w:rPr>
        <w:t>Henkel signe l’appel de nombreux dirigeants d’entreprises en faveur du climat</w:t>
      </w:r>
    </w:p>
    <w:p w:rsidR="00BF03E4" w:rsidRDefault="00BF03E4" w:rsidP="00BF03E4">
      <w:pPr>
        <w:pStyle w:val="Standard12pt"/>
        <w:rPr>
          <w:b/>
          <w:bCs/>
          <w:sz w:val="32"/>
          <w:szCs w:val="32"/>
        </w:rPr>
      </w:pPr>
    </w:p>
    <w:p w:rsidR="00BF03E4" w:rsidRDefault="00BF03E4" w:rsidP="00BF03E4">
      <w:pPr>
        <w:pStyle w:val="Standard12pt"/>
        <w:rPr>
          <w:b/>
          <w:bCs/>
          <w:sz w:val="32"/>
          <w:szCs w:val="32"/>
        </w:rPr>
      </w:pPr>
    </w:p>
    <w:p w:rsidR="00BF03E4" w:rsidRDefault="00BF03E4" w:rsidP="00BF03E4">
      <w:pPr>
        <w:pStyle w:val="Standard12pt"/>
        <w:spacing w:line="276" w:lineRule="auto"/>
        <w:jc w:val="both"/>
      </w:pPr>
      <w:r>
        <w:t xml:space="preserve">Henkel annonce avoir signé la déclaration des dirigeants d’entreprises pour le climat – une initiative qui regroupe 78 dirigeants d'entreprises internationales – appelant les « CEO </w:t>
      </w:r>
      <w:proofErr w:type="spellStart"/>
      <w:r>
        <w:t>climate</w:t>
      </w:r>
      <w:proofErr w:type="spellEnd"/>
      <w:r>
        <w:t xml:space="preserve"> Leaders » à « conclure un accord climatique ambitieux » lors de la conférence des parties à la CCNUCC (COP21) à Paris. Les dirigeants signataires, dont les entreprises atteignent au total 2,13 </w:t>
      </w:r>
      <w:r w:rsidR="00760A65">
        <w:t>tril</w:t>
      </w:r>
      <w:bookmarkStart w:id="0" w:name="_GoBack"/>
      <w:bookmarkEnd w:id="0"/>
      <w:r w:rsidR="00760A65">
        <w:t>lions d</w:t>
      </w:r>
      <w:r>
        <w:t>e dollars de chiffre d'affaires, soit l'équivalent du produit intérieur brut (PIB) de l'Inde,</w:t>
      </w:r>
      <w:r>
        <w:rPr>
          <w:color w:val="000000"/>
          <w:sz w:val="20"/>
        </w:rPr>
        <w:t xml:space="preserve"> </w:t>
      </w:r>
      <w:r>
        <w:t xml:space="preserve">estiment que les initiatives sur le climat vont stimuler la croissance et l'emploi aussi bien sur les marchés matures que sur les marchés émergents. La déclaration complète peut être consultée à l'adresse suivante : </w:t>
      </w:r>
      <w:hyperlink r:id="rId7" w:tooltip="http://wef.ch/climateletter" w:history="1">
        <w:r>
          <w:rPr>
            <w:rStyle w:val="Lienhypertexte"/>
          </w:rPr>
          <w:t>http://wef.ch/climateletter</w:t>
        </w:r>
      </w:hyperlink>
      <w:r>
        <w:t>.</w:t>
      </w:r>
    </w:p>
    <w:p w:rsidR="00BF03E4" w:rsidRPr="007D4A14" w:rsidRDefault="00BF03E4" w:rsidP="00BF03E4">
      <w:pPr>
        <w:pStyle w:val="Standard12pt"/>
        <w:spacing w:line="276" w:lineRule="auto"/>
        <w:jc w:val="both"/>
      </w:pPr>
    </w:p>
    <w:p w:rsidR="00BF03E4" w:rsidRDefault="00BF03E4" w:rsidP="00BF03E4">
      <w:pPr>
        <w:pStyle w:val="Standard12pt"/>
        <w:spacing w:line="276" w:lineRule="auto"/>
        <w:jc w:val="both"/>
      </w:pPr>
      <w:r>
        <w:t xml:space="preserve">« Nous signons cette déclaration pour affirmer notre soutien à un accord climatique solide à l'issue de la conférence de Paris, afin de faire avancer le monde vers une économie « bas carbone » » a déclaré </w:t>
      </w:r>
      <w:proofErr w:type="spellStart"/>
      <w:r>
        <w:t>Kasper</w:t>
      </w:r>
      <w:proofErr w:type="spellEnd"/>
      <w:r>
        <w:t xml:space="preserve"> </w:t>
      </w:r>
      <w:proofErr w:type="spellStart"/>
      <w:r>
        <w:t>Rorsted</w:t>
      </w:r>
      <w:proofErr w:type="spellEnd"/>
      <w:r>
        <w:t>, Président d</w:t>
      </w:r>
      <w:r w:rsidR="00553045">
        <w:t>u Comité de Direction de Henkel</w:t>
      </w:r>
      <w:r>
        <w:t>. « Nous voulons également confirmer notre engagement à réduire les émissions de CO</w:t>
      </w:r>
      <w:r>
        <w:rPr>
          <w:vertAlign w:val="subscript"/>
        </w:rPr>
        <w:t>2</w:t>
      </w:r>
      <w:r>
        <w:t xml:space="preserve"> – que ce soit dans nos propres activités ou avec nos partenaires tout au long de la chaîne de valeur. La gestion des risques climatiques et leur intégration dans les prises de décision stimulent non seulement l'efficacité énergétique, mais représentent également des opportunités de croissance. »  </w:t>
      </w:r>
      <w:r>
        <w:br/>
      </w:r>
    </w:p>
    <w:p w:rsidR="00BF03E4" w:rsidRPr="0055279E" w:rsidRDefault="00BF03E4" w:rsidP="00BF03E4">
      <w:pPr>
        <w:pStyle w:val="Standard12pt"/>
        <w:spacing w:line="276" w:lineRule="auto"/>
        <w:jc w:val="both"/>
      </w:pPr>
      <w:r>
        <w:t>Cette coalition de dirigeants d’entreprises souhaite poursuivre la récente dynamique initiée par l'engagement de plus de 160 pays – dont la Chine et les États-Unis – à mettre en avant le soutien de l'industrie aux gouvernements pour prendre des mesures décisives en matière de changements climatiques.</w:t>
      </w:r>
    </w:p>
    <w:p w:rsidR="00BF03E4" w:rsidRDefault="00BF03E4" w:rsidP="00BF03E4">
      <w:pPr>
        <w:pStyle w:val="Standard12pt"/>
        <w:spacing w:line="276" w:lineRule="auto"/>
        <w:jc w:val="both"/>
      </w:pPr>
    </w:p>
    <w:p w:rsidR="00BF03E4" w:rsidRDefault="00BF03E4" w:rsidP="00BF03E4">
      <w:pPr>
        <w:pStyle w:val="Standard12pt"/>
        <w:spacing w:line="276" w:lineRule="auto"/>
        <w:jc w:val="both"/>
      </w:pPr>
    </w:p>
    <w:p w:rsidR="00BF03E4" w:rsidRPr="001B1A0F" w:rsidRDefault="00BF03E4" w:rsidP="00BF03E4">
      <w:pPr>
        <w:pStyle w:val="Standard12pt"/>
        <w:spacing w:line="276" w:lineRule="auto"/>
        <w:jc w:val="both"/>
      </w:pPr>
    </w:p>
    <w:p w:rsidR="00BF03E4" w:rsidRPr="001B1A0F" w:rsidRDefault="00BF03E4" w:rsidP="00BF03E4">
      <w:pPr>
        <w:pStyle w:val="Standard12pt"/>
        <w:spacing w:line="276" w:lineRule="auto"/>
        <w:jc w:val="both"/>
        <w:rPr>
          <w:b/>
        </w:rPr>
      </w:pPr>
      <w:r>
        <w:rPr>
          <w:b/>
        </w:rPr>
        <w:lastRenderedPageBreak/>
        <w:t>Contribution de Henkel aux objectifs climatiques</w:t>
      </w:r>
    </w:p>
    <w:p w:rsidR="00BF03E4" w:rsidRPr="009D0835" w:rsidRDefault="00BF03E4" w:rsidP="00BF03E4">
      <w:pPr>
        <w:pStyle w:val="Standard12pt"/>
        <w:spacing w:line="276" w:lineRule="auto"/>
        <w:jc w:val="both"/>
        <w:rPr>
          <w:rFonts w:cs="Arial"/>
          <w:b/>
          <w:color w:val="415055"/>
          <w:sz w:val="18"/>
          <w:szCs w:val="18"/>
        </w:rPr>
      </w:pPr>
      <w:r>
        <w:t>L'énergie et le climat font partie intégrante de la stratégie Facteur 3 de Henkel, qui cherche à rendre l'entreprise trois fois plus efficace d'ici 2030. Henkel travaille à l'utilisation efficace de l'énergie, à la réduction de la consommation énergétique de ses activités à l'échelle mondiale et à la réduction des émissions de gaz à effet de serre. Entre 2004 et 2014, l'entreprise a réduit sa consommation énergétique de 46 pour cent et les émissions correspondantes de CO</w:t>
      </w:r>
      <w:r>
        <w:rPr>
          <w:vertAlign w:val="subscript"/>
        </w:rPr>
        <w:t>2</w:t>
      </w:r>
      <w:r>
        <w:t xml:space="preserve"> de 42 pour cent. </w:t>
      </w:r>
      <w:bookmarkStart w:id="1" w:name="id1397"/>
      <w:bookmarkEnd w:id="1"/>
      <w:r>
        <w:t>Dans le cadre de ses objectifs intermédiaires pour la période 2011-2015, Henkel souhaitait réduire la consommation énergétique – et les émissions correspondantes de CO</w:t>
      </w:r>
      <w:r>
        <w:rPr>
          <w:vertAlign w:val="subscript"/>
        </w:rPr>
        <w:t>2</w:t>
      </w:r>
      <w:r>
        <w:t xml:space="preserve"> – de 15 pour cent par unité de production. L'entreprise a atteint cet objectif dès 2014, en améliorant son efficacité énergétique de 20 pour cent. De nouveaux objectifs ambitieux pour la période 2016 à 2020 seront publiés le 25 février 2016.</w:t>
      </w:r>
    </w:p>
    <w:p w:rsidR="00BF03E4" w:rsidRDefault="00BF03E4" w:rsidP="00BF03E4">
      <w:pPr>
        <w:pStyle w:val="Standard12pt"/>
        <w:spacing w:line="276" w:lineRule="auto"/>
        <w:jc w:val="both"/>
        <w:rPr>
          <w:b/>
        </w:rPr>
      </w:pPr>
    </w:p>
    <w:p w:rsidR="00BF03E4" w:rsidRPr="00C2413A" w:rsidRDefault="00BF03E4" w:rsidP="00BF03E4">
      <w:pPr>
        <w:pStyle w:val="Standard12pt"/>
        <w:spacing w:line="276" w:lineRule="auto"/>
        <w:jc w:val="both"/>
        <w:rPr>
          <w:rFonts w:cs="Arial"/>
          <w:b/>
          <w:color w:val="415055"/>
          <w:sz w:val="18"/>
          <w:szCs w:val="18"/>
        </w:rPr>
      </w:pPr>
      <w:r>
        <w:rPr>
          <w:b/>
        </w:rPr>
        <w:t>Les produits de grande consommation, puissants leviers pour l'action climatique</w:t>
      </w:r>
    </w:p>
    <w:p w:rsidR="00BF03E4" w:rsidRDefault="00BF03E4" w:rsidP="00BF03E4">
      <w:pPr>
        <w:pStyle w:val="Standard12pt"/>
        <w:spacing w:line="276" w:lineRule="auto"/>
        <w:jc w:val="both"/>
      </w:pPr>
      <w:r>
        <w:t>En termes de cycle de vie, la consommation d'énergie – et les émissions correspondantes de dioxyde de carbone – se fait principalement au moment de l'utilisation des produits et technologies de Henkel. Les produits Henkel – utilisés quotidiennement par des millions de foyers - et les processus industriels sont un puissant levier pour encourager à une consommation durable et efficace des ressources. Henkel cherche non seulement à créer des produits qui permettent une utilisation efficace des ressources, notamment l'eau et l'énergie, mais l'entreprise aspire également à promouvoir un comportement responsable lors de l'utilisation de ses produits, en impliquant ses clients et les consommateurs.</w:t>
      </w:r>
    </w:p>
    <w:p w:rsidR="00BF03E4" w:rsidRDefault="00BF03E4" w:rsidP="00BF03E4">
      <w:pPr>
        <w:pStyle w:val="Standard12pt"/>
        <w:spacing w:line="240" w:lineRule="auto"/>
        <w:jc w:val="both"/>
      </w:pPr>
    </w:p>
    <w:p w:rsidR="00BF03E4" w:rsidRPr="00C2413A" w:rsidRDefault="00BF03E4" w:rsidP="00BF03E4">
      <w:pPr>
        <w:pStyle w:val="Standard12pt"/>
        <w:jc w:val="both"/>
        <w:rPr>
          <w:sz w:val="20"/>
        </w:rPr>
      </w:pPr>
      <w:r>
        <w:rPr>
          <w:b/>
          <w:sz w:val="20"/>
        </w:rPr>
        <w:t xml:space="preserve">À propos de l’initiative “CEO </w:t>
      </w:r>
      <w:proofErr w:type="spellStart"/>
      <w:r>
        <w:rPr>
          <w:b/>
          <w:sz w:val="20"/>
        </w:rPr>
        <w:t>Climate</w:t>
      </w:r>
      <w:proofErr w:type="spellEnd"/>
      <w:r>
        <w:rPr>
          <w:b/>
          <w:sz w:val="20"/>
        </w:rPr>
        <w:t xml:space="preserve"> Leaders” :</w:t>
      </w:r>
    </w:p>
    <w:p w:rsidR="00BF03E4" w:rsidRPr="00C2413A" w:rsidRDefault="00BF03E4" w:rsidP="00BF03E4">
      <w:pPr>
        <w:pStyle w:val="Standard12pt"/>
        <w:jc w:val="both"/>
        <w:rPr>
          <w:sz w:val="20"/>
        </w:rPr>
      </w:pPr>
      <w:r>
        <w:rPr>
          <w:sz w:val="20"/>
        </w:rPr>
        <w:t xml:space="preserve">Les membres de CEO </w:t>
      </w:r>
      <w:proofErr w:type="spellStart"/>
      <w:r>
        <w:rPr>
          <w:sz w:val="20"/>
        </w:rPr>
        <w:t>Climate</w:t>
      </w:r>
      <w:proofErr w:type="spellEnd"/>
      <w:r>
        <w:rPr>
          <w:sz w:val="20"/>
        </w:rPr>
        <w:t xml:space="preserve"> Leaders – un groupe multisectoriel initié par le Forum économique mondial, et composée de PDG et de directeurs des plus grandes entreprises mondiales – sont signataires d'une déclaration qui exprime leur soutien à des solutions climatiques concrètes par les entreprises. A la suite de la rencontre de plus de 35 PDG lors de la réunion annuelle du Forum économique mondial à Davos en 2015, les dirigeants ont rédigé une lettre ouverte (</w:t>
      </w:r>
      <w:hyperlink r:id="rId8" w:history="1">
        <w:r>
          <w:rPr>
            <w:rStyle w:val="Lienhypertexte"/>
            <w:sz w:val="20"/>
          </w:rPr>
          <w:t>medium.com/@ClimateCEOs</w:t>
        </w:r>
      </w:hyperlink>
      <w:r>
        <w:rPr>
          <w:sz w:val="20"/>
        </w:rPr>
        <w:t>) appelant à un accord ambitieux pendant la COP21. Celle-ci souligne leur engagement en matière de climat et propose de collaborer avec les leaders mondiaux pour participer à l'élaboration de solutions climatiques adaptées. Elle a été publiée en avril 2015, alors signée par 43 PDG.</w:t>
      </w:r>
    </w:p>
    <w:p w:rsidR="00BF03E4" w:rsidRDefault="00BF03E4" w:rsidP="00BF03E4">
      <w:pPr>
        <w:pStyle w:val="Standard12pt"/>
        <w:spacing w:line="240" w:lineRule="auto"/>
        <w:jc w:val="both"/>
        <w:rPr>
          <w:b/>
          <w:bCs/>
          <w:sz w:val="20"/>
          <w:szCs w:val="20"/>
        </w:rPr>
      </w:pPr>
    </w:p>
    <w:p w:rsidR="00BF03E4" w:rsidRPr="00C2413A" w:rsidRDefault="00BF03E4" w:rsidP="00BF03E4">
      <w:pPr>
        <w:pStyle w:val="Standard12pt"/>
        <w:spacing w:line="240" w:lineRule="auto"/>
        <w:jc w:val="both"/>
        <w:rPr>
          <w:b/>
          <w:bCs/>
          <w:sz w:val="20"/>
          <w:szCs w:val="20"/>
        </w:rPr>
      </w:pPr>
    </w:p>
    <w:p w:rsidR="00BF03E4" w:rsidRDefault="00BF03E4" w:rsidP="00BF03E4">
      <w:pPr>
        <w:pStyle w:val="Standard12pt"/>
        <w:jc w:val="both"/>
        <w:rPr>
          <w:b/>
          <w:bCs/>
          <w:sz w:val="20"/>
          <w:szCs w:val="20"/>
        </w:rPr>
      </w:pPr>
      <w:r>
        <w:rPr>
          <w:b/>
          <w:sz w:val="20"/>
        </w:rPr>
        <w:lastRenderedPageBreak/>
        <w:t xml:space="preserve">Pour plus d’informations sur les activités de Henkel en matière de développement durable, rendez-vous sur : </w:t>
      </w:r>
      <w:hyperlink r:id="rId9" w:history="1">
        <w:r>
          <w:rPr>
            <w:rStyle w:val="Lienhypertexte"/>
            <w:b/>
            <w:sz w:val="20"/>
          </w:rPr>
          <w:t>www.henkel.com/sustainability</w:t>
        </w:r>
      </w:hyperlink>
    </w:p>
    <w:p w:rsidR="00BF03E4" w:rsidRDefault="00BF03E4" w:rsidP="00BF03E4">
      <w:pPr>
        <w:pStyle w:val="Standard12pt"/>
        <w:spacing w:line="240" w:lineRule="auto"/>
        <w:jc w:val="both"/>
        <w:rPr>
          <w:b/>
          <w:bCs/>
          <w:sz w:val="20"/>
          <w:szCs w:val="20"/>
        </w:rPr>
      </w:pPr>
    </w:p>
    <w:p w:rsidR="00BF03E4" w:rsidRPr="00D45F9E" w:rsidRDefault="00BF03E4" w:rsidP="00BF03E4">
      <w:pPr>
        <w:pStyle w:val="Standard12pt"/>
        <w:jc w:val="both"/>
        <w:rPr>
          <w:sz w:val="20"/>
        </w:rPr>
      </w:pPr>
      <w:r>
        <w:rPr>
          <w:sz w:val="20"/>
        </w:rPr>
        <w:t xml:space="preserve">Henkel est un leader mondial des marques et des technologies dans trois secteurs d’activités : </w:t>
      </w:r>
      <w:r>
        <w:br/>
      </w:r>
      <w:r>
        <w:rPr>
          <w:sz w:val="20"/>
        </w:rPr>
        <w:t xml:space="preserve">Laundry &amp; Home Care, Beauty Care et </w:t>
      </w:r>
      <w:proofErr w:type="spellStart"/>
      <w:r>
        <w:rPr>
          <w:sz w:val="20"/>
        </w:rPr>
        <w:t>Adhesive</w:t>
      </w:r>
      <w:proofErr w:type="spellEnd"/>
      <w:r>
        <w:rPr>
          <w:sz w:val="20"/>
        </w:rPr>
        <w:t xml:space="preserve"> Technologies. Créé en 1876, Henkel détient des positions mondiales fortes, auprès des industriels comme des consommateurs, avec des marques reconnues comme Le Chat, Schwarzkopf et </w:t>
      </w:r>
      <w:proofErr w:type="spellStart"/>
      <w:r>
        <w:rPr>
          <w:sz w:val="20"/>
        </w:rPr>
        <w:t>Loctite</w:t>
      </w:r>
      <w:proofErr w:type="spellEnd"/>
      <w:r>
        <w:rPr>
          <w:sz w:val="20"/>
        </w:rPr>
        <w:t>. Employant près de 50 000 personnes, le groupe a réalisé un chiffre d’affaires de 16,4 milliards d’euros et un résultat d’exploitation ajusté de 2,6 milliards d’euros en 2014. Les actions préférentielles Henkel sont listées à l’indice boursier allemand DAX.</w:t>
      </w:r>
    </w:p>
    <w:p w:rsidR="00BF03E4" w:rsidRPr="00B473B2" w:rsidRDefault="00BF03E4" w:rsidP="00BF03E4">
      <w:pPr>
        <w:pStyle w:val="Standard12pt"/>
        <w:jc w:val="both"/>
        <w:rPr>
          <w:sz w:val="20"/>
        </w:rPr>
      </w:pPr>
    </w:p>
    <w:p w:rsidR="00BF03E4" w:rsidRPr="00B473B2" w:rsidRDefault="00BF03E4" w:rsidP="00BF03E4">
      <w:pPr>
        <w:pStyle w:val="Standard12pt"/>
        <w:spacing w:line="240" w:lineRule="auto"/>
      </w:pPr>
    </w:p>
    <w:p w:rsidR="00BF03E4" w:rsidRDefault="00BF03E4" w:rsidP="00BF03E4">
      <w:pPr>
        <w:rPr>
          <w:u w:val="single"/>
        </w:rPr>
      </w:pPr>
      <w:r>
        <w:rPr>
          <w:u w:val="single"/>
        </w:rPr>
        <w:t>Contacts presse</w:t>
      </w:r>
      <w:r>
        <w:rPr>
          <w:u w:val="single"/>
        </w:rPr>
        <w:br/>
      </w:r>
    </w:p>
    <w:p w:rsidR="00BF03E4" w:rsidRDefault="00BF03E4" w:rsidP="00BF03E4">
      <w:pPr>
        <w:rPr>
          <w:u w:val="single"/>
        </w:rPr>
      </w:pPr>
    </w:p>
    <w:tbl>
      <w:tblPr>
        <w:tblW w:w="0" w:type="auto"/>
        <w:tblLook w:val="04A0" w:firstRow="1" w:lastRow="0" w:firstColumn="1" w:lastColumn="0" w:noHBand="0" w:noVBand="1"/>
      </w:tblPr>
      <w:tblGrid>
        <w:gridCol w:w="4548"/>
        <w:gridCol w:w="4523"/>
      </w:tblGrid>
      <w:tr w:rsidR="00BF03E4" w:rsidTr="008542E7">
        <w:tc>
          <w:tcPr>
            <w:tcW w:w="4606" w:type="dxa"/>
          </w:tcPr>
          <w:p w:rsidR="00BF03E4" w:rsidRDefault="00BF03E4" w:rsidP="008542E7">
            <w:r>
              <w:t>Henkel</w:t>
            </w:r>
            <w:r>
              <w:br/>
              <w:t>Stéphanie Coignard</w:t>
            </w:r>
            <w:r>
              <w:br/>
              <w:t>Tél : 01 46 84 92 23</w:t>
            </w:r>
            <w:r>
              <w:br/>
            </w:r>
            <w:hyperlink r:id="rId10" w:history="1">
              <w:r>
                <w:rPr>
                  <w:rStyle w:val="Lienhypertexte"/>
                </w:rPr>
                <w:t>stephanie.coignard@henkel.com</w:t>
              </w:r>
            </w:hyperlink>
          </w:p>
          <w:p w:rsidR="00BF03E4" w:rsidRDefault="00BF03E4" w:rsidP="008542E7"/>
        </w:tc>
        <w:tc>
          <w:tcPr>
            <w:tcW w:w="4606" w:type="dxa"/>
          </w:tcPr>
          <w:p w:rsidR="00BF03E4" w:rsidRDefault="00BF03E4" w:rsidP="008542E7">
            <w:r>
              <w:t xml:space="preserve">Agence </w:t>
            </w:r>
            <w:proofErr w:type="spellStart"/>
            <w:r>
              <w:t>Burson</w:t>
            </w:r>
            <w:proofErr w:type="spellEnd"/>
            <w:r>
              <w:t xml:space="preserve"> </w:t>
            </w:r>
            <w:proofErr w:type="spellStart"/>
            <w:r>
              <w:t>Marsteller</w:t>
            </w:r>
            <w:proofErr w:type="spellEnd"/>
            <w:r>
              <w:t xml:space="preserve"> </w:t>
            </w:r>
            <w:proofErr w:type="spellStart"/>
            <w:r>
              <w:t>i&amp;e</w:t>
            </w:r>
            <w:proofErr w:type="spellEnd"/>
            <w:r>
              <w:br/>
              <w:t>Xavier Bossaert</w:t>
            </w:r>
            <w:r>
              <w:br/>
              <w:t xml:space="preserve">Tél : 01 56 03 12 </w:t>
            </w:r>
            <w:proofErr w:type="gramStart"/>
            <w:r>
              <w:t>14</w:t>
            </w:r>
            <w:r>
              <w:br/>
            </w:r>
            <w:hyperlink r:id="rId11" w:history="1">
              <w:r>
                <w:rPr>
                  <w:rStyle w:val="Lienhypertexte"/>
                </w:rPr>
                <w:t>xavier.bossaert@bm.com</w:t>
              </w:r>
              <w:proofErr w:type="gramEnd"/>
            </w:hyperlink>
          </w:p>
          <w:p w:rsidR="00BF03E4" w:rsidRDefault="00BF03E4" w:rsidP="008542E7"/>
        </w:tc>
      </w:tr>
    </w:tbl>
    <w:p w:rsidR="00BF03E4" w:rsidRDefault="00BF03E4" w:rsidP="00BF03E4">
      <w:pPr>
        <w:tabs>
          <w:tab w:val="left" w:pos="1080"/>
          <w:tab w:val="left" w:pos="4500"/>
        </w:tabs>
      </w:pPr>
    </w:p>
    <w:p w:rsidR="00B726C4" w:rsidRDefault="00B726C4"/>
    <w:sectPr w:rsidR="00B726C4" w:rsidSect="00A73BC6">
      <w:headerReference w:type="default" r:id="rId12"/>
      <w:footerReference w:type="default" r:id="rId13"/>
      <w:headerReference w:type="first" r:id="rId14"/>
      <w:footerReference w:type="first" r:id="rId15"/>
      <w:pgSz w:w="11907" w:h="16840" w:code="9"/>
      <w:pgMar w:top="3289" w:right="1418" w:bottom="1985" w:left="1418" w:header="2875" w:footer="9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F88" w:rsidRDefault="00BD3F88">
      <w:pPr>
        <w:spacing w:line="240" w:lineRule="auto"/>
      </w:pPr>
      <w:r>
        <w:separator/>
      </w:r>
    </w:p>
  </w:endnote>
  <w:endnote w:type="continuationSeparator" w:id="0">
    <w:p w:rsidR="00BD3F88" w:rsidRDefault="00BD3F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0E8" w:rsidRPr="005C6764" w:rsidRDefault="00BF03E4" w:rsidP="00A73BC6">
    <w:pPr>
      <w:pStyle w:val="Pieddepage"/>
      <w:tabs>
        <w:tab w:val="clear" w:pos="7083"/>
        <w:tab w:val="clear" w:pos="8640"/>
        <w:tab w:val="right" w:pos="9057"/>
      </w:tabs>
      <w:rPr>
        <w:b w:val="0"/>
        <w:color w:val="000000"/>
        <w:lang w:val="en-US"/>
      </w:rPr>
    </w:pPr>
    <w:r w:rsidRPr="005C6764">
      <w:rPr>
        <w:color w:val="000000"/>
        <w:lang w:val="en-US"/>
      </w:rPr>
      <w:t xml:space="preserve">Henkel AG &amp; Co. </w:t>
    </w:r>
    <w:proofErr w:type="spellStart"/>
    <w:r w:rsidRPr="005C6764">
      <w:rPr>
        <w:color w:val="000000"/>
        <w:lang w:val="en-US"/>
      </w:rPr>
      <w:t>KGaA</w:t>
    </w:r>
    <w:proofErr w:type="spellEnd"/>
    <w:r w:rsidRPr="005C6764">
      <w:rPr>
        <w:color w:val="000000"/>
        <w:lang w:val="en-US"/>
      </w:rPr>
      <w:t>, Corporate Communications</w:t>
    </w:r>
    <w:r w:rsidRPr="005C6764">
      <w:rPr>
        <w:color w:val="000000"/>
        <w:lang w:val="en-US"/>
      </w:rPr>
      <w:tab/>
    </w:r>
    <w:r w:rsidRPr="005C6764">
      <w:rPr>
        <w:b w:val="0"/>
        <w:color w:val="000000"/>
        <w:lang w:val="en-US"/>
      </w:rPr>
      <w:t xml:space="preserve">Page </w:t>
    </w:r>
    <w:r w:rsidRPr="005C6764">
      <w:rPr>
        <w:b w:val="0"/>
        <w:color w:val="000000"/>
        <w:lang w:val="en-US"/>
      </w:rPr>
      <w:fldChar w:fldCharType="begin"/>
    </w:r>
    <w:r w:rsidRPr="005C6764">
      <w:rPr>
        <w:b w:val="0"/>
        <w:color w:val="000000"/>
        <w:lang w:val="en-US"/>
      </w:rPr>
      <w:instrText xml:space="preserve"> PAGE  \* Arabic  \* MERGEFORMAT </w:instrText>
    </w:r>
    <w:r w:rsidRPr="005C6764">
      <w:rPr>
        <w:b w:val="0"/>
        <w:color w:val="000000"/>
        <w:lang w:val="en-US"/>
      </w:rPr>
      <w:fldChar w:fldCharType="separate"/>
    </w:r>
    <w:r w:rsidR="00760A65">
      <w:rPr>
        <w:b w:val="0"/>
        <w:noProof/>
        <w:color w:val="000000"/>
        <w:lang w:val="en-US"/>
      </w:rPr>
      <w:t>3</w:t>
    </w:r>
    <w:r w:rsidRPr="005C6764">
      <w:rPr>
        <w:b w:val="0"/>
        <w:color w:val="000000"/>
        <w:lang w:val="en-US"/>
      </w:rPr>
      <w:fldChar w:fldCharType="end"/>
    </w:r>
    <w:r w:rsidRPr="005C6764">
      <w:rPr>
        <w:b w:val="0"/>
        <w:color w:val="000000"/>
        <w:lang w:val="en-US"/>
      </w:rPr>
      <w:t>/</w:t>
    </w:r>
    <w:r w:rsidRPr="005C6764">
      <w:rPr>
        <w:b w:val="0"/>
        <w:color w:val="000000"/>
        <w:lang w:val="en-US"/>
      </w:rPr>
      <w:fldChar w:fldCharType="begin"/>
    </w:r>
    <w:r w:rsidRPr="005C6764">
      <w:rPr>
        <w:b w:val="0"/>
        <w:color w:val="000000"/>
        <w:lang w:val="en-US"/>
      </w:rPr>
      <w:instrText xml:space="preserve"> NUMPAGES  \* Arabic  \* MERGEFORMAT </w:instrText>
    </w:r>
    <w:r w:rsidRPr="005C6764">
      <w:rPr>
        <w:b w:val="0"/>
        <w:color w:val="000000"/>
        <w:lang w:val="en-US"/>
      </w:rPr>
      <w:fldChar w:fldCharType="separate"/>
    </w:r>
    <w:r w:rsidR="00760A65">
      <w:rPr>
        <w:b w:val="0"/>
        <w:noProof/>
        <w:color w:val="000000"/>
        <w:lang w:val="en-US"/>
      </w:rPr>
      <w:t>3</w:t>
    </w:r>
    <w:r w:rsidRPr="005C6764">
      <w:rPr>
        <w:b w:val="0"/>
        <w:color w:val="000000"/>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8E7" w:rsidRPr="004A4699" w:rsidRDefault="00BF03E4" w:rsidP="00FB68E7">
    <w:pPr>
      <w:pStyle w:val="Pieddepage"/>
      <w:tabs>
        <w:tab w:val="left" w:pos="245"/>
        <w:tab w:val="right" w:pos="9071"/>
      </w:tabs>
      <w:rPr>
        <w:color w:val="000000"/>
      </w:rPr>
    </w:pPr>
    <w:r>
      <w:rPr>
        <w:noProof/>
      </w:rPr>
      <w:drawing>
        <wp:anchor distT="0" distB="0" distL="114300" distR="114300" simplePos="0" relativeHeight="251700224" behindDoc="0" locked="0" layoutInCell="1" allowOverlap="1">
          <wp:simplePos x="0" y="0"/>
          <wp:positionH relativeFrom="column">
            <wp:posOffset>4703445</wp:posOffset>
          </wp:positionH>
          <wp:positionV relativeFrom="paragraph">
            <wp:posOffset>1270</wp:posOffset>
          </wp:positionV>
          <wp:extent cx="1226820" cy="137160"/>
          <wp:effectExtent l="0" t="0" r="0" b="0"/>
          <wp:wrapSquare wrapText="bothSides"/>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13716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Titre2Car"/>
        <w:b w:val="0"/>
        <w:color w:val="000000"/>
      </w:rPr>
      <w:tab/>
    </w:r>
    <w:r>
      <w:rPr>
        <w:rStyle w:val="Titre2Car"/>
        <w:b w:val="0"/>
        <w:color w:val="000000"/>
      </w:rPr>
      <w:tab/>
    </w:r>
    <w:r>
      <w:rPr>
        <w:rStyle w:val="Titre2Car"/>
        <w:b w:val="0"/>
        <w:color w:val="000000"/>
      </w:rPr>
      <w:tab/>
    </w:r>
    <w:r>
      <w:rPr>
        <w:noProof/>
      </w:rPr>
      <w:drawing>
        <wp:anchor distT="0" distB="0" distL="114300" distR="114300" simplePos="0" relativeHeight="251694080" behindDoc="0" locked="0" layoutInCell="1" allowOverlap="1">
          <wp:simplePos x="0" y="0"/>
          <wp:positionH relativeFrom="column">
            <wp:posOffset>597535</wp:posOffset>
          </wp:positionH>
          <wp:positionV relativeFrom="paragraph">
            <wp:posOffset>-172720</wp:posOffset>
          </wp:positionV>
          <wp:extent cx="574040" cy="340360"/>
          <wp:effectExtent l="0" t="0" r="0" b="2540"/>
          <wp:wrapSquare wrapText="bothSides"/>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4040" cy="3403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6128" behindDoc="0" locked="0" layoutInCell="1" allowOverlap="1">
          <wp:simplePos x="0" y="0"/>
          <wp:positionH relativeFrom="column">
            <wp:posOffset>1273810</wp:posOffset>
          </wp:positionH>
          <wp:positionV relativeFrom="paragraph">
            <wp:posOffset>-151130</wp:posOffset>
          </wp:positionV>
          <wp:extent cx="768350" cy="329565"/>
          <wp:effectExtent l="0" t="0" r="0" b="0"/>
          <wp:wrapSquare wrapText="bothSides"/>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8350" cy="3295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5104" behindDoc="0" locked="0" layoutInCell="1" allowOverlap="1">
          <wp:simplePos x="0" y="0"/>
          <wp:positionH relativeFrom="column">
            <wp:posOffset>2094865</wp:posOffset>
          </wp:positionH>
          <wp:positionV relativeFrom="paragraph">
            <wp:posOffset>-195580</wp:posOffset>
          </wp:positionV>
          <wp:extent cx="690880" cy="351155"/>
          <wp:effectExtent l="0" t="0" r="0" b="0"/>
          <wp:wrapSquare wrapText="bothSides"/>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0880" cy="3511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7152" behindDoc="0" locked="0" layoutInCell="1" allowOverlap="1">
          <wp:simplePos x="0" y="0"/>
          <wp:positionH relativeFrom="column">
            <wp:posOffset>2924175</wp:posOffset>
          </wp:positionH>
          <wp:positionV relativeFrom="paragraph">
            <wp:posOffset>-120015</wp:posOffset>
          </wp:positionV>
          <wp:extent cx="273685" cy="298450"/>
          <wp:effectExtent l="0" t="0" r="0" b="6350"/>
          <wp:wrapSquare wrapText="bothSides"/>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685" cy="298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8176" behindDoc="0" locked="0" layoutInCell="1" allowOverlap="1">
          <wp:simplePos x="0" y="0"/>
          <wp:positionH relativeFrom="column">
            <wp:posOffset>3311525</wp:posOffset>
          </wp:positionH>
          <wp:positionV relativeFrom="paragraph">
            <wp:posOffset>-230505</wp:posOffset>
          </wp:positionV>
          <wp:extent cx="638810" cy="638810"/>
          <wp:effectExtent l="0" t="0" r="8890" b="8890"/>
          <wp:wrapSquare wrapText="bothSides"/>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810" cy="638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3056" behindDoc="1" locked="0" layoutInCell="1" allowOverlap="1">
          <wp:simplePos x="0" y="0"/>
          <wp:positionH relativeFrom="column">
            <wp:posOffset>2540</wp:posOffset>
          </wp:positionH>
          <wp:positionV relativeFrom="paragraph">
            <wp:posOffset>-238760</wp:posOffset>
          </wp:positionV>
          <wp:extent cx="542290" cy="436245"/>
          <wp:effectExtent l="0" t="0" r="0" b="1905"/>
          <wp:wrapSquare wrapText="bothSides"/>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290" cy="436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9200" behindDoc="0" locked="0" layoutInCell="1" allowOverlap="1">
          <wp:simplePos x="0" y="0"/>
          <wp:positionH relativeFrom="column">
            <wp:posOffset>4057650</wp:posOffset>
          </wp:positionH>
          <wp:positionV relativeFrom="paragraph">
            <wp:posOffset>-143510</wp:posOffset>
          </wp:positionV>
          <wp:extent cx="500380" cy="300355"/>
          <wp:effectExtent l="0" t="0" r="0" b="4445"/>
          <wp:wrapSquare wrapText="bothSides"/>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 cy="300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2032" behindDoc="0" locked="0" layoutInCell="1" allowOverlap="1">
          <wp:simplePos x="0" y="0"/>
          <wp:positionH relativeFrom="column">
            <wp:posOffset>775970</wp:posOffset>
          </wp:positionH>
          <wp:positionV relativeFrom="paragraph">
            <wp:posOffset>9703435</wp:posOffset>
          </wp:positionV>
          <wp:extent cx="476250" cy="379730"/>
          <wp:effectExtent l="0" t="0" r="0" b="1270"/>
          <wp:wrapNone/>
          <wp:docPr id="34" name="Image 34" descr="Mi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descr="Mi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0" locked="0" layoutInCell="1" allowOverlap="1">
          <wp:simplePos x="0" y="0"/>
          <wp:positionH relativeFrom="column">
            <wp:posOffset>3827145</wp:posOffset>
          </wp:positionH>
          <wp:positionV relativeFrom="paragraph">
            <wp:posOffset>9736455</wp:posOffset>
          </wp:positionV>
          <wp:extent cx="282575" cy="306705"/>
          <wp:effectExtent l="0" t="0" r="3175" b="0"/>
          <wp:wrapNone/>
          <wp:docPr id="33" name="Image 33" descr="FA sans 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descr="FA sans fo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575" cy="306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4864" behindDoc="0" locked="0" layoutInCell="1" allowOverlap="1">
          <wp:simplePos x="0" y="0"/>
          <wp:positionH relativeFrom="column">
            <wp:posOffset>2924175</wp:posOffset>
          </wp:positionH>
          <wp:positionV relativeFrom="paragraph">
            <wp:posOffset>9687560</wp:posOffset>
          </wp:positionV>
          <wp:extent cx="652145" cy="336550"/>
          <wp:effectExtent l="0" t="0" r="0" b="6350"/>
          <wp:wrapNone/>
          <wp:docPr id="32" name="Image 32" descr="logoschwarz 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descr="logoschwarz N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145" cy="336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0" locked="0" layoutInCell="1" allowOverlap="1">
          <wp:simplePos x="0" y="0"/>
          <wp:positionH relativeFrom="column">
            <wp:posOffset>5105400</wp:posOffset>
          </wp:positionH>
          <wp:positionV relativeFrom="paragraph">
            <wp:posOffset>9722485</wp:posOffset>
          </wp:positionV>
          <wp:extent cx="442595" cy="263525"/>
          <wp:effectExtent l="0" t="0" r="0" b="3175"/>
          <wp:wrapNone/>
          <wp:docPr id="31" name="Image 31" descr="Logo Rub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descr="Logo Rubs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595" cy="263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0" locked="0" layoutInCell="1" allowOverlap="1">
          <wp:simplePos x="0" y="0"/>
          <wp:positionH relativeFrom="column">
            <wp:posOffset>1971675</wp:posOffset>
          </wp:positionH>
          <wp:positionV relativeFrom="paragraph">
            <wp:posOffset>9714865</wp:posOffset>
          </wp:positionV>
          <wp:extent cx="802005" cy="343535"/>
          <wp:effectExtent l="0" t="0" r="0" b="0"/>
          <wp:wrapNone/>
          <wp:docPr id="30" name="Image 30" descr="DIADERM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descr="DIADERMIN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2005" cy="343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0" layoutInCell="1" allowOverlap="1">
          <wp:simplePos x="0" y="0"/>
          <wp:positionH relativeFrom="column">
            <wp:posOffset>5738495</wp:posOffset>
          </wp:positionH>
          <wp:positionV relativeFrom="paragraph">
            <wp:posOffset>9855835</wp:posOffset>
          </wp:positionV>
          <wp:extent cx="1057275" cy="119380"/>
          <wp:effectExtent l="0" t="0" r="9525" b="0"/>
          <wp:wrapNone/>
          <wp:docPr id="29" name="Image 29" descr="LOGO_TECHNOMELT_3C_62_300442_print_1772H_177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descr="LOGO_TECHNOMELT_3C_62_300442_print_1772H_1772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7275" cy="119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8960" behindDoc="1" locked="0" layoutInCell="1" allowOverlap="1">
          <wp:simplePos x="0" y="0"/>
          <wp:positionH relativeFrom="column">
            <wp:posOffset>4303395</wp:posOffset>
          </wp:positionH>
          <wp:positionV relativeFrom="paragraph">
            <wp:posOffset>9801225</wp:posOffset>
          </wp:positionV>
          <wp:extent cx="606425" cy="190500"/>
          <wp:effectExtent l="0" t="0" r="3175" b="0"/>
          <wp:wrapNone/>
          <wp:docPr id="28" name="Image 28"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descr="loctite"/>
                  <pic:cNvPicPr>
                    <a:picLocks noChangeAspect="1" noChangeArrowheads="1"/>
                  </pic:cNvPicPr>
                </pic:nvPicPr>
                <pic:blipFill>
                  <a:blip r:embed="rId15">
                    <a:extLst>
                      <a:ext uri="{28A0092B-C50C-407E-A947-70E740481C1C}">
                        <a14:useLocalDpi xmlns:a14="http://schemas.microsoft.com/office/drawing/2010/main" val="0"/>
                      </a:ext>
                    </a:extLst>
                  </a:blip>
                  <a:srcRect t="30562" b="37978"/>
                  <a:stretch>
                    <a:fillRect/>
                  </a:stretch>
                </pic:blipFill>
                <pic:spPr bwMode="auto">
                  <a:xfrm>
                    <a:off x="0" y="0"/>
                    <a:ext cx="60642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984" behindDoc="0" locked="0" layoutInCell="1" allowOverlap="1">
          <wp:simplePos x="0" y="0"/>
          <wp:positionH relativeFrom="column">
            <wp:posOffset>775970</wp:posOffset>
          </wp:positionH>
          <wp:positionV relativeFrom="paragraph">
            <wp:posOffset>9703435</wp:posOffset>
          </wp:positionV>
          <wp:extent cx="476250" cy="379730"/>
          <wp:effectExtent l="0" t="0" r="0" b="1270"/>
          <wp:wrapNone/>
          <wp:docPr id="27" name="Image 27" descr="Mi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descr="Mi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1008" behindDoc="0" locked="0" layoutInCell="1" allowOverlap="1">
          <wp:simplePos x="0" y="0"/>
          <wp:positionH relativeFrom="column">
            <wp:posOffset>1371600</wp:posOffset>
          </wp:positionH>
          <wp:positionV relativeFrom="paragraph">
            <wp:posOffset>9743440</wp:posOffset>
          </wp:positionV>
          <wp:extent cx="504190" cy="299720"/>
          <wp:effectExtent l="0" t="0" r="0" b="5080"/>
          <wp:wrapNone/>
          <wp:docPr id="26" name="Image 26" descr="logo-Le-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 descr="logo-Le-Cha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190" cy="299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3827145</wp:posOffset>
          </wp:positionH>
          <wp:positionV relativeFrom="paragraph">
            <wp:posOffset>9736455</wp:posOffset>
          </wp:positionV>
          <wp:extent cx="282575" cy="306705"/>
          <wp:effectExtent l="0" t="0" r="3175" b="0"/>
          <wp:wrapNone/>
          <wp:docPr id="25" name="Image 25" descr="FA sans 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descr="FA sans fo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575" cy="306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2924175</wp:posOffset>
          </wp:positionH>
          <wp:positionV relativeFrom="paragraph">
            <wp:posOffset>9687560</wp:posOffset>
          </wp:positionV>
          <wp:extent cx="652145" cy="336550"/>
          <wp:effectExtent l="0" t="0" r="0" b="6350"/>
          <wp:wrapNone/>
          <wp:docPr id="24" name="Image 24" descr="logoschwarz 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descr="logoschwarz N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145" cy="336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5105400</wp:posOffset>
          </wp:positionH>
          <wp:positionV relativeFrom="paragraph">
            <wp:posOffset>9722485</wp:posOffset>
          </wp:positionV>
          <wp:extent cx="442595" cy="263525"/>
          <wp:effectExtent l="0" t="0" r="0" b="3175"/>
          <wp:wrapNone/>
          <wp:docPr id="23" name="Image 23" descr="Logo Rub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descr="Logo Rubs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595" cy="263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1971675</wp:posOffset>
          </wp:positionH>
          <wp:positionV relativeFrom="paragraph">
            <wp:posOffset>9714865</wp:posOffset>
          </wp:positionV>
          <wp:extent cx="802005" cy="343535"/>
          <wp:effectExtent l="0" t="0" r="0" b="0"/>
          <wp:wrapNone/>
          <wp:docPr id="22" name="Image 22" descr="DIADERM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descr="DIADERMIN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2005" cy="343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5738495</wp:posOffset>
          </wp:positionH>
          <wp:positionV relativeFrom="paragraph">
            <wp:posOffset>9855835</wp:posOffset>
          </wp:positionV>
          <wp:extent cx="1057275" cy="119380"/>
          <wp:effectExtent l="0" t="0" r="9525" b="0"/>
          <wp:wrapNone/>
          <wp:docPr id="21" name="Image 21" descr="LOGO_TECHNOMELT_3C_62_300442_print_1772H_177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descr="LOGO_TECHNOMELT_3C_62_300442_print_1772H_1772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7275" cy="119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simplePos x="0" y="0"/>
          <wp:positionH relativeFrom="column">
            <wp:posOffset>4303395</wp:posOffset>
          </wp:positionH>
          <wp:positionV relativeFrom="paragraph">
            <wp:posOffset>9801225</wp:posOffset>
          </wp:positionV>
          <wp:extent cx="606425" cy="190500"/>
          <wp:effectExtent l="0" t="0" r="3175" b="0"/>
          <wp:wrapNone/>
          <wp:docPr id="20" name="Image 20"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descr="loctite"/>
                  <pic:cNvPicPr>
                    <a:picLocks noChangeAspect="1" noChangeArrowheads="1"/>
                  </pic:cNvPicPr>
                </pic:nvPicPr>
                <pic:blipFill>
                  <a:blip r:embed="rId15">
                    <a:extLst>
                      <a:ext uri="{28A0092B-C50C-407E-A947-70E740481C1C}">
                        <a14:useLocalDpi xmlns:a14="http://schemas.microsoft.com/office/drawing/2010/main" val="0"/>
                      </a:ext>
                    </a:extLst>
                  </a:blip>
                  <a:srcRect t="30562" b="37978"/>
                  <a:stretch>
                    <a:fillRect/>
                  </a:stretch>
                </pic:blipFill>
                <pic:spPr bwMode="auto">
                  <a:xfrm>
                    <a:off x="0" y="0"/>
                    <a:ext cx="60642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775970</wp:posOffset>
          </wp:positionH>
          <wp:positionV relativeFrom="paragraph">
            <wp:posOffset>9703435</wp:posOffset>
          </wp:positionV>
          <wp:extent cx="476250" cy="379730"/>
          <wp:effectExtent l="0" t="0" r="0" b="1270"/>
          <wp:wrapNone/>
          <wp:docPr id="19" name="Image 19" descr="Mi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descr="Mi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simplePos x="0" y="0"/>
          <wp:positionH relativeFrom="column">
            <wp:posOffset>1371600</wp:posOffset>
          </wp:positionH>
          <wp:positionV relativeFrom="paragraph">
            <wp:posOffset>9743440</wp:posOffset>
          </wp:positionV>
          <wp:extent cx="504190" cy="299720"/>
          <wp:effectExtent l="0" t="0" r="0" b="5080"/>
          <wp:wrapNone/>
          <wp:docPr id="18" name="Image 18" descr="logo-Le-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 descr="logo-Le-Cha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190" cy="299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3827145</wp:posOffset>
          </wp:positionH>
          <wp:positionV relativeFrom="paragraph">
            <wp:posOffset>9736455</wp:posOffset>
          </wp:positionV>
          <wp:extent cx="282575" cy="306705"/>
          <wp:effectExtent l="0" t="0" r="3175" b="0"/>
          <wp:wrapNone/>
          <wp:docPr id="17" name="Image 17" descr="FA sans 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descr="FA sans fo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575" cy="306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2924175</wp:posOffset>
          </wp:positionH>
          <wp:positionV relativeFrom="paragraph">
            <wp:posOffset>9687560</wp:posOffset>
          </wp:positionV>
          <wp:extent cx="652145" cy="336550"/>
          <wp:effectExtent l="0" t="0" r="0" b="6350"/>
          <wp:wrapNone/>
          <wp:docPr id="16" name="Image 16" descr="logoschwarz 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descr="logoschwarz N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145" cy="336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simplePos x="0" y="0"/>
          <wp:positionH relativeFrom="column">
            <wp:posOffset>5105400</wp:posOffset>
          </wp:positionH>
          <wp:positionV relativeFrom="paragraph">
            <wp:posOffset>9722485</wp:posOffset>
          </wp:positionV>
          <wp:extent cx="442595" cy="263525"/>
          <wp:effectExtent l="0" t="0" r="0" b="3175"/>
          <wp:wrapNone/>
          <wp:docPr id="15" name="Image 15" descr="Logo Rub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descr="Logo Rubs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595" cy="263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simplePos x="0" y="0"/>
          <wp:positionH relativeFrom="column">
            <wp:posOffset>1971675</wp:posOffset>
          </wp:positionH>
          <wp:positionV relativeFrom="paragraph">
            <wp:posOffset>9714865</wp:posOffset>
          </wp:positionV>
          <wp:extent cx="802005" cy="343535"/>
          <wp:effectExtent l="0" t="0" r="0" b="0"/>
          <wp:wrapNone/>
          <wp:docPr id="14" name="Image 14" descr="DIADERM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descr="DIADERMIN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2005" cy="343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simplePos x="0" y="0"/>
          <wp:positionH relativeFrom="column">
            <wp:posOffset>5738495</wp:posOffset>
          </wp:positionH>
          <wp:positionV relativeFrom="paragraph">
            <wp:posOffset>9855835</wp:posOffset>
          </wp:positionV>
          <wp:extent cx="1057275" cy="119380"/>
          <wp:effectExtent l="0" t="0" r="9525" b="0"/>
          <wp:wrapNone/>
          <wp:docPr id="13" name="Image 13" descr="LOGO_TECHNOMELT_3C_62_300442_print_1772H_177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descr="LOGO_TECHNOMELT_3C_62_300442_print_1772H_1772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7275" cy="119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simplePos x="0" y="0"/>
          <wp:positionH relativeFrom="column">
            <wp:posOffset>4303395</wp:posOffset>
          </wp:positionH>
          <wp:positionV relativeFrom="paragraph">
            <wp:posOffset>9801225</wp:posOffset>
          </wp:positionV>
          <wp:extent cx="606425" cy="190500"/>
          <wp:effectExtent l="0" t="0" r="3175" b="0"/>
          <wp:wrapNone/>
          <wp:docPr id="12" name="Image 12"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descr="loctite"/>
                  <pic:cNvPicPr>
                    <a:picLocks noChangeAspect="1" noChangeArrowheads="1"/>
                  </pic:cNvPicPr>
                </pic:nvPicPr>
                <pic:blipFill>
                  <a:blip r:embed="rId15">
                    <a:extLst>
                      <a:ext uri="{28A0092B-C50C-407E-A947-70E740481C1C}">
                        <a14:useLocalDpi xmlns:a14="http://schemas.microsoft.com/office/drawing/2010/main" val="0"/>
                      </a:ext>
                    </a:extLst>
                  </a:blip>
                  <a:srcRect t="30562" b="37978"/>
                  <a:stretch>
                    <a:fillRect/>
                  </a:stretch>
                </pic:blipFill>
                <pic:spPr bwMode="auto">
                  <a:xfrm>
                    <a:off x="0" y="0"/>
                    <a:ext cx="60642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simplePos x="0" y="0"/>
          <wp:positionH relativeFrom="column">
            <wp:posOffset>775970</wp:posOffset>
          </wp:positionH>
          <wp:positionV relativeFrom="paragraph">
            <wp:posOffset>9703435</wp:posOffset>
          </wp:positionV>
          <wp:extent cx="476250" cy="379730"/>
          <wp:effectExtent l="0" t="0" r="0" b="1270"/>
          <wp:wrapNone/>
          <wp:docPr id="11" name="Image 11" descr="Mi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descr="Mi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simplePos x="0" y="0"/>
          <wp:positionH relativeFrom="column">
            <wp:posOffset>1371600</wp:posOffset>
          </wp:positionH>
          <wp:positionV relativeFrom="paragraph">
            <wp:posOffset>9743440</wp:posOffset>
          </wp:positionV>
          <wp:extent cx="504190" cy="299720"/>
          <wp:effectExtent l="0" t="0" r="0" b="5080"/>
          <wp:wrapNone/>
          <wp:docPr id="10" name="Image 10" descr="logo-Le-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 descr="logo-Le-Cha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190" cy="299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simplePos x="0" y="0"/>
          <wp:positionH relativeFrom="column">
            <wp:posOffset>3827145</wp:posOffset>
          </wp:positionH>
          <wp:positionV relativeFrom="paragraph">
            <wp:posOffset>9736455</wp:posOffset>
          </wp:positionV>
          <wp:extent cx="282575" cy="306705"/>
          <wp:effectExtent l="0" t="0" r="3175" b="0"/>
          <wp:wrapNone/>
          <wp:docPr id="9" name="Image 9" descr="FA sans 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descr="FA sans fo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575" cy="306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simplePos x="0" y="0"/>
          <wp:positionH relativeFrom="column">
            <wp:posOffset>2924175</wp:posOffset>
          </wp:positionH>
          <wp:positionV relativeFrom="paragraph">
            <wp:posOffset>9687560</wp:posOffset>
          </wp:positionV>
          <wp:extent cx="652145" cy="336550"/>
          <wp:effectExtent l="0" t="0" r="0" b="6350"/>
          <wp:wrapNone/>
          <wp:docPr id="8" name="Image 8" descr="logoschwarz 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descr="logoschwarz N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145" cy="336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0" locked="0" layoutInCell="1" allowOverlap="1">
          <wp:simplePos x="0" y="0"/>
          <wp:positionH relativeFrom="column">
            <wp:posOffset>5105400</wp:posOffset>
          </wp:positionH>
          <wp:positionV relativeFrom="paragraph">
            <wp:posOffset>9722485</wp:posOffset>
          </wp:positionV>
          <wp:extent cx="442595" cy="263525"/>
          <wp:effectExtent l="0" t="0" r="0" b="3175"/>
          <wp:wrapNone/>
          <wp:docPr id="7" name="Image 7" descr="Logo Rub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descr="Logo Rubs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595" cy="263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simplePos x="0" y="0"/>
          <wp:positionH relativeFrom="column">
            <wp:posOffset>1971675</wp:posOffset>
          </wp:positionH>
          <wp:positionV relativeFrom="paragraph">
            <wp:posOffset>9714865</wp:posOffset>
          </wp:positionV>
          <wp:extent cx="802005" cy="343535"/>
          <wp:effectExtent l="0" t="0" r="0" b="0"/>
          <wp:wrapNone/>
          <wp:docPr id="6" name="Image 6" descr="DIADERM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descr="DIADERMIN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2005" cy="343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0" locked="0" layoutInCell="1" allowOverlap="1">
          <wp:simplePos x="0" y="0"/>
          <wp:positionH relativeFrom="column">
            <wp:posOffset>5738495</wp:posOffset>
          </wp:positionH>
          <wp:positionV relativeFrom="paragraph">
            <wp:posOffset>9855835</wp:posOffset>
          </wp:positionV>
          <wp:extent cx="1057275" cy="119380"/>
          <wp:effectExtent l="0" t="0" r="9525" b="0"/>
          <wp:wrapNone/>
          <wp:docPr id="5" name="Image 5" descr="LOGO_TECHNOMELT_3C_62_300442_print_1772H_177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descr="LOGO_TECHNOMELT_3C_62_300442_print_1772H_1772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7275" cy="119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1" locked="0" layoutInCell="1" allowOverlap="1">
          <wp:simplePos x="0" y="0"/>
          <wp:positionH relativeFrom="column">
            <wp:posOffset>4303395</wp:posOffset>
          </wp:positionH>
          <wp:positionV relativeFrom="paragraph">
            <wp:posOffset>9801225</wp:posOffset>
          </wp:positionV>
          <wp:extent cx="606425" cy="190500"/>
          <wp:effectExtent l="0" t="0" r="3175" b="0"/>
          <wp:wrapNone/>
          <wp:docPr id="4" name="Image 4"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descr="loctite"/>
                  <pic:cNvPicPr>
                    <a:picLocks noChangeAspect="1" noChangeArrowheads="1"/>
                  </pic:cNvPicPr>
                </pic:nvPicPr>
                <pic:blipFill>
                  <a:blip r:embed="rId15">
                    <a:extLst>
                      <a:ext uri="{28A0092B-C50C-407E-A947-70E740481C1C}">
                        <a14:useLocalDpi xmlns:a14="http://schemas.microsoft.com/office/drawing/2010/main" val="0"/>
                      </a:ext>
                    </a:extLst>
                  </a:blip>
                  <a:srcRect t="30562" b="37978"/>
                  <a:stretch>
                    <a:fillRect/>
                  </a:stretch>
                </pic:blipFill>
                <pic:spPr bwMode="auto">
                  <a:xfrm>
                    <a:off x="0" y="0"/>
                    <a:ext cx="60642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0" locked="0" layoutInCell="1" allowOverlap="1">
          <wp:simplePos x="0" y="0"/>
          <wp:positionH relativeFrom="column">
            <wp:posOffset>775970</wp:posOffset>
          </wp:positionH>
          <wp:positionV relativeFrom="paragraph">
            <wp:posOffset>9703435</wp:posOffset>
          </wp:positionV>
          <wp:extent cx="476250" cy="379730"/>
          <wp:effectExtent l="0" t="0" r="0" b="1270"/>
          <wp:wrapNone/>
          <wp:docPr id="3" name="Image 3" descr="Mi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descr="Mi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simplePos x="0" y="0"/>
          <wp:positionH relativeFrom="column">
            <wp:posOffset>1371600</wp:posOffset>
          </wp:positionH>
          <wp:positionV relativeFrom="paragraph">
            <wp:posOffset>9743440</wp:posOffset>
          </wp:positionV>
          <wp:extent cx="504190" cy="299720"/>
          <wp:effectExtent l="0" t="0" r="0" b="5080"/>
          <wp:wrapNone/>
          <wp:docPr id="2" name="Image 2" descr="logo-Le-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 descr="logo-Le-Cha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190" cy="299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40E8" w:rsidRDefault="00BD3F88" w:rsidP="00064654">
    <w:pPr>
      <w:pStyle w:val="Pieddepage"/>
      <w:jc w:val="distribute"/>
      <w:rPr>
        <w:b w:val="0"/>
        <w:color w:val="000000"/>
      </w:rPr>
    </w:pPr>
  </w:p>
  <w:p w:rsidR="001340E8" w:rsidRPr="004A4699" w:rsidRDefault="00BF03E4" w:rsidP="00A73BC6">
    <w:pPr>
      <w:pStyle w:val="Pieddepage"/>
      <w:jc w:val="right"/>
      <w:rPr>
        <w:color w:val="000000"/>
      </w:rPr>
    </w:pPr>
    <w:r>
      <w:rPr>
        <w:b w:val="0"/>
        <w:color w:val="000000"/>
      </w:rPr>
      <w:t xml:space="preserve">Page </w:t>
    </w:r>
    <w:r>
      <w:rPr>
        <w:b w:val="0"/>
        <w:color w:val="000000"/>
      </w:rPr>
      <w:fldChar w:fldCharType="begin"/>
    </w:r>
    <w:r>
      <w:rPr>
        <w:b w:val="0"/>
        <w:color w:val="000000"/>
      </w:rPr>
      <w:instrText xml:space="preserve"> PAGE  \* Arabic  \* MERGEFORMAT </w:instrText>
    </w:r>
    <w:r>
      <w:rPr>
        <w:b w:val="0"/>
        <w:color w:val="000000"/>
      </w:rPr>
      <w:fldChar w:fldCharType="separate"/>
    </w:r>
    <w:r w:rsidR="00760A65">
      <w:rPr>
        <w:b w:val="0"/>
        <w:noProof/>
        <w:color w:val="000000"/>
      </w:rPr>
      <w:t>1</w:t>
    </w:r>
    <w:r>
      <w:rPr>
        <w:b w:val="0"/>
        <w:color w:val="000000"/>
      </w:rPr>
      <w:fldChar w:fldCharType="end"/>
    </w:r>
    <w:r>
      <w:rPr>
        <w:b w:val="0"/>
        <w:color w:val="000000"/>
      </w:rPr>
      <w:t>/</w:t>
    </w:r>
    <w:r>
      <w:rPr>
        <w:b w:val="0"/>
        <w:color w:val="000000"/>
      </w:rPr>
      <w:fldChar w:fldCharType="begin"/>
    </w:r>
    <w:r>
      <w:rPr>
        <w:b w:val="0"/>
        <w:color w:val="000000"/>
      </w:rPr>
      <w:instrText xml:space="preserve"> NUMPAGES  \* Arabic  \* MERGEFORMAT </w:instrText>
    </w:r>
    <w:r>
      <w:rPr>
        <w:b w:val="0"/>
        <w:color w:val="000000"/>
      </w:rPr>
      <w:fldChar w:fldCharType="separate"/>
    </w:r>
    <w:r w:rsidR="00760A65">
      <w:rPr>
        <w:b w:val="0"/>
        <w:noProof/>
        <w:color w:val="000000"/>
      </w:rPr>
      <w:t>3</w:t>
    </w:r>
    <w:r>
      <w:rPr>
        <w:b w:val="0"/>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F88" w:rsidRDefault="00BD3F88">
      <w:pPr>
        <w:spacing w:line="240" w:lineRule="auto"/>
      </w:pPr>
      <w:r>
        <w:separator/>
      </w:r>
    </w:p>
  </w:footnote>
  <w:footnote w:type="continuationSeparator" w:id="0">
    <w:p w:rsidR="00BD3F88" w:rsidRDefault="00BD3F8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0E8" w:rsidRDefault="00BD3F88" w:rsidP="00A73BC6">
    <w:pPr>
      <w:pStyle w:val="En-tt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0E8" w:rsidRPr="00157A9F" w:rsidRDefault="00BF03E4" w:rsidP="00A73BC6">
    <w:pPr>
      <w:pStyle w:val="En-tte"/>
      <w:tabs>
        <w:tab w:val="clear" w:pos="8640"/>
      </w:tabs>
      <w:spacing w:line="420" w:lineRule="atLeast"/>
      <w:jc w:val="right"/>
      <w:rPr>
        <w:b/>
        <w:bCs/>
        <w:sz w:val="36"/>
        <w:szCs w:val="36"/>
      </w:rPr>
    </w:pPr>
    <w:r>
      <w:rPr>
        <w:b/>
        <w:sz w:val="36"/>
      </w:rPr>
      <w:t>Communiqué de presse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3E4"/>
    <w:rsid w:val="00553045"/>
    <w:rsid w:val="00760A65"/>
    <w:rsid w:val="00926836"/>
    <w:rsid w:val="00B726C4"/>
    <w:rsid w:val="00BD3F88"/>
    <w:rsid w:val="00BF03E4"/>
    <w:rsid w:val="00FA51B7"/>
    <w:rsid w:val="00FC32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AAB4BA-D61C-49EB-9D55-40E6CD69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3E4"/>
    <w:pPr>
      <w:spacing w:after="0" w:line="260" w:lineRule="atLeast"/>
    </w:pPr>
    <w:rPr>
      <w:rFonts w:ascii="Arial" w:eastAsia="Times New Roman" w:hAnsi="Arial" w:cs="Times New Roman"/>
      <w:sz w:val="20"/>
      <w:szCs w:val="24"/>
      <w:lang w:eastAsia="fr-FR"/>
    </w:rPr>
  </w:style>
  <w:style w:type="paragraph" w:styleId="Titre2">
    <w:name w:val="heading 2"/>
    <w:basedOn w:val="Normal"/>
    <w:next w:val="Normal"/>
    <w:link w:val="Titre2Car"/>
    <w:uiPriority w:val="9"/>
    <w:qFormat/>
    <w:rsid w:val="00BF03E4"/>
    <w:pPr>
      <w:keepNext/>
      <w:outlineLvl w:val="1"/>
    </w:pPr>
    <w:rPr>
      <w:rFonts w:cs="Arial"/>
      <w:bCs/>
      <w:iCs/>
      <w:color w:val="E1000F"/>
      <w:sz w:val="22"/>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F03E4"/>
    <w:rPr>
      <w:rFonts w:ascii="Arial" w:eastAsia="Times New Roman" w:hAnsi="Arial" w:cs="Arial"/>
      <w:bCs/>
      <w:iCs/>
      <w:color w:val="E1000F"/>
      <w:szCs w:val="28"/>
      <w:lang w:eastAsia="fr-FR"/>
    </w:rPr>
  </w:style>
  <w:style w:type="paragraph" w:styleId="En-tte">
    <w:name w:val="header"/>
    <w:basedOn w:val="Normal"/>
    <w:link w:val="En-tteCar"/>
    <w:uiPriority w:val="99"/>
    <w:rsid w:val="00BF03E4"/>
    <w:pPr>
      <w:tabs>
        <w:tab w:val="center" w:pos="4320"/>
        <w:tab w:val="right" w:pos="8640"/>
      </w:tabs>
    </w:pPr>
  </w:style>
  <w:style w:type="character" w:customStyle="1" w:styleId="En-tteCar">
    <w:name w:val="En-tête Car"/>
    <w:basedOn w:val="Policepardfaut"/>
    <w:link w:val="En-tte"/>
    <w:uiPriority w:val="99"/>
    <w:rsid w:val="00BF03E4"/>
    <w:rPr>
      <w:rFonts w:ascii="Arial" w:eastAsia="Times New Roman" w:hAnsi="Arial" w:cs="Times New Roman"/>
      <w:sz w:val="20"/>
      <w:szCs w:val="24"/>
      <w:lang w:eastAsia="fr-FR"/>
    </w:rPr>
  </w:style>
  <w:style w:type="paragraph" w:styleId="Pieddepage">
    <w:name w:val="footer"/>
    <w:basedOn w:val="Normal"/>
    <w:link w:val="PieddepageCar"/>
    <w:uiPriority w:val="99"/>
    <w:rsid w:val="00BF03E4"/>
    <w:pPr>
      <w:tabs>
        <w:tab w:val="right" w:pos="7083"/>
        <w:tab w:val="right" w:pos="8640"/>
      </w:tabs>
      <w:spacing w:line="180" w:lineRule="atLeast"/>
    </w:pPr>
    <w:rPr>
      <w:b/>
      <w:color w:val="E1000F"/>
      <w:sz w:val="14"/>
    </w:rPr>
  </w:style>
  <w:style w:type="character" w:customStyle="1" w:styleId="PieddepageCar">
    <w:name w:val="Pied de page Car"/>
    <w:basedOn w:val="Policepardfaut"/>
    <w:link w:val="Pieddepage"/>
    <w:uiPriority w:val="99"/>
    <w:rsid w:val="00BF03E4"/>
    <w:rPr>
      <w:rFonts w:ascii="Arial" w:eastAsia="Times New Roman" w:hAnsi="Arial" w:cs="Times New Roman"/>
      <w:b/>
      <w:color w:val="E1000F"/>
      <w:sz w:val="14"/>
      <w:szCs w:val="24"/>
      <w:lang w:eastAsia="fr-FR"/>
    </w:rPr>
  </w:style>
  <w:style w:type="paragraph" w:customStyle="1" w:styleId="Standard12pt">
    <w:name w:val="Standard_12pt"/>
    <w:basedOn w:val="Normal"/>
    <w:rsid w:val="00BF03E4"/>
    <w:pPr>
      <w:spacing w:line="300" w:lineRule="atLeast"/>
    </w:pPr>
    <w:rPr>
      <w:sz w:val="24"/>
    </w:rPr>
  </w:style>
  <w:style w:type="character" w:styleId="Lienhypertexte">
    <w:name w:val="Hyperlink"/>
    <w:basedOn w:val="Policepardfaut"/>
    <w:uiPriority w:val="99"/>
    <w:rsid w:val="00BF03E4"/>
    <w:rPr>
      <w:rFonts w:cs="Times New Roman"/>
      <w:color w:val="0563C1"/>
      <w:u w:val="single"/>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um.com/@ClimateCEOs"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ef.ch/climateletter"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xavier.bossaert@bm.co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stephanie.coignard@henkel.com" TargetMode="External"/><Relationship Id="rId4" Type="http://schemas.openxmlformats.org/officeDocument/2006/relationships/footnotes" Target="footnotes.xml"/><Relationship Id="rId9" Type="http://schemas.openxmlformats.org/officeDocument/2006/relationships/hyperlink" Target="http://www.henkel.com/sustainability"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jpeg"/><Relationship Id="rId3" Type="http://schemas.openxmlformats.org/officeDocument/2006/relationships/image" Target="media/image4.jpeg"/><Relationship Id="rId7" Type="http://schemas.openxmlformats.org/officeDocument/2006/relationships/image" Target="media/image8.jpeg"/><Relationship Id="rId12" Type="http://schemas.openxmlformats.org/officeDocument/2006/relationships/image" Target="media/image13.png"/><Relationship Id="rId2" Type="http://schemas.openxmlformats.org/officeDocument/2006/relationships/image" Target="media/image3.png"/><Relationship Id="rId16" Type="http://schemas.openxmlformats.org/officeDocument/2006/relationships/image" Target="media/image17.png"/><Relationship Id="rId1" Type="http://schemas.openxmlformats.org/officeDocument/2006/relationships/image" Target="media/image2.jpeg"/><Relationship Id="rId6" Type="http://schemas.openxmlformats.org/officeDocument/2006/relationships/image" Target="media/image7.jpeg"/><Relationship Id="rId11" Type="http://schemas.openxmlformats.org/officeDocument/2006/relationships/image" Target="media/image12.png"/><Relationship Id="rId5" Type="http://schemas.openxmlformats.org/officeDocument/2006/relationships/image" Target="media/image6.jpeg"/><Relationship Id="rId15" Type="http://schemas.openxmlformats.org/officeDocument/2006/relationships/image" Target="media/image16.jpe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jpeg"/><Relationship Id="rId14" Type="http://schemas.openxmlformats.org/officeDocument/2006/relationships/image" Target="media/image1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4779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Coignard</dc:creator>
  <cp:keywords/>
  <dc:description/>
  <cp:lastModifiedBy>Marie Janeau</cp:lastModifiedBy>
  <cp:revision>4</cp:revision>
  <dcterms:created xsi:type="dcterms:W3CDTF">2015-12-01T13:37:00Z</dcterms:created>
  <dcterms:modified xsi:type="dcterms:W3CDTF">2015-12-01T14:57:00Z</dcterms:modified>
</cp:coreProperties>
</file>