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8B10C" w14:textId="77777777" w:rsidR="00656719" w:rsidRPr="007F0F81" w:rsidRDefault="00656719" w:rsidP="00656719">
      <w:pPr>
        <w:rPr>
          <w:rFonts w:hint="eastAsia"/>
          <w:sz w:val="24"/>
          <w:highlight w:val="yellow"/>
          <w:lang w:val="en-US" w:eastAsia="zh-CN"/>
        </w:rPr>
      </w:pPr>
    </w:p>
    <w:p w14:paraId="2C5CEEB4" w14:textId="69FC12D8" w:rsidR="00656719" w:rsidRPr="00875380" w:rsidRDefault="008C610A" w:rsidP="00CA1115">
      <w:pPr>
        <w:pStyle w:val="Standard12pt"/>
        <w:wordWrap w:val="0"/>
        <w:jc w:val="right"/>
        <w:rPr>
          <w:lang w:val="en-US" w:eastAsia="zh-CN"/>
        </w:rPr>
      </w:pPr>
      <w:r w:rsidRPr="00875380">
        <w:rPr>
          <w:lang w:val="en-US" w:eastAsia="zh-CN"/>
        </w:rPr>
        <w:t>2016</w:t>
      </w:r>
      <w:r w:rsidR="00F24FD0" w:rsidRPr="00875380">
        <w:rPr>
          <w:rFonts w:hint="eastAsia"/>
          <w:lang w:val="en-US" w:eastAsia="zh-CN"/>
        </w:rPr>
        <w:t>年</w:t>
      </w:r>
      <w:r w:rsidR="00F24FD0" w:rsidRPr="00875380">
        <w:rPr>
          <w:rFonts w:hint="eastAsia"/>
          <w:lang w:val="en-US" w:eastAsia="zh-CN"/>
        </w:rPr>
        <w:t xml:space="preserve"> </w:t>
      </w:r>
      <w:r w:rsidR="00CA1115" w:rsidRPr="00875380">
        <w:rPr>
          <w:lang w:val="en-US" w:eastAsia="zh-CN"/>
        </w:rPr>
        <w:t>2</w:t>
      </w:r>
      <w:r w:rsidR="00F24FD0" w:rsidRPr="00875380">
        <w:rPr>
          <w:rFonts w:hint="eastAsia"/>
          <w:lang w:val="en-US" w:eastAsia="zh-CN"/>
        </w:rPr>
        <w:t>月</w:t>
      </w:r>
      <w:r w:rsidR="00CA1115" w:rsidRPr="00875380">
        <w:rPr>
          <w:lang w:val="en-US" w:eastAsia="zh-CN"/>
        </w:rPr>
        <w:t>25</w:t>
      </w:r>
      <w:r w:rsidR="00F24FD0" w:rsidRPr="00875380">
        <w:rPr>
          <w:rFonts w:hint="eastAsia"/>
          <w:lang w:val="en-US" w:eastAsia="zh-CN"/>
        </w:rPr>
        <w:t>日</w:t>
      </w:r>
    </w:p>
    <w:p w14:paraId="5276A771" w14:textId="77777777" w:rsidR="0025573E" w:rsidRPr="00875380" w:rsidRDefault="0025573E" w:rsidP="008C610A">
      <w:pPr>
        <w:pStyle w:val="Standard12pt"/>
        <w:rPr>
          <w:lang w:val="en-US" w:eastAsia="zh-CN"/>
        </w:rPr>
      </w:pPr>
    </w:p>
    <w:p w14:paraId="6EB77991" w14:textId="45AF9DFF" w:rsidR="00CA1115" w:rsidRPr="00875380" w:rsidRDefault="00CA1115" w:rsidP="00875380">
      <w:pPr>
        <w:pStyle w:val="Standard12pt"/>
        <w:rPr>
          <w:rFonts w:hint="eastAsia"/>
          <w:lang w:val="en-US" w:eastAsia="zh-CN"/>
        </w:rPr>
      </w:pPr>
      <w:r w:rsidRPr="00875380">
        <w:rPr>
          <w:lang w:val="en-US" w:eastAsia="zh-CN"/>
        </w:rPr>
        <w:t>汉高汇报</w:t>
      </w:r>
      <w:r w:rsidRPr="00875380">
        <w:rPr>
          <w:lang w:val="en-US" w:eastAsia="zh-CN"/>
        </w:rPr>
        <w:t>2015</w:t>
      </w:r>
      <w:r w:rsidRPr="00875380">
        <w:rPr>
          <w:lang w:val="en-US" w:eastAsia="zh-CN"/>
        </w:rPr>
        <w:t>财年佳绩</w:t>
      </w:r>
    </w:p>
    <w:p w14:paraId="0FBF8F4A" w14:textId="63A0EEA6" w:rsidR="00CA1115" w:rsidRPr="00875380" w:rsidRDefault="00CA1115" w:rsidP="00CA1115">
      <w:pPr>
        <w:tabs>
          <w:tab w:val="left" w:pos="1980"/>
        </w:tabs>
        <w:rPr>
          <w:rFonts w:cs="Arial"/>
          <w:b/>
          <w:sz w:val="32"/>
          <w:szCs w:val="32"/>
          <w:lang w:val="en-US" w:eastAsia="zh-CN"/>
        </w:rPr>
      </w:pPr>
      <w:r w:rsidRPr="00875380">
        <w:rPr>
          <w:rFonts w:cs="Arial"/>
          <w:b/>
          <w:sz w:val="32"/>
          <w:szCs w:val="32"/>
          <w:lang w:val="en-US" w:eastAsia="zh-CN"/>
        </w:rPr>
        <w:t>销售和收入实</w:t>
      </w:r>
      <w:bookmarkStart w:id="0" w:name="_GoBack"/>
      <w:bookmarkEnd w:id="0"/>
      <w:r w:rsidRPr="00875380">
        <w:rPr>
          <w:rFonts w:cs="Arial"/>
          <w:b/>
          <w:sz w:val="32"/>
          <w:szCs w:val="32"/>
          <w:lang w:val="en-US" w:eastAsia="zh-CN"/>
        </w:rPr>
        <w:t>现大幅增长</w:t>
      </w:r>
    </w:p>
    <w:p w14:paraId="7467D318" w14:textId="77777777" w:rsidR="00CA1115" w:rsidRPr="00875380" w:rsidRDefault="00CA1115" w:rsidP="00CA1115">
      <w:pPr>
        <w:pStyle w:val="a5"/>
        <w:spacing w:after="0" w:line="300" w:lineRule="exact"/>
        <w:rPr>
          <w:b/>
          <w:lang w:val="en-US"/>
        </w:rPr>
      </w:pPr>
    </w:p>
    <w:p w14:paraId="4E1A2ACA" w14:textId="2FF030AB" w:rsidR="00CA1115" w:rsidRPr="00875380" w:rsidRDefault="00CA1115" w:rsidP="00CA1115">
      <w:pPr>
        <w:pStyle w:val="1"/>
        <w:keepNext w:val="0"/>
        <w:widowControl w:val="0"/>
        <w:numPr>
          <w:ilvl w:val="0"/>
          <w:numId w:val="4"/>
        </w:numPr>
        <w:adjustRightInd w:val="0"/>
        <w:snapToGrid w:val="0"/>
        <w:spacing w:afterLines="35" w:after="84" w:line="240" w:lineRule="auto"/>
        <w:rPr>
          <w:rFonts w:cs="Arial"/>
          <w:b w:val="0"/>
          <w:bCs/>
          <w:snapToGrid w:val="0"/>
          <w:sz w:val="24"/>
          <w:szCs w:val="24"/>
          <w:lang w:eastAsia="zh-CN"/>
        </w:rPr>
      </w:pPr>
      <w:r w:rsidRPr="00875380">
        <w:rPr>
          <w:rFonts w:cs="Arial"/>
          <w:snapToGrid w:val="0"/>
          <w:sz w:val="24"/>
          <w:szCs w:val="24"/>
          <w:lang w:eastAsia="zh-CN"/>
        </w:rPr>
        <w:t>销售额：</w:t>
      </w:r>
      <w:r w:rsidRPr="00875380">
        <w:rPr>
          <w:rFonts w:cs="Arial" w:hint="eastAsia"/>
          <w:snapToGrid w:val="0"/>
          <w:sz w:val="24"/>
          <w:szCs w:val="24"/>
          <w:lang w:eastAsia="zh-CN"/>
        </w:rPr>
        <w:t>+</w:t>
      </w:r>
      <w:r w:rsidRPr="00875380">
        <w:rPr>
          <w:rFonts w:cs="Arial"/>
          <w:snapToGrid w:val="0"/>
          <w:sz w:val="24"/>
          <w:szCs w:val="24"/>
          <w:lang w:eastAsia="zh-CN"/>
        </w:rPr>
        <w:t>10.1%</w:t>
      </w:r>
      <w:r w:rsidRPr="00875380">
        <w:rPr>
          <w:rFonts w:cs="Arial"/>
          <w:snapToGrid w:val="0"/>
          <w:sz w:val="24"/>
          <w:szCs w:val="24"/>
          <w:lang w:eastAsia="zh-CN"/>
        </w:rPr>
        <w:t>，</w:t>
      </w:r>
      <w:r w:rsidRPr="00875380">
        <w:rPr>
          <w:rFonts w:cs="Arial" w:hint="eastAsia"/>
          <w:snapToGrid w:val="0"/>
          <w:sz w:val="24"/>
          <w:szCs w:val="24"/>
          <w:lang w:eastAsia="zh-CN"/>
        </w:rPr>
        <w:t>至</w:t>
      </w:r>
      <w:r w:rsidRPr="00875380">
        <w:rPr>
          <w:rFonts w:cs="Arial"/>
          <w:snapToGrid w:val="0"/>
          <w:sz w:val="24"/>
          <w:szCs w:val="24"/>
          <w:lang w:eastAsia="zh-CN"/>
        </w:rPr>
        <w:t>180.89</w:t>
      </w:r>
      <w:r w:rsidRPr="00875380">
        <w:rPr>
          <w:rFonts w:cs="Arial"/>
          <w:snapToGrid w:val="0"/>
          <w:sz w:val="24"/>
          <w:szCs w:val="24"/>
          <w:lang w:eastAsia="zh-CN"/>
        </w:rPr>
        <w:t>亿欧元（有机销售额</w:t>
      </w:r>
      <w:r w:rsidRPr="00875380">
        <w:rPr>
          <w:rFonts w:cs="Arial" w:hint="eastAsia"/>
          <w:snapToGrid w:val="0"/>
          <w:sz w:val="24"/>
          <w:szCs w:val="24"/>
          <w:lang w:eastAsia="zh-CN"/>
        </w:rPr>
        <w:t>: +</w:t>
      </w:r>
      <w:r w:rsidRPr="00875380">
        <w:rPr>
          <w:rFonts w:cs="Arial"/>
          <w:snapToGrid w:val="0"/>
          <w:sz w:val="24"/>
          <w:szCs w:val="24"/>
          <w:lang w:eastAsia="zh-CN"/>
        </w:rPr>
        <w:t>3.0%</w:t>
      </w:r>
      <w:r w:rsidRPr="00875380">
        <w:rPr>
          <w:rFonts w:cs="Arial"/>
          <w:snapToGrid w:val="0"/>
          <w:sz w:val="24"/>
          <w:szCs w:val="24"/>
          <w:lang w:eastAsia="zh-CN"/>
        </w:rPr>
        <w:t>）</w:t>
      </w:r>
    </w:p>
    <w:p w14:paraId="5CE876F3" w14:textId="2C87EC36" w:rsidR="00CA1115" w:rsidRPr="00875380" w:rsidRDefault="00CA1115" w:rsidP="00CA1115">
      <w:pPr>
        <w:pStyle w:val="1"/>
        <w:keepNext w:val="0"/>
        <w:widowControl w:val="0"/>
        <w:numPr>
          <w:ilvl w:val="0"/>
          <w:numId w:val="4"/>
        </w:numPr>
        <w:adjustRightInd w:val="0"/>
        <w:snapToGrid w:val="0"/>
        <w:spacing w:afterLines="35" w:after="84" w:line="240" w:lineRule="auto"/>
        <w:rPr>
          <w:rFonts w:cs="Arial"/>
          <w:b w:val="0"/>
          <w:bCs/>
          <w:snapToGrid w:val="0"/>
          <w:sz w:val="24"/>
          <w:szCs w:val="24"/>
          <w:lang w:eastAsia="zh-CN"/>
        </w:rPr>
      </w:pPr>
      <w:r w:rsidRPr="00875380">
        <w:rPr>
          <w:rFonts w:cs="Arial"/>
          <w:snapToGrid w:val="0"/>
          <w:sz w:val="24"/>
          <w:szCs w:val="24"/>
          <w:lang w:eastAsia="zh-CN"/>
        </w:rPr>
        <w:t>营业利润</w:t>
      </w:r>
      <w:r w:rsidRPr="00875380">
        <w:rPr>
          <w:rFonts w:cs="Arial"/>
          <w:snapToGrid w:val="0"/>
          <w:sz w:val="24"/>
          <w:szCs w:val="24"/>
          <w:lang w:eastAsia="zh-CN"/>
        </w:rPr>
        <w:t>*</w:t>
      </w:r>
      <w:r w:rsidRPr="00875380">
        <w:rPr>
          <w:rFonts w:cs="Arial"/>
          <w:snapToGrid w:val="0"/>
          <w:sz w:val="24"/>
          <w:szCs w:val="24"/>
          <w:lang w:eastAsia="zh-CN"/>
        </w:rPr>
        <w:t>：</w:t>
      </w:r>
      <w:r w:rsidRPr="00875380">
        <w:rPr>
          <w:rFonts w:cs="Arial" w:hint="eastAsia"/>
          <w:snapToGrid w:val="0"/>
          <w:sz w:val="24"/>
          <w:szCs w:val="24"/>
          <w:lang w:eastAsia="zh-CN"/>
        </w:rPr>
        <w:t>+</w:t>
      </w:r>
      <w:r w:rsidRPr="00875380">
        <w:rPr>
          <w:rFonts w:cs="Arial"/>
          <w:snapToGrid w:val="0"/>
          <w:sz w:val="24"/>
          <w:szCs w:val="24"/>
          <w:lang w:eastAsia="zh-CN"/>
        </w:rPr>
        <w:t>12.9%</w:t>
      </w:r>
      <w:r w:rsidRPr="00875380">
        <w:rPr>
          <w:rFonts w:cs="Arial"/>
          <w:snapToGrid w:val="0"/>
          <w:sz w:val="24"/>
          <w:szCs w:val="24"/>
          <w:lang w:eastAsia="zh-CN"/>
        </w:rPr>
        <w:t>，</w:t>
      </w:r>
      <w:r w:rsidRPr="00875380">
        <w:rPr>
          <w:rFonts w:cs="Arial" w:hint="eastAsia"/>
          <w:snapToGrid w:val="0"/>
          <w:sz w:val="24"/>
          <w:szCs w:val="24"/>
          <w:lang w:eastAsia="zh-CN"/>
        </w:rPr>
        <w:t>至</w:t>
      </w:r>
      <w:r w:rsidRPr="00875380">
        <w:rPr>
          <w:rFonts w:cs="Arial"/>
          <w:snapToGrid w:val="0"/>
          <w:sz w:val="24"/>
          <w:szCs w:val="24"/>
          <w:lang w:eastAsia="zh-CN"/>
        </w:rPr>
        <w:t>29.23</w:t>
      </w:r>
      <w:r w:rsidRPr="00875380">
        <w:rPr>
          <w:rFonts w:cs="Arial"/>
          <w:snapToGrid w:val="0"/>
          <w:sz w:val="24"/>
          <w:szCs w:val="24"/>
          <w:lang w:eastAsia="zh-CN"/>
        </w:rPr>
        <w:t>亿欧元</w:t>
      </w:r>
    </w:p>
    <w:p w14:paraId="5D2833DF" w14:textId="757D9028" w:rsidR="00CA1115" w:rsidRPr="00875380" w:rsidRDefault="00CA1115" w:rsidP="00CA1115">
      <w:pPr>
        <w:pStyle w:val="1"/>
        <w:keepNext w:val="0"/>
        <w:widowControl w:val="0"/>
        <w:numPr>
          <w:ilvl w:val="0"/>
          <w:numId w:val="4"/>
        </w:numPr>
        <w:adjustRightInd w:val="0"/>
        <w:snapToGrid w:val="0"/>
        <w:spacing w:afterLines="35" w:after="84" w:line="240" w:lineRule="auto"/>
        <w:rPr>
          <w:rFonts w:cs="Arial"/>
          <w:b w:val="0"/>
          <w:bCs/>
          <w:snapToGrid w:val="0"/>
          <w:sz w:val="24"/>
          <w:szCs w:val="24"/>
          <w:lang w:eastAsia="zh-CN"/>
        </w:rPr>
      </w:pPr>
      <w:proofErr w:type="gramStart"/>
      <w:r w:rsidRPr="00875380">
        <w:rPr>
          <w:rFonts w:cs="Arial"/>
          <w:snapToGrid w:val="0"/>
          <w:sz w:val="24"/>
          <w:szCs w:val="24"/>
          <w:lang w:eastAsia="zh-CN"/>
        </w:rPr>
        <w:t>息</w:t>
      </w:r>
      <w:proofErr w:type="gramEnd"/>
      <w:r w:rsidRPr="00875380">
        <w:rPr>
          <w:rFonts w:cs="Arial"/>
          <w:snapToGrid w:val="0"/>
          <w:sz w:val="24"/>
          <w:szCs w:val="24"/>
          <w:lang w:eastAsia="zh-CN"/>
        </w:rPr>
        <w:t>税前利润率</w:t>
      </w:r>
      <w:r w:rsidRPr="00875380">
        <w:rPr>
          <w:rFonts w:cs="Arial"/>
          <w:snapToGrid w:val="0"/>
          <w:sz w:val="24"/>
          <w:szCs w:val="24"/>
          <w:lang w:eastAsia="zh-CN"/>
        </w:rPr>
        <w:t>*</w:t>
      </w:r>
      <w:r w:rsidRPr="00875380">
        <w:rPr>
          <w:rFonts w:cs="Arial"/>
          <w:snapToGrid w:val="0"/>
          <w:sz w:val="24"/>
          <w:szCs w:val="24"/>
          <w:lang w:eastAsia="zh-CN"/>
        </w:rPr>
        <w:t>：</w:t>
      </w:r>
      <w:r w:rsidRPr="00875380">
        <w:rPr>
          <w:rFonts w:cs="Arial" w:hint="eastAsia"/>
          <w:snapToGrid w:val="0"/>
          <w:sz w:val="24"/>
          <w:szCs w:val="24"/>
          <w:lang w:eastAsia="zh-CN"/>
        </w:rPr>
        <w:t>+</w:t>
      </w:r>
      <w:r w:rsidRPr="00875380">
        <w:rPr>
          <w:rFonts w:cs="Arial"/>
          <w:snapToGrid w:val="0"/>
          <w:sz w:val="24"/>
          <w:szCs w:val="24"/>
          <w:lang w:eastAsia="zh-CN"/>
        </w:rPr>
        <w:t>0.4</w:t>
      </w:r>
      <w:r w:rsidRPr="00875380">
        <w:rPr>
          <w:rFonts w:cs="Arial"/>
          <w:snapToGrid w:val="0"/>
          <w:sz w:val="24"/>
          <w:szCs w:val="24"/>
          <w:lang w:eastAsia="zh-CN"/>
        </w:rPr>
        <w:t>个百分点，达</w:t>
      </w:r>
      <w:r w:rsidRPr="00875380">
        <w:rPr>
          <w:rFonts w:cs="Arial"/>
          <w:snapToGrid w:val="0"/>
          <w:sz w:val="24"/>
          <w:szCs w:val="24"/>
          <w:lang w:eastAsia="zh-CN"/>
        </w:rPr>
        <w:t>16.2%</w:t>
      </w:r>
    </w:p>
    <w:p w14:paraId="6A5AEBEB" w14:textId="6D1045BD" w:rsidR="00CA1115" w:rsidRPr="00875380" w:rsidRDefault="00CA1115" w:rsidP="00CA1115">
      <w:pPr>
        <w:pStyle w:val="1"/>
        <w:keepNext w:val="0"/>
        <w:widowControl w:val="0"/>
        <w:numPr>
          <w:ilvl w:val="0"/>
          <w:numId w:val="4"/>
        </w:numPr>
        <w:adjustRightInd w:val="0"/>
        <w:snapToGrid w:val="0"/>
        <w:spacing w:afterLines="35" w:after="84" w:line="240" w:lineRule="auto"/>
        <w:rPr>
          <w:rFonts w:cs="Arial"/>
          <w:b w:val="0"/>
          <w:bCs/>
          <w:snapToGrid w:val="0"/>
          <w:sz w:val="24"/>
          <w:szCs w:val="24"/>
          <w:lang w:eastAsia="zh-CN"/>
        </w:rPr>
      </w:pPr>
      <w:r w:rsidRPr="00875380">
        <w:rPr>
          <w:rFonts w:cs="Arial"/>
          <w:snapToGrid w:val="0"/>
          <w:sz w:val="24"/>
          <w:szCs w:val="24"/>
          <w:lang w:eastAsia="zh-CN"/>
        </w:rPr>
        <w:t>优先股每股收益</w:t>
      </w:r>
      <w:r w:rsidRPr="00875380">
        <w:rPr>
          <w:rFonts w:cs="Arial"/>
          <w:snapToGrid w:val="0"/>
          <w:sz w:val="24"/>
          <w:szCs w:val="24"/>
          <w:lang w:eastAsia="zh-CN"/>
        </w:rPr>
        <w:t>*</w:t>
      </w:r>
      <w:r w:rsidRPr="00875380">
        <w:rPr>
          <w:rFonts w:cs="Arial"/>
          <w:snapToGrid w:val="0"/>
          <w:sz w:val="24"/>
          <w:szCs w:val="24"/>
          <w:lang w:eastAsia="zh-CN"/>
        </w:rPr>
        <w:t>（</w:t>
      </w:r>
      <w:r w:rsidRPr="00875380">
        <w:rPr>
          <w:rFonts w:cs="Arial"/>
          <w:snapToGrid w:val="0"/>
          <w:sz w:val="24"/>
          <w:szCs w:val="24"/>
          <w:lang w:eastAsia="zh-CN"/>
        </w:rPr>
        <w:t>EPS</w:t>
      </w:r>
      <w:r w:rsidRPr="00875380">
        <w:rPr>
          <w:rFonts w:cs="Arial"/>
          <w:snapToGrid w:val="0"/>
          <w:sz w:val="24"/>
          <w:szCs w:val="24"/>
          <w:lang w:eastAsia="zh-CN"/>
        </w:rPr>
        <w:t>）：</w:t>
      </w:r>
      <w:r w:rsidRPr="00875380">
        <w:rPr>
          <w:rFonts w:cs="Arial" w:hint="eastAsia"/>
          <w:snapToGrid w:val="0"/>
          <w:sz w:val="24"/>
          <w:szCs w:val="24"/>
          <w:lang w:eastAsia="zh-CN"/>
        </w:rPr>
        <w:t>+</w:t>
      </w:r>
      <w:r w:rsidRPr="00875380">
        <w:rPr>
          <w:rFonts w:cs="Arial"/>
          <w:snapToGrid w:val="0"/>
          <w:sz w:val="24"/>
          <w:szCs w:val="24"/>
          <w:lang w:eastAsia="zh-CN"/>
        </w:rPr>
        <w:t>11.4%</w:t>
      </w:r>
      <w:r w:rsidRPr="00875380">
        <w:rPr>
          <w:rFonts w:cs="Arial"/>
          <w:snapToGrid w:val="0"/>
          <w:sz w:val="24"/>
          <w:szCs w:val="24"/>
          <w:lang w:eastAsia="zh-CN"/>
        </w:rPr>
        <w:t>，</w:t>
      </w:r>
      <w:r w:rsidRPr="00875380">
        <w:rPr>
          <w:rFonts w:cs="Arial" w:hint="eastAsia"/>
          <w:snapToGrid w:val="0"/>
          <w:sz w:val="24"/>
          <w:szCs w:val="24"/>
          <w:lang w:eastAsia="zh-CN"/>
        </w:rPr>
        <w:t>至</w:t>
      </w:r>
      <w:r w:rsidRPr="00875380">
        <w:rPr>
          <w:rFonts w:cs="Arial"/>
          <w:snapToGrid w:val="0"/>
          <w:sz w:val="24"/>
          <w:szCs w:val="24"/>
          <w:lang w:eastAsia="zh-CN"/>
        </w:rPr>
        <w:t>4.88</w:t>
      </w:r>
      <w:r w:rsidRPr="00875380">
        <w:rPr>
          <w:rFonts w:cs="Arial"/>
          <w:snapToGrid w:val="0"/>
          <w:sz w:val="24"/>
          <w:szCs w:val="24"/>
          <w:lang w:eastAsia="zh-CN"/>
        </w:rPr>
        <w:t>欧元</w:t>
      </w:r>
    </w:p>
    <w:p w14:paraId="3D198484" w14:textId="24506391" w:rsidR="00CA1115" w:rsidRPr="00875380" w:rsidRDefault="00CA1115" w:rsidP="00CA1115">
      <w:pPr>
        <w:pStyle w:val="1"/>
        <w:keepNext w:val="0"/>
        <w:widowControl w:val="0"/>
        <w:numPr>
          <w:ilvl w:val="0"/>
          <w:numId w:val="4"/>
        </w:numPr>
        <w:adjustRightInd w:val="0"/>
        <w:snapToGrid w:val="0"/>
        <w:spacing w:afterLines="35" w:after="84" w:line="240" w:lineRule="auto"/>
        <w:rPr>
          <w:rFonts w:cs="Arial"/>
          <w:b w:val="0"/>
          <w:bCs/>
          <w:snapToGrid w:val="0"/>
          <w:sz w:val="24"/>
          <w:szCs w:val="24"/>
          <w:lang w:eastAsia="zh-CN"/>
        </w:rPr>
      </w:pPr>
      <w:r w:rsidRPr="00875380">
        <w:rPr>
          <w:rFonts w:cs="Arial"/>
          <w:snapToGrid w:val="0"/>
          <w:sz w:val="24"/>
          <w:szCs w:val="24"/>
          <w:lang w:eastAsia="zh-CN"/>
        </w:rPr>
        <w:t>拟派股利：</w:t>
      </w:r>
      <w:r w:rsidRPr="00875380">
        <w:rPr>
          <w:rFonts w:cs="Arial"/>
          <w:snapToGrid w:val="0"/>
          <w:sz w:val="24"/>
          <w:szCs w:val="24"/>
          <w:lang w:eastAsia="zh-CN"/>
        </w:rPr>
        <w:t>+12.2%</w:t>
      </w:r>
      <w:r w:rsidRPr="00875380">
        <w:rPr>
          <w:rFonts w:cs="Arial"/>
          <w:snapToGrid w:val="0"/>
          <w:sz w:val="24"/>
          <w:szCs w:val="24"/>
          <w:lang w:eastAsia="zh-CN"/>
        </w:rPr>
        <w:t>，</w:t>
      </w:r>
      <w:proofErr w:type="spellStart"/>
      <w:r w:rsidRPr="00875380">
        <w:rPr>
          <w:rFonts w:cs="Arial"/>
          <w:snapToGrid w:val="0"/>
          <w:sz w:val="24"/>
          <w:szCs w:val="24"/>
          <w:lang w:eastAsia="zh-CN"/>
        </w:rPr>
        <w:t>每股优先股为</w:t>
      </w:r>
      <w:proofErr w:type="spellEnd"/>
      <w:r w:rsidRPr="00875380">
        <w:rPr>
          <w:rFonts w:cs="Arial"/>
          <w:snapToGrid w:val="0"/>
          <w:sz w:val="24"/>
          <w:szCs w:val="24"/>
          <w:lang w:eastAsia="zh-CN"/>
        </w:rPr>
        <w:t>1.47</w:t>
      </w:r>
      <w:r w:rsidRPr="00875380">
        <w:rPr>
          <w:rFonts w:cs="Arial"/>
          <w:snapToGrid w:val="0"/>
          <w:sz w:val="24"/>
          <w:szCs w:val="24"/>
          <w:lang w:eastAsia="zh-CN"/>
        </w:rPr>
        <w:t>欧元</w:t>
      </w:r>
    </w:p>
    <w:p w14:paraId="16FD963F" w14:textId="77777777" w:rsidR="00CA1115" w:rsidRPr="00875380" w:rsidRDefault="00CA1115" w:rsidP="00CA1115">
      <w:pPr>
        <w:adjustRightInd w:val="0"/>
        <w:snapToGrid w:val="0"/>
        <w:spacing w:afterLines="35" w:after="84"/>
        <w:rPr>
          <w:rFonts w:cs="Arial"/>
          <w:b/>
          <w:bCs/>
          <w:snapToGrid w:val="0"/>
          <w:sz w:val="24"/>
          <w:lang w:eastAsia="zh-CN"/>
        </w:rPr>
      </w:pPr>
    </w:p>
    <w:p w14:paraId="19799DA5" w14:textId="3B08678D" w:rsidR="00CA1115" w:rsidRPr="00875380" w:rsidRDefault="00CA1115" w:rsidP="00CA1115">
      <w:pPr>
        <w:adjustRightInd w:val="0"/>
        <w:snapToGrid w:val="0"/>
        <w:spacing w:afterLines="35" w:after="84"/>
        <w:rPr>
          <w:rFonts w:cs="Arial"/>
          <w:b/>
          <w:snapToGrid w:val="0"/>
          <w:sz w:val="24"/>
          <w:lang w:eastAsia="zh-CN"/>
        </w:rPr>
      </w:pPr>
      <w:r w:rsidRPr="00875380">
        <w:rPr>
          <w:rFonts w:cs="Arial"/>
          <w:b/>
          <w:snapToGrid w:val="0"/>
          <w:sz w:val="24"/>
          <w:lang w:eastAsia="zh-CN"/>
        </w:rPr>
        <w:t>杜塞尔多夫</w:t>
      </w:r>
      <w:r w:rsidRPr="00875380">
        <w:rPr>
          <w:rFonts w:cs="Arial" w:hint="eastAsia"/>
          <w:b/>
          <w:snapToGrid w:val="0"/>
          <w:sz w:val="24"/>
          <w:lang w:eastAsia="zh-CN"/>
        </w:rPr>
        <w:t>讯，</w:t>
      </w:r>
      <w:r w:rsidRPr="00875380">
        <w:rPr>
          <w:rFonts w:cs="Arial"/>
          <w:b/>
          <w:snapToGrid w:val="0"/>
          <w:sz w:val="24"/>
          <w:lang w:eastAsia="zh-CN"/>
        </w:rPr>
        <w:t>“2015</w:t>
      </w:r>
      <w:r w:rsidRPr="00875380">
        <w:rPr>
          <w:rFonts w:cs="Arial"/>
          <w:b/>
          <w:snapToGrid w:val="0"/>
          <w:sz w:val="24"/>
          <w:lang w:eastAsia="zh-CN"/>
        </w:rPr>
        <w:t>是汉高硕果累累的一年。我们的销售额、营业利润、每股收益和拟派股利均实现了两位数</w:t>
      </w:r>
      <w:r w:rsidRPr="00875380">
        <w:rPr>
          <w:rFonts w:cs="Arial" w:hint="eastAsia"/>
          <w:b/>
          <w:snapToGrid w:val="0"/>
          <w:sz w:val="24"/>
          <w:lang w:eastAsia="zh-CN"/>
        </w:rPr>
        <w:t>的</w:t>
      </w:r>
      <w:r w:rsidRPr="00875380">
        <w:rPr>
          <w:rFonts w:cs="Arial"/>
          <w:b/>
          <w:snapToGrid w:val="0"/>
          <w:sz w:val="24"/>
          <w:lang w:eastAsia="zh-CN"/>
        </w:rPr>
        <w:t>增长。公司三大业务单元也都取得了</w:t>
      </w:r>
      <w:r w:rsidRPr="00875380">
        <w:rPr>
          <w:rFonts w:cs="Arial" w:hint="eastAsia"/>
          <w:b/>
          <w:snapToGrid w:val="0"/>
          <w:sz w:val="24"/>
          <w:lang w:eastAsia="zh-CN"/>
        </w:rPr>
        <w:t>稳</w:t>
      </w:r>
      <w:r w:rsidR="00E25787" w:rsidRPr="00875380">
        <w:rPr>
          <w:rFonts w:cs="Arial" w:hint="eastAsia"/>
          <w:b/>
          <w:snapToGrid w:val="0"/>
          <w:sz w:val="24"/>
          <w:lang w:eastAsia="zh-CN"/>
        </w:rPr>
        <w:t>健</w:t>
      </w:r>
      <w:r w:rsidRPr="00875380">
        <w:rPr>
          <w:rFonts w:cs="Arial"/>
          <w:b/>
          <w:snapToGrid w:val="0"/>
          <w:sz w:val="24"/>
          <w:lang w:eastAsia="zh-CN"/>
        </w:rPr>
        <w:t>的有机增长，利润率大幅提高</w:t>
      </w:r>
      <w:r w:rsidRPr="00875380">
        <w:rPr>
          <w:rFonts w:cs="Arial"/>
          <w:b/>
          <w:snapToGrid w:val="0"/>
          <w:sz w:val="24"/>
          <w:lang w:eastAsia="zh-CN"/>
        </w:rPr>
        <w:t>”</w:t>
      </w:r>
      <w:r w:rsidRPr="00875380">
        <w:rPr>
          <w:rFonts w:cs="Arial"/>
          <w:b/>
          <w:snapToGrid w:val="0"/>
          <w:sz w:val="24"/>
          <w:lang w:eastAsia="zh-CN"/>
        </w:rPr>
        <w:t>，</w:t>
      </w:r>
      <w:r w:rsidRPr="00875380">
        <w:rPr>
          <w:rFonts w:cs="Arial"/>
          <w:b/>
          <w:snapToGrid w:val="0"/>
          <w:sz w:val="24"/>
          <w:lang w:eastAsia="zh-CN"/>
        </w:rPr>
        <w:t xml:space="preserve"> </w:t>
      </w:r>
      <w:r w:rsidRPr="00875380">
        <w:rPr>
          <w:rFonts w:cs="Arial"/>
          <w:b/>
          <w:snapToGrid w:val="0"/>
          <w:sz w:val="24"/>
          <w:lang w:eastAsia="zh-CN"/>
        </w:rPr>
        <w:t>汉高首席执行官罗思德先生表示</w:t>
      </w:r>
      <w:r w:rsidRPr="00875380">
        <w:rPr>
          <w:rFonts w:cs="Arial" w:hint="eastAsia"/>
          <w:b/>
          <w:snapToGrid w:val="0"/>
          <w:sz w:val="24"/>
          <w:lang w:eastAsia="zh-CN"/>
        </w:rPr>
        <w:t>，</w:t>
      </w:r>
      <w:r w:rsidRPr="00875380">
        <w:rPr>
          <w:rFonts w:cs="Arial"/>
          <w:b/>
          <w:snapToGrid w:val="0"/>
          <w:sz w:val="24"/>
          <w:lang w:eastAsia="zh-CN"/>
        </w:rPr>
        <w:t>“</w:t>
      </w:r>
      <w:r w:rsidRPr="00875380">
        <w:rPr>
          <w:rFonts w:cs="Arial"/>
          <w:b/>
          <w:snapToGrid w:val="0"/>
          <w:sz w:val="24"/>
          <w:lang w:eastAsia="zh-CN"/>
        </w:rPr>
        <w:t>新兴市场继续成为推动公司良好绩效的主要增长</w:t>
      </w:r>
      <w:r w:rsidRPr="00875380">
        <w:rPr>
          <w:rFonts w:cs="Arial" w:hint="eastAsia"/>
          <w:b/>
          <w:snapToGrid w:val="0"/>
          <w:sz w:val="24"/>
          <w:lang w:eastAsia="zh-CN"/>
        </w:rPr>
        <w:t>驱</w:t>
      </w:r>
      <w:r w:rsidRPr="00875380">
        <w:rPr>
          <w:rFonts w:cs="Arial"/>
          <w:b/>
          <w:snapToGrid w:val="0"/>
          <w:sz w:val="24"/>
          <w:lang w:eastAsia="zh-CN"/>
        </w:rPr>
        <w:t>动力。而在成熟市场上，我们也获得了进一步的有机销售增长。</w:t>
      </w:r>
      <w:r w:rsidRPr="00875380">
        <w:rPr>
          <w:rFonts w:cs="Arial"/>
          <w:b/>
          <w:snapToGrid w:val="0"/>
          <w:sz w:val="24"/>
          <w:lang w:eastAsia="zh-CN"/>
        </w:rPr>
        <w:t>”</w:t>
      </w:r>
    </w:p>
    <w:p w14:paraId="69A1839A" w14:textId="77777777" w:rsidR="00CA1115" w:rsidRPr="00875380" w:rsidRDefault="00CA1115" w:rsidP="00CA1115">
      <w:pPr>
        <w:adjustRightInd w:val="0"/>
        <w:snapToGrid w:val="0"/>
        <w:spacing w:afterLines="35" w:after="84"/>
        <w:rPr>
          <w:rFonts w:cs="Arial"/>
          <w:b/>
          <w:snapToGrid w:val="0"/>
          <w:sz w:val="24"/>
          <w:lang w:eastAsia="zh-CN"/>
        </w:rPr>
      </w:pPr>
    </w:p>
    <w:p w14:paraId="3B4552A5" w14:textId="77777777" w:rsidR="00CA1115" w:rsidRPr="00875380" w:rsidRDefault="00CA1115" w:rsidP="00CA1115">
      <w:pPr>
        <w:adjustRightInd w:val="0"/>
        <w:snapToGrid w:val="0"/>
        <w:spacing w:afterLines="35" w:after="84"/>
        <w:jc w:val="both"/>
        <w:rPr>
          <w:rFonts w:cs="Arial"/>
          <w:b/>
          <w:snapToGrid w:val="0"/>
          <w:sz w:val="24"/>
          <w:lang w:eastAsia="zh-CN"/>
        </w:rPr>
      </w:pPr>
      <w:r w:rsidRPr="00875380">
        <w:rPr>
          <w:rFonts w:cs="Arial"/>
          <w:b/>
          <w:snapToGrid w:val="0"/>
          <w:sz w:val="24"/>
          <w:lang w:eastAsia="zh-CN"/>
        </w:rPr>
        <w:t>罗思德</w:t>
      </w:r>
      <w:r w:rsidRPr="00875380">
        <w:rPr>
          <w:rFonts w:cs="Arial" w:hint="eastAsia"/>
          <w:b/>
          <w:snapToGrid w:val="0"/>
          <w:sz w:val="24"/>
          <w:lang w:eastAsia="zh-CN"/>
        </w:rPr>
        <w:t>先生</w:t>
      </w:r>
      <w:r w:rsidRPr="00875380">
        <w:rPr>
          <w:rFonts w:cs="Arial"/>
          <w:b/>
          <w:snapToGrid w:val="0"/>
          <w:sz w:val="24"/>
          <w:lang w:eastAsia="zh-CN"/>
        </w:rPr>
        <w:t>在</w:t>
      </w:r>
      <w:r w:rsidRPr="00875380">
        <w:rPr>
          <w:rFonts w:cs="Arial" w:hint="eastAsia"/>
          <w:b/>
          <w:snapToGrid w:val="0"/>
          <w:sz w:val="24"/>
          <w:lang w:eastAsia="zh-CN"/>
        </w:rPr>
        <w:t>总结</w:t>
      </w:r>
      <w:r w:rsidRPr="00875380">
        <w:rPr>
          <w:rFonts w:cs="Arial"/>
          <w:b/>
          <w:snapToGrid w:val="0"/>
          <w:sz w:val="24"/>
          <w:lang w:eastAsia="zh-CN"/>
        </w:rPr>
        <w:t>汉高发展状况时说道</w:t>
      </w:r>
      <w:r w:rsidRPr="00875380">
        <w:rPr>
          <w:rFonts w:cs="Arial" w:hint="eastAsia"/>
          <w:b/>
          <w:snapToGrid w:val="0"/>
          <w:sz w:val="24"/>
          <w:lang w:eastAsia="zh-CN"/>
        </w:rPr>
        <w:t>：</w:t>
      </w:r>
      <w:r w:rsidRPr="00875380">
        <w:rPr>
          <w:rFonts w:cs="Arial"/>
          <w:b/>
          <w:snapToGrid w:val="0"/>
          <w:sz w:val="24"/>
          <w:lang w:eastAsia="zh-CN"/>
        </w:rPr>
        <w:t>“</w:t>
      </w:r>
      <w:r w:rsidRPr="00875380">
        <w:rPr>
          <w:rFonts w:cs="Arial"/>
          <w:b/>
          <w:snapToGrid w:val="0"/>
          <w:sz w:val="24"/>
          <w:lang w:eastAsia="zh-CN"/>
        </w:rPr>
        <w:t>虽然经济局势艰难，我们仍取得了</w:t>
      </w:r>
      <w:r w:rsidRPr="00875380">
        <w:rPr>
          <w:rFonts w:cs="Arial" w:hint="eastAsia"/>
          <w:b/>
          <w:snapToGrid w:val="0"/>
          <w:sz w:val="24"/>
          <w:lang w:eastAsia="zh-CN"/>
        </w:rPr>
        <w:t>可观</w:t>
      </w:r>
      <w:r w:rsidRPr="00875380">
        <w:rPr>
          <w:rFonts w:cs="Arial"/>
          <w:b/>
          <w:snapToGrid w:val="0"/>
          <w:sz w:val="24"/>
          <w:lang w:eastAsia="zh-CN"/>
        </w:rPr>
        <w:t>的财务</w:t>
      </w:r>
      <w:r w:rsidRPr="00875380">
        <w:rPr>
          <w:rFonts w:cs="Arial" w:hint="eastAsia"/>
          <w:b/>
          <w:snapToGrid w:val="0"/>
          <w:sz w:val="24"/>
          <w:lang w:eastAsia="zh-CN"/>
        </w:rPr>
        <w:t>佳绩</w:t>
      </w:r>
      <w:r w:rsidRPr="00875380">
        <w:rPr>
          <w:rFonts w:cs="Arial"/>
          <w:b/>
          <w:snapToGrid w:val="0"/>
          <w:sz w:val="24"/>
          <w:lang w:eastAsia="zh-CN"/>
        </w:rPr>
        <w:t>，</w:t>
      </w:r>
      <w:r w:rsidRPr="00875380">
        <w:rPr>
          <w:rFonts w:cs="Arial" w:hint="eastAsia"/>
          <w:b/>
          <w:snapToGrid w:val="0"/>
          <w:sz w:val="24"/>
          <w:lang w:eastAsia="zh-CN"/>
        </w:rPr>
        <w:t>我们将</w:t>
      </w:r>
      <w:r w:rsidRPr="00875380">
        <w:rPr>
          <w:rFonts w:cs="Arial"/>
          <w:b/>
          <w:snapToGrid w:val="0"/>
          <w:sz w:val="24"/>
          <w:lang w:eastAsia="zh-CN"/>
        </w:rPr>
        <w:t>继续顺利推行公司战略，为未来打下了坚实的基础。</w:t>
      </w:r>
      <w:r w:rsidRPr="00875380">
        <w:rPr>
          <w:rFonts w:cs="Arial" w:hint="eastAsia"/>
          <w:b/>
          <w:snapToGrid w:val="0"/>
          <w:sz w:val="24"/>
          <w:lang w:eastAsia="zh-CN"/>
        </w:rPr>
        <w:t>2015</w:t>
      </w:r>
      <w:r w:rsidRPr="00875380">
        <w:rPr>
          <w:rFonts w:cs="Arial" w:hint="eastAsia"/>
          <w:b/>
          <w:snapToGrid w:val="0"/>
          <w:sz w:val="24"/>
          <w:lang w:eastAsia="zh-CN"/>
        </w:rPr>
        <w:t>年是</w:t>
      </w:r>
      <w:r w:rsidRPr="00875380">
        <w:rPr>
          <w:rFonts w:cs="Arial"/>
          <w:b/>
          <w:snapToGrid w:val="0"/>
          <w:sz w:val="24"/>
          <w:lang w:eastAsia="zh-CN"/>
        </w:rPr>
        <w:t>四年战略推行</w:t>
      </w:r>
      <w:r w:rsidRPr="00875380">
        <w:rPr>
          <w:rFonts w:cs="Arial" w:hint="eastAsia"/>
          <w:b/>
          <w:snapToGrid w:val="0"/>
          <w:sz w:val="24"/>
          <w:lang w:eastAsia="zh-CN"/>
        </w:rPr>
        <w:t>的</w:t>
      </w:r>
      <w:r w:rsidRPr="00875380">
        <w:rPr>
          <w:rFonts w:cs="Arial"/>
          <w:b/>
          <w:snapToGrid w:val="0"/>
          <w:sz w:val="24"/>
          <w:lang w:eastAsia="zh-CN"/>
        </w:rPr>
        <w:t>三年，我们已步入正轨，为</w:t>
      </w:r>
      <w:r w:rsidRPr="00875380">
        <w:rPr>
          <w:rFonts w:cs="Arial" w:hint="eastAsia"/>
          <w:b/>
          <w:snapToGrid w:val="0"/>
          <w:sz w:val="24"/>
          <w:lang w:eastAsia="zh-CN"/>
        </w:rPr>
        <w:t>达成</w:t>
      </w:r>
      <w:r w:rsidRPr="00875380">
        <w:rPr>
          <w:rFonts w:cs="Arial"/>
          <w:b/>
          <w:snapToGrid w:val="0"/>
          <w:sz w:val="24"/>
          <w:lang w:eastAsia="zh-CN"/>
        </w:rPr>
        <w:t>2016</w:t>
      </w:r>
      <w:r w:rsidRPr="00875380">
        <w:rPr>
          <w:rFonts w:cs="Arial"/>
          <w:b/>
          <w:snapToGrid w:val="0"/>
          <w:sz w:val="24"/>
          <w:lang w:eastAsia="zh-CN"/>
        </w:rPr>
        <w:t>年主要目标做好了准备</w:t>
      </w:r>
      <w:r w:rsidRPr="00875380">
        <w:rPr>
          <w:rFonts w:cs="Arial" w:hint="eastAsia"/>
          <w:b/>
          <w:snapToGrid w:val="0"/>
          <w:sz w:val="24"/>
          <w:lang w:eastAsia="zh-CN"/>
        </w:rPr>
        <w:t>。</w:t>
      </w:r>
      <w:r w:rsidRPr="00875380">
        <w:rPr>
          <w:rFonts w:cs="Arial"/>
          <w:b/>
          <w:snapToGrid w:val="0"/>
          <w:sz w:val="24"/>
          <w:lang w:eastAsia="zh-CN"/>
        </w:rPr>
        <w:t>”</w:t>
      </w:r>
    </w:p>
    <w:p w14:paraId="6D804773" w14:textId="77777777" w:rsidR="00CA1115" w:rsidRPr="00875380" w:rsidRDefault="00CA1115" w:rsidP="00CA1115">
      <w:pPr>
        <w:adjustRightInd w:val="0"/>
        <w:snapToGrid w:val="0"/>
        <w:spacing w:afterLines="35" w:after="84"/>
        <w:jc w:val="both"/>
        <w:rPr>
          <w:rFonts w:cs="Arial"/>
          <w:bCs/>
          <w:snapToGrid w:val="0"/>
          <w:sz w:val="24"/>
          <w:lang w:eastAsia="zh-CN"/>
        </w:rPr>
      </w:pPr>
    </w:p>
    <w:p w14:paraId="171B937E" w14:textId="77777777" w:rsidR="00CA1115" w:rsidRPr="00875380" w:rsidRDefault="00CA1115" w:rsidP="00CA1115">
      <w:pPr>
        <w:adjustRightInd w:val="0"/>
        <w:snapToGrid w:val="0"/>
        <w:spacing w:afterLines="50" w:after="120" w:line="288" w:lineRule="auto"/>
        <w:jc w:val="both"/>
        <w:rPr>
          <w:rFonts w:cs="Tahoma"/>
          <w:b/>
          <w:sz w:val="16"/>
          <w:lang w:eastAsia="zh-CN"/>
        </w:rPr>
      </w:pPr>
      <w:r w:rsidRPr="00875380">
        <w:rPr>
          <w:rFonts w:cs="Tahoma"/>
          <w:b/>
          <w:sz w:val="16"/>
          <w:lang w:eastAsia="zh-CN"/>
        </w:rPr>
        <w:t xml:space="preserve">* </w:t>
      </w:r>
      <w:r w:rsidRPr="00875380">
        <w:rPr>
          <w:rFonts w:cs="Tahoma"/>
          <w:b/>
          <w:sz w:val="16"/>
          <w:lang w:eastAsia="zh-CN"/>
        </w:rPr>
        <w:t>已对一次性费用</w:t>
      </w:r>
      <w:r w:rsidRPr="00875380">
        <w:rPr>
          <w:rFonts w:cs="Tahoma"/>
          <w:b/>
          <w:sz w:val="16"/>
          <w:lang w:eastAsia="zh-CN"/>
        </w:rPr>
        <w:t>/</w:t>
      </w:r>
      <w:r w:rsidRPr="00875380">
        <w:rPr>
          <w:rFonts w:cs="Tahoma"/>
          <w:b/>
          <w:sz w:val="16"/>
          <w:lang w:eastAsia="zh-CN"/>
        </w:rPr>
        <w:t>收益和重组费用予以调整。</w:t>
      </w:r>
    </w:p>
    <w:p w14:paraId="326FE0BE" w14:textId="77777777" w:rsidR="00A21066" w:rsidRPr="00875380" w:rsidRDefault="00A21066" w:rsidP="00FB38E6">
      <w:pPr>
        <w:autoSpaceDE w:val="0"/>
        <w:autoSpaceDN w:val="0"/>
        <w:adjustRightInd w:val="0"/>
        <w:spacing w:after="120" w:line="360" w:lineRule="auto"/>
        <w:jc w:val="both"/>
        <w:rPr>
          <w:rFonts w:cs="Arial"/>
          <w:sz w:val="24"/>
          <w:lang w:eastAsia="zh-CN"/>
        </w:rPr>
      </w:pPr>
    </w:p>
    <w:p w14:paraId="32FE26EA" w14:textId="61AECCE6" w:rsidR="00CA1115" w:rsidRPr="00875380" w:rsidRDefault="00CA1115" w:rsidP="00875380">
      <w:pPr>
        <w:pStyle w:val="1"/>
        <w:adjustRightInd w:val="0"/>
        <w:snapToGrid w:val="0"/>
        <w:spacing w:afterLines="50" w:after="120" w:line="288" w:lineRule="auto"/>
        <w:jc w:val="both"/>
        <w:rPr>
          <w:rFonts w:cs="Arial" w:hint="eastAsia"/>
          <w:snapToGrid w:val="0"/>
          <w:lang w:eastAsia="zh-CN"/>
        </w:rPr>
      </w:pPr>
      <w:r w:rsidRPr="00875380">
        <w:rPr>
          <w:rFonts w:cs="Arial"/>
          <w:snapToGrid w:val="0"/>
          <w:lang w:eastAsia="zh-CN"/>
        </w:rPr>
        <w:t>2016</w:t>
      </w:r>
      <w:r w:rsidRPr="00875380">
        <w:rPr>
          <w:rFonts w:cs="Arial"/>
          <w:snapToGrid w:val="0"/>
          <w:lang w:eastAsia="zh-CN"/>
        </w:rPr>
        <w:t>年展望</w:t>
      </w:r>
    </w:p>
    <w:p w14:paraId="1B75AAD4" w14:textId="77777777" w:rsidR="00CA1115" w:rsidRPr="00875380" w:rsidRDefault="00CA1115" w:rsidP="00CA1115">
      <w:pPr>
        <w:adjustRightInd w:val="0"/>
        <w:snapToGrid w:val="0"/>
        <w:spacing w:afterLines="50" w:after="120" w:line="288" w:lineRule="auto"/>
        <w:jc w:val="both"/>
        <w:rPr>
          <w:rFonts w:cs="Arial"/>
          <w:b/>
          <w:snapToGrid w:val="0"/>
          <w:sz w:val="24"/>
          <w:lang w:eastAsia="zh-CN"/>
        </w:rPr>
      </w:pPr>
      <w:r w:rsidRPr="00875380">
        <w:rPr>
          <w:rFonts w:cs="Arial" w:hint="eastAsia"/>
          <w:b/>
          <w:bCs/>
          <w:snapToGrid w:val="0"/>
          <w:sz w:val="24"/>
          <w:lang w:eastAsia="zh-CN"/>
        </w:rPr>
        <w:t>对于</w:t>
      </w:r>
      <w:r w:rsidRPr="00875380">
        <w:rPr>
          <w:rFonts w:cs="Arial"/>
          <w:b/>
          <w:bCs/>
          <w:snapToGrid w:val="0"/>
          <w:sz w:val="24"/>
          <w:lang w:eastAsia="zh-CN"/>
        </w:rPr>
        <w:t>当</w:t>
      </w:r>
      <w:r w:rsidRPr="00875380">
        <w:rPr>
          <w:rFonts w:cs="Arial" w:hint="eastAsia"/>
          <w:b/>
          <w:bCs/>
          <w:snapToGrid w:val="0"/>
          <w:sz w:val="24"/>
          <w:lang w:eastAsia="zh-CN"/>
        </w:rPr>
        <w:t>下</w:t>
      </w:r>
      <w:r w:rsidRPr="00875380">
        <w:rPr>
          <w:rFonts w:cs="Arial"/>
          <w:b/>
          <w:bCs/>
          <w:snapToGrid w:val="0"/>
          <w:sz w:val="24"/>
          <w:lang w:eastAsia="zh-CN"/>
        </w:rPr>
        <w:t>财年和</w:t>
      </w:r>
      <w:r w:rsidRPr="00875380">
        <w:rPr>
          <w:rFonts w:cs="Arial"/>
          <w:b/>
          <w:bCs/>
          <w:snapToGrid w:val="0"/>
          <w:sz w:val="24"/>
          <w:lang w:eastAsia="zh-CN"/>
        </w:rPr>
        <w:t>2016</w:t>
      </w:r>
      <w:r w:rsidRPr="00875380">
        <w:rPr>
          <w:rFonts w:cs="Arial"/>
          <w:b/>
          <w:bCs/>
          <w:snapToGrid w:val="0"/>
          <w:sz w:val="24"/>
          <w:lang w:eastAsia="zh-CN"/>
        </w:rPr>
        <w:t>年财务目标，罗思德</w:t>
      </w:r>
      <w:r w:rsidRPr="00875380">
        <w:rPr>
          <w:rFonts w:cs="Arial" w:hint="eastAsia"/>
          <w:b/>
          <w:bCs/>
          <w:snapToGrid w:val="0"/>
          <w:sz w:val="24"/>
          <w:lang w:eastAsia="zh-CN"/>
        </w:rPr>
        <w:t>先生表示</w:t>
      </w:r>
      <w:r w:rsidRPr="00875380">
        <w:rPr>
          <w:rFonts w:cs="Arial"/>
          <w:b/>
          <w:bCs/>
          <w:snapToGrid w:val="0"/>
          <w:sz w:val="24"/>
          <w:lang w:eastAsia="zh-CN"/>
        </w:rPr>
        <w:t>，</w:t>
      </w:r>
      <w:r w:rsidRPr="00875380">
        <w:rPr>
          <w:rFonts w:cs="Arial"/>
          <w:b/>
          <w:bCs/>
          <w:snapToGrid w:val="0"/>
          <w:sz w:val="24"/>
          <w:lang w:eastAsia="zh-CN"/>
        </w:rPr>
        <w:t>“</w:t>
      </w:r>
      <w:r w:rsidRPr="00875380">
        <w:rPr>
          <w:rFonts w:cs="Arial"/>
          <w:b/>
          <w:bCs/>
          <w:snapToGrid w:val="0"/>
          <w:sz w:val="24"/>
          <w:lang w:eastAsia="zh-CN"/>
        </w:rPr>
        <w:t>目前的经济和政治局势仍</w:t>
      </w:r>
      <w:r w:rsidRPr="00875380">
        <w:rPr>
          <w:rFonts w:cs="Arial" w:hint="eastAsia"/>
          <w:b/>
          <w:bCs/>
          <w:snapToGrid w:val="0"/>
          <w:sz w:val="24"/>
          <w:lang w:eastAsia="zh-CN"/>
        </w:rPr>
        <w:t>充满挑战</w:t>
      </w:r>
      <w:r w:rsidRPr="00875380">
        <w:rPr>
          <w:rFonts w:cs="Arial"/>
          <w:b/>
          <w:bCs/>
          <w:snapToGrid w:val="0"/>
          <w:sz w:val="24"/>
          <w:lang w:eastAsia="zh-CN"/>
        </w:rPr>
        <w:t>，因此</w:t>
      </w:r>
      <w:r w:rsidRPr="00875380">
        <w:rPr>
          <w:rFonts w:cs="Arial" w:hint="eastAsia"/>
          <w:b/>
          <w:bCs/>
          <w:snapToGrid w:val="0"/>
          <w:sz w:val="24"/>
          <w:lang w:eastAsia="zh-CN"/>
        </w:rPr>
        <w:t>，</w:t>
      </w:r>
      <w:r w:rsidRPr="00875380">
        <w:rPr>
          <w:rFonts w:cs="Arial"/>
          <w:b/>
          <w:bCs/>
          <w:snapToGrid w:val="0"/>
          <w:sz w:val="24"/>
          <w:lang w:eastAsia="zh-CN"/>
        </w:rPr>
        <w:t>我们将继续调整自己的流程和结构以迎合市场需求，进一步提高</w:t>
      </w:r>
      <w:r w:rsidRPr="00875380">
        <w:rPr>
          <w:rFonts w:cs="Arial" w:hint="eastAsia"/>
          <w:b/>
          <w:bCs/>
          <w:snapToGrid w:val="0"/>
          <w:sz w:val="24"/>
          <w:lang w:eastAsia="zh-CN"/>
        </w:rPr>
        <w:t>自身的</w:t>
      </w:r>
      <w:r w:rsidRPr="00875380">
        <w:rPr>
          <w:rFonts w:cs="Arial"/>
          <w:b/>
          <w:bCs/>
          <w:snapToGrid w:val="0"/>
          <w:sz w:val="24"/>
          <w:lang w:eastAsia="zh-CN"/>
        </w:rPr>
        <w:t>效率和竞争力。</w:t>
      </w:r>
      <w:r w:rsidRPr="00875380">
        <w:rPr>
          <w:rFonts w:cs="Arial" w:hint="eastAsia"/>
          <w:b/>
          <w:bCs/>
          <w:snapToGrid w:val="0"/>
          <w:sz w:val="24"/>
          <w:lang w:eastAsia="zh-CN"/>
        </w:rPr>
        <w:t>对于整个</w:t>
      </w:r>
      <w:r w:rsidRPr="00875380">
        <w:rPr>
          <w:rFonts w:cs="Arial"/>
          <w:b/>
          <w:bCs/>
          <w:snapToGrid w:val="0"/>
          <w:sz w:val="24"/>
          <w:lang w:eastAsia="zh-CN"/>
        </w:rPr>
        <w:t>2016</w:t>
      </w:r>
      <w:r w:rsidRPr="00875380">
        <w:rPr>
          <w:rFonts w:cs="Arial"/>
          <w:b/>
          <w:bCs/>
          <w:snapToGrid w:val="0"/>
          <w:sz w:val="24"/>
          <w:lang w:eastAsia="zh-CN"/>
        </w:rPr>
        <w:t>财年，我们预期有机销售增长率</w:t>
      </w:r>
      <w:r w:rsidRPr="00875380">
        <w:rPr>
          <w:rFonts w:cs="Arial" w:hint="eastAsia"/>
          <w:b/>
          <w:bCs/>
          <w:snapToGrid w:val="0"/>
          <w:sz w:val="24"/>
          <w:lang w:eastAsia="zh-CN"/>
        </w:rPr>
        <w:t>将位于</w:t>
      </w:r>
      <w:r w:rsidRPr="00875380">
        <w:rPr>
          <w:rFonts w:cs="Arial"/>
          <w:b/>
          <w:bCs/>
          <w:snapToGrid w:val="0"/>
          <w:sz w:val="24"/>
          <w:lang w:eastAsia="zh-CN"/>
        </w:rPr>
        <w:t>2%</w:t>
      </w:r>
      <w:r w:rsidRPr="00875380">
        <w:rPr>
          <w:rFonts w:cs="Arial" w:hint="eastAsia"/>
          <w:b/>
          <w:bCs/>
          <w:snapToGrid w:val="0"/>
          <w:sz w:val="24"/>
          <w:lang w:eastAsia="zh-CN"/>
        </w:rPr>
        <w:t>和</w:t>
      </w:r>
      <w:r w:rsidRPr="00875380">
        <w:rPr>
          <w:rFonts w:cs="Arial"/>
          <w:b/>
          <w:bCs/>
          <w:snapToGrid w:val="0"/>
          <w:sz w:val="24"/>
          <w:lang w:eastAsia="zh-CN"/>
        </w:rPr>
        <w:t>4%</w:t>
      </w:r>
      <w:r w:rsidRPr="00875380">
        <w:rPr>
          <w:rFonts w:cs="Arial" w:hint="eastAsia"/>
          <w:b/>
          <w:bCs/>
          <w:snapToGrid w:val="0"/>
          <w:sz w:val="24"/>
          <w:lang w:eastAsia="zh-CN"/>
        </w:rPr>
        <w:t>之间，</w:t>
      </w:r>
      <w:r w:rsidRPr="00875380">
        <w:rPr>
          <w:rFonts w:cs="Arial"/>
          <w:b/>
          <w:bCs/>
          <w:snapToGrid w:val="0"/>
          <w:sz w:val="24"/>
          <w:lang w:eastAsia="zh-CN"/>
        </w:rPr>
        <w:t>预计调整后息税前利润率约</w:t>
      </w:r>
      <w:r w:rsidRPr="00875380">
        <w:rPr>
          <w:rFonts w:cs="Arial" w:hint="eastAsia"/>
          <w:b/>
          <w:bCs/>
          <w:snapToGrid w:val="0"/>
          <w:sz w:val="24"/>
          <w:lang w:eastAsia="zh-CN"/>
        </w:rPr>
        <w:t>可增至</w:t>
      </w:r>
      <w:r w:rsidRPr="00875380">
        <w:rPr>
          <w:rFonts w:cs="Arial"/>
          <w:b/>
          <w:bCs/>
          <w:snapToGrid w:val="0"/>
          <w:sz w:val="24"/>
          <w:lang w:eastAsia="zh-CN"/>
        </w:rPr>
        <w:t>16.5%</w:t>
      </w:r>
      <w:r w:rsidRPr="00875380">
        <w:rPr>
          <w:rFonts w:cs="Arial" w:hint="eastAsia"/>
          <w:b/>
          <w:bCs/>
          <w:snapToGrid w:val="0"/>
          <w:sz w:val="24"/>
          <w:lang w:eastAsia="zh-CN"/>
        </w:rPr>
        <w:t>左右</w:t>
      </w:r>
      <w:r w:rsidRPr="00875380">
        <w:rPr>
          <w:rFonts w:cs="Arial"/>
          <w:b/>
          <w:bCs/>
          <w:snapToGrid w:val="0"/>
          <w:sz w:val="24"/>
          <w:lang w:eastAsia="zh-CN"/>
        </w:rPr>
        <w:t>，调整后</w:t>
      </w:r>
      <w:r w:rsidRPr="00875380">
        <w:rPr>
          <w:rFonts w:cs="Arial"/>
          <w:b/>
          <w:snapToGrid w:val="0"/>
          <w:sz w:val="24"/>
          <w:lang w:eastAsia="zh-CN"/>
        </w:rPr>
        <w:t>优先股每股收益增</w:t>
      </w:r>
      <w:r w:rsidRPr="00875380">
        <w:rPr>
          <w:rFonts w:cs="Arial" w:hint="eastAsia"/>
          <w:b/>
          <w:snapToGrid w:val="0"/>
          <w:sz w:val="24"/>
          <w:lang w:eastAsia="zh-CN"/>
        </w:rPr>
        <w:t>至</w:t>
      </w:r>
      <w:r w:rsidRPr="00875380">
        <w:rPr>
          <w:rFonts w:cs="Arial"/>
          <w:b/>
          <w:snapToGrid w:val="0"/>
          <w:sz w:val="24"/>
          <w:lang w:eastAsia="zh-CN"/>
        </w:rPr>
        <w:t>8%</w:t>
      </w:r>
      <w:r w:rsidRPr="00875380">
        <w:rPr>
          <w:rFonts w:cs="Arial" w:hint="eastAsia"/>
          <w:b/>
          <w:snapToGrid w:val="0"/>
          <w:sz w:val="24"/>
          <w:lang w:eastAsia="zh-CN"/>
        </w:rPr>
        <w:t>和</w:t>
      </w:r>
      <w:r w:rsidRPr="00875380">
        <w:rPr>
          <w:rFonts w:cs="Arial"/>
          <w:b/>
          <w:snapToGrid w:val="0"/>
          <w:sz w:val="24"/>
          <w:lang w:eastAsia="zh-CN"/>
        </w:rPr>
        <w:t>11%</w:t>
      </w:r>
      <w:r w:rsidRPr="00875380">
        <w:rPr>
          <w:rFonts w:cs="Arial" w:hint="eastAsia"/>
          <w:b/>
          <w:snapToGrid w:val="0"/>
          <w:sz w:val="24"/>
          <w:lang w:eastAsia="zh-CN"/>
        </w:rPr>
        <w:t>之间</w:t>
      </w:r>
      <w:r w:rsidRPr="00875380">
        <w:rPr>
          <w:rFonts w:cs="Arial"/>
          <w:b/>
          <w:snapToGrid w:val="0"/>
          <w:sz w:val="24"/>
          <w:lang w:eastAsia="zh-CN"/>
        </w:rPr>
        <w:t>。由于</w:t>
      </w:r>
      <w:r w:rsidRPr="00875380">
        <w:rPr>
          <w:rFonts w:cs="Arial"/>
          <w:b/>
          <w:snapToGrid w:val="0"/>
          <w:sz w:val="24"/>
          <w:lang w:eastAsia="zh-CN"/>
        </w:rPr>
        <w:t>2013</w:t>
      </w:r>
      <w:r w:rsidRPr="00875380">
        <w:rPr>
          <w:rFonts w:cs="Arial"/>
          <w:b/>
          <w:snapToGrid w:val="0"/>
          <w:sz w:val="24"/>
          <w:lang w:eastAsia="zh-CN"/>
        </w:rPr>
        <w:t>至</w:t>
      </w:r>
      <w:r w:rsidRPr="00875380">
        <w:rPr>
          <w:rFonts w:cs="Arial"/>
          <w:b/>
          <w:snapToGrid w:val="0"/>
          <w:sz w:val="24"/>
          <w:lang w:eastAsia="zh-CN"/>
        </w:rPr>
        <w:t>2015</w:t>
      </w:r>
      <w:r w:rsidRPr="00875380">
        <w:rPr>
          <w:rFonts w:cs="Arial"/>
          <w:b/>
          <w:snapToGrid w:val="0"/>
          <w:sz w:val="24"/>
          <w:lang w:eastAsia="zh-CN"/>
        </w:rPr>
        <w:t>年间</w:t>
      </w:r>
      <w:r w:rsidRPr="00875380">
        <w:rPr>
          <w:rFonts w:cs="Arial"/>
          <w:b/>
          <w:bCs/>
          <w:snapToGrid w:val="0"/>
          <w:sz w:val="24"/>
          <w:lang w:eastAsia="zh-CN"/>
        </w:rPr>
        <w:t>调整后的</w:t>
      </w:r>
      <w:r w:rsidRPr="00875380">
        <w:rPr>
          <w:rFonts w:cs="Arial"/>
          <w:b/>
          <w:snapToGrid w:val="0"/>
          <w:sz w:val="24"/>
          <w:lang w:eastAsia="zh-CN"/>
        </w:rPr>
        <w:t>优先股每股收益年平均增长率为</w:t>
      </w:r>
      <w:r w:rsidRPr="00875380">
        <w:rPr>
          <w:rFonts w:cs="Arial"/>
          <w:b/>
          <w:snapToGrid w:val="0"/>
          <w:sz w:val="24"/>
          <w:lang w:eastAsia="zh-CN"/>
        </w:rPr>
        <w:t>9.7%</w:t>
      </w:r>
      <w:r w:rsidRPr="00875380">
        <w:rPr>
          <w:rFonts w:cs="Arial"/>
          <w:b/>
          <w:snapToGrid w:val="0"/>
          <w:sz w:val="24"/>
          <w:lang w:eastAsia="zh-CN"/>
        </w:rPr>
        <w:t>，我们现已步入良好发展轨道，并为实现当前战略</w:t>
      </w:r>
      <w:r w:rsidRPr="00875380">
        <w:rPr>
          <w:rFonts w:cs="Arial" w:hint="eastAsia"/>
          <w:b/>
          <w:snapToGrid w:val="0"/>
          <w:sz w:val="24"/>
          <w:lang w:eastAsia="zh-CN"/>
        </w:rPr>
        <w:t>目标，即：</w:t>
      </w:r>
      <w:r w:rsidRPr="00875380">
        <w:rPr>
          <w:rFonts w:cs="Arial" w:hint="eastAsia"/>
          <w:b/>
          <w:snapToGrid w:val="0"/>
          <w:sz w:val="24"/>
          <w:lang w:eastAsia="zh-CN"/>
        </w:rPr>
        <w:t>2016</w:t>
      </w:r>
      <w:r w:rsidRPr="00875380">
        <w:rPr>
          <w:rFonts w:cs="Arial" w:hint="eastAsia"/>
          <w:b/>
          <w:snapToGrid w:val="0"/>
          <w:sz w:val="24"/>
          <w:lang w:eastAsia="zh-CN"/>
        </w:rPr>
        <w:t>年达到</w:t>
      </w:r>
      <w:r w:rsidRPr="00875380">
        <w:rPr>
          <w:rFonts w:cs="Arial"/>
          <w:b/>
          <w:snapToGrid w:val="0"/>
          <w:sz w:val="24"/>
          <w:lang w:eastAsia="zh-CN"/>
        </w:rPr>
        <w:t>10%</w:t>
      </w:r>
      <w:r w:rsidRPr="00875380">
        <w:rPr>
          <w:rFonts w:cs="Arial"/>
          <w:b/>
          <w:snapToGrid w:val="0"/>
          <w:sz w:val="24"/>
          <w:lang w:eastAsia="zh-CN"/>
        </w:rPr>
        <w:t>的复合年均增长率（</w:t>
      </w:r>
      <w:r w:rsidRPr="00875380">
        <w:rPr>
          <w:rFonts w:cs="Arial"/>
          <w:b/>
          <w:bCs/>
          <w:snapToGrid w:val="0"/>
          <w:sz w:val="24"/>
          <w:lang w:eastAsia="zh-CN"/>
        </w:rPr>
        <w:t>CAGR</w:t>
      </w:r>
      <w:r w:rsidRPr="00875380">
        <w:rPr>
          <w:rFonts w:cs="Arial"/>
          <w:b/>
          <w:snapToGrid w:val="0"/>
          <w:sz w:val="24"/>
          <w:lang w:eastAsia="zh-CN"/>
        </w:rPr>
        <w:t>）目标全力以赴。</w:t>
      </w:r>
      <w:r w:rsidRPr="00875380">
        <w:rPr>
          <w:rFonts w:cs="Arial"/>
          <w:b/>
          <w:snapToGrid w:val="0"/>
          <w:sz w:val="24"/>
          <w:lang w:eastAsia="zh-CN"/>
        </w:rPr>
        <w:t>”</w:t>
      </w:r>
    </w:p>
    <w:p w14:paraId="0C274E33" w14:textId="77777777" w:rsidR="00CA1115" w:rsidRPr="00875380" w:rsidRDefault="00CA1115" w:rsidP="00CA1115">
      <w:pPr>
        <w:adjustRightInd w:val="0"/>
        <w:snapToGrid w:val="0"/>
        <w:spacing w:afterLines="50" w:after="120" w:line="288" w:lineRule="auto"/>
        <w:jc w:val="both"/>
        <w:rPr>
          <w:rFonts w:cs="Arial"/>
          <w:b/>
          <w:bCs/>
          <w:snapToGrid w:val="0"/>
          <w:sz w:val="24"/>
          <w:lang w:eastAsia="zh-CN"/>
        </w:rPr>
      </w:pPr>
    </w:p>
    <w:p w14:paraId="39E43564" w14:textId="09F77B09" w:rsidR="00CA1115" w:rsidRPr="00875380" w:rsidRDefault="00CA1115" w:rsidP="00875380">
      <w:pPr>
        <w:adjustRightInd w:val="0"/>
        <w:snapToGrid w:val="0"/>
        <w:spacing w:afterLines="50" w:after="120" w:line="288" w:lineRule="auto"/>
        <w:jc w:val="both"/>
        <w:rPr>
          <w:rFonts w:cs="Arial" w:hint="eastAsia"/>
          <w:b/>
          <w:bCs/>
          <w:snapToGrid w:val="0"/>
          <w:sz w:val="24"/>
          <w:lang w:eastAsia="zh-CN"/>
        </w:rPr>
      </w:pPr>
      <w:r w:rsidRPr="00875380">
        <w:rPr>
          <w:rFonts w:cs="Arial"/>
          <w:b/>
          <w:bCs/>
          <w:snapToGrid w:val="0"/>
          <w:sz w:val="24"/>
          <w:lang w:eastAsia="zh-CN"/>
        </w:rPr>
        <w:t>2015</w:t>
      </w:r>
      <w:r w:rsidRPr="00875380">
        <w:rPr>
          <w:rFonts w:cs="Arial" w:hint="eastAsia"/>
          <w:b/>
          <w:bCs/>
          <w:snapToGrid w:val="0"/>
          <w:sz w:val="24"/>
          <w:lang w:eastAsia="zh-CN"/>
        </w:rPr>
        <w:t>财</w:t>
      </w:r>
      <w:r w:rsidRPr="00875380">
        <w:rPr>
          <w:rFonts w:cs="Arial"/>
          <w:b/>
          <w:bCs/>
          <w:snapToGrid w:val="0"/>
          <w:sz w:val="24"/>
          <w:lang w:eastAsia="zh-CN"/>
        </w:rPr>
        <w:t>年销售</w:t>
      </w:r>
      <w:r w:rsidRPr="00875380">
        <w:rPr>
          <w:rFonts w:cs="Arial" w:hint="eastAsia"/>
          <w:b/>
          <w:bCs/>
          <w:snapToGrid w:val="0"/>
          <w:sz w:val="24"/>
          <w:lang w:eastAsia="zh-CN"/>
        </w:rPr>
        <w:t>及盈利实绩</w:t>
      </w:r>
    </w:p>
    <w:p w14:paraId="0D54600D"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2015</w:t>
      </w:r>
      <w:r w:rsidRPr="00875380">
        <w:rPr>
          <w:rFonts w:cs="Arial"/>
          <w:snapToGrid w:val="0"/>
          <w:lang w:eastAsia="zh-CN"/>
        </w:rPr>
        <w:t>财年</w:t>
      </w:r>
      <w:r w:rsidRPr="00875380">
        <w:rPr>
          <w:rFonts w:cs="Arial"/>
          <w:b/>
          <w:snapToGrid w:val="0"/>
          <w:lang w:eastAsia="zh-CN"/>
        </w:rPr>
        <w:t>销售额</w:t>
      </w:r>
      <w:r w:rsidRPr="00875380">
        <w:rPr>
          <w:rFonts w:cs="Arial" w:hint="eastAsia"/>
          <w:snapToGrid w:val="0"/>
          <w:lang w:eastAsia="zh-CN"/>
        </w:rPr>
        <w:t>为</w:t>
      </w:r>
      <w:r w:rsidRPr="00875380">
        <w:rPr>
          <w:rFonts w:cs="Arial"/>
          <w:snapToGrid w:val="0"/>
          <w:lang w:eastAsia="zh-CN"/>
        </w:rPr>
        <w:t>180.89</w:t>
      </w:r>
      <w:r w:rsidRPr="00875380">
        <w:rPr>
          <w:rFonts w:cs="Arial"/>
          <w:snapToGrid w:val="0"/>
          <w:lang w:eastAsia="zh-CN"/>
        </w:rPr>
        <w:t>亿欧元，显著高于上年水平。货币的发展对销售的积极影响达到了</w:t>
      </w:r>
      <w:r w:rsidRPr="00875380">
        <w:rPr>
          <w:rFonts w:cs="Arial"/>
          <w:snapToGrid w:val="0"/>
          <w:lang w:eastAsia="zh-CN"/>
        </w:rPr>
        <w:t>4.4</w:t>
      </w:r>
      <w:r w:rsidRPr="00875380">
        <w:rPr>
          <w:rFonts w:cs="Arial"/>
          <w:snapToGrid w:val="0"/>
          <w:lang w:eastAsia="zh-CN"/>
        </w:rPr>
        <w:t>个百分点。</w:t>
      </w:r>
      <w:r w:rsidRPr="00875380">
        <w:rPr>
          <w:rFonts w:cs="Arial" w:hint="eastAsia"/>
          <w:snapToGrid w:val="0"/>
          <w:lang w:eastAsia="zh-CN"/>
        </w:rPr>
        <w:t>并</w:t>
      </w:r>
      <w:r w:rsidRPr="00875380">
        <w:rPr>
          <w:rFonts w:cs="Arial"/>
          <w:snapToGrid w:val="0"/>
          <w:lang w:eastAsia="zh-CN"/>
        </w:rPr>
        <w:t>购</w:t>
      </w:r>
      <w:r w:rsidRPr="00875380">
        <w:rPr>
          <w:rFonts w:cs="Arial"/>
          <w:snapToGrid w:val="0"/>
          <w:lang w:eastAsia="zh-CN"/>
        </w:rPr>
        <w:t>/</w:t>
      </w:r>
      <w:proofErr w:type="spellStart"/>
      <w:r w:rsidRPr="00875380">
        <w:rPr>
          <w:rFonts w:cs="Arial"/>
          <w:snapToGrid w:val="0"/>
          <w:lang w:eastAsia="zh-CN"/>
        </w:rPr>
        <w:t>撤资的积极影响达到了</w:t>
      </w:r>
      <w:proofErr w:type="spellEnd"/>
      <w:r w:rsidRPr="00875380">
        <w:rPr>
          <w:rFonts w:cs="Arial"/>
          <w:snapToGrid w:val="0"/>
          <w:lang w:eastAsia="zh-CN"/>
        </w:rPr>
        <w:t>2.7</w:t>
      </w:r>
      <w:r w:rsidRPr="00875380">
        <w:rPr>
          <w:rFonts w:cs="Arial"/>
          <w:snapToGrid w:val="0"/>
          <w:lang w:eastAsia="zh-CN"/>
        </w:rPr>
        <w:t>个百分点。</w:t>
      </w:r>
      <w:r w:rsidRPr="00875380">
        <w:rPr>
          <w:rFonts w:cs="Arial" w:hint="eastAsia"/>
          <w:snapToGrid w:val="0"/>
          <w:lang w:eastAsia="zh-CN"/>
        </w:rPr>
        <w:t>扣除</w:t>
      </w:r>
      <w:r w:rsidRPr="00875380">
        <w:rPr>
          <w:rFonts w:cs="Arial"/>
          <w:snapToGrid w:val="0"/>
          <w:lang w:eastAsia="zh-CN"/>
        </w:rPr>
        <w:t>外汇和</w:t>
      </w:r>
      <w:r w:rsidRPr="00875380">
        <w:rPr>
          <w:rFonts w:cs="Arial" w:hint="eastAsia"/>
          <w:snapToGrid w:val="0"/>
          <w:lang w:eastAsia="zh-CN"/>
        </w:rPr>
        <w:t>并</w:t>
      </w:r>
      <w:r w:rsidRPr="00875380">
        <w:rPr>
          <w:rFonts w:cs="Arial"/>
          <w:snapToGrid w:val="0"/>
          <w:lang w:eastAsia="zh-CN"/>
        </w:rPr>
        <w:t>购</w:t>
      </w:r>
      <w:r w:rsidRPr="00875380">
        <w:rPr>
          <w:rFonts w:cs="Arial"/>
          <w:snapToGrid w:val="0"/>
          <w:lang w:eastAsia="zh-CN"/>
        </w:rPr>
        <w:t>/</w:t>
      </w:r>
      <w:proofErr w:type="spellStart"/>
      <w:r w:rsidRPr="00875380">
        <w:rPr>
          <w:rFonts w:cs="Arial"/>
          <w:snapToGrid w:val="0"/>
          <w:lang w:eastAsia="zh-CN"/>
        </w:rPr>
        <w:t>撤资</w:t>
      </w:r>
      <w:r w:rsidRPr="00875380">
        <w:rPr>
          <w:rFonts w:cs="Arial" w:hint="eastAsia"/>
          <w:snapToGrid w:val="0"/>
          <w:lang w:eastAsia="zh-CN"/>
        </w:rPr>
        <w:t>的</w:t>
      </w:r>
      <w:r w:rsidRPr="00875380">
        <w:rPr>
          <w:rFonts w:cs="Arial"/>
          <w:snapToGrid w:val="0"/>
          <w:lang w:eastAsia="zh-CN"/>
        </w:rPr>
        <w:t>影响</w:t>
      </w:r>
      <w:r w:rsidRPr="00875380">
        <w:rPr>
          <w:rFonts w:cs="Arial" w:hint="eastAsia"/>
          <w:snapToGrid w:val="0"/>
          <w:lang w:eastAsia="zh-CN"/>
        </w:rPr>
        <w:t>，</w:t>
      </w:r>
      <w:r w:rsidRPr="00875380">
        <w:rPr>
          <w:rFonts w:cs="Arial"/>
          <w:b/>
          <w:snapToGrid w:val="0"/>
          <w:lang w:eastAsia="zh-CN"/>
        </w:rPr>
        <w:t>有机销售额</w:t>
      </w:r>
      <w:r w:rsidRPr="00875380">
        <w:rPr>
          <w:rFonts w:cs="Arial"/>
          <w:snapToGrid w:val="0"/>
          <w:lang w:eastAsia="zh-CN"/>
        </w:rPr>
        <w:t>增长稳健，增幅达</w:t>
      </w:r>
      <w:proofErr w:type="spellEnd"/>
      <w:r w:rsidRPr="00875380">
        <w:rPr>
          <w:rFonts w:cs="Arial"/>
          <w:snapToGrid w:val="0"/>
          <w:lang w:eastAsia="zh-CN"/>
        </w:rPr>
        <w:t>3.</w:t>
      </w:r>
      <w:r w:rsidRPr="00875380">
        <w:rPr>
          <w:rFonts w:cs="Arial" w:hint="eastAsia"/>
          <w:snapToGrid w:val="0"/>
          <w:lang w:eastAsia="zh-CN"/>
        </w:rPr>
        <w:t>0</w:t>
      </w:r>
      <w:r w:rsidRPr="00875380">
        <w:rPr>
          <w:rFonts w:cs="Arial"/>
          <w:snapToGrid w:val="0"/>
          <w:lang w:eastAsia="zh-CN"/>
        </w:rPr>
        <w:t>%</w:t>
      </w:r>
      <w:r w:rsidRPr="00875380">
        <w:rPr>
          <w:rFonts w:cs="Arial"/>
          <w:snapToGrid w:val="0"/>
          <w:lang w:eastAsia="zh-CN"/>
        </w:rPr>
        <w:t>。</w:t>
      </w:r>
    </w:p>
    <w:p w14:paraId="78F5872C"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EC10EEE"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所有业务</w:t>
      </w:r>
      <w:r w:rsidRPr="00875380">
        <w:rPr>
          <w:rFonts w:cs="Arial" w:hint="eastAsia"/>
          <w:snapToGrid w:val="0"/>
          <w:lang w:eastAsia="zh-CN"/>
        </w:rPr>
        <w:t>部门均实现了一定的有机销售额增长，</w:t>
      </w:r>
      <w:r w:rsidRPr="00875380">
        <w:rPr>
          <w:rFonts w:cs="Arial"/>
          <w:snapToGrid w:val="0"/>
          <w:lang w:eastAsia="zh-CN"/>
        </w:rPr>
        <w:t>汉高在相关市场上</w:t>
      </w:r>
      <w:r w:rsidRPr="00875380">
        <w:rPr>
          <w:rFonts w:cs="Arial" w:hint="eastAsia"/>
          <w:snapToGrid w:val="0"/>
          <w:lang w:eastAsia="zh-CN"/>
        </w:rPr>
        <w:t>的</w:t>
      </w:r>
      <w:r w:rsidRPr="00875380">
        <w:rPr>
          <w:rFonts w:cs="Arial"/>
          <w:snapToGrid w:val="0"/>
          <w:lang w:eastAsia="zh-CN"/>
        </w:rPr>
        <w:t>总市场份额也在增长。</w:t>
      </w:r>
      <w:r w:rsidRPr="00875380">
        <w:rPr>
          <w:rFonts w:cs="Arial"/>
          <w:b/>
          <w:snapToGrid w:val="0"/>
          <w:lang w:eastAsia="zh-CN"/>
        </w:rPr>
        <w:t>洗涤剂与家用护理</w:t>
      </w:r>
      <w:r w:rsidRPr="00875380">
        <w:rPr>
          <w:rFonts w:cs="Arial"/>
          <w:snapToGrid w:val="0"/>
          <w:lang w:eastAsia="zh-CN"/>
        </w:rPr>
        <w:t>业务部的有机销售增长为</w:t>
      </w:r>
      <w:r w:rsidRPr="00875380">
        <w:rPr>
          <w:rFonts w:cs="Arial"/>
          <w:snapToGrid w:val="0"/>
          <w:lang w:eastAsia="zh-CN"/>
        </w:rPr>
        <w:t>4.9%</w:t>
      </w:r>
      <w:r w:rsidRPr="00875380">
        <w:rPr>
          <w:rFonts w:cs="Arial" w:hint="eastAsia"/>
          <w:snapToGrid w:val="0"/>
          <w:lang w:eastAsia="zh-CN"/>
        </w:rPr>
        <w:t>，</w:t>
      </w:r>
      <w:proofErr w:type="spellStart"/>
      <w:r w:rsidRPr="00875380">
        <w:rPr>
          <w:rFonts w:cs="Arial"/>
          <w:b/>
          <w:snapToGrid w:val="0"/>
          <w:lang w:eastAsia="zh-CN"/>
        </w:rPr>
        <w:t>化妆品</w:t>
      </w:r>
      <w:proofErr w:type="spellEnd"/>
      <w:r w:rsidRPr="00875380">
        <w:rPr>
          <w:rFonts w:cs="Arial"/>
          <w:b/>
          <w:snapToGrid w:val="0"/>
          <w:lang w:eastAsia="zh-CN"/>
        </w:rPr>
        <w:t>/</w:t>
      </w:r>
      <w:proofErr w:type="spellStart"/>
      <w:r w:rsidRPr="00875380">
        <w:rPr>
          <w:rFonts w:cs="Arial"/>
          <w:b/>
          <w:snapToGrid w:val="0"/>
          <w:lang w:eastAsia="zh-CN"/>
        </w:rPr>
        <w:t>美容用品</w:t>
      </w:r>
      <w:r w:rsidRPr="00875380">
        <w:rPr>
          <w:rFonts w:cs="Arial"/>
          <w:snapToGrid w:val="0"/>
          <w:lang w:eastAsia="zh-CN"/>
        </w:rPr>
        <w:t>业务部的有机</w:t>
      </w:r>
      <w:r w:rsidRPr="00875380">
        <w:rPr>
          <w:rFonts w:cs="Arial" w:hint="eastAsia"/>
          <w:snapToGrid w:val="0"/>
          <w:lang w:eastAsia="zh-CN"/>
        </w:rPr>
        <w:t>销售额增长</w:t>
      </w:r>
      <w:r w:rsidRPr="00875380">
        <w:rPr>
          <w:rFonts w:cs="Arial"/>
          <w:snapToGrid w:val="0"/>
          <w:lang w:eastAsia="zh-CN"/>
        </w:rPr>
        <w:t>为</w:t>
      </w:r>
      <w:proofErr w:type="spellEnd"/>
      <w:r w:rsidRPr="00875380">
        <w:rPr>
          <w:rFonts w:cs="Arial"/>
          <w:snapToGrid w:val="0"/>
          <w:lang w:eastAsia="zh-CN"/>
        </w:rPr>
        <w:t>2.1%</w:t>
      </w:r>
      <w:r w:rsidRPr="00875380">
        <w:rPr>
          <w:rFonts w:cs="Arial"/>
          <w:snapToGrid w:val="0"/>
          <w:lang w:eastAsia="zh-CN"/>
        </w:rPr>
        <w:t>，</w:t>
      </w:r>
      <w:proofErr w:type="spellStart"/>
      <w:r w:rsidRPr="00875380">
        <w:rPr>
          <w:rFonts w:cs="Arial"/>
          <w:b/>
          <w:snapToGrid w:val="0"/>
          <w:lang w:eastAsia="zh-CN"/>
        </w:rPr>
        <w:t>粘合剂技术</w:t>
      </w:r>
      <w:r w:rsidRPr="00875380">
        <w:rPr>
          <w:rFonts w:cs="Arial"/>
          <w:snapToGrid w:val="0"/>
          <w:lang w:eastAsia="zh-CN"/>
        </w:rPr>
        <w:t>业务部</w:t>
      </w:r>
      <w:r w:rsidRPr="00875380">
        <w:rPr>
          <w:rFonts w:cs="Arial" w:hint="eastAsia"/>
          <w:snapToGrid w:val="0"/>
          <w:lang w:eastAsia="zh-CN"/>
        </w:rPr>
        <w:t>实现了</w:t>
      </w:r>
      <w:proofErr w:type="spellEnd"/>
      <w:r w:rsidRPr="00875380">
        <w:rPr>
          <w:rFonts w:cs="Arial"/>
          <w:snapToGrid w:val="0"/>
          <w:lang w:eastAsia="zh-CN"/>
        </w:rPr>
        <w:t>2.4%</w:t>
      </w:r>
      <w:r w:rsidRPr="00875380">
        <w:rPr>
          <w:rFonts w:cs="Arial" w:hint="eastAsia"/>
          <w:snapToGrid w:val="0"/>
          <w:lang w:eastAsia="zh-CN"/>
        </w:rPr>
        <w:t>的有机销售额增长</w:t>
      </w:r>
      <w:r w:rsidRPr="00875380">
        <w:rPr>
          <w:rFonts w:cs="Arial"/>
          <w:snapToGrid w:val="0"/>
          <w:lang w:eastAsia="zh-CN"/>
        </w:rPr>
        <w:t>。</w:t>
      </w:r>
    </w:p>
    <w:p w14:paraId="5F66A04B" w14:textId="77777777" w:rsidR="00CA1115" w:rsidRPr="00875380" w:rsidRDefault="00CA1115" w:rsidP="00CA1115">
      <w:pPr>
        <w:pStyle w:val="a5"/>
        <w:adjustRightInd w:val="0"/>
        <w:snapToGrid w:val="0"/>
        <w:spacing w:afterLines="50" w:line="288" w:lineRule="auto"/>
        <w:jc w:val="both"/>
        <w:rPr>
          <w:rFonts w:cs="Arial"/>
          <w:snapToGrid w:val="0"/>
        </w:rPr>
      </w:pPr>
    </w:p>
    <w:p w14:paraId="13C2A396"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扣除一次性费用、一次性收益和重组费用后</w:t>
      </w:r>
      <w:r w:rsidRPr="00875380">
        <w:rPr>
          <w:rFonts w:cs="Arial" w:hint="eastAsia"/>
          <w:snapToGrid w:val="0"/>
          <w:lang w:eastAsia="zh-CN"/>
        </w:rPr>
        <w:t>，调整后</w:t>
      </w:r>
      <w:r w:rsidRPr="00875380">
        <w:rPr>
          <w:rFonts w:cs="Arial"/>
          <w:snapToGrid w:val="0"/>
          <w:lang w:eastAsia="zh-CN"/>
        </w:rPr>
        <w:t>营业利润也有大幅增长，增</w:t>
      </w:r>
      <w:r w:rsidRPr="00875380">
        <w:rPr>
          <w:rFonts w:cs="Arial" w:hint="eastAsia"/>
          <w:snapToGrid w:val="0"/>
          <w:lang w:eastAsia="zh-CN"/>
        </w:rPr>
        <w:t>长了</w:t>
      </w:r>
      <w:r w:rsidRPr="00875380">
        <w:rPr>
          <w:rFonts w:cs="Arial"/>
          <w:snapToGrid w:val="0"/>
          <w:lang w:eastAsia="zh-CN"/>
        </w:rPr>
        <w:t>12.9%</w:t>
      </w:r>
      <w:r w:rsidRPr="00875380">
        <w:rPr>
          <w:rFonts w:cs="Arial"/>
          <w:snapToGrid w:val="0"/>
          <w:lang w:eastAsia="zh-CN"/>
        </w:rPr>
        <w:t>，</w:t>
      </w:r>
      <w:proofErr w:type="spellStart"/>
      <w:r w:rsidRPr="00875380">
        <w:rPr>
          <w:rFonts w:cs="Arial" w:hint="eastAsia"/>
          <w:snapToGrid w:val="0"/>
          <w:lang w:eastAsia="zh-CN"/>
        </w:rPr>
        <w:t>增至</w:t>
      </w:r>
      <w:proofErr w:type="spellEnd"/>
      <w:r w:rsidRPr="00875380">
        <w:rPr>
          <w:rFonts w:cs="Arial"/>
          <w:snapToGrid w:val="0"/>
          <w:lang w:eastAsia="zh-CN"/>
        </w:rPr>
        <w:t>29.23</w:t>
      </w:r>
      <w:r w:rsidRPr="00875380">
        <w:rPr>
          <w:rFonts w:cs="Arial"/>
          <w:snapToGrid w:val="0"/>
          <w:lang w:eastAsia="zh-CN"/>
        </w:rPr>
        <w:t>亿欧元（上年为</w:t>
      </w:r>
      <w:r w:rsidRPr="00875380">
        <w:rPr>
          <w:rFonts w:cs="Arial"/>
          <w:snapToGrid w:val="0"/>
          <w:lang w:eastAsia="zh-CN"/>
        </w:rPr>
        <w:t>25.88</w:t>
      </w:r>
      <w:r w:rsidRPr="00875380">
        <w:rPr>
          <w:rFonts w:cs="Arial"/>
          <w:snapToGrid w:val="0"/>
          <w:lang w:eastAsia="zh-CN"/>
        </w:rPr>
        <w:t>亿欧元）。三</w:t>
      </w:r>
      <w:r w:rsidRPr="00875380">
        <w:rPr>
          <w:rFonts w:cs="Arial" w:hint="eastAsia"/>
          <w:snapToGrid w:val="0"/>
          <w:lang w:eastAsia="zh-CN"/>
        </w:rPr>
        <w:t>大</w:t>
      </w:r>
      <w:r w:rsidRPr="00875380">
        <w:rPr>
          <w:rFonts w:cs="Arial"/>
          <w:snapToGrid w:val="0"/>
          <w:lang w:eastAsia="zh-CN"/>
        </w:rPr>
        <w:t>业务部门对此均有所贡献。报告的营业利润（</w:t>
      </w:r>
      <w:r w:rsidRPr="00875380">
        <w:rPr>
          <w:rFonts w:cs="Arial" w:hint="eastAsia"/>
          <w:snapToGrid w:val="0"/>
          <w:lang w:eastAsia="zh-CN"/>
        </w:rPr>
        <w:t>息税前利润</w:t>
      </w:r>
      <w:r w:rsidRPr="00875380">
        <w:rPr>
          <w:rFonts w:cs="Arial"/>
          <w:snapToGrid w:val="0"/>
          <w:lang w:eastAsia="zh-CN"/>
        </w:rPr>
        <w:t>）</w:t>
      </w:r>
      <w:r w:rsidRPr="00875380">
        <w:rPr>
          <w:rFonts w:cs="Arial" w:hint="eastAsia"/>
          <w:snapToGrid w:val="0"/>
          <w:lang w:eastAsia="zh-CN"/>
        </w:rPr>
        <w:t>增至</w:t>
      </w:r>
      <w:r w:rsidRPr="00875380">
        <w:rPr>
          <w:rFonts w:cs="Arial"/>
          <w:snapToGrid w:val="0"/>
          <w:lang w:eastAsia="zh-CN"/>
        </w:rPr>
        <w:t>26.45</w:t>
      </w:r>
      <w:r w:rsidRPr="00875380">
        <w:rPr>
          <w:rFonts w:cs="Arial"/>
          <w:snapToGrid w:val="0"/>
          <w:lang w:eastAsia="zh-CN"/>
        </w:rPr>
        <w:t>亿欧元，较上年的</w:t>
      </w:r>
      <w:r w:rsidRPr="00875380">
        <w:rPr>
          <w:rFonts w:cs="Arial"/>
          <w:snapToGrid w:val="0"/>
          <w:lang w:eastAsia="zh-CN"/>
        </w:rPr>
        <w:t>22.44</w:t>
      </w:r>
      <w:r w:rsidRPr="00875380">
        <w:rPr>
          <w:rFonts w:cs="Arial"/>
          <w:snapToGrid w:val="0"/>
          <w:lang w:eastAsia="zh-CN"/>
        </w:rPr>
        <w:t>亿欧元</w:t>
      </w:r>
      <w:r w:rsidRPr="00875380">
        <w:rPr>
          <w:rFonts w:cs="Arial" w:hint="eastAsia"/>
          <w:snapToGrid w:val="0"/>
          <w:lang w:eastAsia="zh-CN"/>
        </w:rPr>
        <w:t>相比，</w:t>
      </w:r>
      <w:r w:rsidRPr="00875380">
        <w:rPr>
          <w:rFonts w:cs="Arial"/>
          <w:snapToGrid w:val="0"/>
          <w:lang w:eastAsia="zh-CN"/>
        </w:rPr>
        <w:t>有较大幅度增长。</w:t>
      </w:r>
    </w:p>
    <w:p w14:paraId="2D0A7767"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043AACB3"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snapToGrid w:val="0"/>
          <w:lang w:eastAsia="zh-CN"/>
        </w:rPr>
        <w:t>调整后的销售回报率</w:t>
      </w:r>
      <w:r w:rsidRPr="00875380">
        <w:rPr>
          <w:rFonts w:cs="Arial"/>
          <w:snapToGrid w:val="0"/>
          <w:lang w:eastAsia="zh-CN"/>
        </w:rPr>
        <w:t>（</w:t>
      </w:r>
      <w:r w:rsidRPr="00875380">
        <w:rPr>
          <w:rFonts w:cs="Arial" w:hint="eastAsia"/>
          <w:snapToGrid w:val="0"/>
          <w:lang w:eastAsia="zh-CN"/>
        </w:rPr>
        <w:t>息税前利润</w:t>
      </w:r>
      <w:r w:rsidRPr="00875380">
        <w:rPr>
          <w:rFonts w:cs="Arial"/>
          <w:snapToGrid w:val="0"/>
          <w:lang w:eastAsia="zh-CN"/>
        </w:rPr>
        <w:t>率）</w:t>
      </w:r>
      <w:r w:rsidRPr="00875380">
        <w:rPr>
          <w:rFonts w:cs="Arial" w:hint="eastAsia"/>
          <w:snapToGrid w:val="0"/>
          <w:lang w:eastAsia="zh-CN"/>
        </w:rPr>
        <w:t>由</w:t>
      </w:r>
      <w:r w:rsidRPr="00875380">
        <w:rPr>
          <w:rFonts w:cs="Arial"/>
          <w:snapToGrid w:val="0"/>
          <w:lang w:eastAsia="zh-CN"/>
        </w:rPr>
        <w:t>15.8%</w:t>
      </w:r>
      <w:r w:rsidRPr="00875380">
        <w:rPr>
          <w:rFonts w:cs="Arial"/>
          <w:snapToGrid w:val="0"/>
          <w:lang w:eastAsia="zh-CN"/>
        </w:rPr>
        <w:t>增至</w:t>
      </w:r>
      <w:r w:rsidRPr="00875380">
        <w:rPr>
          <w:rFonts w:cs="Arial"/>
          <w:snapToGrid w:val="0"/>
          <w:lang w:eastAsia="zh-CN"/>
        </w:rPr>
        <w:t>16.2%</w:t>
      </w:r>
      <w:r w:rsidRPr="00875380">
        <w:rPr>
          <w:rFonts w:cs="Arial"/>
          <w:snapToGrid w:val="0"/>
          <w:lang w:eastAsia="zh-CN"/>
        </w:rPr>
        <w:t>，</w:t>
      </w:r>
      <w:proofErr w:type="spellStart"/>
      <w:r w:rsidRPr="00875380">
        <w:rPr>
          <w:rFonts w:cs="Arial" w:hint="eastAsia"/>
          <w:snapToGrid w:val="0"/>
          <w:lang w:eastAsia="zh-CN"/>
        </w:rPr>
        <w:t>上升</w:t>
      </w:r>
      <w:proofErr w:type="spellEnd"/>
      <w:r w:rsidRPr="00875380">
        <w:rPr>
          <w:rFonts w:cs="Arial"/>
          <w:snapToGrid w:val="0"/>
          <w:lang w:eastAsia="zh-CN"/>
        </w:rPr>
        <w:t>0.4</w:t>
      </w:r>
      <w:r w:rsidRPr="00875380">
        <w:rPr>
          <w:rFonts w:cs="Arial"/>
          <w:snapToGrid w:val="0"/>
          <w:lang w:eastAsia="zh-CN"/>
        </w:rPr>
        <w:t>个百分点。报告的销售回报率（上年</w:t>
      </w:r>
      <w:r w:rsidRPr="00875380">
        <w:rPr>
          <w:rFonts w:cs="Arial" w:hint="eastAsia"/>
          <w:snapToGrid w:val="0"/>
          <w:lang w:eastAsia="zh-CN"/>
        </w:rPr>
        <w:t>为</w:t>
      </w:r>
      <w:r w:rsidRPr="00875380">
        <w:rPr>
          <w:rFonts w:cs="Arial"/>
          <w:snapToGrid w:val="0"/>
          <w:lang w:eastAsia="zh-CN"/>
        </w:rPr>
        <w:t>13.7%</w:t>
      </w:r>
      <w:r w:rsidRPr="00875380">
        <w:rPr>
          <w:rFonts w:cs="Arial"/>
          <w:snapToGrid w:val="0"/>
          <w:lang w:eastAsia="zh-CN"/>
        </w:rPr>
        <w:t>）增至</w:t>
      </w:r>
      <w:r w:rsidRPr="00875380">
        <w:rPr>
          <w:rFonts w:cs="Arial"/>
          <w:snapToGrid w:val="0"/>
          <w:lang w:eastAsia="zh-CN"/>
        </w:rPr>
        <w:t>14.6%</w:t>
      </w:r>
      <w:r w:rsidRPr="00875380">
        <w:rPr>
          <w:rFonts w:cs="Arial"/>
          <w:snapToGrid w:val="0"/>
          <w:lang w:eastAsia="zh-CN"/>
        </w:rPr>
        <w:t>，</w:t>
      </w:r>
      <w:proofErr w:type="spellStart"/>
      <w:r w:rsidRPr="00875380">
        <w:rPr>
          <w:rFonts w:cs="Arial" w:hint="eastAsia"/>
          <w:snapToGrid w:val="0"/>
          <w:lang w:eastAsia="zh-CN"/>
        </w:rPr>
        <w:t>上升了</w:t>
      </w:r>
      <w:proofErr w:type="spellEnd"/>
      <w:r w:rsidRPr="00875380">
        <w:rPr>
          <w:rFonts w:cs="Arial"/>
          <w:snapToGrid w:val="0"/>
          <w:lang w:eastAsia="zh-CN"/>
        </w:rPr>
        <w:t>0.9</w:t>
      </w:r>
      <w:r w:rsidRPr="00875380">
        <w:rPr>
          <w:rFonts w:cs="Arial"/>
          <w:snapToGrid w:val="0"/>
          <w:lang w:eastAsia="zh-CN"/>
        </w:rPr>
        <w:t>个百分点。</w:t>
      </w:r>
    </w:p>
    <w:p w14:paraId="5A000653" w14:textId="77777777" w:rsidR="00CA1115" w:rsidRPr="00875380" w:rsidRDefault="00CA1115" w:rsidP="00CA1115">
      <w:pPr>
        <w:adjustRightInd w:val="0"/>
        <w:snapToGrid w:val="0"/>
        <w:spacing w:afterLines="50" w:after="120" w:line="288" w:lineRule="auto"/>
        <w:jc w:val="both"/>
        <w:rPr>
          <w:rFonts w:cs="Arial"/>
          <w:snapToGrid w:val="0"/>
          <w:szCs w:val="20"/>
          <w:lang w:eastAsia="zh-CN"/>
        </w:rPr>
      </w:pPr>
    </w:p>
    <w:p w14:paraId="5CF5D995" w14:textId="020FD14C"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snapToGrid w:val="0"/>
          <w:lang w:eastAsia="zh-CN"/>
        </w:rPr>
        <w:t>财务</w:t>
      </w:r>
      <w:r w:rsidRPr="00875380">
        <w:rPr>
          <w:rFonts w:cs="Arial" w:hint="eastAsia"/>
          <w:b/>
          <w:snapToGrid w:val="0"/>
          <w:lang w:eastAsia="zh-CN"/>
        </w:rPr>
        <w:t>计算结果</w:t>
      </w:r>
      <w:r w:rsidRPr="00875380">
        <w:rPr>
          <w:rFonts w:cs="Arial"/>
          <w:snapToGrid w:val="0"/>
          <w:lang w:eastAsia="zh-CN"/>
        </w:rPr>
        <w:t>从</w:t>
      </w:r>
      <w:r w:rsidRPr="00875380">
        <w:rPr>
          <w:rFonts w:cs="Arial"/>
          <w:snapToGrid w:val="0"/>
          <w:lang w:eastAsia="zh-CN"/>
        </w:rPr>
        <w:t>-4900</w:t>
      </w:r>
      <w:r w:rsidRPr="00875380">
        <w:rPr>
          <w:rFonts w:cs="Arial"/>
          <w:snapToGrid w:val="0"/>
          <w:lang w:eastAsia="zh-CN"/>
        </w:rPr>
        <w:t>万欧元</w:t>
      </w:r>
      <w:r w:rsidRPr="00875380">
        <w:rPr>
          <w:rFonts w:cs="Arial" w:hint="eastAsia"/>
          <w:snapToGrid w:val="0"/>
          <w:lang w:eastAsia="zh-CN"/>
        </w:rPr>
        <w:t>改善</w:t>
      </w:r>
      <w:r w:rsidRPr="00875380">
        <w:rPr>
          <w:rFonts w:cs="Arial"/>
          <w:snapToGrid w:val="0"/>
          <w:lang w:eastAsia="zh-CN"/>
        </w:rPr>
        <w:t>至</w:t>
      </w:r>
      <w:r w:rsidRPr="00875380">
        <w:rPr>
          <w:rFonts w:cs="Arial"/>
          <w:snapToGrid w:val="0"/>
          <w:lang w:eastAsia="zh-CN"/>
        </w:rPr>
        <w:t>-4200</w:t>
      </w:r>
      <w:r w:rsidRPr="00875380">
        <w:rPr>
          <w:rFonts w:cs="Arial"/>
          <w:snapToGrid w:val="0"/>
          <w:lang w:eastAsia="zh-CN"/>
        </w:rPr>
        <w:t>万欧元。</w:t>
      </w:r>
      <w:r w:rsidR="00E25787" w:rsidRPr="00875380">
        <w:rPr>
          <w:rFonts w:cs="Arial" w:hint="eastAsia"/>
          <w:snapToGrid w:val="0"/>
          <w:lang w:eastAsia="zh-CN"/>
        </w:rPr>
        <w:t>较</w:t>
      </w:r>
      <w:r w:rsidRPr="00875380">
        <w:rPr>
          <w:rFonts w:cs="Arial"/>
          <w:snapToGrid w:val="0"/>
          <w:lang w:eastAsia="zh-CN"/>
        </w:rPr>
        <w:t>上年</w:t>
      </w:r>
      <w:r w:rsidRPr="00875380">
        <w:rPr>
          <w:rFonts w:cs="Arial"/>
          <w:snapToGrid w:val="0"/>
          <w:lang w:eastAsia="zh-CN"/>
        </w:rPr>
        <w:t>24.3%</w:t>
      </w:r>
      <w:r w:rsidR="00E25787" w:rsidRPr="00875380">
        <w:rPr>
          <w:rFonts w:cs="Arial"/>
          <w:snapToGrid w:val="0"/>
          <w:lang w:eastAsia="zh-CN"/>
        </w:rPr>
        <w:t>的税率</w:t>
      </w:r>
      <w:r w:rsidRPr="00875380">
        <w:rPr>
          <w:rFonts w:cs="Arial"/>
          <w:snapToGrid w:val="0"/>
          <w:lang w:eastAsia="zh-CN"/>
        </w:rPr>
        <w:t>，今年</w:t>
      </w:r>
      <w:r w:rsidRPr="00875380">
        <w:rPr>
          <w:rFonts w:cs="Arial"/>
          <w:snapToGrid w:val="0"/>
          <w:lang w:eastAsia="zh-CN"/>
        </w:rPr>
        <w:t>24.4%</w:t>
      </w:r>
      <w:r w:rsidRPr="00875380">
        <w:rPr>
          <w:rFonts w:cs="Arial"/>
          <w:snapToGrid w:val="0"/>
          <w:lang w:eastAsia="zh-CN"/>
        </w:rPr>
        <w:t>的</w:t>
      </w:r>
      <w:r w:rsidRPr="00875380">
        <w:rPr>
          <w:rFonts w:cs="Arial"/>
          <w:b/>
          <w:snapToGrid w:val="0"/>
          <w:lang w:eastAsia="zh-CN"/>
        </w:rPr>
        <w:t>税率</w:t>
      </w:r>
      <w:r w:rsidRPr="00875380">
        <w:rPr>
          <w:rFonts w:cs="Arial" w:hint="eastAsia"/>
          <w:snapToGrid w:val="0"/>
          <w:lang w:eastAsia="zh-CN"/>
        </w:rPr>
        <w:t>维持同期水平</w:t>
      </w:r>
      <w:r w:rsidRPr="00875380">
        <w:rPr>
          <w:rFonts w:cs="Arial"/>
          <w:snapToGrid w:val="0"/>
          <w:lang w:eastAsia="zh-CN"/>
        </w:rPr>
        <w:t>。</w:t>
      </w:r>
    </w:p>
    <w:p w14:paraId="5EA90A76"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124256A9"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全年扣除非控制权益后</w:t>
      </w:r>
      <w:r w:rsidRPr="00875380">
        <w:rPr>
          <w:rFonts w:cs="Arial" w:hint="eastAsia"/>
          <w:snapToGrid w:val="0"/>
          <w:lang w:eastAsia="zh-CN"/>
        </w:rPr>
        <w:t>，</w:t>
      </w:r>
      <w:r w:rsidRPr="00875380">
        <w:rPr>
          <w:rFonts w:cs="Arial"/>
          <w:b/>
          <w:snapToGrid w:val="0"/>
          <w:lang w:eastAsia="zh-CN"/>
        </w:rPr>
        <w:t>调整后净收益</w:t>
      </w:r>
      <w:r w:rsidRPr="00875380">
        <w:rPr>
          <w:rFonts w:cs="Arial" w:hint="eastAsia"/>
          <w:bCs/>
          <w:snapToGrid w:val="0"/>
          <w:lang w:eastAsia="zh-CN"/>
        </w:rPr>
        <w:t>同比</w:t>
      </w:r>
      <w:r w:rsidRPr="00875380">
        <w:rPr>
          <w:rFonts w:cs="Arial"/>
          <w:snapToGrid w:val="0"/>
          <w:lang w:eastAsia="zh-CN"/>
        </w:rPr>
        <w:t>增长了</w:t>
      </w:r>
      <w:r w:rsidRPr="00875380">
        <w:rPr>
          <w:rFonts w:cs="Arial"/>
          <w:snapToGrid w:val="0"/>
          <w:lang w:eastAsia="zh-CN"/>
        </w:rPr>
        <w:t>11.4%</w:t>
      </w:r>
      <w:r w:rsidRPr="00875380">
        <w:rPr>
          <w:rFonts w:cs="Arial"/>
          <w:snapToGrid w:val="0"/>
          <w:lang w:eastAsia="zh-CN"/>
        </w:rPr>
        <w:t>，</w:t>
      </w:r>
      <w:proofErr w:type="spellStart"/>
      <w:r w:rsidRPr="00875380">
        <w:rPr>
          <w:rFonts w:cs="Arial"/>
          <w:snapToGrid w:val="0"/>
          <w:lang w:eastAsia="zh-CN"/>
        </w:rPr>
        <w:t>增至</w:t>
      </w:r>
      <w:proofErr w:type="spellEnd"/>
      <w:r w:rsidRPr="00875380">
        <w:rPr>
          <w:rFonts w:cs="Arial"/>
          <w:snapToGrid w:val="0"/>
          <w:lang w:eastAsia="zh-CN"/>
        </w:rPr>
        <w:t>21.12</w:t>
      </w:r>
      <w:r w:rsidRPr="00875380">
        <w:rPr>
          <w:rFonts w:cs="Arial"/>
          <w:snapToGrid w:val="0"/>
          <w:lang w:eastAsia="zh-CN"/>
        </w:rPr>
        <w:t>亿欧元（</w:t>
      </w:r>
      <w:r w:rsidRPr="00875380">
        <w:rPr>
          <w:rFonts w:cs="Arial"/>
          <w:snapToGrid w:val="0"/>
          <w:lang w:eastAsia="zh-CN"/>
        </w:rPr>
        <w:t>2014</w:t>
      </w:r>
      <w:r w:rsidRPr="00875380">
        <w:rPr>
          <w:rFonts w:cs="Arial"/>
          <w:snapToGrid w:val="0"/>
          <w:lang w:eastAsia="zh-CN"/>
        </w:rPr>
        <w:t>年为</w:t>
      </w:r>
      <w:r w:rsidRPr="00875380">
        <w:rPr>
          <w:rFonts w:cs="Arial"/>
          <w:snapToGrid w:val="0"/>
          <w:lang w:eastAsia="zh-CN"/>
        </w:rPr>
        <w:t>18.96</w:t>
      </w:r>
      <w:r w:rsidRPr="00875380">
        <w:rPr>
          <w:rFonts w:cs="Arial"/>
          <w:snapToGrid w:val="0"/>
          <w:lang w:eastAsia="zh-CN"/>
        </w:rPr>
        <w:t>亿欧元）。报告</w:t>
      </w:r>
      <w:r w:rsidRPr="00875380">
        <w:rPr>
          <w:rFonts w:cs="Arial" w:hint="eastAsia"/>
          <w:snapToGrid w:val="0"/>
          <w:lang w:eastAsia="zh-CN"/>
        </w:rPr>
        <w:t>中</w:t>
      </w:r>
      <w:r w:rsidRPr="00875380">
        <w:rPr>
          <w:rFonts w:cs="Arial"/>
          <w:snapToGrid w:val="0"/>
          <w:lang w:eastAsia="zh-CN"/>
        </w:rPr>
        <w:t>净收益年同比增长</w:t>
      </w:r>
      <w:r w:rsidRPr="00875380">
        <w:rPr>
          <w:rFonts w:cs="Arial"/>
          <w:snapToGrid w:val="0"/>
          <w:lang w:eastAsia="zh-CN"/>
        </w:rPr>
        <w:t>18.4%</w:t>
      </w:r>
      <w:r w:rsidRPr="00875380">
        <w:rPr>
          <w:rFonts w:cs="Arial"/>
          <w:snapToGrid w:val="0"/>
          <w:lang w:eastAsia="zh-CN"/>
        </w:rPr>
        <w:t>，从</w:t>
      </w:r>
      <w:r w:rsidRPr="00875380">
        <w:rPr>
          <w:rFonts w:cs="Arial"/>
          <w:snapToGrid w:val="0"/>
          <w:lang w:eastAsia="zh-CN"/>
        </w:rPr>
        <w:t>16.62</w:t>
      </w:r>
      <w:r w:rsidRPr="00875380">
        <w:rPr>
          <w:rFonts w:cs="Arial"/>
          <w:snapToGrid w:val="0"/>
          <w:lang w:eastAsia="zh-CN"/>
        </w:rPr>
        <w:t>亿欧元增至</w:t>
      </w:r>
      <w:r w:rsidRPr="00875380">
        <w:rPr>
          <w:rFonts w:cs="Arial"/>
          <w:snapToGrid w:val="0"/>
          <w:lang w:eastAsia="zh-CN"/>
        </w:rPr>
        <w:t>19.68</w:t>
      </w:r>
      <w:r w:rsidRPr="00875380">
        <w:rPr>
          <w:rFonts w:cs="Arial"/>
          <w:snapToGrid w:val="0"/>
          <w:lang w:eastAsia="zh-CN"/>
        </w:rPr>
        <w:t>亿欧元。扣除非控制权益</w:t>
      </w:r>
      <w:r w:rsidRPr="00875380">
        <w:rPr>
          <w:rFonts w:cs="Arial"/>
          <w:snapToGrid w:val="0"/>
          <w:lang w:eastAsia="zh-CN"/>
        </w:rPr>
        <w:t>4700</w:t>
      </w:r>
      <w:r w:rsidRPr="00875380">
        <w:rPr>
          <w:rFonts w:cs="Arial"/>
          <w:snapToGrid w:val="0"/>
          <w:lang w:eastAsia="zh-CN"/>
        </w:rPr>
        <w:t>万欧元后，净</w:t>
      </w:r>
      <w:r w:rsidRPr="00875380">
        <w:rPr>
          <w:rFonts w:cs="Arial" w:hint="eastAsia"/>
          <w:snapToGrid w:val="0"/>
          <w:lang w:eastAsia="zh-CN"/>
        </w:rPr>
        <w:t>收入</w:t>
      </w:r>
      <w:r w:rsidRPr="00875380">
        <w:rPr>
          <w:rFonts w:cs="Arial"/>
          <w:snapToGrid w:val="0"/>
          <w:lang w:eastAsia="zh-CN"/>
        </w:rPr>
        <w:t>增至</w:t>
      </w:r>
      <w:r w:rsidRPr="00875380">
        <w:rPr>
          <w:rFonts w:cs="Arial"/>
          <w:snapToGrid w:val="0"/>
          <w:lang w:eastAsia="zh-CN"/>
        </w:rPr>
        <w:t>19.21</w:t>
      </w:r>
      <w:r w:rsidRPr="00875380">
        <w:rPr>
          <w:rFonts w:cs="Arial"/>
          <w:snapToGrid w:val="0"/>
          <w:lang w:eastAsia="zh-CN"/>
        </w:rPr>
        <w:t>亿欧元（上年</w:t>
      </w:r>
      <w:r w:rsidRPr="00875380">
        <w:rPr>
          <w:rFonts w:cs="Arial" w:hint="eastAsia"/>
          <w:snapToGrid w:val="0"/>
          <w:lang w:eastAsia="zh-CN"/>
        </w:rPr>
        <w:t>同期</w:t>
      </w:r>
      <w:r w:rsidRPr="00875380">
        <w:rPr>
          <w:rFonts w:cs="Arial"/>
          <w:snapToGrid w:val="0"/>
          <w:lang w:eastAsia="zh-CN"/>
        </w:rPr>
        <w:t>为</w:t>
      </w:r>
      <w:r w:rsidRPr="00875380">
        <w:rPr>
          <w:rFonts w:cs="Arial"/>
          <w:snapToGrid w:val="0"/>
          <w:lang w:eastAsia="zh-CN"/>
        </w:rPr>
        <w:t>16.28</w:t>
      </w:r>
      <w:r w:rsidRPr="00875380">
        <w:rPr>
          <w:rFonts w:cs="Arial"/>
          <w:snapToGrid w:val="0"/>
          <w:lang w:eastAsia="zh-CN"/>
        </w:rPr>
        <w:t>亿欧元）。</w:t>
      </w:r>
    </w:p>
    <w:p w14:paraId="16035EB9"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6283F73E"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r w:rsidRPr="00875380">
        <w:rPr>
          <w:rFonts w:cs="Arial"/>
          <w:b/>
          <w:snapToGrid w:val="0"/>
          <w:sz w:val="24"/>
          <w:lang w:eastAsia="zh-CN"/>
        </w:rPr>
        <w:t>调整后优先股每股收益</w:t>
      </w:r>
      <w:r w:rsidRPr="00875380">
        <w:rPr>
          <w:rFonts w:cs="Arial"/>
          <w:snapToGrid w:val="0"/>
          <w:sz w:val="24"/>
          <w:lang w:eastAsia="zh-CN"/>
        </w:rPr>
        <w:t>（</w:t>
      </w:r>
      <w:r w:rsidRPr="00875380">
        <w:rPr>
          <w:rFonts w:cs="Arial"/>
          <w:snapToGrid w:val="0"/>
          <w:sz w:val="24"/>
          <w:lang w:eastAsia="zh-CN"/>
        </w:rPr>
        <w:t>EPS</w:t>
      </w:r>
      <w:r w:rsidRPr="00875380">
        <w:rPr>
          <w:rFonts w:cs="Arial"/>
          <w:snapToGrid w:val="0"/>
          <w:sz w:val="24"/>
          <w:lang w:eastAsia="zh-CN"/>
        </w:rPr>
        <w:t>）</w:t>
      </w:r>
      <w:r w:rsidRPr="00875380">
        <w:rPr>
          <w:rFonts w:cs="Arial" w:hint="eastAsia"/>
          <w:snapToGrid w:val="0"/>
          <w:sz w:val="24"/>
          <w:lang w:eastAsia="zh-CN"/>
        </w:rPr>
        <w:t>由</w:t>
      </w:r>
      <w:r w:rsidRPr="00875380">
        <w:rPr>
          <w:rFonts w:cs="Arial"/>
          <w:snapToGrid w:val="0"/>
          <w:sz w:val="24"/>
          <w:lang w:eastAsia="zh-CN"/>
        </w:rPr>
        <w:t>4.38</w:t>
      </w:r>
      <w:r w:rsidRPr="00875380">
        <w:rPr>
          <w:rFonts w:cs="Arial"/>
          <w:snapToGrid w:val="0"/>
          <w:sz w:val="24"/>
          <w:lang w:eastAsia="zh-CN"/>
        </w:rPr>
        <w:t>欧元增长至</w:t>
      </w:r>
      <w:r w:rsidRPr="00875380">
        <w:rPr>
          <w:rFonts w:cs="Arial"/>
          <w:snapToGrid w:val="0"/>
          <w:sz w:val="24"/>
          <w:lang w:eastAsia="zh-CN"/>
        </w:rPr>
        <w:t>4.88</w:t>
      </w:r>
      <w:r w:rsidRPr="00875380">
        <w:rPr>
          <w:rFonts w:cs="Arial"/>
          <w:snapToGrid w:val="0"/>
          <w:sz w:val="24"/>
          <w:lang w:eastAsia="zh-CN"/>
        </w:rPr>
        <w:t>欧元，增长</w:t>
      </w:r>
      <w:r w:rsidRPr="00875380">
        <w:rPr>
          <w:rFonts w:cs="Arial"/>
          <w:snapToGrid w:val="0"/>
          <w:sz w:val="24"/>
          <w:lang w:eastAsia="zh-CN"/>
        </w:rPr>
        <w:t>11.4%</w:t>
      </w:r>
      <w:r w:rsidRPr="00875380">
        <w:rPr>
          <w:rFonts w:cs="Arial"/>
          <w:snapToGrid w:val="0"/>
          <w:sz w:val="24"/>
          <w:lang w:eastAsia="zh-CN"/>
        </w:rPr>
        <w:t>。报告</w:t>
      </w:r>
      <w:r w:rsidRPr="00875380">
        <w:rPr>
          <w:rFonts w:cs="Arial" w:hint="eastAsia"/>
          <w:snapToGrid w:val="0"/>
          <w:sz w:val="24"/>
          <w:lang w:eastAsia="zh-CN"/>
        </w:rPr>
        <w:t>中</w:t>
      </w:r>
      <w:r w:rsidRPr="00875380">
        <w:rPr>
          <w:rFonts w:cs="Arial"/>
          <w:snapToGrid w:val="0"/>
          <w:sz w:val="24"/>
          <w:lang w:eastAsia="zh-CN"/>
        </w:rPr>
        <w:t>的</w:t>
      </w:r>
      <w:r w:rsidRPr="00875380">
        <w:rPr>
          <w:rFonts w:cs="Arial" w:hint="eastAsia"/>
          <w:snapToGrid w:val="0"/>
          <w:sz w:val="24"/>
          <w:lang w:eastAsia="zh-CN"/>
        </w:rPr>
        <w:t>EPS</w:t>
      </w:r>
      <w:r w:rsidRPr="00875380">
        <w:rPr>
          <w:rFonts w:cs="Arial"/>
          <w:snapToGrid w:val="0"/>
          <w:sz w:val="24"/>
          <w:lang w:eastAsia="zh-CN"/>
        </w:rPr>
        <w:t>从</w:t>
      </w:r>
      <w:r w:rsidRPr="00875380">
        <w:rPr>
          <w:rFonts w:cs="Arial"/>
          <w:snapToGrid w:val="0"/>
          <w:sz w:val="24"/>
          <w:lang w:eastAsia="zh-CN"/>
        </w:rPr>
        <w:t>3.76</w:t>
      </w:r>
      <w:r w:rsidRPr="00875380">
        <w:rPr>
          <w:rFonts w:cs="Arial"/>
          <w:snapToGrid w:val="0"/>
          <w:sz w:val="24"/>
          <w:lang w:eastAsia="zh-CN"/>
        </w:rPr>
        <w:t>欧元增至</w:t>
      </w:r>
      <w:r w:rsidRPr="00875380">
        <w:rPr>
          <w:rFonts w:cs="Arial"/>
          <w:snapToGrid w:val="0"/>
          <w:sz w:val="24"/>
          <w:lang w:eastAsia="zh-CN"/>
        </w:rPr>
        <w:t>4.44</w:t>
      </w:r>
      <w:r w:rsidRPr="00875380">
        <w:rPr>
          <w:rFonts w:cs="Arial"/>
          <w:snapToGrid w:val="0"/>
          <w:sz w:val="24"/>
          <w:lang w:eastAsia="zh-CN"/>
        </w:rPr>
        <w:t>欧元。</w:t>
      </w:r>
    </w:p>
    <w:p w14:paraId="33DD134C" w14:textId="77777777" w:rsidR="00E25787" w:rsidRPr="00875380" w:rsidRDefault="00E25787" w:rsidP="00CA1115">
      <w:pPr>
        <w:adjustRightInd w:val="0"/>
        <w:snapToGrid w:val="0"/>
        <w:spacing w:afterLines="50" w:after="120" w:line="288" w:lineRule="auto"/>
        <w:jc w:val="both"/>
        <w:rPr>
          <w:rFonts w:cs="Arial"/>
          <w:snapToGrid w:val="0"/>
          <w:sz w:val="24"/>
          <w:lang w:eastAsia="zh-CN"/>
        </w:rPr>
      </w:pPr>
    </w:p>
    <w:p w14:paraId="4BD7800F" w14:textId="45E2A4EE"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lastRenderedPageBreak/>
        <w:t>管理委员会、监事会和股东委员会将在</w:t>
      </w:r>
      <w:r w:rsidRPr="00875380">
        <w:rPr>
          <w:rFonts w:cs="Arial"/>
          <w:snapToGrid w:val="0"/>
          <w:lang w:eastAsia="zh-CN"/>
        </w:rPr>
        <w:t>2016</w:t>
      </w:r>
      <w:r w:rsidRPr="00875380">
        <w:rPr>
          <w:rFonts w:cs="Arial"/>
          <w:snapToGrid w:val="0"/>
          <w:lang w:eastAsia="zh-CN"/>
        </w:rPr>
        <w:t>年</w:t>
      </w:r>
      <w:r w:rsidRPr="00875380">
        <w:rPr>
          <w:rFonts w:cs="Arial"/>
          <w:snapToGrid w:val="0"/>
          <w:lang w:eastAsia="zh-CN"/>
        </w:rPr>
        <w:t>4</w:t>
      </w:r>
      <w:r w:rsidRPr="00875380">
        <w:rPr>
          <w:rFonts w:cs="Arial"/>
          <w:snapToGrid w:val="0"/>
          <w:lang w:eastAsia="zh-CN"/>
        </w:rPr>
        <w:t>月</w:t>
      </w:r>
      <w:r w:rsidRPr="00875380">
        <w:rPr>
          <w:rFonts w:cs="Arial"/>
          <w:snapToGrid w:val="0"/>
          <w:lang w:eastAsia="zh-CN"/>
        </w:rPr>
        <w:t>11</w:t>
      </w:r>
      <w:r w:rsidRPr="00875380">
        <w:rPr>
          <w:rFonts w:cs="Arial"/>
          <w:snapToGrid w:val="0"/>
          <w:lang w:eastAsia="zh-CN"/>
        </w:rPr>
        <w:t>日举行的年度股东大会上提议优先股</w:t>
      </w:r>
      <w:r w:rsidRPr="00875380">
        <w:rPr>
          <w:rFonts w:cs="Arial" w:hint="eastAsia"/>
          <w:b/>
          <w:snapToGrid w:val="0"/>
          <w:lang w:eastAsia="zh-CN"/>
        </w:rPr>
        <w:t>股息</w:t>
      </w:r>
      <w:r w:rsidRPr="00875380">
        <w:rPr>
          <w:rFonts w:cs="Arial"/>
          <w:snapToGrid w:val="0"/>
          <w:lang w:eastAsia="zh-CN"/>
        </w:rPr>
        <w:t>（</w:t>
      </w:r>
      <w:r w:rsidR="00E25787" w:rsidRPr="00875380">
        <w:rPr>
          <w:rFonts w:cs="Arial" w:hint="eastAsia"/>
          <w:snapToGrid w:val="0"/>
          <w:lang w:eastAsia="zh-CN"/>
        </w:rPr>
        <w:t>由</w:t>
      </w:r>
      <w:r w:rsidRPr="00875380">
        <w:rPr>
          <w:rFonts w:cs="Arial"/>
          <w:snapToGrid w:val="0"/>
          <w:lang w:eastAsia="zh-CN"/>
        </w:rPr>
        <w:t>上年的</w:t>
      </w:r>
      <w:r w:rsidRPr="00875380">
        <w:rPr>
          <w:rFonts w:cs="Arial"/>
          <w:snapToGrid w:val="0"/>
          <w:lang w:eastAsia="zh-CN"/>
        </w:rPr>
        <w:t>1.31</w:t>
      </w:r>
      <w:r w:rsidRPr="00875380">
        <w:rPr>
          <w:rFonts w:cs="Arial"/>
          <w:snapToGrid w:val="0"/>
          <w:lang w:eastAsia="zh-CN"/>
        </w:rPr>
        <w:t>欧元）增至</w:t>
      </w:r>
      <w:r w:rsidRPr="00875380">
        <w:rPr>
          <w:rFonts w:cs="Arial"/>
          <w:snapToGrid w:val="0"/>
          <w:lang w:eastAsia="zh-CN"/>
        </w:rPr>
        <w:t>1.47</w:t>
      </w:r>
      <w:r w:rsidRPr="00875380">
        <w:rPr>
          <w:rFonts w:cs="Arial"/>
          <w:snapToGrid w:val="0"/>
          <w:lang w:eastAsia="zh-CN"/>
        </w:rPr>
        <w:t>欧元，增长</w:t>
      </w:r>
      <w:r w:rsidRPr="00875380">
        <w:rPr>
          <w:rFonts w:cs="Arial"/>
          <w:snapToGrid w:val="0"/>
          <w:lang w:eastAsia="zh-CN"/>
        </w:rPr>
        <w:t>12.2%</w:t>
      </w:r>
      <w:r w:rsidRPr="00875380">
        <w:rPr>
          <w:rFonts w:cs="Arial"/>
          <w:snapToGrid w:val="0"/>
          <w:lang w:eastAsia="zh-CN"/>
        </w:rPr>
        <w:t>；</w:t>
      </w:r>
      <w:proofErr w:type="spellStart"/>
      <w:r w:rsidRPr="00875380">
        <w:rPr>
          <w:rFonts w:cs="Arial"/>
          <w:snapToGrid w:val="0"/>
          <w:lang w:eastAsia="zh-CN"/>
        </w:rPr>
        <w:t>普通股股利</w:t>
      </w:r>
      <w:proofErr w:type="spellEnd"/>
      <w:r w:rsidRPr="00875380">
        <w:rPr>
          <w:rFonts w:cs="Arial"/>
          <w:snapToGrid w:val="0"/>
          <w:lang w:eastAsia="zh-CN"/>
        </w:rPr>
        <w:t>（</w:t>
      </w:r>
      <w:r w:rsidR="00E25787" w:rsidRPr="00875380">
        <w:rPr>
          <w:rFonts w:cs="Arial" w:hint="eastAsia"/>
          <w:snapToGrid w:val="0"/>
          <w:lang w:eastAsia="zh-CN"/>
        </w:rPr>
        <w:t>由</w:t>
      </w:r>
      <w:r w:rsidRPr="00875380">
        <w:rPr>
          <w:rFonts w:cs="Arial"/>
          <w:snapToGrid w:val="0"/>
          <w:lang w:eastAsia="zh-CN"/>
        </w:rPr>
        <w:t>上年的</w:t>
      </w:r>
      <w:r w:rsidRPr="00875380">
        <w:rPr>
          <w:rFonts w:cs="Arial"/>
          <w:snapToGrid w:val="0"/>
          <w:lang w:eastAsia="zh-CN"/>
        </w:rPr>
        <w:t>1.29</w:t>
      </w:r>
      <w:r w:rsidRPr="00875380">
        <w:rPr>
          <w:rFonts w:cs="Arial"/>
          <w:snapToGrid w:val="0"/>
          <w:lang w:eastAsia="zh-CN"/>
        </w:rPr>
        <w:t>欧元）增至</w:t>
      </w:r>
      <w:r w:rsidRPr="00875380">
        <w:rPr>
          <w:rFonts w:cs="Arial"/>
          <w:snapToGrid w:val="0"/>
          <w:lang w:eastAsia="zh-CN"/>
        </w:rPr>
        <w:t>1.45</w:t>
      </w:r>
      <w:r w:rsidRPr="00875380">
        <w:rPr>
          <w:rFonts w:cs="Arial"/>
          <w:snapToGrid w:val="0"/>
          <w:lang w:eastAsia="zh-CN"/>
        </w:rPr>
        <w:t>欧元，增长</w:t>
      </w:r>
      <w:r w:rsidRPr="00875380">
        <w:rPr>
          <w:rFonts w:cs="Arial"/>
          <w:snapToGrid w:val="0"/>
          <w:lang w:eastAsia="zh-CN"/>
        </w:rPr>
        <w:t>12.4%</w:t>
      </w:r>
      <w:r w:rsidRPr="00875380">
        <w:rPr>
          <w:rFonts w:cs="Arial" w:hint="eastAsia"/>
          <w:snapToGrid w:val="0"/>
          <w:lang w:eastAsia="zh-CN"/>
        </w:rPr>
        <w:t>，</w:t>
      </w:r>
      <w:proofErr w:type="spellStart"/>
      <w:r w:rsidRPr="00875380">
        <w:rPr>
          <w:rFonts w:cs="Arial" w:hint="eastAsia"/>
          <w:snapToGrid w:val="0"/>
          <w:lang w:eastAsia="zh-CN"/>
        </w:rPr>
        <w:t>派息比率将</w:t>
      </w:r>
      <w:r w:rsidRPr="00875380">
        <w:rPr>
          <w:rFonts w:cs="Arial"/>
          <w:snapToGrid w:val="0"/>
          <w:lang w:eastAsia="zh-CN"/>
        </w:rPr>
        <w:t>达到</w:t>
      </w:r>
      <w:proofErr w:type="spellEnd"/>
      <w:r w:rsidRPr="00875380">
        <w:rPr>
          <w:rFonts w:cs="Arial"/>
          <w:snapToGrid w:val="0"/>
          <w:lang w:eastAsia="zh-CN"/>
        </w:rPr>
        <w:t>30.2%</w:t>
      </w:r>
      <w:r w:rsidRPr="00875380">
        <w:rPr>
          <w:rFonts w:cs="Arial"/>
          <w:snapToGrid w:val="0"/>
          <w:lang w:eastAsia="zh-CN"/>
        </w:rPr>
        <w:t>。</w:t>
      </w:r>
    </w:p>
    <w:p w14:paraId="2558A62E"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FEDECEC" w14:textId="7637B5D3" w:rsidR="00CA1115" w:rsidRPr="00875380" w:rsidRDefault="00CA1115" w:rsidP="00875380">
      <w:pPr>
        <w:pStyle w:val="a5"/>
        <w:adjustRightInd w:val="0"/>
        <w:snapToGrid w:val="0"/>
        <w:spacing w:afterLines="50" w:line="288" w:lineRule="auto"/>
        <w:jc w:val="both"/>
        <w:rPr>
          <w:rFonts w:cs="Arial" w:hint="eastAsia"/>
          <w:b/>
          <w:snapToGrid w:val="0"/>
          <w:lang w:eastAsia="zh-CN"/>
        </w:rPr>
      </w:pPr>
      <w:r w:rsidRPr="00875380">
        <w:rPr>
          <w:rFonts w:cs="Arial" w:hint="eastAsia"/>
          <w:bCs/>
          <w:snapToGrid w:val="0"/>
          <w:lang w:eastAsia="zh-CN"/>
        </w:rPr>
        <w:t>在销售额中占一定比例的</w:t>
      </w:r>
      <w:r w:rsidRPr="00875380">
        <w:rPr>
          <w:rFonts w:cs="Arial"/>
          <w:b/>
          <w:snapToGrid w:val="0"/>
          <w:lang w:eastAsia="zh-CN"/>
        </w:rPr>
        <w:t>净</w:t>
      </w:r>
      <w:r w:rsidRPr="00875380">
        <w:rPr>
          <w:rFonts w:cs="Arial" w:hint="eastAsia"/>
          <w:b/>
          <w:snapToGrid w:val="0"/>
          <w:lang w:eastAsia="zh-CN"/>
        </w:rPr>
        <w:t>流动</w:t>
      </w:r>
      <w:r w:rsidRPr="00875380">
        <w:rPr>
          <w:rFonts w:cs="Arial"/>
          <w:b/>
          <w:snapToGrid w:val="0"/>
          <w:lang w:eastAsia="zh-CN"/>
        </w:rPr>
        <w:t>资本</w:t>
      </w:r>
      <w:r w:rsidRPr="00875380">
        <w:rPr>
          <w:rFonts w:cs="Arial"/>
          <w:snapToGrid w:val="0"/>
          <w:lang w:eastAsia="zh-CN"/>
        </w:rPr>
        <w:t>从</w:t>
      </w:r>
      <w:r w:rsidRPr="00875380">
        <w:rPr>
          <w:rFonts w:cs="Arial"/>
          <w:snapToGrid w:val="0"/>
          <w:lang w:eastAsia="zh-CN"/>
        </w:rPr>
        <w:t>3.8%</w:t>
      </w:r>
      <w:r w:rsidRPr="00875380">
        <w:rPr>
          <w:rFonts w:cs="Arial"/>
          <w:snapToGrid w:val="0"/>
          <w:lang w:eastAsia="zh-CN"/>
        </w:rPr>
        <w:t>增至</w:t>
      </w:r>
      <w:r w:rsidRPr="00875380">
        <w:rPr>
          <w:rFonts w:cs="Arial"/>
          <w:snapToGrid w:val="0"/>
          <w:lang w:eastAsia="zh-CN"/>
        </w:rPr>
        <w:t>4.2%</w:t>
      </w:r>
      <w:r w:rsidRPr="00875380">
        <w:rPr>
          <w:rFonts w:cs="Arial"/>
          <w:snapToGrid w:val="0"/>
          <w:lang w:eastAsia="zh-CN"/>
        </w:rPr>
        <w:t>，</w:t>
      </w:r>
      <w:proofErr w:type="spellStart"/>
      <w:r w:rsidRPr="00875380">
        <w:rPr>
          <w:rFonts w:cs="Arial" w:hint="eastAsia"/>
          <w:snapToGrid w:val="0"/>
          <w:lang w:eastAsia="zh-CN"/>
        </w:rPr>
        <w:t>上升了</w:t>
      </w:r>
      <w:proofErr w:type="spellEnd"/>
      <w:r w:rsidRPr="00875380">
        <w:rPr>
          <w:rFonts w:cs="Arial"/>
          <w:snapToGrid w:val="0"/>
          <w:lang w:eastAsia="zh-CN"/>
        </w:rPr>
        <w:t>0.4</w:t>
      </w:r>
      <w:r w:rsidRPr="00875380">
        <w:rPr>
          <w:rFonts w:cs="Arial"/>
          <w:snapToGrid w:val="0"/>
          <w:lang w:eastAsia="zh-CN"/>
        </w:rPr>
        <w:t>个百分点。</w:t>
      </w:r>
    </w:p>
    <w:p w14:paraId="1FF52A6C"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r w:rsidRPr="00875380">
        <w:rPr>
          <w:rFonts w:cs="Arial" w:hint="eastAsia"/>
          <w:snapToGrid w:val="0"/>
          <w:sz w:val="24"/>
          <w:lang w:eastAsia="zh-CN"/>
        </w:rPr>
        <w:t>年终</w:t>
      </w:r>
      <w:r w:rsidRPr="00875380">
        <w:rPr>
          <w:rFonts w:cs="Arial"/>
          <w:b/>
          <w:snapToGrid w:val="0"/>
          <w:sz w:val="24"/>
          <w:lang w:eastAsia="zh-CN"/>
        </w:rPr>
        <w:t>净财务状况</w:t>
      </w:r>
      <w:r w:rsidRPr="00875380">
        <w:rPr>
          <w:rFonts w:cs="Arial"/>
          <w:snapToGrid w:val="0"/>
          <w:sz w:val="24"/>
          <w:lang w:eastAsia="zh-CN"/>
        </w:rPr>
        <w:t>为</w:t>
      </w:r>
      <w:r w:rsidRPr="00875380">
        <w:rPr>
          <w:rFonts w:cs="Arial"/>
          <w:snapToGrid w:val="0"/>
          <w:sz w:val="24"/>
          <w:lang w:eastAsia="zh-CN"/>
        </w:rPr>
        <w:t>3.35</w:t>
      </w:r>
      <w:r w:rsidRPr="00875380">
        <w:rPr>
          <w:rFonts w:cs="Arial"/>
          <w:snapToGrid w:val="0"/>
          <w:sz w:val="24"/>
          <w:lang w:eastAsia="zh-CN"/>
        </w:rPr>
        <w:t>亿欧元（</w:t>
      </w:r>
      <w:r w:rsidRPr="00875380">
        <w:rPr>
          <w:rFonts w:cs="Arial"/>
          <w:snapToGrid w:val="0"/>
          <w:sz w:val="24"/>
          <w:lang w:eastAsia="zh-CN"/>
        </w:rPr>
        <w:t>2014</w:t>
      </w:r>
      <w:r w:rsidRPr="00875380">
        <w:rPr>
          <w:rFonts w:cs="Arial"/>
          <w:snapToGrid w:val="0"/>
          <w:sz w:val="24"/>
          <w:lang w:eastAsia="zh-CN"/>
        </w:rPr>
        <w:t>年</w:t>
      </w:r>
      <w:r w:rsidRPr="00875380">
        <w:rPr>
          <w:rFonts w:cs="Arial"/>
          <w:snapToGrid w:val="0"/>
          <w:sz w:val="24"/>
          <w:lang w:eastAsia="zh-CN"/>
        </w:rPr>
        <w:t>12</w:t>
      </w:r>
      <w:r w:rsidRPr="00875380">
        <w:rPr>
          <w:rFonts w:cs="Arial"/>
          <w:snapToGrid w:val="0"/>
          <w:sz w:val="24"/>
          <w:lang w:eastAsia="zh-CN"/>
        </w:rPr>
        <w:t>月</w:t>
      </w:r>
      <w:r w:rsidRPr="00875380">
        <w:rPr>
          <w:rFonts w:cs="Arial"/>
          <w:snapToGrid w:val="0"/>
          <w:sz w:val="24"/>
          <w:lang w:eastAsia="zh-CN"/>
        </w:rPr>
        <w:t>31</w:t>
      </w:r>
      <w:r w:rsidRPr="00875380">
        <w:rPr>
          <w:rFonts w:cs="Arial"/>
          <w:snapToGrid w:val="0"/>
          <w:sz w:val="24"/>
          <w:lang w:eastAsia="zh-CN"/>
        </w:rPr>
        <w:t>日为</w:t>
      </w:r>
      <w:r w:rsidRPr="00875380">
        <w:rPr>
          <w:rFonts w:cs="Arial"/>
          <w:snapToGrid w:val="0"/>
          <w:sz w:val="24"/>
          <w:lang w:eastAsia="zh-CN"/>
        </w:rPr>
        <w:t>-1.53</w:t>
      </w:r>
      <w:r w:rsidRPr="00875380">
        <w:rPr>
          <w:rFonts w:cs="Arial"/>
          <w:snapToGrid w:val="0"/>
          <w:sz w:val="24"/>
          <w:lang w:eastAsia="zh-CN"/>
        </w:rPr>
        <w:t>亿欧元）。</w:t>
      </w:r>
    </w:p>
    <w:p w14:paraId="1B693B31"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27CAD4F9" w14:textId="77777777" w:rsidR="00CA1115" w:rsidRPr="00875380" w:rsidRDefault="00CA1115" w:rsidP="00CA1115">
      <w:pPr>
        <w:pStyle w:val="1"/>
        <w:adjustRightInd w:val="0"/>
        <w:snapToGrid w:val="0"/>
        <w:spacing w:afterLines="50" w:after="120" w:line="288" w:lineRule="auto"/>
        <w:jc w:val="both"/>
        <w:rPr>
          <w:rFonts w:cs="Arial"/>
          <w:bCs/>
          <w:snapToGrid w:val="0"/>
          <w:lang w:eastAsia="zh-CN"/>
        </w:rPr>
      </w:pPr>
      <w:r w:rsidRPr="00875380">
        <w:rPr>
          <w:rFonts w:cs="Arial" w:hint="eastAsia"/>
          <w:bCs/>
          <w:snapToGrid w:val="0"/>
          <w:lang w:eastAsia="zh-CN"/>
        </w:rPr>
        <w:t>各大</w:t>
      </w:r>
      <w:r w:rsidRPr="00875380">
        <w:rPr>
          <w:rFonts w:cs="Arial"/>
          <w:bCs/>
          <w:snapToGrid w:val="0"/>
          <w:lang w:eastAsia="zh-CN"/>
        </w:rPr>
        <w:t>业务部</w:t>
      </w:r>
      <w:r w:rsidRPr="00875380">
        <w:rPr>
          <w:rFonts w:cs="Arial" w:hint="eastAsia"/>
          <w:bCs/>
          <w:snapToGrid w:val="0"/>
          <w:lang w:eastAsia="zh-CN"/>
        </w:rPr>
        <w:t>门</w:t>
      </w:r>
      <w:r w:rsidRPr="00875380">
        <w:rPr>
          <w:rFonts w:cs="Arial"/>
          <w:bCs/>
          <w:snapToGrid w:val="0"/>
          <w:lang w:eastAsia="zh-CN"/>
        </w:rPr>
        <w:t>业绩</w:t>
      </w:r>
      <w:r w:rsidRPr="00875380">
        <w:rPr>
          <w:rFonts w:cs="Arial" w:hint="eastAsia"/>
          <w:bCs/>
          <w:snapToGrid w:val="0"/>
          <w:lang w:eastAsia="zh-CN"/>
        </w:rPr>
        <w:t>表现</w:t>
      </w:r>
    </w:p>
    <w:p w14:paraId="152CE3FC"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2015</w:t>
      </w:r>
      <w:r w:rsidRPr="00875380">
        <w:rPr>
          <w:rFonts w:cs="Arial"/>
          <w:snapToGrid w:val="0"/>
          <w:lang w:eastAsia="zh-CN"/>
        </w:rPr>
        <w:t>年，</w:t>
      </w:r>
      <w:r w:rsidRPr="00875380">
        <w:rPr>
          <w:rFonts w:cs="Arial"/>
          <w:b/>
          <w:snapToGrid w:val="0"/>
          <w:lang w:eastAsia="zh-CN"/>
        </w:rPr>
        <w:t>洗涤剂与家用护理</w:t>
      </w:r>
      <w:r w:rsidRPr="00875380">
        <w:rPr>
          <w:rFonts w:cs="Arial"/>
          <w:snapToGrid w:val="0"/>
          <w:lang w:eastAsia="zh-CN"/>
        </w:rPr>
        <w:t>业务部</w:t>
      </w:r>
      <w:r w:rsidRPr="00875380">
        <w:rPr>
          <w:rFonts w:cs="Arial" w:hint="eastAsia"/>
          <w:snapToGrid w:val="0"/>
          <w:lang w:eastAsia="zh-CN"/>
        </w:rPr>
        <w:t>成功</w:t>
      </w:r>
      <w:r w:rsidRPr="00875380">
        <w:rPr>
          <w:rFonts w:cs="Arial"/>
          <w:snapToGrid w:val="0"/>
          <w:lang w:eastAsia="zh-CN"/>
        </w:rPr>
        <w:t>保持了</w:t>
      </w:r>
      <w:r w:rsidRPr="00875380">
        <w:rPr>
          <w:rFonts w:cs="Arial" w:hint="eastAsia"/>
          <w:snapToGrid w:val="0"/>
          <w:lang w:eastAsia="zh-CN"/>
        </w:rPr>
        <w:t>近几年</w:t>
      </w:r>
      <w:r w:rsidRPr="00875380">
        <w:rPr>
          <w:rFonts w:cs="Arial"/>
          <w:snapToGrid w:val="0"/>
          <w:lang w:eastAsia="zh-CN"/>
        </w:rPr>
        <w:t>盈利增长</w:t>
      </w:r>
      <w:r w:rsidRPr="00875380">
        <w:rPr>
          <w:rFonts w:cs="Arial" w:hint="eastAsia"/>
          <w:snapToGrid w:val="0"/>
          <w:lang w:eastAsia="zh-CN"/>
        </w:rPr>
        <w:t>的</w:t>
      </w:r>
      <w:r w:rsidRPr="00875380">
        <w:rPr>
          <w:rFonts w:cs="Arial"/>
          <w:snapToGrid w:val="0"/>
          <w:lang w:eastAsia="zh-CN"/>
        </w:rPr>
        <w:t>势头。有机销售同比增长</w:t>
      </w:r>
      <w:r w:rsidRPr="00875380">
        <w:rPr>
          <w:rFonts w:cs="Arial"/>
          <w:snapToGrid w:val="0"/>
          <w:lang w:eastAsia="zh-CN"/>
        </w:rPr>
        <w:t>4.9%</w:t>
      </w:r>
      <w:r w:rsidRPr="00875380">
        <w:rPr>
          <w:rFonts w:cs="Arial"/>
          <w:snapToGrid w:val="0"/>
          <w:lang w:eastAsia="zh-CN"/>
        </w:rPr>
        <w:t>，</w:t>
      </w:r>
      <w:proofErr w:type="spellStart"/>
      <w:r w:rsidRPr="00875380">
        <w:rPr>
          <w:rFonts w:cs="Arial"/>
          <w:snapToGrid w:val="0"/>
          <w:lang w:eastAsia="zh-CN"/>
        </w:rPr>
        <w:t>明显</w:t>
      </w:r>
      <w:r w:rsidRPr="00875380">
        <w:rPr>
          <w:rFonts w:cs="Arial" w:hint="eastAsia"/>
          <w:snapToGrid w:val="0"/>
          <w:lang w:eastAsia="zh-CN"/>
        </w:rPr>
        <w:t>超出</w:t>
      </w:r>
      <w:r w:rsidRPr="00875380">
        <w:rPr>
          <w:rFonts w:cs="Arial"/>
          <w:snapToGrid w:val="0"/>
          <w:lang w:eastAsia="zh-CN"/>
        </w:rPr>
        <w:t>相关市场。名义</w:t>
      </w:r>
      <w:r w:rsidRPr="00875380">
        <w:rPr>
          <w:rFonts w:cs="Arial"/>
          <w:b/>
          <w:snapToGrid w:val="0"/>
          <w:lang w:eastAsia="zh-CN"/>
        </w:rPr>
        <w:t>销售</w:t>
      </w:r>
      <w:r w:rsidRPr="00875380">
        <w:rPr>
          <w:rFonts w:cs="Arial"/>
          <w:snapToGrid w:val="0"/>
          <w:lang w:eastAsia="zh-CN"/>
        </w:rPr>
        <w:t>增长</w:t>
      </w:r>
      <w:proofErr w:type="spellEnd"/>
      <w:r w:rsidRPr="00875380">
        <w:rPr>
          <w:rFonts w:cs="Arial"/>
          <w:snapToGrid w:val="0"/>
          <w:lang w:eastAsia="zh-CN"/>
        </w:rPr>
        <w:t>11%</w:t>
      </w:r>
      <w:r w:rsidRPr="00875380">
        <w:rPr>
          <w:rFonts w:cs="Arial"/>
          <w:snapToGrid w:val="0"/>
          <w:lang w:eastAsia="zh-CN"/>
        </w:rPr>
        <w:t>，达</w:t>
      </w:r>
      <w:r w:rsidRPr="00875380">
        <w:rPr>
          <w:rFonts w:cs="Arial"/>
          <w:snapToGrid w:val="0"/>
          <w:lang w:eastAsia="zh-CN"/>
        </w:rPr>
        <w:t>51.37</w:t>
      </w:r>
      <w:r w:rsidRPr="00875380">
        <w:rPr>
          <w:rFonts w:cs="Arial"/>
          <w:snapToGrid w:val="0"/>
          <w:lang w:eastAsia="zh-CN"/>
        </w:rPr>
        <w:t>亿欧元，首次突破</w:t>
      </w:r>
      <w:r w:rsidRPr="00875380">
        <w:rPr>
          <w:rFonts w:cs="Arial"/>
          <w:snapToGrid w:val="0"/>
          <w:lang w:eastAsia="zh-CN"/>
        </w:rPr>
        <w:t>50</w:t>
      </w:r>
      <w:r w:rsidRPr="00875380">
        <w:rPr>
          <w:rFonts w:cs="Arial"/>
          <w:snapToGrid w:val="0"/>
          <w:lang w:eastAsia="zh-CN"/>
        </w:rPr>
        <w:t>亿欧元。</w:t>
      </w:r>
    </w:p>
    <w:p w14:paraId="7633016D"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0342FF58" w14:textId="3D9C108B"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新兴市场</w:t>
      </w:r>
      <w:r w:rsidRPr="00875380">
        <w:rPr>
          <w:rFonts w:cs="Arial" w:hint="eastAsia"/>
          <w:snapToGrid w:val="0"/>
          <w:lang w:eastAsia="zh-CN"/>
        </w:rPr>
        <w:t>在</w:t>
      </w:r>
      <w:r w:rsidRPr="00875380">
        <w:rPr>
          <w:rFonts w:cs="Arial"/>
          <w:snapToGrid w:val="0"/>
          <w:lang w:eastAsia="zh-CN"/>
        </w:rPr>
        <w:t>2015</w:t>
      </w:r>
      <w:r w:rsidRPr="00875380">
        <w:rPr>
          <w:rFonts w:cs="Arial"/>
          <w:snapToGrid w:val="0"/>
          <w:lang w:eastAsia="zh-CN"/>
        </w:rPr>
        <w:t>年增长势头强劲，再次成为有机销售增长的主要</w:t>
      </w:r>
      <w:r w:rsidRPr="00875380">
        <w:rPr>
          <w:rFonts w:cs="Arial" w:hint="eastAsia"/>
          <w:snapToGrid w:val="0"/>
          <w:lang w:eastAsia="zh-CN"/>
        </w:rPr>
        <w:t>驱动力</w:t>
      </w:r>
      <w:r w:rsidRPr="00875380">
        <w:rPr>
          <w:rFonts w:cs="Arial"/>
          <w:snapToGrid w:val="0"/>
          <w:lang w:eastAsia="zh-CN"/>
        </w:rPr>
        <w:t>。东欧地区、拉美地区和亚洲地区（日本除外）均呈现出良好</w:t>
      </w:r>
      <w:r w:rsidRPr="00875380">
        <w:rPr>
          <w:rFonts w:cs="Arial" w:hint="eastAsia"/>
          <w:snapToGrid w:val="0"/>
          <w:lang w:eastAsia="zh-CN"/>
        </w:rPr>
        <w:t>的</w:t>
      </w:r>
      <w:r w:rsidRPr="00875380">
        <w:rPr>
          <w:rFonts w:cs="Arial"/>
          <w:snapToGrid w:val="0"/>
          <w:lang w:eastAsia="zh-CN"/>
        </w:rPr>
        <w:t>增长势头。非洲</w:t>
      </w:r>
      <w:r w:rsidRPr="00875380">
        <w:rPr>
          <w:rFonts w:cs="Arial"/>
          <w:snapToGrid w:val="0"/>
          <w:lang w:eastAsia="zh-CN"/>
        </w:rPr>
        <w:t>/</w:t>
      </w:r>
      <w:proofErr w:type="spellStart"/>
      <w:r w:rsidRPr="00875380">
        <w:rPr>
          <w:rFonts w:cs="Arial"/>
          <w:snapToGrid w:val="0"/>
          <w:lang w:eastAsia="zh-CN"/>
        </w:rPr>
        <w:t>中东地区也取得了一定</w:t>
      </w:r>
      <w:r w:rsidRPr="00875380">
        <w:rPr>
          <w:rFonts w:cs="Arial" w:hint="eastAsia"/>
          <w:snapToGrid w:val="0"/>
          <w:lang w:eastAsia="zh-CN"/>
        </w:rPr>
        <w:t>的</w:t>
      </w:r>
      <w:r w:rsidRPr="00875380">
        <w:rPr>
          <w:rFonts w:cs="Arial"/>
          <w:snapToGrid w:val="0"/>
          <w:lang w:eastAsia="zh-CN"/>
        </w:rPr>
        <w:t>增长，</w:t>
      </w:r>
      <w:r w:rsidRPr="00875380">
        <w:rPr>
          <w:rFonts w:cs="Arial" w:hint="eastAsia"/>
          <w:snapToGrid w:val="0"/>
          <w:lang w:eastAsia="zh-CN"/>
        </w:rPr>
        <w:t>然而</w:t>
      </w:r>
      <w:r w:rsidRPr="00875380">
        <w:rPr>
          <w:rFonts w:cs="Arial"/>
          <w:snapToGrid w:val="0"/>
          <w:lang w:eastAsia="zh-CN"/>
        </w:rPr>
        <w:t>由于市场主导</w:t>
      </w:r>
      <w:r w:rsidRPr="00875380">
        <w:rPr>
          <w:rFonts w:cs="Arial" w:hint="eastAsia"/>
          <w:snapToGrid w:val="0"/>
          <w:lang w:eastAsia="zh-CN"/>
        </w:rPr>
        <w:t>情况</w:t>
      </w:r>
      <w:r w:rsidR="00E25787" w:rsidRPr="00875380">
        <w:rPr>
          <w:rFonts w:cs="Arial"/>
          <w:snapToGrid w:val="0"/>
          <w:lang w:eastAsia="zh-CN"/>
        </w:rPr>
        <w:t>艰难，较上</w:t>
      </w:r>
      <w:r w:rsidRPr="00875380">
        <w:rPr>
          <w:rFonts w:cs="Arial"/>
          <w:snapToGrid w:val="0"/>
          <w:lang w:eastAsia="zh-CN"/>
        </w:rPr>
        <w:t>年增速有所放缓</w:t>
      </w:r>
      <w:proofErr w:type="spellEnd"/>
      <w:r w:rsidRPr="00875380">
        <w:rPr>
          <w:rFonts w:cs="Arial"/>
          <w:snapToGrid w:val="0"/>
          <w:lang w:eastAsia="zh-CN"/>
        </w:rPr>
        <w:t>。</w:t>
      </w:r>
    </w:p>
    <w:p w14:paraId="3C4A961B"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224D089"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成熟市场也保持良好</w:t>
      </w:r>
      <w:r w:rsidRPr="00875380">
        <w:rPr>
          <w:rFonts w:cs="Arial" w:hint="eastAsia"/>
          <w:snapToGrid w:val="0"/>
          <w:lang w:eastAsia="zh-CN"/>
        </w:rPr>
        <w:t>业绩</w:t>
      </w:r>
      <w:r w:rsidRPr="00875380">
        <w:rPr>
          <w:rFonts w:cs="Arial"/>
          <w:snapToGrid w:val="0"/>
          <w:lang w:eastAsia="zh-CN"/>
        </w:rPr>
        <w:t>。北美地区销售稳定增长，西欧地区销售增长良好。</w:t>
      </w:r>
    </w:p>
    <w:p w14:paraId="1960DE81" w14:textId="77777777" w:rsidR="00CA1115" w:rsidRPr="00875380" w:rsidRDefault="00CA1115" w:rsidP="00CA1115">
      <w:pPr>
        <w:pStyle w:val="a5"/>
        <w:adjustRightInd w:val="0"/>
        <w:snapToGrid w:val="0"/>
        <w:spacing w:afterLines="50" w:line="288" w:lineRule="auto"/>
        <w:jc w:val="both"/>
        <w:rPr>
          <w:rFonts w:cs="Arial"/>
          <w:b/>
          <w:bCs/>
          <w:snapToGrid w:val="0"/>
          <w:lang w:eastAsia="zh-CN"/>
        </w:rPr>
      </w:pPr>
    </w:p>
    <w:p w14:paraId="4C92F23D"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snapToGrid w:val="0"/>
          <w:lang w:eastAsia="zh-CN"/>
        </w:rPr>
        <w:t>调整后营运利润</w:t>
      </w:r>
      <w:r w:rsidRPr="00875380">
        <w:rPr>
          <w:rFonts w:cs="Arial"/>
          <w:snapToGrid w:val="0"/>
          <w:lang w:eastAsia="zh-CN"/>
        </w:rPr>
        <w:t>增幅较大，增长</w:t>
      </w:r>
      <w:r w:rsidRPr="00875380">
        <w:rPr>
          <w:rFonts w:cs="Arial"/>
          <w:snapToGrid w:val="0"/>
          <w:lang w:eastAsia="zh-CN"/>
        </w:rPr>
        <w:t>17.4%</w:t>
      </w:r>
      <w:r w:rsidRPr="00875380">
        <w:rPr>
          <w:rFonts w:cs="Arial"/>
          <w:snapToGrid w:val="0"/>
          <w:lang w:eastAsia="zh-CN"/>
        </w:rPr>
        <w:t>，达</w:t>
      </w:r>
      <w:r w:rsidRPr="00875380">
        <w:rPr>
          <w:rFonts w:cs="Arial"/>
          <w:snapToGrid w:val="0"/>
          <w:lang w:eastAsia="zh-CN"/>
        </w:rPr>
        <w:t>8.79</w:t>
      </w:r>
      <w:r w:rsidRPr="00875380">
        <w:rPr>
          <w:rFonts w:cs="Arial"/>
          <w:snapToGrid w:val="0"/>
          <w:lang w:eastAsia="zh-CN"/>
        </w:rPr>
        <w:t>亿欧元。调整后的销售回报率也取得了强劲增长，</w:t>
      </w:r>
      <w:r w:rsidRPr="00875380">
        <w:rPr>
          <w:rFonts w:cs="Arial" w:hint="eastAsia"/>
          <w:snapToGrid w:val="0"/>
          <w:lang w:eastAsia="zh-CN"/>
        </w:rPr>
        <w:t>上升</w:t>
      </w:r>
      <w:r w:rsidRPr="00875380">
        <w:rPr>
          <w:rFonts w:cs="Arial"/>
          <w:snapToGrid w:val="0"/>
          <w:lang w:eastAsia="zh-CN"/>
        </w:rPr>
        <w:t>了</w:t>
      </w:r>
      <w:r w:rsidRPr="00875380">
        <w:rPr>
          <w:rFonts w:cs="Arial"/>
          <w:snapToGrid w:val="0"/>
          <w:lang w:eastAsia="zh-CN"/>
        </w:rPr>
        <w:t>0.9</w:t>
      </w:r>
      <w:r w:rsidRPr="00875380">
        <w:rPr>
          <w:rFonts w:cs="Arial"/>
          <w:snapToGrid w:val="0"/>
          <w:lang w:eastAsia="zh-CN"/>
        </w:rPr>
        <w:t>个百分点，达</w:t>
      </w:r>
      <w:r w:rsidRPr="00875380">
        <w:rPr>
          <w:rFonts w:cs="Arial"/>
          <w:snapToGrid w:val="0"/>
          <w:lang w:eastAsia="zh-CN"/>
        </w:rPr>
        <w:t>17.1%</w:t>
      </w:r>
      <w:r w:rsidRPr="00875380">
        <w:rPr>
          <w:rFonts w:cs="Arial"/>
          <w:snapToGrid w:val="0"/>
          <w:lang w:eastAsia="zh-CN"/>
        </w:rPr>
        <w:t>。</w:t>
      </w:r>
      <w:proofErr w:type="spellStart"/>
      <w:r w:rsidRPr="00875380">
        <w:rPr>
          <w:rFonts w:cs="Arial"/>
          <w:snapToGrid w:val="0"/>
          <w:lang w:eastAsia="zh-CN"/>
        </w:rPr>
        <w:t>报告的营运利润实际增长了</w:t>
      </w:r>
      <w:proofErr w:type="spellEnd"/>
      <w:r w:rsidRPr="00875380">
        <w:rPr>
          <w:rFonts w:cs="Arial"/>
          <w:snapToGrid w:val="0"/>
          <w:lang w:eastAsia="zh-CN"/>
        </w:rPr>
        <w:t>27.8%</w:t>
      </w:r>
      <w:r w:rsidRPr="00875380">
        <w:rPr>
          <w:rFonts w:cs="Arial"/>
          <w:snapToGrid w:val="0"/>
          <w:lang w:eastAsia="zh-CN"/>
        </w:rPr>
        <w:t>，从</w:t>
      </w:r>
      <w:r w:rsidRPr="00875380">
        <w:rPr>
          <w:rFonts w:cs="Arial"/>
          <w:snapToGrid w:val="0"/>
          <w:lang w:eastAsia="zh-CN"/>
        </w:rPr>
        <w:t>6.15</w:t>
      </w:r>
      <w:r w:rsidRPr="00875380">
        <w:rPr>
          <w:rFonts w:cs="Arial"/>
          <w:snapToGrid w:val="0"/>
          <w:lang w:eastAsia="zh-CN"/>
        </w:rPr>
        <w:t>亿欧元增长至</w:t>
      </w:r>
      <w:r w:rsidRPr="00875380">
        <w:rPr>
          <w:rFonts w:cs="Arial"/>
          <w:snapToGrid w:val="0"/>
          <w:lang w:eastAsia="zh-CN"/>
        </w:rPr>
        <w:t>7.86</w:t>
      </w:r>
      <w:r w:rsidRPr="00875380">
        <w:rPr>
          <w:rFonts w:cs="Arial"/>
          <w:snapToGrid w:val="0"/>
          <w:lang w:eastAsia="zh-CN"/>
        </w:rPr>
        <w:t>亿欧元。</w:t>
      </w:r>
    </w:p>
    <w:p w14:paraId="3C63EFF1"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3B58D49" w14:textId="564F2B7B"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snapToGrid w:val="0"/>
          <w:lang w:eastAsia="zh-CN"/>
        </w:rPr>
        <w:t>化妆品</w:t>
      </w:r>
      <w:r w:rsidRPr="00875380">
        <w:rPr>
          <w:rFonts w:cs="Arial"/>
          <w:b/>
          <w:snapToGrid w:val="0"/>
          <w:lang w:eastAsia="zh-CN"/>
        </w:rPr>
        <w:t>/</w:t>
      </w:r>
      <w:proofErr w:type="spellStart"/>
      <w:r w:rsidRPr="00875380">
        <w:rPr>
          <w:rFonts w:cs="Arial"/>
          <w:b/>
          <w:snapToGrid w:val="0"/>
          <w:lang w:eastAsia="zh-CN"/>
        </w:rPr>
        <w:t>美容用品</w:t>
      </w:r>
      <w:r w:rsidRPr="00875380">
        <w:rPr>
          <w:rFonts w:cs="Arial"/>
          <w:snapToGrid w:val="0"/>
          <w:lang w:eastAsia="zh-CN"/>
        </w:rPr>
        <w:t>业务部</w:t>
      </w:r>
      <w:r w:rsidRPr="00875380">
        <w:rPr>
          <w:rFonts w:cs="Arial" w:hint="eastAsia"/>
          <w:snapToGrid w:val="0"/>
          <w:lang w:eastAsia="zh-CN"/>
        </w:rPr>
        <w:t>在</w:t>
      </w:r>
      <w:proofErr w:type="spellEnd"/>
      <w:r w:rsidRPr="00875380">
        <w:rPr>
          <w:rFonts w:cs="Arial"/>
          <w:snapToGrid w:val="0"/>
          <w:lang w:eastAsia="zh-CN"/>
        </w:rPr>
        <w:t>2015</w:t>
      </w:r>
      <w:r w:rsidRPr="00875380">
        <w:rPr>
          <w:rFonts w:cs="Arial"/>
          <w:snapToGrid w:val="0"/>
          <w:lang w:eastAsia="zh-CN"/>
        </w:rPr>
        <w:t>财年也</w:t>
      </w:r>
      <w:r w:rsidR="00E25787" w:rsidRPr="00875380">
        <w:rPr>
          <w:rFonts w:cs="Arial" w:hint="eastAsia"/>
          <w:snapToGrid w:val="0"/>
          <w:lang w:eastAsia="zh-CN"/>
        </w:rPr>
        <w:t>保</w:t>
      </w:r>
      <w:r w:rsidRPr="00875380">
        <w:rPr>
          <w:rFonts w:cs="Arial"/>
          <w:snapToGrid w:val="0"/>
          <w:lang w:eastAsia="zh-CN"/>
        </w:rPr>
        <w:t>持了</w:t>
      </w:r>
      <w:r w:rsidRPr="00875380">
        <w:rPr>
          <w:rFonts w:cs="Arial" w:hint="eastAsia"/>
          <w:snapToGrid w:val="0"/>
          <w:lang w:eastAsia="zh-CN"/>
        </w:rPr>
        <w:t>近几</w:t>
      </w:r>
      <w:r w:rsidRPr="00875380">
        <w:rPr>
          <w:rFonts w:cs="Arial"/>
          <w:snapToGrid w:val="0"/>
          <w:lang w:eastAsia="zh-CN"/>
        </w:rPr>
        <w:t>年的盈利增长势头。有机销售额增长</w:t>
      </w:r>
      <w:r w:rsidRPr="00875380">
        <w:rPr>
          <w:rFonts w:cs="Arial"/>
          <w:snapToGrid w:val="0"/>
          <w:lang w:eastAsia="zh-CN"/>
        </w:rPr>
        <w:t>2.1%</w:t>
      </w:r>
      <w:r w:rsidRPr="00875380">
        <w:rPr>
          <w:rFonts w:cs="Arial"/>
          <w:snapToGrid w:val="0"/>
          <w:lang w:eastAsia="zh-CN"/>
        </w:rPr>
        <w:t>，</w:t>
      </w:r>
      <w:proofErr w:type="spellStart"/>
      <w:r w:rsidRPr="00875380">
        <w:rPr>
          <w:rFonts w:cs="Arial"/>
          <w:snapToGrid w:val="0"/>
          <w:lang w:eastAsia="zh-CN"/>
        </w:rPr>
        <w:t>再次超过相关市场。名义</w:t>
      </w:r>
      <w:r w:rsidRPr="00875380">
        <w:rPr>
          <w:rFonts w:cs="Arial"/>
          <w:b/>
          <w:snapToGrid w:val="0"/>
          <w:lang w:eastAsia="zh-CN"/>
        </w:rPr>
        <w:t>销售</w:t>
      </w:r>
      <w:r w:rsidRPr="00875380">
        <w:rPr>
          <w:rFonts w:cs="Arial"/>
          <w:snapToGrid w:val="0"/>
          <w:lang w:eastAsia="zh-CN"/>
        </w:rPr>
        <w:t>增长</w:t>
      </w:r>
      <w:proofErr w:type="spellEnd"/>
      <w:r w:rsidRPr="00875380">
        <w:rPr>
          <w:rFonts w:cs="Arial"/>
          <w:snapToGrid w:val="0"/>
          <w:lang w:eastAsia="zh-CN"/>
        </w:rPr>
        <w:t>8.1%</w:t>
      </w:r>
      <w:r w:rsidRPr="00875380">
        <w:rPr>
          <w:rFonts w:cs="Arial"/>
          <w:snapToGrid w:val="0"/>
          <w:lang w:eastAsia="zh-CN"/>
        </w:rPr>
        <w:t>，达</w:t>
      </w:r>
      <w:r w:rsidRPr="00875380">
        <w:rPr>
          <w:rFonts w:cs="Arial"/>
          <w:snapToGrid w:val="0"/>
          <w:lang w:eastAsia="zh-CN"/>
        </w:rPr>
        <w:t>38.33</w:t>
      </w:r>
      <w:r w:rsidRPr="00875380">
        <w:rPr>
          <w:rFonts w:cs="Arial"/>
          <w:snapToGrid w:val="0"/>
          <w:lang w:eastAsia="zh-CN"/>
        </w:rPr>
        <w:t>亿欧元。</w:t>
      </w:r>
    </w:p>
    <w:p w14:paraId="26F9F918"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E917116" w14:textId="54F38F2C"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从</w:t>
      </w:r>
      <w:r w:rsidRPr="00875380">
        <w:rPr>
          <w:rFonts w:cs="Arial" w:hint="eastAsia"/>
          <w:snapToGrid w:val="0"/>
          <w:lang w:eastAsia="zh-CN"/>
        </w:rPr>
        <w:t>地区</w:t>
      </w:r>
      <w:r w:rsidRPr="00875380">
        <w:rPr>
          <w:rFonts w:cs="Arial"/>
          <w:snapToGrid w:val="0"/>
          <w:lang w:eastAsia="zh-CN"/>
        </w:rPr>
        <w:t>角度</w:t>
      </w:r>
      <w:r w:rsidRPr="00875380">
        <w:rPr>
          <w:rFonts w:cs="Arial" w:hint="eastAsia"/>
          <w:snapToGrid w:val="0"/>
          <w:lang w:eastAsia="zh-CN"/>
        </w:rPr>
        <w:t>来看</w:t>
      </w:r>
      <w:r w:rsidRPr="00875380">
        <w:rPr>
          <w:rFonts w:cs="Arial"/>
          <w:snapToGrid w:val="0"/>
          <w:lang w:eastAsia="zh-CN"/>
        </w:rPr>
        <w:t>，新兴市场的</w:t>
      </w:r>
      <w:r w:rsidRPr="00875380">
        <w:rPr>
          <w:rFonts w:cs="Arial" w:hint="eastAsia"/>
          <w:snapToGrid w:val="0"/>
          <w:lang w:eastAsia="zh-CN"/>
        </w:rPr>
        <w:t>业务表现</w:t>
      </w:r>
      <w:r w:rsidRPr="00875380">
        <w:rPr>
          <w:rFonts w:cs="Arial"/>
          <w:snapToGrid w:val="0"/>
          <w:lang w:eastAsia="zh-CN"/>
        </w:rPr>
        <w:t>非常</w:t>
      </w:r>
      <w:r w:rsidRPr="00875380">
        <w:rPr>
          <w:rFonts w:cs="Arial" w:hint="eastAsia"/>
          <w:snapToGrid w:val="0"/>
          <w:lang w:eastAsia="zh-CN"/>
        </w:rPr>
        <w:t>强劲</w:t>
      </w:r>
      <w:r w:rsidRPr="00875380">
        <w:rPr>
          <w:rFonts w:cs="Arial"/>
          <w:snapToGrid w:val="0"/>
          <w:lang w:eastAsia="zh-CN"/>
        </w:rPr>
        <w:t>。由于公司成功在中国拓展业务，亚洲新兴市场（日本除外）的增长特别明显。拉美地区的增长达到了两位数。而在非洲</w:t>
      </w:r>
      <w:r w:rsidRPr="00875380">
        <w:rPr>
          <w:rFonts w:cs="Arial"/>
          <w:snapToGrid w:val="0"/>
          <w:lang w:eastAsia="zh-CN"/>
        </w:rPr>
        <w:t>/</w:t>
      </w:r>
      <w:proofErr w:type="spellStart"/>
      <w:r w:rsidRPr="00875380">
        <w:rPr>
          <w:rFonts w:cs="Arial"/>
          <w:snapToGrid w:val="0"/>
          <w:lang w:eastAsia="zh-CN"/>
        </w:rPr>
        <w:t>中东地区，该业务部</w:t>
      </w:r>
      <w:proofErr w:type="gramStart"/>
      <w:r w:rsidRPr="00875380">
        <w:rPr>
          <w:rFonts w:cs="Arial"/>
          <w:snapToGrid w:val="0"/>
          <w:lang w:eastAsia="zh-CN"/>
        </w:rPr>
        <w:t>门维持</w:t>
      </w:r>
      <w:proofErr w:type="gramEnd"/>
      <w:r w:rsidRPr="00875380">
        <w:rPr>
          <w:rFonts w:cs="Arial"/>
          <w:snapToGrid w:val="0"/>
          <w:lang w:eastAsia="zh-CN"/>
        </w:rPr>
        <w:t>了上年的</w:t>
      </w:r>
      <w:r w:rsidRPr="00875380">
        <w:rPr>
          <w:rFonts w:cs="Arial" w:hint="eastAsia"/>
          <w:snapToGrid w:val="0"/>
          <w:lang w:eastAsia="zh-CN"/>
        </w:rPr>
        <w:t>成功</w:t>
      </w:r>
      <w:r w:rsidRPr="00875380">
        <w:rPr>
          <w:rFonts w:cs="Arial"/>
          <w:snapToGrid w:val="0"/>
          <w:lang w:eastAsia="zh-CN"/>
        </w:rPr>
        <w:t>发展，实现了</w:t>
      </w:r>
      <w:r w:rsidR="00956399" w:rsidRPr="00875380">
        <w:rPr>
          <w:rFonts w:cs="Arial" w:hint="eastAsia"/>
          <w:snapToGrid w:val="0"/>
          <w:lang w:eastAsia="zh-CN"/>
        </w:rPr>
        <w:t>稳健</w:t>
      </w:r>
      <w:r w:rsidRPr="00875380">
        <w:rPr>
          <w:rFonts w:cs="Arial"/>
          <w:snapToGrid w:val="0"/>
          <w:lang w:eastAsia="zh-CN"/>
        </w:rPr>
        <w:t>增长。东欧地区的增长也十分明显</w:t>
      </w:r>
      <w:proofErr w:type="spellEnd"/>
      <w:r w:rsidRPr="00875380">
        <w:rPr>
          <w:rFonts w:cs="Arial"/>
          <w:snapToGrid w:val="0"/>
          <w:lang w:eastAsia="zh-CN"/>
        </w:rPr>
        <w:t>。</w:t>
      </w:r>
    </w:p>
    <w:p w14:paraId="3CAC409E"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7316D2FE" w14:textId="50F5012B"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lastRenderedPageBreak/>
        <w:t>成熟市场继续受到</w:t>
      </w:r>
      <w:r w:rsidRPr="00875380">
        <w:rPr>
          <w:rFonts w:cs="Arial" w:hint="eastAsia"/>
          <w:snapToGrid w:val="0"/>
          <w:lang w:eastAsia="zh-CN"/>
        </w:rPr>
        <w:t>竞争激烈的影响</w:t>
      </w:r>
      <w:r w:rsidRPr="00875380">
        <w:rPr>
          <w:rFonts w:cs="Arial"/>
          <w:snapToGrid w:val="0"/>
          <w:lang w:eastAsia="zh-CN"/>
        </w:rPr>
        <w:t>、价格</w:t>
      </w:r>
      <w:r w:rsidRPr="00875380">
        <w:rPr>
          <w:rFonts w:cs="Arial" w:hint="eastAsia"/>
          <w:snapToGrid w:val="0"/>
          <w:lang w:eastAsia="zh-CN"/>
        </w:rPr>
        <w:t>以及促销活动</w:t>
      </w:r>
      <w:r w:rsidRPr="00875380">
        <w:rPr>
          <w:rFonts w:cs="Arial"/>
          <w:snapToGrid w:val="0"/>
          <w:lang w:eastAsia="zh-CN"/>
        </w:rPr>
        <w:t>的压力。在这种艰难的局势中，</w:t>
      </w:r>
      <w:r w:rsidRPr="00875380">
        <w:rPr>
          <w:rFonts w:cs="Arial" w:hint="eastAsia"/>
          <w:snapToGrid w:val="0"/>
          <w:lang w:eastAsia="zh-CN"/>
        </w:rPr>
        <w:t>特别是</w:t>
      </w:r>
      <w:r w:rsidRPr="00875380">
        <w:rPr>
          <w:rFonts w:cs="Arial"/>
          <w:snapToGrid w:val="0"/>
          <w:lang w:eastAsia="zh-CN"/>
        </w:rPr>
        <w:t>西欧和亚太地区成熟市场的发展</w:t>
      </w:r>
      <w:r w:rsidRPr="00875380">
        <w:rPr>
          <w:rFonts w:cs="Arial" w:hint="eastAsia"/>
          <w:snapToGrid w:val="0"/>
          <w:lang w:eastAsia="zh-CN"/>
        </w:rPr>
        <w:t>，使</w:t>
      </w:r>
      <w:r w:rsidRPr="00875380">
        <w:rPr>
          <w:rFonts w:cs="Arial"/>
          <w:snapToGrid w:val="0"/>
          <w:lang w:eastAsia="zh-CN"/>
        </w:rPr>
        <w:t>成熟市场的销售额略低于上年水平。即</w:t>
      </w:r>
      <w:r w:rsidRPr="00875380">
        <w:rPr>
          <w:rFonts w:cs="Arial" w:hint="eastAsia"/>
          <w:snapToGrid w:val="0"/>
          <w:lang w:eastAsia="zh-CN"/>
        </w:rPr>
        <w:t>使</w:t>
      </w:r>
      <w:r w:rsidRPr="00875380">
        <w:rPr>
          <w:rFonts w:cs="Arial"/>
          <w:snapToGrid w:val="0"/>
          <w:lang w:eastAsia="zh-CN"/>
        </w:rPr>
        <w:t>在这种竞争激烈的环境中，北美地区的销售仍较上年</w:t>
      </w:r>
      <w:r w:rsidR="00956399" w:rsidRPr="00875380">
        <w:rPr>
          <w:rFonts w:cs="Arial" w:hint="eastAsia"/>
          <w:snapToGrid w:val="0"/>
          <w:lang w:eastAsia="zh-CN"/>
        </w:rPr>
        <w:t>稳健</w:t>
      </w:r>
      <w:r w:rsidRPr="00875380">
        <w:rPr>
          <w:rFonts w:cs="Arial"/>
          <w:snapToGrid w:val="0"/>
          <w:lang w:eastAsia="zh-CN"/>
        </w:rPr>
        <w:t>增长。</w:t>
      </w:r>
    </w:p>
    <w:p w14:paraId="4DA94712"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296186FC"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snapToGrid w:val="0"/>
          <w:lang w:eastAsia="zh-CN"/>
        </w:rPr>
        <w:t>调整后营运利润</w:t>
      </w:r>
      <w:r w:rsidRPr="00875380">
        <w:rPr>
          <w:rFonts w:cs="Arial"/>
          <w:snapToGrid w:val="0"/>
          <w:lang w:eastAsia="zh-CN"/>
        </w:rPr>
        <w:t>较上年增长了</w:t>
      </w:r>
      <w:r w:rsidRPr="00875380">
        <w:rPr>
          <w:rFonts w:cs="Arial"/>
          <w:snapToGrid w:val="0"/>
          <w:lang w:eastAsia="zh-CN"/>
        </w:rPr>
        <w:t>12.2%</w:t>
      </w:r>
      <w:r w:rsidRPr="00875380">
        <w:rPr>
          <w:rFonts w:cs="Arial"/>
          <w:snapToGrid w:val="0"/>
          <w:lang w:eastAsia="zh-CN"/>
        </w:rPr>
        <w:t>，达</w:t>
      </w:r>
      <w:r w:rsidRPr="00875380">
        <w:rPr>
          <w:rFonts w:cs="Arial"/>
          <w:snapToGrid w:val="0"/>
          <w:lang w:eastAsia="zh-CN"/>
        </w:rPr>
        <w:t>6.10</w:t>
      </w:r>
      <w:r w:rsidRPr="00875380">
        <w:rPr>
          <w:rFonts w:cs="Arial"/>
          <w:snapToGrid w:val="0"/>
          <w:lang w:eastAsia="zh-CN"/>
        </w:rPr>
        <w:t>亿欧元，</w:t>
      </w:r>
      <w:r w:rsidRPr="00875380">
        <w:rPr>
          <w:rFonts w:cs="Arial" w:hint="eastAsia"/>
          <w:snapToGrid w:val="0"/>
          <w:lang w:eastAsia="zh-CN"/>
        </w:rPr>
        <w:t>这</w:t>
      </w:r>
      <w:r w:rsidRPr="00875380">
        <w:rPr>
          <w:rFonts w:cs="Arial"/>
          <w:snapToGrid w:val="0"/>
          <w:lang w:eastAsia="zh-CN"/>
        </w:rPr>
        <w:t>是该业务部门</w:t>
      </w:r>
      <w:r w:rsidRPr="00875380">
        <w:rPr>
          <w:rFonts w:cs="Arial" w:hint="eastAsia"/>
          <w:snapToGrid w:val="0"/>
          <w:lang w:eastAsia="zh-CN"/>
        </w:rPr>
        <w:t>的历史</w:t>
      </w:r>
      <w:r w:rsidRPr="00875380">
        <w:rPr>
          <w:rFonts w:cs="Arial"/>
          <w:snapToGrid w:val="0"/>
          <w:lang w:eastAsia="zh-CN"/>
        </w:rPr>
        <w:t>最高点。调整后的销售回报率增长了</w:t>
      </w:r>
      <w:r w:rsidRPr="00875380">
        <w:rPr>
          <w:rFonts w:cs="Arial"/>
          <w:snapToGrid w:val="0"/>
          <w:lang w:eastAsia="zh-CN"/>
        </w:rPr>
        <w:t>0.6</w:t>
      </w:r>
      <w:r w:rsidRPr="00875380">
        <w:rPr>
          <w:rFonts w:cs="Arial"/>
          <w:snapToGrid w:val="0"/>
          <w:lang w:eastAsia="zh-CN"/>
        </w:rPr>
        <w:t>个百分点，</w:t>
      </w:r>
      <w:r w:rsidRPr="00875380">
        <w:rPr>
          <w:rFonts w:cs="Arial" w:hint="eastAsia"/>
          <w:snapToGrid w:val="0"/>
          <w:lang w:eastAsia="zh-CN"/>
        </w:rPr>
        <w:t>至</w:t>
      </w:r>
      <w:r w:rsidRPr="00875380">
        <w:rPr>
          <w:rFonts w:cs="Arial"/>
          <w:snapToGrid w:val="0"/>
          <w:lang w:eastAsia="zh-CN"/>
        </w:rPr>
        <w:t>15.9%</w:t>
      </w:r>
      <w:r w:rsidRPr="00875380">
        <w:rPr>
          <w:rFonts w:cs="Arial"/>
          <w:snapToGrid w:val="0"/>
          <w:lang w:eastAsia="zh-CN"/>
        </w:rPr>
        <w:t>。</w:t>
      </w:r>
      <w:proofErr w:type="spellStart"/>
      <w:r w:rsidRPr="00875380">
        <w:rPr>
          <w:rFonts w:cs="Arial" w:hint="eastAsia"/>
          <w:snapToGrid w:val="0"/>
          <w:lang w:eastAsia="zh-CN"/>
        </w:rPr>
        <w:t>报告中</w:t>
      </w:r>
      <w:r w:rsidRPr="00875380">
        <w:rPr>
          <w:rFonts w:cs="Arial"/>
          <w:snapToGrid w:val="0"/>
          <w:lang w:eastAsia="zh-CN"/>
        </w:rPr>
        <w:t>的营运利润增长</w:t>
      </w:r>
      <w:proofErr w:type="spellEnd"/>
      <w:r w:rsidRPr="00875380">
        <w:rPr>
          <w:rFonts w:cs="Arial"/>
          <w:snapToGrid w:val="0"/>
          <w:lang w:eastAsia="zh-CN"/>
        </w:rPr>
        <w:t>33.3%</w:t>
      </w:r>
      <w:r w:rsidRPr="00875380">
        <w:rPr>
          <w:rFonts w:cs="Arial"/>
          <w:snapToGrid w:val="0"/>
          <w:lang w:eastAsia="zh-CN"/>
        </w:rPr>
        <w:t>，达</w:t>
      </w:r>
      <w:r w:rsidRPr="00875380">
        <w:rPr>
          <w:rFonts w:cs="Arial"/>
          <w:snapToGrid w:val="0"/>
          <w:lang w:eastAsia="zh-CN"/>
        </w:rPr>
        <w:t>5.61</w:t>
      </w:r>
      <w:r w:rsidRPr="00875380">
        <w:rPr>
          <w:rFonts w:cs="Arial"/>
          <w:snapToGrid w:val="0"/>
          <w:lang w:eastAsia="zh-CN"/>
        </w:rPr>
        <w:t>亿欧元。</w:t>
      </w:r>
    </w:p>
    <w:p w14:paraId="1D842B9E"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379972F7"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r w:rsidRPr="00875380">
        <w:rPr>
          <w:rFonts w:cs="Arial"/>
          <w:b/>
          <w:snapToGrid w:val="0"/>
          <w:sz w:val="24"/>
          <w:lang w:eastAsia="zh-CN"/>
        </w:rPr>
        <w:t>粘合剂技术</w:t>
      </w:r>
      <w:r w:rsidRPr="00875380">
        <w:rPr>
          <w:rFonts w:cs="Arial"/>
          <w:snapToGrid w:val="0"/>
          <w:sz w:val="24"/>
          <w:lang w:eastAsia="zh-CN"/>
        </w:rPr>
        <w:t>业务部门也取得了稳定的有机销售增长，增长</w:t>
      </w:r>
      <w:r w:rsidRPr="00875380">
        <w:rPr>
          <w:rFonts w:cs="Arial"/>
          <w:snapToGrid w:val="0"/>
          <w:sz w:val="24"/>
          <w:lang w:eastAsia="zh-CN"/>
        </w:rPr>
        <w:t>2.4%</w:t>
      </w:r>
      <w:r w:rsidRPr="00875380">
        <w:rPr>
          <w:rFonts w:cs="Arial"/>
          <w:snapToGrid w:val="0"/>
          <w:sz w:val="24"/>
          <w:lang w:eastAsia="zh-CN"/>
        </w:rPr>
        <w:t>，和市场增速持平。名义</w:t>
      </w:r>
      <w:r w:rsidRPr="00875380">
        <w:rPr>
          <w:rFonts w:cs="Arial"/>
          <w:b/>
          <w:snapToGrid w:val="0"/>
          <w:sz w:val="24"/>
          <w:lang w:eastAsia="zh-CN"/>
        </w:rPr>
        <w:t>销售</w:t>
      </w:r>
      <w:r w:rsidRPr="00875380">
        <w:rPr>
          <w:rFonts w:cs="Arial"/>
          <w:snapToGrid w:val="0"/>
          <w:sz w:val="24"/>
          <w:lang w:eastAsia="zh-CN"/>
        </w:rPr>
        <w:t>增长</w:t>
      </w:r>
      <w:r w:rsidRPr="00875380">
        <w:rPr>
          <w:rFonts w:cs="Arial"/>
          <w:snapToGrid w:val="0"/>
          <w:sz w:val="24"/>
          <w:lang w:eastAsia="zh-CN"/>
        </w:rPr>
        <w:t>10.6%</w:t>
      </w:r>
      <w:r w:rsidRPr="00875380">
        <w:rPr>
          <w:rFonts w:cs="Arial"/>
          <w:snapToGrid w:val="0"/>
          <w:sz w:val="24"/>
          <w:lang w:eastAsia="zh-CN"/>
        </w:rPr>
        <w:t>，从上年的</w:t>
      </w:r>
      <w:r w:rsidRPr="00875380">
        <w:rPr>
          <w:rFonts w:cs="Arial"/>
          <w:snapToGrid w:val="0"/>
          <w:sz w:val="24"/>
          <w:lang w:eastAsia="zh-CN"/>
        </w:rPr>
        <w:t>81.27</w:t>
      </w:r>
      <w:r w:rsidRPr="00875380">
        <w:rPr>
          <w:rFonts w:cs="Arial"/>
          <w:snapToGrid w:val="0"/>
          <w:sz w:val="24"/>
          <w:lang w:eastAsia="zh-CN"/>
        </w:rPr>
        <w:t>亿欧元增至</w:t>
      </w:r>
      <w:r w:rsidRPr="00875380">
        <w:rPr>
          <w:rFonts w:cs="Arial"/>
          <w:snapToGrid w:val="0"/>
          <w:sz w:val="24"/>
          <w:lang w:eastAsia="zh-CN"/>
        </w:rPr>
        <w:t>89.92</w:t>
      </w:r>
      <w:r w:rsidRPr="00875380">
        <w:rPr>
          <w:rFonts w:cs="Arial"/>
          <w:snapToGrid w:val="0"/>
          <w:sz w:val="24"/>
          <w:lang w:eastAsia="zh-CN"/>
        </w:rPr>
        <w:t>亿欧元。</w:t>
      </w:r>
    </w:p>
    <w:p w14:paraId="14DC36A3"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3D640D38" w14:textId="081233F6" w:rsidR="00CA1115" w:rsidRPr="00875380" w:rsidRDefault="00CA1115" w:rsidP="00CA1115">
      <w:pPr>
        <w:adjustRightInd w:val="0"/>
        <w:snapToGrid w:val="0"/>
        <w:spacing w:afterLines="50" w:after="120" w:line="288" w:lineRule="auto"/>
        <w:jc w:val="both"/>
        <w:rPr>
          <w:rFonts w:cs="Arial"/>
          <w:snapToGrid w:val="0"/>
          <w:sz w:val="24"/>
          <w:lang w:eastAsia="zh-CN"/>
        </w:rPr>
      </w:pPr>
      <w:r w:rsidRPr="00875380">
        <w:rPr>
          <w:rFonts w:cs="Arial"/>
          <w:snapToGrid w:val="0"/>
          <w:sz w:val="24"/>
          <w:lang w:eastAsia="zh-CN"/>
        </w:rPr>
        <w:t>业务部在新兴市场的有机销售额稳</w:t>
      </w:r>
      <w:r w:rsidR="00956399" w:rsidRPr="00875380">
        <w:rPr>
          <w:rFonts w:cs="Arial" w:hint="eastAsia"/>
          <w:snapToGrid w:val="0"/>
          <w:sz w:val="24"/>
          <w:lang w:eastAsia="zh-CN"/>
        </w:rPr>
        <w:t>健增长</w:t>
      </w:r>
      <w:r w:rsidRPr="00875380">
        <w:rPr>
          <w:rFonts w:cs="Arial"/>
          <w:snapToGrid w:val="0"/>
          <w:sz w:val="24"/>
          <w:lang w:eastAsia="zh-CN"/>
        </w:rPr>
        <w:t>，在拉美地区实现了显著的增长。尽管政治形势持续严峻，经济条件充满挑战，非洲</w:t>
      </w:r>
      <w:r w:rsidRPr="00875380">
        <w:rPr>
          <w:rFonts w:cs="Arial"/>
          <w:snapToGrid w:val="0"/>
          <w:sz w:val="24"/>
          <w:lang w:eastAsia="zh-CN"/>
        </w:rPr>
        <w:t>/</w:t>
      </w:r>
      <w:r w:rsidRPr="00875380">
        <w:rPr>
          <w:rFonts w:cs="Arial"/>
          <w:snapToGrid w:val="0"/>
          <w:sz w:val="24"/>
          <w:lang w:eastAsia="zh-CN"/>
        </w:rPr>
        <w:t>中东和东欧地区的销售增长非常强劲，在亚洲（不包括日本）的销售</w:t>
      </w:r>
      <w:r w:rsidR="00956399" w:rsidRPr="00875380">
        <w:rPr>
          <w:rFonts w:cs="Arial" w:hint="eastAsia"/>
          <w:snapToGrid w:val="0"/>
          <w:sz w:val="24"/>
          <w:lang w:eastAsia="zh-CN"/>
        </w:rPr>
        <w:t>呈现</w:t>
      </w:r>
      <w:r w:rsidRPr="00875380">
        <w:rPr>
          <w:rFonts w:cs="Arial"/>
          <w:snapToGrid w:val="0"/>
          <w:sz w:val="24"/>
          <w:lang w:eastAsia="zh-CN"/>
        </w:rPr>
        <w:t>积极</w:t>
      </w:r>
      <w:r w:rsidR="00956399" w:rsidRPr="00875380">
        <w:rPr>
          <w:rFonts w:cs="Arial" w:hint="eastAsia"/>
          <w:snapToGrid w:val="0"/>
          <w:sz w:val="24"/>
          <w:lang w:eastAsia="zh-CN"/>
        </w:rPr>
        <w:t>的</w:t>
      </w:r>
      <w:r w:rsidRPr="00875380">
        <w:rPr>
          <w:rFonts w:cs="Arial"/>
          <w:snapToGrid w:val="0"/>
          <w:sz w:val="24"/>
          <w:lang w:eastAsia="zh-CN"/>
        </w:rPr>
        <w:t>发</w:t>
      </w:r>
      <w:r w:rsidR="00956399" w:rsidRPr="00875380">
        <w:rPr>
          <w:rFonts w:cs="Arial" w:hint="eastAsia"/>
          <w:snapToGrid w:val="0"/>
          <w:sz w:val="24"/>
          <w:lang w:eastAsia="zh-CN"/>
        </w:rPr>
        <w:t>态势</w:t>
      </w:r>
      <w:r w:rsidRPr="00875380">
        <w:rPr>
          <w:rFonts w:cs="Arial"/>
          <w:snapToGrid w:val="0"/>
          <w:sz w:val="24"/>
          <w:lang w:eastAsia="zh-CN"/>
        </w:rPr>
        <w:t>。</w:t>
      </w:r>
    </w:p>
    <w:p w14:paraId="425BE3A0"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3ECE5E50" w14:textId="6C511A77" w:rsidR="00CA1115" w:rsidRPr="00875380" w:rsidRDefault="00CA1115" w:rsidP="005B42CF">
      <w:pPr>
        <w:pStyle w:val="a5"/>
        <w:adjustRightInd w:val="0"/>
        <w:snapToGrid w:val="0"/>
        <w:spacing w:afterLines="50" w:line="288" w:lineRule="auto"/>
        <w:jc w:val="both"/>
        <w:rPr>
          <w:rFonts w:cs="Arial"/>
          <w:snapToGrid w:val="0"/>
          <w:lang w:eastAsia="zh-CN"/>
        </w:rPr>
      </w:pPr>
      <w:r w:rsidRPr="00875380">
        <w:rPr>
          <w:rFonts w:cs="Arial"/>
          <w:snapToGrid w:val="0"/>
          <w:lang w:eastAsia="zh-CN"/>
        </w:rPr>
        <w:t>成熟市场的销售业绩从整体上而言呈现积极的态势，特别是在西欧和北美地区的</w:t>
      </w:r>
      <w:r w:rsidRPr="00875380">
        <w:rPr>
          <w:rFonts w:cs="Arial" w:hint="eastAsia"/>
          <w:snapToGrid w:val="0"/>
          <w:lang w:eastAsia="zh-CN"/>
        </w:rPr>
        <w:t>积极</w:t>
      </w:r>
      <w:r w:rsidRPr="00875380">
        <w:rPr>
          <w:rFonts w:cs="Arial"/>
          <w:snapToGrid w:val="0"/>
          <w:lang w:eastAsia="zh-CN"/>
        </w:rPr>
        <w:t>发展。亚太地区的成熟市场也取得了</w:t>
      </w:r>
      <w:r w:rsidRPr="00875380">
        <w:rPr>
          <w:rFonts w:cs="Arial" w:hint="eastAsia"/>
          <w:snapToGrid w:val="0"/>
          <w:lang w:eastAsia="zh-CN"/>
        </w:rPr>
        <w:t>稳健</w:t>
      </w:r>
      <w:r w:rsidRPr="00875380">
        <w:rPr>
          <w:rFonts w:cs="Arial"/>
          <w:snapToGrid w:val="0"/>
          <w:lang w:eastAsia="zh-CN"/>
        </w:rPr>
        <w:t>的增长。</w:t>
      </w:r>
    </w:p>
    <w:p w14:paraId="0E050299"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76B618EF"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b/>
          <w:bCs/>
          <w:snapToGrid w:val="0"/>
          <w:lang w:eastAsia="zh-CN"/>
        </w:rPr>
        <w:t>调整后</w:t>
      </w:r>
      <w:r w:rsidRPr="00875380">
        <w:rPr>
          <w:rFonts w:cs="Arial" w:hint="eastAsia"/>
          <w:b/>
          <w:bCs/>
          <w:snapToGrid w:val="0"/>
          <w:lang w:eastAsia="zh-CN"/>
        </w:rPr>
        <w:t>营业</w:t>
      </w:r>
      <w:r w:rsidRPr="00875380">
        <w:rPr>
          <w:rFonts w:cs="Arial"/>
          <w:b/>
          <w:bCs/>
          <w:snapToGrid w:val="0"/>
          <w:lang w:eastAsia="zh-CN"/>
        </w:rPr>
        <w:t>利润</w:t>
      </w:r>
      <w:r w:rsidRPr="00875380">
        <w:rPr>
          <w:rFonts w:cs="Arial"/>
          <w:snapToGrid w:val="0"/>
          <w:lang w:eastAsia="zh-CN"/>
        </w:rPr>
        <w:t>增长</w:t>
      </w:r>
      <w:r w:rsidRPr="00875380">
        <w:rPr>
          <w:rFonts w:cs="Arial"/>
          <w:snapToGrid w:val="0"/>
          <w:lang w:eastAsia="zh-CN"/>
        </w:rPr>
        <w:t>9.4%</w:t>
      </w:r>
      <w:r w:rsidRPr="00875380">
        <w:rPr>
          <w:rFonts w:cs="Arial"/>
          <w:snapToGrid w:val="0"/>
          <w:lang w:eastAsia="zh-CN"/>
        </w:rPr>
        <w:t>，</w:t>
      </w:r>
      <w:r w:rsidRPr="00875380">
        <w:rPr>
          <w:rFonts w:cs="Arial" w:hint="eastAsia"/>
          <w:snapToGrid w:val="0"/>
          <w:lang w:eastAsia="zh-CN"/>
        </w:rPr>
        <w:t>至</w:t>
      </w:r>
      <w:r w:rsidRPr="00875380">
        <w:rPr>
          <w:rFonts w:cs="Arial"/>
          <w:snapToGrid w:val="0"/>
          <w:lang w:eastAsia="zh-CN"/>
        </w:rPr>
        <w:t>15.34</w:t>
      </w:r>
      <w:r w:rsidRPr="00875380">
        <w:rPr>
          <w:rFonts w:cs="Arial"/>
          <w:snapToGrid w:val="0"/>
          <w:lang w:eastAsia="zh-CN"/>
        </w:rPr>
        <w:t>亿欧元，</w:t>
      </w:r>
      <w:r w:rsidRPr="00875380">
        <w:rPr>
          <w:rFonts w:cs="Arial" w:hint="eastAsia"/>
          <w:snapToGrid w:val="0"/>
          <w:lang w:eastAsia="zh-CN"/>
        </w:rPr>
        <w:t>为历史</w:t>
      </w:r>
      <w:r w:rsidRPr="00875380">
        <w:rPr>
          <w:rFonts w:cs="Arial"/>
          <w:snapToGrid w:val="0"/>
          <w:lang w:eastAsia="zh-CN"/>
        </w:rPr>
        <w:t>新高。调整后销售回报率</w:t>
      </w:r>
      <w:r w:rsidRPr="00875380">
        <w:rPr>
          <w:rFonts w:cs="Arial" w:hint="eastAsia"/>
          <w:snapToGrid w:val="0"/>
          <w:lang w:eastAsia="zh-CN"/>
        </w:rPr>
        <w:t>至</w:t>
      </w:r>
      <w:r w:rsidRPr="00875380">
        <w:rPr>
          <w:rFonts w:cs="Arial"/>
          <w:snapToGrid w:val="0"/>
          <w:lang w:eastAsia="zh-CN"/>
        </w:rPr>
        <w:t>17.1%</w:t>
      </w:r>
      <w:r w:rsidRPr="00875380">
        <w:rPr>
          <w:rFonts w:cs="Arial"/>
          <w:snapToGrid w:val="0"/>
          <w:lang w:eastAsia="zh-CN"/>
        </w:rPr>
        <w:t>，</w:t>
      </w:r>
      <w:proofErr w:type="spellStart"/>
      <w:r w:rsidRPr="00875380">
        <w:rPr>
          <w:rFonts w:cs="Arial"/>
          <w:snapToGrid w:val="0"/>
          <w:lang w:eastAsia="zh-CN"/>
        </w:rPr>
        <w:t>略低于去年同期水平。报告</w:t>
      </w:r>
      <w:r w:rsidRPr="00875380">
        <w:rPr>
          <w:rFonts w:cs="Arial" w:hint="eastAsia"/>
          <w:snapToGrid w:val="0"/>
          <w:lang w:eastAsia="zh-CN"/>
        </w:rPr>
        <w:t>中营运</w:t>
      </w:r>
      <w:r w:rsidRPr="00875380">
        <w:rPr>
          <w:rFonts w:cs="Arial"/>
          <w:snapToGrid w:val="0"/>
          <w:lang w:eastAsia="zh-CN"/>
        </w:rPr>
        <w:t>利润增长</w:t>
      </w:r>
      <w:proofErr w:type="spellEnd"/>
      <w:r w:rsidRPr="00875380">
        <w:rPr>
          <w:rFonts w:cs="Arial"/>
          <w:snapToGrid w:val="0"/>
          <w:lang w:eastAsia="zh-CN"/>
        </w:rPr>
        <w:t>8.7%</w:t>
      </w:r>
      <w:r w:rsidRPr="00875380">
        <w:rPr>
          <w:rFonts w:cs="Arial"/>
          <w:snapToGrid w:val="0"/>
          <w:lang w:eastAsia="zh-CN"/>
        </w:rPr>
        <w:t>，</w:t>
      </w:r>
      <w:r w:rsidRPr="00875380">
        <w:rPr>
          <w:rFonts w:cs="Arial" w:hint="eastAsia"/>
          <w:snapToGrid w:val="0"/>
          <w:lang w:eastAsia="zh-CN"/>
        </w:rPr>
        <w:t>至</w:t>
      </w:r>
      <w:r w:rsidRPr="00875380">
        <w:rPr>
          <w:rFonts w:cs="Arial"/>
          <w:snapToGrid w:val="0"/>
          <w:lang w:eastAsia="zh-CN"/>
        </w:rPr>
        <w:t>14.62</w:t>
      </w:r>
      <w:r w:rsidRPr="00875380">
        <w:rPr>
          <w:rFonts w:cs="Arial"/>
          <w:snapToGrid w:val="0"/>
          <w:lang w:eastAsia="zh-CN"/>
        </w:rPr>
        <w:t>亿欧元。</w:t>
      </w:r>
    </w:p>
    <w:p w14:paraId="42E77399" w14:textId="77777777" w:rsidR="00CA1115" w:rsidRPr="00875380" w:rsidRDefault="00CA1115" w:rsidP="00CA1115">
      <w:pPr>
        <w:pStyle w:val="1"/>
        <w:adjustRightInd w:val="0"/>
        <w:snapToGrid w:val="0"/>
        <w:spacing w:afterLines="50" w:after="120" w:line="288" w:lineRule="auto"/>
        <w:jc w:val="both"/>
        <w:rPr>
          <w:rFonts w:cs="Arial"/>
          <w:snapToGrid w:val="0"/>
          <w:lang w:eastAsia="zh-CN"/>
        </w:rPr>
      </w:pPr>
    </w:p>
    <w:p w14:paraId="0B8A30A4" w14:textId="52474A46" w:rsidR="00CA1115" w:rsidRPr="00875380" w:rsidRDefault="00CA1115" w:rsidP="00875380">
      <w:pPr>
        <w:pStyle w:val="1"/>
        <w:adjustRightInd w:val="0"/>
        <w:snapToGrid w:val="0"/>
        <w:spacing w:afterLines="50" w:after="120" w:line="288" w:lineRule="auto"/>
        <w:jc w:val="both"/>
        <w:rPr>
          <w:rFonts w:cs="Arial" w:hint="eastAsia"/>
          <w:snapToGrid w:val="0"/>
          <w:lang w:eastAsia="zh-CN"/>
        </w:rPr>
      </w:pPr>
      <w:r w:rsidRPr="00875380">
        <w:rPr>
          <w:rFonts w:cs="Arial" w:hint="eastAsia"/>
          <w:snapToGrid w:val="0"/>
          <w:lang w:eastAsia="zh-CN"/>
        </w:rPr>
        <w:t>各地区</w:t>
      </w:r>
      <w:r w:rsidRPr="00875380">
        <w:rPr>
          <w:rFonts w:cs="Arial"/>
          <w:snapToGrid w:val="0"/>
          <w:lang w:eastAsia="zh-CN"/>
        </w:rPr>
        <w:t>业绩表现</w:t>
      </w:r>
    </w:p>
    <w:p w14:paraId="647DEC7B" w14:textId="7E7140D6" w:rsidR="00CA1115" w:rsidRPr="00875380" w:rsidRDefault="00CA1115" w:rsidP="005B42CF">
      <w:pPr>
        <w:adjustRightInd w:val="0"/>
        <w:snapToGrid w:val="0"/>
        <w:spacing w:afterLines="50" w:after="120" w:line="288" w:lineRule="auto"/>
        <w:jc w:val="both"/>
        <w:rPr>
          <w:rFonts w:cs="Arial"/>
          <w:snapToGrid w:val="0"/>
          <w:sz w:val="24"/>
          <w:lang w:eastAsia="zh-CN"/>
        </w:rPr>
      </w:pPr>
      <w:r w:rsidRPr="00875380">
        <w:rPr>
          <w:rFonts w:cs="Arial"/>
          <w:snapToGrid w:val="0"/>
          <w:sz w:val="24"/>
          <w:lang w:eastAsia="zh-CN"/>
        </w:rPr>
        <w:t>在竞争激烈的市场环境下，</w:t>
      </w:r>
      <w:r w:rsidRPr="00875380">
        <w:rPr>
          <w:rFonts w:cs="Arial"/>
          <w:b/>
          <w:snapToGrid w:val="0"/>
          <w:sz w:val="24"/>
          <w:lang w:eastAsia="zh-CN"/>
        </w:rPr>
        <w:t>西欧</w:t>
      </w:r>
      <w:r w:rsidRPr="00875380">
        <w:rPr>
          <w:rFonts w:cs="Arial" w:hint="eastAsia"/>
          <w:snapToGrid w:val="0"/>
          <w:sz w:val="24"/>
          <w:lang w:eastAsia="zh-CN"/>
        </w:rPr>
        <w:t>地区</w:t>
      </w:r>
      <w:r w:rsidRPr="00875380">
        <w:rPr>
          <w:rFonts w:cs="Arial"/>
          <w:snapToGrid w:val="0"/>
          <w:sz w:val="24"/>
          <w:lang w:eastAsia="zh-CN"/>
        </w:rPr>
        <w:t>销售额增长</w:t>
      </w:r>
      <w:r w:rsidRPr="00875380">
        <w:rPr>
          <w:rFonts w:cs="Arial"/>
          <w:snapToGrid w:val="0"/>
          <w:sz w:val="24"/>
          <w:lang w:eastAsia="zh-CN"/>
        </w:rPr>
        <w:t>5.6%</w:t>
      </w:r>
      <w:r w:rsidRPr="00875380">
        <w:rPr>
          <w:rFonts w:cs="Arial"/>
          <w:snapToGrid w:val="0"/>
          <w:sz w:val="24"/>
          <w:lang w:eastAsia="zh-CN"/>
        </w:rPr>
        <w:t>，</w:t>
      </w:r>
      <w:r w:rsidRPr="00875380">
        <w:rPr>
          <w:rFonts w:cs="Arial" w:hint="eastAsia"/>
          <w:snapToGrid w:val="0"/>
          <w:sz w:val="24"/>
          <w:lang w:eastAsia="zh-CN"/>
        </w:rPr>
        <w:t>至</w:t>
      </w:r>
      <w:r w:rsidRPr="00875380">
        <w:rPr>
          <w:rFonts w:cs="Arial"/>
          <w:snapToGrid w:val="0"/>
          <w:sz w:val="24"/>
          <w:lang w:eastAsia="zh-CN"/>
        </w:rPr>
        <w:t>60.45</w:t>
      </w:r>
      <w:r w:rsidRPr="00875380">
        <w:rPr>
          <w:rFonts w:cs="Arial"/>
          <w:snapToGrid w:val="0"/>
          <w:sz w:val="24"/>
          <w:lang w:eastAsia="zh-CN"/>
        </w:rPr>
        <w:t>亿欧元。有机销售额小幅</w:t>
      </w:r>
      <w:r w:rsidRPr="00875380">
        <w:rPr>
          <w:rFonts w:cs="Arial" w:hint="eastAsia"/>
          <w:snapToGrid w:val="0"/>
          <w:sz w:val="24"/>
          <w:lang w:eastAsia="zh-CN"/>
        </w:rPr>
        <w:t>下滑了</w:t>
      </w:r>
      <w:r w:rsidRPr="00875380">
        <w:rPr>
          <w:rFonts w:cs="Arial"/>
          <w:snapToGrid w:val="0"/>
          <w:sz w:val="24"/>
          <w:lang w:eastAsia="zh-CN"/>
        </w:rPr>
        <w:t>0.3</w:t>
      </w:r>
      <w:r w:rsidRPr="00875380">
        <w:rPr>
          <w:rFonts w:cs="Arial" w:hint="eastAsia"/>
          <w:snapToGrid w:val="0"/>
          <w:sz w:val="24"/>
          <w:lang w:eastAsia="zh-CN"/>
        </w:rPr>
        <w:t>个</w:t>
      </w:r>
      <w:r w:rsidRPr="00875380">
        <w:rPr>
          <w:rFonts w:cs="Arial"/>
          <w:snapToGrid w:val="0"/>
          <w:sz w:val="24"/>
          <w:lang w:eastAsia="zh-CN"/>
        </w:rPr>
        <w:t>百分点。在法国和英国</w:t>
      </w:r>
      <w:r w:rsidRPr="00875380">
        <w:rPr>
          <w:rFonts w:cs="Arial" w:hint="eastAsia"/>
          <w:snapToGrid w:val="0"/>
          <w:sz w:val="24"/>
          <w:lang w:eastAsia="zh-CN"/>
        </w:rPr>
        <w:t>呈现</w:t>
      </w:r>
      <w:r w:rsidRPr="00875380">
        <w:rPr>
          <w:rFonts w:cs="Arial"/>
          <w:snapToGrid w:val="0"/>
          <w:sz w:val="24"/>
          <w:lang w:eastAsia="zh-CN"/>
        </w:rPr>
        <w:t>积极</w:t>
      </w:r>
      <w:r w:rsidRPr="00875380">
        <w:rPr>
          <w:rFonts w:cs="Arial" w:hint="eastAsia"/>
          <w:snapToGrid w:val="0"/>
          <w:sz w:val="24"/>
          <w:lang w:eastAsia="zh-CN"/>
        </w:rPr>
        <w:t>的</w:t>
      </w:r>
      <w:r w:rsidRPr="00875380">
        <w:rPr>
          <w:rFonts w:cs="Arial"/>
          <w:snapToGrid w:val="0"/>
          <w:sz w:val="24"/>
          <w:lang w:eastAsia="zh-CN"/>
        </w:rPr>
        <w:t>业绩，但不能完全弥补瑞士和其他北欧国家</w:t>
      </w:r>
      <w:r w:rsidRPr="00875380">
        <w:rPr>
          <w:rFonts w:cs="Arial" w:hint="eastAsia"/>
          <w:snapToGrid w:val="0"/>
          <w:sz w:val="24"/>
          <w:lang w:eastAsia="zh-CN"/>
        </w:rPr>
        <w:t>业绩下滑</w:t>
      </w:r>
      <w:r w:rsidRPr="00875380">
        <w:rPr>
          <w:rFonts w:cs="Arial"/>
          <w:snapToGrid w:val="0"/>
          <w:sz w:val="24"/>
          <w:lang w:eastAsia="zh-CN"/>
        </w:rPr>
        <w:t>。由于俄罗斯卢布和该地区其他货币的大幅贬值，</w:t>
      </w:r>
      <w:r w:rsidRPr="00875380">
        <w:rPr>
          <w:rFonts w:cs="Arial"/>
          <w:b/>
          <w:snapToGrid w:val="0"/>
          <w:sz w:val="24"/>
          <w:lang w:eastAsia="zh-CN"/>
        </w:rPr>
        <w:t>东欧</w:t>
      </w:r>
      <w:r w:rsidRPr="00875380">
        <w:rPr>
          <w:rFonts w:cs="Arial" w:hint="eastAsia"/>
          <w:bCs/>
          <w:snapToGrid w:val="0"/>
          <w:sz w:val="24"/>
          <w:lang w:eastAsia="zh-CN"/>
        </w:rPr>
        <w:t>地区</w:t>
      </w:r>
      <w:r w:rsidRPr="00875380">
        <w:rPr>
          <w:rFonts w:cs="Arial"/>
          <w:snapToGrid w:val="0"/>
          <w:sz w:val="24"/>
          <w:lang w:eastAsia="zh-CN"/>
        </w:rPr>
        <w:t>的同比销售额下降至</w:t>
      </w:r>
      <w:r w:rsidRPr="00875380">
        <w:rPr>
          <w:rFonts w:cs="Arial"/>
          <w:snapToGrid w:val="0"/>
          <w:sz w:val="24"/>
          <w:lang w:eastAsia="zh-CN"/>
        </w:rPr>
        <w:t>26.95</w:t>
      </w:r>
      <w:r w:rsidRPr="00875380">
        <w:rPr>
          <w:rFonts w:cs="Arial"/>
          <w:snapToGrid w:val="0"/>
          <w:sz w:val="24"/>
          <w:lang w:eastAsia="zh-CN"/>
        </w:rPr>
        <w:t>亿欧元</w:t>
      </w:r>
      <w:r w:rsidRPr="00875380">
        <w:rPr>
          <w:rFonts w:cs="Arial" w:hint="eastAsia"/>
          <w:snapToGrid w:val="0"/>
          <w:sz w:val="24"/>
          <w:lang w:eastAsia="zh-CN"/>
        </w:rPr>
        <w:t>，但</w:t>
      </w:r>
      <w:r w:rsidRPr="00875380">
        <w:rPr>
          <w:rFonts w:cs="Arial"/>
          <w:snapToGrid w:val="0"/>
          <w:sz w:val="24"/>
          <w:lang w:eastAsia="zh-CN"/>
        </w:rPr>
        <w:t>在俄罗斯和土耳其业务发展的带动下</w:t>
      </w:r>
      <w:r w:rsidRPr="00875380">
        <w:rPr>
          <w:rFonts w:cs="Arial" w:hint="eastAsia"/>
          <w:snapToGrid w:val="0"/>
          <w:sz w:val="24"/>
          <w:lang w:eastAsia="zh-CN"/>
        </w:rPr>
        <w:t>，</w:t>
      </w:r>
      <w:r w:rsidRPr="00875380">
        <w:rPr>
          <w:rFonts w:cs="Arial"/>
          <w:snapToGrid w:val="0"/>
          <w:sz w:val="24"/>
          <w:lang w:eastAsia="zh-CN"/>
        </w:rPr>
        <w:t>有机销售额增长了</w:t>
      </w:r>
      <w:r w:rsidRPr="00875380">
        <w:rPr>
          <w:rFonts w:cs="Arial"/>
          <w:snapToGrid w:val="0"/>
          <w:sz w:val="24"/>
          <w:lang w:eastAsia="zh-CN"/>
        </w:rPr>
        <w:t>7.3%</w:t>
      </w:r>
      <w:r w:rsidRPr="00875380">
        <w:rPr>
          <w:rFonts w:cs="Arial"/>
          <w:snapToGrid w:val="0"/>
          <w:sz w:val="24"/>
          <w:lang w:eastAsia="zh-CN"/>
        </w:rPr>
        <w:t>。尽管一些国家的政治和社会情况动荡，</w:t>
      </w:r>
      <w:r w:rsidRPr="00875380">
        <w:rPr>
          <w:rFonts w:cs="Arial"/>
          <w:b/>
          <w:bCs/>
          <w:snapToGrid w:val="0"/>
          <w:sz w:val="24"/>
          <w:lang w:eastAsia="zh-CN"/>
        </w:rPr>
        <w:t>非</w:t>
      </w:r>
      <w:r w:rsidRPr="00875380">
        <w:rPr>
          <w:rFonts w:cs="Arial"/>
          <w:b/>
          <w:snapToGrid w:val="0"/>
          <w:sz w:val="24"/>
          <w:lang w:eastAsia="zh-CN"/>
        </w:rPr>
        <w:t>洲</w:t>
      </w:r>
      <w:r w:rsidRPr="00875380">
        <w:rPr>
          <w:rFonts w:cs="Arial"/>
          <w:b/>
          <w:snapToGrid w:val="0"/>
          <w:sz w:val="24"/>
          <w:lang w:eastAsia="zh-CN"/>
        </w:rPr>
        <w:t>/</w:t>
      </w:r>
      <w:r w:rsidRPr="00875380">
        <w:rPr>
          <w:rFonts w:cs="Arial"/>
          <w:b/>
          <w:snapToGrid w:val="0"/>
          <w:sz w:val="24"/>
          <w:lang w:eastAsia="zh-CN"/>
        </w:rPr>
        <w:t>中东</w:t>
      </w:r>
      <w:r w:rsidRPr="00875380">
        <w:rPr>
          <w:rFonts w:cs="Arial"/>
          <w:snapToGrid w:val="0"/>
          <w:sz w:val="24"/>
          <w:lang w:eastAsia="zh-CN"/>
        </w:rPr>
        <w:t>地区的销售增加了</w:t>
      </w:r>
      <w:r w:rsidRPr="00875380">
        <w:rPr>
          <w:rFonts w:cs="Arial"/>
          <w:snapToGrid w:val="0"/>
          <w:sz w:val="24"/>
          <w:lang w:eastAsia="zh-CN"/>
        </w:rPr>
        <w:t>17.3%</w:t>
      </w:r>
      <w:r w:rsidRPr="00875380">
        <w:rPr>
          <w:rFonts w:cs="Arial"/>
          <w:snapToGrid w:val="0"/>
          <w:sz w:val="24"/>
          <w:lang w:eastAsia="zh-CN"/>
        </w:rPr>
        <w:t>，高达</w:t>
      </w:r>
      <w:r w:rsidRPr="00875380">
        <w:rPr>
          <w:rFonts w:cs="Arial"/>
          <w:snapToGrid w:val="0"/>
          <w:sz w:val="24"/>
          <w:lang w:eastAsia="zh-CN"/>
        </w:rPr>
        <w:t>13.29</w:t>
      </w:r>
      <w:r w:rsidRPr="00875380">
        <w:rPr>
          <w:rFonts w:cs="Arial"/>
          <w:snapToGrid w:val="0"/>
          <w:sz w:val="24"/>
          <w:lang w:eastAsia="zh-CN"/>
        </w:rPr>
        <w:t>亿欧元。</w:t>
      </w:r>
      <w:r w:rsidRPr="00875380">
        <w:rPr>
          <w:rFonts w:cs="Arial" w:hint="eastAsia"/>
          <w:snapToGrid w:val="0"/>
          <w:sz w:val="24"/>
          <w:lang w:val="en-US" w:eastAsia="zh-CN"/>
        </w:rPr>
        <w:t>有机</w:t>
      </w:r>
      <w:r w:rsidRPr="00875380">
        <w:rPr>
          <w:rFonts w:cs="Arial"/>
          <w:snapToGrid w:val="0"/>
          <w:sz w:val="24"/>
          <w:lang w:val="en-US" w:eastAsia="zh-CN"/>
        </w:rPr>
        <w:t>销售额增</w:t>
      </w:r>
      <w:r w:rsidRPr="00875380">
        <w:rPr>
          <w:rFonts w:cs="Arial" w:hint="eastAsia"/>
          <w:snapToGrid w:val="0"/>
          <w:sz w:val="24"/>
          <w:lang w:val="en-US" w:eastAsia="zh-CN"/>
        </w:rPr>
        <w:t>幅</w:t>
      </w:r>
      <w:r w:rsidRPr="00875380">
        <w:rPr>
          <w:rFonts w:cs="Arial"/>
          <w:snapToGrid w:val="0"/>
          <w:sz w:val="24"/>
          <w:lang w:val="en-US" w:eastAsia="zh-CN"/>
        </w:rPr>
        <w:t>达</w:t>
      </w:r>
      <w:r w:rsidRPr="00875380">
        <w:rPr>
          <w:rFonts w:cs="Arial"/>
          <w:snapToGrid w:val="0"/>
          <w:sz w:val="24"/>
          <w:lang w:eastAsia="zh-CN"/>
        </w:rPr>
        <w:t>6.8</w:t>
      </w:r>
      <w:r w:rsidRPr="00875380">
        <w:rPr>
          <w:rFonts w:cs="Arial"/>
          <w:snapToGrid w:val="0"/>
          <w:sz w:val="24"/>
          <w:lang w:val="en-US" w:eastAsia="zh-CN"/>
        </w:rPr>
        <w:t>%</w:t>
      </w:r>
      <w:r w:rsidRPr="00875380">
        <w:rPr>
          <w:rFonts w:cs="Arial"/>
          <w:snapToGrid w:val="0"/>
          <w:sz w:val="24"/>
          <w:lang w:val="en-US" w:eastAsia="zh-CN"/>
        </w:rPr>
        <w:t>，所有业务部</w:t>
      </w:r>
      <w:r w:rsidRPr="00875380">
        <w:rPr>
          <w:rFonts w:cs="Arial" w:hint="eastAsia"/>
          <w:snapToGrid w:val="0"/>
          <w:sz w:val="24"/>
          <w:lang w:val="en-US" w:eastAsia="zh-CN"/>
        </w:rPr>
        <w:t>门</w:t>
      </w:r>
      <w:r w:rsidRPr="00875380">
        <w:rPr>
          <w:rFonts w:cs="Arial"/>
          <w:snapToGrid w:val="0"/>
          <w:sz w:val="24"/>
          <w:lang w:val="en-US" w:eastAsia="zh-CN"/>
        </w:rPr>
        <w:t>均对</w:t>
      </w:r>
      <w:r w:rsidRPr="00875380">
        <w:rPr>
          <w:rFonts w:cs="Arial" w:hint="eastAsia"/>
          <w:snapToGrid w:val="0"/>
          <w:sz w:val="24"/>
          <w:lang w:val="en-US" w:eastAsia="zh-CN"/>
        </w:rPr>
        <w:t>此</w:t>
      </w:r>
      <w:r w:rsidRPr="00875380">
        <w:rPr>
          <w:rFonts w:cs="Arial"/>
          <w:snapToGrid w:val="0"/>
          <w:sz w:val="24"/>
          <w:lang w:val="en-US" w:eastAsia="zh-CN"/>
        </w:rPr>
        <w:t>有所贡献。</w:t>
      </w:r>
    </w:p>
    <w:p w14:paraId="4DE61A8D"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739CA3F0"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r w:rsidRPr="00875380">
        <w:rPr>
          <w:rFonts w:cs="Arial"/>
          <w:b/>
          <w:snapToGrid w:val="0"/>
          <w:sz w:val="24"/>
          <w:lang w:eastAsia="zh-CN"/>
        </w:rPr>
        <w:t>北美</w:t>
      </w:r>
      <w:r w:rsidRPr="00875380">
        <w:rPr>
          <w:rFonts w:cs="Arial" w:hint="eastAsia"/>
          <w:bCs/>
          <w:snapToGrid w:val="0"/>
          <w:sz w:val="24"/>
          <w:lang w:eastAsia="zh-CN"/>
        </w:rPr>
        <w:t>地区</w:t>
      </w:r>
      <w:r w:rsidRPr="00875380">
        <w:rPr>
          <w:rFonts w:cs="Arial"/>
          <w:snapToGrid w:val="0"/>
          <w:sz w:val="24"/>
          <w:lang w:eastAsia="zh-CN"/>
        </w:rPr>
        <w:t>销售额大幅增加了</w:t>
      </w:r>
      <w:r w:rsidRPr="00875380">
        <w:rPr>
          <w:rFonts w:cs="Arial"/>
          <w:snapToGrid w:val="0"/>
          <w:sz w:val="24"/>
          <w:lang w:eastAsia="zh-CN"/>
        </w:rPr>
        <w:t>26.5%</w:t>
      </w:r>
      <w:r w:rsidRPr="00875380">
        <w:rPr>
          <w:rFonts w:cs="Arial"/>
          <w:snapToGrid w:val="0"/>
          <w:sz w:val="24"/>
          <w:lang w:eastAsia="zh-CN"/>
        </w:rPr>
        <w:t>，达</w:t>
      </w:r>
      <w:r w:rsidRPr="00875380">
        <w:rPr>
          <w:rFonts w:cs="Arial"/>
          <w:snapToGrid w:val="0"/>
          <w:sz w:val="24"/>
          <w:lang w:eastAsia="zh-CN"/>
        </w:rPr>
        <w:t>36.48</w:t>
      </w:r>
      <w:r w:rsidRPr="00875380">
        <w:rPr>
          <w:rFonts w:cs="Arial"/>
          <w:snapToGrid w:val="0"/>
          <w:sz w:val="24"/>
          <w:lang w:eastAsia="zh-CN"/>
        </w:rPr>
        <w:t>亿欧元。</w:t>
      </w:r>
      <w:r w:rsidRPr="00875380">
        <w:rPr>
          <w:rFonts w:cs="Arial"/>
          <w:snapToGrid w:val="0"/>
          <w:sz w:val="24"/>
          <w:lang w:eastAsia="zh-CN"/>
        </w:rPr>
        <w:t>2014</w:t>
      </w:r>
      <w:r w:rsidRPr="00875380">
        <w:rPr>
          <w:rFonts w:cs="Arial"/>
          <w:snapToGrid w:val="0"/>
          <w:sz w:val="24"/>
          <w:lang w:eastAsia="zh-CN"/>
        </w:rPr>
        <w:t>年积极的外汇影响和</w:t>
      </w:r>
      <w:r w:rsidRPr="00875380">
        <w:rPr>
          <w:rFonts w:cs="Arial" w:hint="eastAsia"/>
          <w:snapToGrid w:val="0"/>
          <w:sz w:val="24"/>
          <w:lang w:eastAsia="zh-CN"/>
        </w:rPr>
        <w:t>并</w:t>
      </w:r>
      <w:r w:rsidRPr="00875380">
        <w:rPr>
          <w:rFonts w:cs="Arial"/>
          <w:snapToGrid w:val="0"/>
          <w:sz w:val="24"/>
          <w:lang w:eastAsia="zh-CN"/>
        </w:rPr>
        <w:t>购对销售额的增加产生了</w:t>
      </w:r>
      <w:r w:rsidRPr="00875380">
        <w:rPr>
          <w:rFonts w:cs="Arial" w:hint="eastAsia"/>
          <w:snapToGrid w:val="0"/>
          <w:sz w:val="24"/>
          <w:lang w:eastAsia="zh-CN"/>
        </w:rPr>
        <w:t>积极的</w:t>
      </w:r>
      <w:r w:rsidRPr="00875380">
        <w:rPr>
          <w:rFonts w:cs="Arial"/>
          <w:snapToGrid w:val="0"/>
          <w:sz w:val="24"/>
          <w:lang w:eastAsia="zh-CN"/>
        </w:rPr>
        <w:t>影响。该地区有机销售额增长了</w:t>
      </w:r>
      <w:r w:rsidRPr="00875380">
        <w:rPr>
          <w:rFonts w:cs="Arial"/>
          <w:snapToGrid w:val="0"/>
          <w:sz w:val="24"/>
          <w:lang w:eastAsia="zh-CN"/>
        </w:rPr>
        <w:t>2.3%</w:t>
      </w:r>
      <w:r w:rsidRPr="00875380">
        <w:rPr>
          <w:rFonts w:cs="Arial"/>
          <w:snapToGrid w:val="0"/>
          <w:sz w:val="24"/>
          <w:lang w:eastAsia="zh-CN"/>
        </w:rPr>
        <w:t>。</w:t>
      </w:r>
      <w:r w:rsidRPr="00875380">
        <w:rPr>
          <w:rFonts w:cs="Arial"/>
          <w:b/>
          <w:snapToGrid w:val="0"/>
          <w:sz w:val="24"/>
          <w:lang w:eastAsia="zh-CN"/>
        </w:rPr>
        <w:t>拉美</w:t>
      </w:r>
      <w:r w:rsidRPr="00875380">
        <w:rPr>
          <w:rFonts w:cs="Arial"/>
          <w:snapToGrid w:val="0"/>
          <w:sz w:val="24"/>
          <w:lang w:eastAsia="zh-CN"/>
        </w:rPr>
        <w:t>地区的销售</w:t>
      </w:r>
      <w:r w:rsidRPr="00875380">
        <w:rPr>
          <w:rFonts w:cs="Arial"/>
          <w:snapToGrid w:val="0"/>
          <w:sz w:val="24"/>
          <w:lang w:eastAsia="zh-CN"/>
        </w:rPr>
        <w:lastRenderedPageBreak/>
        <w:t>额增长了</w:t>
      </w:r>
      <w:r w:rsidRPr="00875380">
        <w:rPr>
          <w:rFonts w:cs="Arial"/>
          <w:snapToGrid w:val="0"/>
          <w:sz w:val="24"/>
          <w:lang w:eastAsia="zh-CN"/>
        </w:rPr>
        <w:t>7.9%</w:t>
      </w:r>
      <w:r w:rsidRPr="00875380">
        <w:rPr>
          <w:rFonts w:cs="Arial"/>
          <w:snapToGrid w:val="0"/>
          <w:sz w:val="24"/>
          <w:lang w:eastAsia="zh-CN"/>
        </w:rPr>
        <w:t>，达</w:t>
      </w:r>
      <w:r w:rsidRPr="00875380">
        <w:rPr>
          <w:rFonts w:cs="Arial"/>
          <w:snapToGrid w:val="0"/>
          <w:sz w:val="24"/>
          <w:lang w:eastAsia="zh-CN"/>
        </w:rPr>
        <w:t>11.1</w:t>
      </w:r>
      <w:r w:rsidRPr="00875380">
        <w:rPr>
          <w:rFonts w:cs="Arial"/>
          <w:snapToGrid w:val="0"/>
          <w:sz w:val="24"/>
          <w:lang w:eastAsia="zh-CN"/>
        </w:rPr>
        <w:t>亿欧元</w:t>
      </w:r>
      <w:r w:rsidRPr="00875380">
        <w:rPr>
          <w:rFonts w:cs="Arial" w:hint="eastAsia"/>
          <w:snapToGrid w:val="0"/>
          <w:sz w:val="24"/>
          <w:lang w:eastAsia="zh-CN"/>
        </w:rPr>
        <w:t>。</w:t>
      </w:r>
      <w:r w:rsidRPr="00875380">
        <w:rPr>
          <w:rFonts w:cs="Arial"/>
          <w:snapToGrid w:val="0"/>
          <w:sz w:val="24"/>
          <w:lang w:eastAsia="zh-CN"/>
        </w:rPr>
        <w:t>在墨西哥实现了两位数的增长，其中有机销售额增长了</w:t>
      </w:r>
      <w:r w:rsidRPr="00875380">
        <w:rPr>
          <w:rFonts w:cs="Arial"/>
          <w:snapToGrid w:val="0"/>
          <w:sz w:val="24"/>
          <w:lang w:eastAsia="zh-CN"/>
        </w:rPr>
        <w:t>8.8%</w:t>
      </w:r>
      <w:r w:rsidRPr="00875380">
        <w:rPr>
          <w:rFonts w:cs="Arial"/>
          <w:snapToGrid w:val="0"/>
          <w:sz w:val="24"/>
          <w:lang w:eastAsia="zh-CN"/>
        </w:rPr>
        <w:t>，做出了重</w:t>
      </w:r>
      <w:r w:rsidRPr="00875380">
        <w:rPr>
          <w:rFonts w:cs="Arial" w:hint="eastAsia"/>
          <w:snapToGrid w:val="0"/>
          <w:sz w:val="24"/>
          <w:lang w:eastAsia="zh-CN"/>
        </w:rPr>
        <w:t>要</w:t>
      </w:r>
      <w:r w:rsidRPr="00875380">
        <w:rPr>
          <w:rFonts w:cs="Arial"/>
          <w:snapToGrid w:val="0"/>
          <w:sz w:val="24"/>
          <w:lang w:eastAsia="zh-CN"/>
        </w:rPr>
        <w:t>贡献。</w:t>
      </w:r>
      <w:r w:rsidRPr="00875380">
        <w:rPr>
          <w:rFonts w:cs="Arial"/>
          <w:b/>
          <w:bCs/>
          <w:snapToGrid w:val="0"/>
          <w:sz w:val="24"/>
          <w:lang w:eastAsia="zh-CN"/>
        </w:rPr>
        <w:t>亚太</w:t>
      </w:r>
      <w:r w:rsidRPr="00875380">
        <w:rPr>
          <w:rFonts w:cs="Arial"/>
          <w:snapToGrid w:val="0"/>
          <w:sz w:val="24"/>
          <w:lang w:eastAsia="zh-CN"/>
        </w:rPr>
        <w:t>地区的销售额实现了大幅增长，同比增长</w:t>
      </w:r>
      <w:r w:rsidRPr="00875380">
        <w:rPr>
          <w:rFonts w:cs="Arial"/>
          <w:snapToGrid w:val="0"/>
          <w:sz w:val="24"/>
          <w:lang w:eastAsia="zh-CN"/>
        </w:rPr>
        <w:t>17.1%</w:t>
      </w:r>
      <w:r w:rsidRPr="00875380">
        <w:rPr>
          <w:rFonts w:cs="Arial"/>
          <w:snapToGrid w:val="0"/>
          <w:sz w:val="24"/>
          <w:lang w:eastAsia="zh-CN"/>
        </w:rPr>
        <w:t>，达</w:t>
      </w:r>
      <w:r w:rsidRPr="00875380">
        <w:rPr>
          <w:rFonts w:cs="Arial"/>
          <w:snapToGrid w:val="0"/>
          <w:sz w:val="24"/>
          <w:lang w:eastAsia="zh-CN"/>
        </w:rPr>
        <w:t>31.34</w:t>
      </w:r>
      <w:r w:rsidRPr="00875380">
        <w:rPr>
          <w:rFonts w:cs="Arial"/>
          <w:snapToGrid w:val="0"/>
          <w:sz w:val="24"/>
          <w:lang w:eastAsia="zh-CN"/>
        </w:rPr>
        <w:t>亿欧元。尽管中国经济的增速放缓，</w:t>
      </w:r>
      <w:r w:rsidRPr="00875380">
        <w:rPr>
          <w:rFonts w:cs="Arial" w:hint="eastAsia"/>
          <w:snapToGrid w:val="0"/>
          <w:sz w:val="24"/>
          <w:lang w:eastAsia="zh-CN"/>
        </w:rPr>
        <w:t>但</w:t>
      </w:r>
      <w:r w:rsidRPr="00875380">
        <w:rPr>
          <w:rFonts w:cs="Arial"/>
          <w:snapToGrid w:val="0"/>
          <w:sz w:val="24"/>
          <w:lang w:eastAsia="zh-CN"/>
        </w:rPr>
        <w:t>这一地区的有机销售额也上升了</w:t>
      </w:r>
      <w:r w:rsidRPr="00875380">
        <w:rPr>
          <w:rFonts w:cs="Arial"/>
          <w:snapToGrid w:val="0"/>
          <w:sz w:val="24"/>
          <w:lang w:eastAsia="zh-CN"/>
        </w:rPr>
        <w:t>2.5</w:t>
      </w:r>
      <w:r w:rsidRPr="00875380">
        <w:rPr>
          <w:rFonts w:cs="Arial" w:hint="eastAsia"/>
          <w:snapToGrid w:val="0"/>
          <w:sz w:val="24"/>
          <w:lang w:eastAsia="zh-CN"/>
        </w:rPr>
        <w:t>个百分点</w:t>
      </w:r>
      <w:r w:rsidRPr="00875380">
        <w:rPr>
          <w:rFonts w:cs="Arial"/>
          <w:snapToGrid w:val="0"/>
          <w:sz w:val="24"/>
          <w:lang w:eastAsia="zh-CN"/>
        </w:rPr>
        <w:t>。</w:t>
      </w:r>
    </w:p>
    <w:p w14:paraId="5B4A1DD4" w14:textId="77777777" w:rsidR="00CA1115" w:rsidRPr="00875380" w:rsidRDefault="00CA1115" w:rsidP="00CA1115">
      <w:pPr>
        <w:adjustRightInd w:val="0"/>
        <w:snapToGrid w:val="0"/>
        <w:spacing w:afterLines="50" w:after="120" w:line="288" w:lineRule="auto"/>
        <w:jc w:val="both"/>
        <w:rPr>
          <w:rFonts w:cs="Arial"/>
          <w:snapToGrid w:val="0"/>
          <w:sz w:val="24"/>
          <w:lang w:val="en-US" w:eastAsia="zh-CN"/>
        </w:rPr>
      </w:pPr>
    </w:p>
    <w:p w14:paraId="252B234C"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bookmarkStart w:id="1" w:name="OLE_LINK19"/>
      <w:bookmarkStart w:id="2" w:name="OLE_LINK20"/>
      <w:r w:rsidRPr="00875380">
        <w:rPr>
          <w:rFonts w:cs="Arial"/>
          <w:snapToGrid w:val="0"/>
          <w:sz w:val="24"/>
          <w:lang w:eastAsia="zh-CN"/>
        </w:rPr>
        <w:t>在东欧，非洲</w:t>
      </w:r>
      <w:r w:rsidRPr="00875380">
        <w:rPr>
          <w:rFonts w:cs="Arial"/>
          <w:snapToGrid w:val="0"/>
          <w:sz w:val="24"/>
          <w:lang w:eastAsia="zh-CN"/>
        </w:rPr>
        <w:t>/</w:t>
      </w:r>
      <w:r w:rsidRPr="00875380">
        <w:rPr>
          <w:rFonts w:cs="Arial"/>
          <w:snapToGrid w:val="0"/>
          <w:sz w:val="24"/>
          <w:lang w:eastAsia="zh-CN"/>
        </w:rPr>
        <w:t>中东，拉丁美洲和亚洲（不包括日本）等</w:t>
      </w:r>
      <w:r w:rsidRPr="00875380">
        <w:rPr>
          <w:rFonts w:cs="Arial"/>
          <w:b/>
          <w:snapToGrid w:val="0"/>
          <w:sz w:val="24"/>
          <w:lang w:eastAsia="zh-CN"/>
        </w:rPr>
        <w:t>新兴市场</w:t>
      </w:r>
      <w:r w:rsidRPr="00875380">
        <w:rPr>
          <w:rFonts w:cs="Arial"/>
          <w:snapToGrid w:val="0"/>
          <w:sz w:val="24"/>
          <w:lang w:eastAsia="zh-CN"/>
        </w:rPr>
        <w:t>的销售额大幅增长，高达</w:t>
      </w:r>
      <w:r w:rsidRPr="00875380">
        <w:rPr>
          <w:rFonts w:cs="Arial"/>
          <w:snapToGrid w:val="0"/>
          <w:sz w:val="24"/>
          <w:lang w:eastAsia="zh-CN"/>
        </w:rPr>
        <w:t>77.97</w:t>
      </w:r>
      <w:r w:rsidRPr="00875380">
        <w:rPr>
          <w:rFonts w:cs="Arial"/>
          <w:snapToGrid w:val="0"/>
          <w:sz w:val="24"/>
          <w:lang w:eastAsia="zh-CN"/>
        </w:rPr>
        <w:t>亿欧元。在所有业务部的贡献下，有机销售额</w:t>
      </w:r>
      <w:r w:rsidRPr="00875380">
        <w:rPr>
          <w:rFonts w:cs="Arial" w:hint="eastAsia"/>
          <w:snapToGrid w:val="0"/>
          <w:sz w:val="24"/>
          <w:lang w:eastAsia="zh-CN"/>
        </w:rPr>
        <w:t>增长</w:t>
      </w:r>
      <w:r w:rsidRPr="00875380">
        <w:rPr>
          <w:rFonts w:cs="Arial"/>
          <w:snapToGrid w:val="0"/>
          <w:sz w:val="24"/>
          <w:lang w:eastAsia="zh-CN"/>
        </w:rPr>
        <w:t>5.9%</w:t>
      </w:r>
      <w:r w:rsidRPr="00875380">
        <w:rPr>
          <w:rFonts w:cs="Arial"/>
          <w:snapToGrid w:val="0"/>
          <w:sz w:val="24"/>
          <w:lang w:eastAsia="zh-CN"/>
        </w:rPr>
        <w:t>。新兴市场的有机销售增长再次做出了卓越的贡献。由于货币的影响，新兴市场的销售份额略有下降，</w:t>
      </w:r>
      <w:r w:rsidRPr="00875380">
        <w:rPr>
          <w:rFonts w:cs="Arial" w:hint="eastAsia"/>
          <w:snapToGrid w:val="0"/>
          <w:sz w:val="24"/>
          <w:lang w:eastAsia="zh-CN"/>
        </w:rPr>
        <w:t>至</w:t>
      </w:r>
      <w:r w:rsidRPr="00875380">
        <w:rPr>
          <w:rFonts w:cs="Arial"/>
          <w:snapToGrid w:val="0"/>
          <w:sz w:val="24"/>
          <w:lang w:eastAsia="zh-CN"/>
        </w:rPr>
        <w:t>43%</w:t>
      </w:r>
      <w:r w:rsidRPr="00875380">
        <w:rPr>
          <w:rFonts w:cs="Arial"/>
          <w:snapToGrid w:val="0"/>
          <w:sz w:val="24"/>
          <w:lang w:eastAsia="zh-CN"/>
        </w:rPr>
        <w:t>。成熟市场的销售额</w:t>
      </w:r>
      <w:r w:rsidRPr="00875380">
        <w:rPr>
          <w:rFonts w:cs="Arial" w:hint="eastAsia"/>
          <w:snapToGrid w:val="0"/>
          <w:sz w:val="24"/>
          <w:lang w:eastAsia="zh-CN"/>
        </w:rPr>
        <w:t>上升了</w:t>
      </w:r>
      <w:r w:rsidRPr="00875380">
        <w:rPr>
          <w:rFonts w:cs="Arial"/>
          <w:snapToGrid w:val="0"/>
          <w:sz w:val="24"/>
          <w:lang w:eastAsia="zh-CN"/>
        </w:rPr>
        <w:t>0.7</w:t>
      </w:r>
      <w:r w:rsidRPr="00875380">
        <w:rPr>
          <w:rFonts w:cs="Arial" w:hint="eastAsia"/>
          <w:snapToGrid w:val="0"/>
          <w:sz w:val="24"/>
          <w:lang w:eastAsia="zh-CN"/>
        </w:rPr>
        <w:t>个</w:t>
      </w:r>
      <w:r w:rsidRPr="00875380">
        <w:rPr>
          <w:rFonts w:cs="Arial"/>
          <w:snapToGrid w:val="0"/>
          <w:sz w:val="24"/>
          <w:lang w:eastAsia="zh-CN"/>
        </w:rPr>
        <w:t>百分点，</w:t>
      </w:r>
      <w:r w:rsidRPr="00875380">
        <w:rPr>
          <w:rFonts w:cs="Arial" w:hint="eastAsia"/>
          <w:snapToGrid w:val="0"/>
          <w:sz w:val="24"/>
          <w:lang w:eastAsia="zh-CN"/>
        </w:rPr>
        <w:t>至</w:t>
      </w:r>
      <w:r w:rsidRPr="00875380">
        <w:rPr>
          <w:rFonts w:cs="Arial"/>
          <w:snapToGrid w:val="0"/>
          <w:sz w:val="24"/>
          <w:lang w:eastAsia="zh-CN"/>
        </w:rPr>
        <w:t>101.64</w:t>
      </w:r>
      <w:r w:rsidRPr="00875380">
        <w:rPr>
          <w:rFonts w:cs="Arial"/>
          <w:snapToGrid w:val="0"/>
          <w:sz w:val="24"/>
          <w:lang w:eastAsia="zh-CN"/>
        </w:rPr>
        <w:t>亿欧元。</w:t>
      </w:r>
    </w:p>
    <w:bookmarkEnd w:id="1"/>
    <w:bookmarkEnd w:id="2"/>
    <w:p w14:paraId="02F5DA87"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75998AB0" w14:textId="13F94B8E" w:rsidR="00CA1115" w:rsidRPr="00875380" w:rsidRDefault="00CA1115" w:rsidP="00875380">
      <w:pPr>
        <w:pStyle w:val="1"/>
        <w:adjustRightInd w:val="0"/>
        <w:snapToGrid w:val="0"/>
        <w:spacing w:afterLines="50" w:after="120" w:line="288" w:lineRule="auto"/>
        <w:jc w:val="both"/>
        <w:rPr>
          <w:rFonts w:cs="Arial" w:hint="eastAsia"/>
          <w:snapToGrid w:val="0"/>
          <w:lang w:eastAsia="zh-CN"/>
        </w:rPr>
      </w:pPr>
      <w:r w:rsidRPr="00875380">
        <w:rPr>
          <w:rFonts w:cs="Arial"/>
          <w:snapToGrid w:val="0"/>
          <w:lang w:eastAsia="zh-CN"/>
        </w:rPr>
        <w:t>2015</w:t>
      </w:r>
      <w:r w:rsidRPr="00875380">
        <w:rPr>
          <w:rFonts w:cs="Arial"/>
          <w:snapToGrid w:val="0"/>
          <w:lang w:eastAsia="zh-CN"/>
        </w:rPr>
        <w:t>年第四季度业务拓展情况</w:t>
      </w:r>
      <w:r w:rsidRPr="00875380">
        <w:rPr>
          <w:rFonts w:cs="Arial"/>
          <w:snapToGrid w:val="0"/>
          <w:lang w:eastAsia="zh-CN"/>
        </w:rPr>
        <w:t xml:space="preserve"> </w:t>
      </w:r>
    </w:p>
    <w:p w14:paraId="77F84645"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bookmarkStart w:id="3" w:name="OLE_LINK21"/>
      <w:bookmarkStart w:id="4" w:name="OLE_LINK22"/>
      <w:r w:rsidRPr="00875380">
        <w:rPr>
          <w:rFonts w:cs="Arial"/>
          <w:snapToGrid w:val="0"/>
          <w:sz w:val="24"/>
          <w:lang w:eastAsia="zh-CN"/>
        </w:rPr>
        <w:t>第四季度的销售额同比增长了</w:t>
      </w:r>
      <w:r w:rsidRPr="00875380">
        <w:rPr>
          <w:rFonts w:cs="Arial"/>
          <w:snapToGrid w:val="0"/>
          <w:sz w:val="24"/>
          <w:lang w:eastAsia="zh-CN"/>
        </w:rPr>
        <w:t>6%</w:t>
      </w:r>
      <w:r w:rsidRPr="00875380">
        <w:rPr>
          <w:rFonts w:cs="Arial"/>
          <w:snapToGrid w:val="0"/>
          <w:sz w:val="24"/>
          <w:lang w:eastAsia="zh-CN"/>
        </w:rPr>
        <w:t>，达</w:t>
      </w:r>
      <w:r w:rsidRPr="00875380">
        <w:rPr>
          <w:rFonts w:cs="Arial"/>
          <w:snapToGrid w:val="0"/>
          <w:sz w:val="24"/>
          <w:lang w:eastAsia="zh-CN"/>
        </w:rPr>
        <w:t>43.74</w:t>
      </w:r>
      <w:r w:rsidRPr="00875380">
        <w:rPr>
          <w:rFonts w:cs="Arial"/>
          <w:snapToGrid w:val="0"/>
          <w:sz w:val="24"/>
          <w:lang w:eastAsia="zh-CN"/>
        </w:rPr>
        <w:t>亿欧元（</w:t>
      </w:r>
      <w:r w:rsidRPr="00875380">
        <w:rPr>
          <w:rFonts w:cs="Arial" w:hint="eastAsia"/>
          <w:snapToGrid w:val="0"/>
          <w:sz w:val="24"/>
          <w:lang w:eastAsia="zh-CN"/>
        </w:rPr>
        <w:t>上</w:t>
      </w:r>
      <w:r w:rsidRPr="00875380">
        <w:rPr>
          <w:rFonts w:cs="Arial"/>
          <w:snapToGrid w:val="0"/>
          <w:sz w:val="24"/>
          <w:lang w:eastAsia="zh-CN"/>
        </w:rPr>
        <w:t>年：</w:t>
      </w:r>
      <w:r w:rsidRPr="00875380">
        <w:rPr>
          <w:rFonts w:cs="Arial"/>
          <w:snapToGrid w:val="0"/>
          <w:sz w:val="24"/>
          <w:lang w:eastAsia="zh-CN"/>
        </w:rPr>
        <w:t>41.26</w:t>
      </w:r>
      <w:r w:rsidRPr="00875380">
        <w:rPr>
          <w:rFonts w:cs="Arial"/>
          <w:snapToGrid w:val="0"/>
          <w:sz w:val="24"/>
          <w:lang w:eastAsia="zh-CN"/>
        </w:rPr>
        <w:t>亿欧元）。</w:t>
      </w:r>
      <w:r w:rsidRPr="00875380">
        <w:rPr>
          <w:rFonts w:cs="Arial" w:hint="eastAsia"/>
          <w:snapToGrid w:val="0"/>
          <w:sz w:val="24"/>
          <w:lang w:eastAsia="zh-CN"/>
        </w:rPr>
        <w:t>扣</w:t>
      </w:r>
      <w:r w:rsidRPr="00875380">
        <w:rPr>
          <w:rFonts w:cs="Arial"/>
          <w:snapToGrid w:val="0"/>
          <w:sz w:val="24"/>
          <w:lang w:eastAsia="zh-CN"/>
        </w:rPr>
        <w:t>除外汇和</w:t>
      </w:r>
      <w:r w:rsidRPr="00875380">
        <w:rPr>
          <w:rFonts w:cs="Arial" w:hint="eastAsia"/>
          <w:snapToGrid w:val="0"/>
          <w:sz w:val="24"/>
          <w:lang w:eastAsia="zh-CN"/>
        </w:rPr>
        <w:t>并</w:t>
      </w:r>
      <w:r w:rsidRPr="00875380">
        <w:rPr>
          <w:rFonts w:cs="Arial"/>
          <w:snapToGrid w:val="0"/>
          <w:sz w:val="24"/>
          <w:lang w:eastAsia="zh-CN"/>
        </w:rPr>
        <w:t>购</w:t>
      </w:r>
      <w:r w:rsidRPr="00875380">
        <w:rPr>
          <w:rFonts w:cs="Arial"/>
          <w:snapToGrid w:val="0"/>
          <w:sz w:val="24"/>
          <w:lang w:eastAsia="zh-CN"/>
        </w:rPr>
        <w:t>/</w:t>
      </w:r>
      <w:r w:rsidRPr="00875380">
        <w:rPr>
          <w:rFonts w:cs="Arial"/>
          <w:snapToGrid w:val="0"/>
          <w:sz w:val="24"/>
          <w:lang w:eastAsia="zh-CN"/>
        </w:rPr>
        <w:t>撤资的影响，</w:t>
      </w:r>
      <w:r w:rsidRPr="00875380">
        <w:rPr>
          <w:rFonts w:cs="Arial"/>
          <w:b/>
          <w:bCs/>
          <w:snapToGrid w:val="0"/>
          <w:sz w:val="24"/>
          <w:lang w:eastAsia="zh-CN"/>
        </w:rPr>
        <w:t>有机销售额</w:t>
      </w:r>
      <w:r w:rsidRPr="00875380">
        <w:rPr>
          <w:rFonts w:cs="Arial"/>
          <w:snapToGrid w:val="0"/>
          <w:sz w:val="24"/>
          <w:lang w:eastAsia="zh-CN"/>
        </w:rPr>
        <w:t>增长</w:t>
      </w:r>
      <w:r w:rsidRPr="00875380">
        <w:rPr>
          <w:rFonts w:cs="Arial"/>
          <w:snapToGrid w:val="0"/>
          <w:sz w:val="24"/>
          <w:lang w:eastAsia="zh-CN"/>
        </w:rPr>
        <w:t>2.9%</w:t>
      </w:r>
      <w:r w:rsidRPr="00875380">
        <w:rPr>
          <w:rFonts w:cs="Arial"/>
          <w:snapToGrid w:val="0"/>
          <w:sz w:val="24"/>
          <w:lang w:eastAsia="zh-CN"/>
        </w:rPr>
        <w:t>。</w:t>
      </w:r>
      <w:r w:rsidRPr="00875380">
        <w:rPr>
          <w:rFonts w:cs="Tahoma" w:hint="eastAsia"/>
          <w:sz w:val="24"/>
          <w:lang w:val="en-US" w:eastAsia="zh-CN"/>
        </w:rPr>
        <w:t>将</w:t>
      </w:r>
      <w:r w:rsidRPr="00875380">
        <w:rPr>
          <w:rFonts w:cs="Tahoma"/>
          <w:sz w:val="24"/>
          <w:lang w:val="en-US" w:eastAsia="zh-CN"/>
        </w:rPr>
        <w:t>一次性收益、一次性费用和重组费用</w:t>
      </w:r>
      <w:r w:rsidRPr="00875380">
        <w:rPr>
          <w:rFonts w:cs="Tahoma" w:hint="eastAsia"/>
          <w:sz w:val="24"/>
          <w:lang w:val="en-US" w:eastAsia="zh-CN"/>
        </w:rPr>
        <w:t>纳入计算</w:t>
      </w:r>
      <w:r w:rsidRPr="00875380">
        <w:rPr>
          <w:rFonts w:cs="Tahoma"/>
          <w:sz w:val="24"/>
          <w:lang w:val="en-US" w:eastAsia="zh-CN"/>
        </w:rPr>
        <w:t>后，</w:t>
      </w:r>
      <w:r w:rsidRPr="00875380">
        <w:rPr>
          <w:rFonts w:cs="Arial"/>
          <w:b/>
          <w:bCs/>
          <w:snapToGrid w:val="0"/>
          <w:sz w:val="24"/>
          <w:lang w:eastAsia="zh-CN"/>
        </w:rPr>
        <w:t>调整后运营利润</w:t>
      </w:r>
      <w:r w:rsidRPr="00875380">
        <w:rPr>
          <w:rFonts w:cs="Arial" w:hint="eastAsia"/>
          <w:snapToGrid w:val="0"/>
          <w:sz w:val="24"/>
          <w:lang w:eastAsia="zh-CN"/>
        </w:rPr>
        <w:t>上升</w:t>
      </w:r>
      <w:r w:rsidRPr="00875380">
        <w:rPr>
          <w:rFonts w:cs="Arial"/>
          <w:snapToGrid w:val="0"/>
          <w:sz w:val="24"/>
          <w:lang w:eastAsia="zh-CN"/>
        </w:rPr>
        <w:t>11.3%</w:t>
      </w:r>
      <w:r w:rsidRPr="00875380">
        <w:rPr>
          <w:rFonts w:cs="Arial"/>
          <w:snapToGrid w:val="0"/>
          <w:sz w:val="24"/>
          <w:lang w:eastAsia="zh-CN"/>
        </w:rPr>
        <w:t>，</w:t>
      </w:r>
      <w:r w:rsidRPr="00875380">
        <w:rPr>
          <w:rFonts w:cs="Arial" w:hint="eastAsia"/>
          <w:snapToGrid w:val="0"/>
          <w:sz w:val="24"/>
          <w:lang w:eastAsia="zh-CN"/>
        </w:rPr>
        <w:t>由</w:t>
      </w:r>
      <w:r w:rsidRPr="00875380">
        <w:rPr>
          <w:rFonts w:cs="Arial"/>
          <w:snapToGrid w:val="0"/>
          <w:sz w:val="24"/>
          <w:lang w:eastAsia="zh-CN"/>
        </w:rPr>
        <w:t>6.02</w:t>
      </w:r>
      <w:r w:rsidRPr="00875380">
        <w:rPr>
          <w:rFonts w:cs="Arial"/>
          <w:snapToGrid w:val="0"/>
          <w:sz w:val="24"/>
          <w:lang w:eastAsia="zh-CN"/>
        </w:rPr>
        <w:t>亿增加</w:t>
      </w:r>
      <w:r w:rsidRPr="00875380">
        <w:rPr>
          <w:rFonts w:cs="Arial" w:hint="eastAsia"/>
          <w:snapToGrid w:val="0"/>
          <w:sz w:val="24"/>
          <w:lang w:eastAsia="zh-CN"/>
        </w:rPr>
        <w:t>至</w:t>
      </w:r>
      <w:r w:rsidRPr="00875380">
        <w:rPr>
          <w:rFonts w:cs="Arial"/>
          <w:snapToGrid w:val="0"/>
          <w:sz w:val="24"/>
          <w:lang w:eastAsia="zh-CN"/>
        </w:rPr>
        <w:t>6.70</w:t>
      </w:r>
      <w:r w:rsidRPr="00875380">
        <w:rPr>
          <w:rFonts w:cs="Arial"/>
          <w:snapToGrid w:val="0"/>
          <w:sz w:val="24"/>
          <w:lang w:eastAsia="zh-CN"/>
        </w:rPr>
        <w:t>亿欧元。与</w:t>
      </w:r>
      <w:r w:rsidRPr="00875380">
        <w:rPr>
          <w:rFonts w:cs="Arial" w:hint="eastAsia"/>
          <w:snapToGrid w:val="0"/>
          <w:sz w:val="24"/>
          <w:lang w:eastAsia="zh-CN"/>
        </w:rPr>
        <w:t>上</w:t>
      </w:r>
      <w:r w:rsidRPr="00875380">
        <w:rPr>
          <w:rFonts w:cs="Arial"/>
          <w:snapToGrid w:val="0"/>
          <w:sz w:val="24"/>
          <w:lang w:eastAsia="zh-CN"/>
        </w:rPr>
        <w:t>年同期的</w:t>
      </w:r>
      <w:r w:rsidRPr="00875380">
        <w:rPr>
          <w:rFonts w:cs="Arial"/>
          <w:snapToGrid w:val="0"/>
          <w:sz w:val="24"/>
          <w:lang w:eastAsia="zh-CN"/>
        </w:rPr>
        <w:t>4.44</w:t>
      </w:r>
      <w:r w:rsidRPr="00875380">
        <w:rPr>
          <w:rFonts w:cs="Arial"/>
          <w:snapToGrid w:val="0"/>
          <w:sz w:val="24"/>
          <w:lang w:eastAsia="zh-CN"/>
        </w:rPr>
        <w:t>亿欧元相比，报告</w:t>
      </w:r>
      <w:r w:rsidRPr="00875380">
        <w:rPr>
          <w:rFonts w:cs="Arial" w:hint="eastAsia"/>
          <w:snapToGrid w:val="0"/>
          <w:sz w:val="24"/>
          <w:lang w:eastAsia="zh-CN"/>
        </w:rPr>
        <w:t>中</w:t>
      </w:r>
      <w:r w:rsidRPr="00875380">
        <w:rPr>
          <w:rFonts w:cs="Arial"/>
          <w:snapToGrid w:val="0"/>
          <w:sz w:val="24"/>
          <w:lang w:eastAsia="zh-CN"/>
        </w:rPr>
        <w:t>的</w:t>
      </w:r>
      <w:r w:rsidRPr="00875380">
        <w:rPr>
          <w:rFonts w:cs="Arial" w:hint="eastAsia"/>
          <w:snapToGrid w:val="0"/>
          <w:sz w:val="24"/>
          <w:lang w:eastAsia="zh-CN"/>
        </w:rPr>
        <w:t>营运</w:t>
      </w:r>
      <w:r w:rsidRPr="00875380">
        <w:rPr>
          <w:rFonts w:cs="Arial"/>
          <w:snapToGrid w:val="0"/>
          <w:sz w:val="24"/>
          <w:lang w:eastAsia="zh-CN"/>
        </w:rPr>
        <w:t>利润（</w:t>
      </w:r>
      <w:r w:rsidRPr="00875380">
        <w:rPr>
          <w:rFonts w:cs="Tahoma"/>
          <w:sz w:val="24"/>
          <w:lang w:val="zh-CN" w:eastAsia="zh-CN"/>
        </w:rPr>
        <w:t>息税前利润</w:t>
      </w:r>
      <w:r w:rsidRPr="00875380">
        <w:rPr>
          <w:rFonts w:cs="Arial"/>
          <w:snapToGrid w:val="0"/>
          <w:sz w:val="24"/>
          <w:lang w:eastAsia="zh-CN"/>
        </w:rPr>
        <w:t>）</w:t>
      </w:r>
      <w:r w:rsidRPr="00875380">
        <w:rPr>
          <w:rFonts w:cs="Arial" w:hint="eastAsia"/>
          <w:snapToGrid w:val="0"/>
          <w:sz w:val="24"/>
          <w:lang w:eastAsia="zh-CN"/>
        </w:rPr>
        <w:t>增长</w:t>
      </w:r>
      <w:r w:rsidRPr="00875380">
        <w:rPr>
          <w:rFonts w:cs="Arial"/>
          <w:snapToGrid w:val="0"/>
          <w:sz w:val="24"/>
          <w:lang w:eastAsia="zh-CN"/>
        </w:rPr>
        <w:t>39%</w:t>
      </w:r>
      <w:r w:rsidRPr="00875380">
        <w:rPr>
          <w:rFonts w:cs="Arial"/>
          <w:snapToGrid w:val="0"/>
          <w:sz w:val="24"/>
          <w:lang w:eastAsia="zh-CN"/>
        </w:rPr>
        <w:t>，达</w:t>
      </w:r>
      <w:r w:rsidRPr="00875380">
        <w:rPr>
          <w:rFonts w:cs="Arial"/>
          <w:snapToGrid w:val="0"/>
          <w:sz w:val="24"/>
          <w:lang w:eastAsia="zh-CN"/>
        </w:rPr>
        <w:t>6.16</w:t>
      </w:r>
      <w:r w:rsidRPr="00875380">
        <w:rPr>
          <w:rFonts w:cs="Arial"/>
          <w:snapToGrid w:val="0"/>
          <w:sz w:val="24"/>
          <w:lang w:eastAsia="zh-CN"/>
        </w:rPr>
        <w:t>亿欧元。</w:t>
      </w:r>
    </w:p>
    <w:bookmarkEnd w:id="3"/>
    <w:bookmarkEnd w:id="4"/>
    <w:p w14:paraId="0AACD049"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p>
    <w:p w14:paraId="1F0EEEB9" w14:textId="77777777" w:rsidR="00CA1115" w:rsidRPr="00875380" w:rsidRDefault="00CA1115" w:rsidP="00CA1115">
      <w:pPr>
        <w:adjustRightInd w:val="0"/>
        <w:snapToGrid w:val="0"/>
        <w:spacing w:afterLines="50" w:after="120" w:line="288" w:lineRule="auto"/>
        <w:jc w:val="both"/>
        <w:rPr>
          <w:rFonts w:cs="Arial"/>
          <w:snapToGrid w:val="0"/>
          <w:sz w:val="24"/>
          <w:lang w:eastAsia="zh-CN"/>
        </w:rPr>
      </w:pPr>
      <w:bookmarkStart w:id="5" w:name="OLE_LINK23"/>
      <w:r w:rsidRPr="00875380">
        <w:rPr>
          <w:rFonts w:cs="Arial"/>
          <w:b/>
          <w:snapToGrid w:val="0"/>
          <w:sz w:val="24"/>
          <w:lang w:eastAsia="zh-CN"/>
        </w:rPr>
        <w:t>调整后销售回报率</w:t>
      </w:r>
      <w:r w:rsidRPr="00875380">
        <w:rPr>
          <w:rFonts w:cs="Arial"/>
          <w:snapToGrid w:val="0"/>
          <w:sz w:val="24"/>
          <w:lang w:eastAsia="zh-CN"/>
        </w:rPr>
        <w:t>（</w:t>
      </w:r>
      <w:r w:rsidRPr="00875380">
        <w:rPr>
          <w:rFonts w:cs="Tahoma"/>
          <w:sz w:val="24"/>
          <w:lang w:val="en-US" w:eastAsia="zh-CN"/>
        </w:rPr>
        <w:t>息税前利润率</w:t>
      </w:r>
      <w:r w:rsidRPr="00875380">
        <w:rPr>
          <w:rFonts w:cs="Arial"/>
          <w:snapToGrid w:val="0"/>
          <w:sz w:val="24"/>
          <w:lang w:eastAsia="zh-CN"/>
        </w:rPr>
        <w:t>）</w:t>
      </w:r>
      <w:r w:rsidRPr="00875380">
        <w:rPr>
          <w:rFonts w:cs="Arial" w:hint="eastAsia"/>
          <w:snapToGrid w:val="0"/>
          <w:sz w:val="24"/>
          <w:lang w:eastAsia="zh-CN"/>
        </w:rPr>
        <w:t>上升</w:t>
      </w:r>
      <w:r w:rsidRPr="00875380">
        <w:rPr>
          <w:rFonts w:cs="Arial"/>
          <w:snapToGrid w:val="0"/>
          <w:sz w:val="24"/>
          <w:lang w:eastAsia="zh-CN"/>
        </w:rPr>
        <w:t>0.7</w:t>
      </w:r>
      <w:r w:rsidRPr="00875380">
        <w:rPr>
          <w:rFonts w:cs="Arial"/>
          <w:snapToGrid w:val="0"/>
          <w:sz w:val="24"/>
          <w:lang w:eastAsia="zh-CN"/>
        </w:rPr>
        <w:t>个百分点，</w:t>
      </w:r>
      <w:r w:rsidRPr="00875380">
        <w:rPr>
          <w:rFonts w:cs="Arial" w:hint="eastAsia"/>
          <w:snapToGrid w:val="0"/>
          <w:sz w:val="24"/>
          <w:lang w:eastAsia="zh-CN"/>
        </w:rPr>
        <w:t>由</w:t>
      </w:r>
      <w:r w:rsidRPr="00875380">
        <w:rPr>
          <w:rFonts w:cs="Arial"/>
          <w:snapToGrid w:val="0"/>
          <w:sz w:val="24"/>
          <w:lang w:eastAsia="zh-CN"/>
        </w:rPr>
        <w:t>14.6%</w:t>
      </w:r>
      <w:r w:rsidRPr="00875380">
        <w:rPr>
          <w:rFonts w:cs="Arial" w:hint="eastAsia"/>
          <w:snapToGrid w:val="0"/>
          <w:sz w:val="24"/>
          <w:lang w:eastAsia="zh-CN"/>
        </w:rPr>
        <w:t>增至</w:t>
      </w:r>
      <w:r w:rsidRPr="00875380">
        <w:rPr>
          <w:rFonts w:cs="Arial"/>
          <w:snapToGrid w:val="0"/>
          <w:sz w:val="24"/>
          <w:lang w:eastAsia="zh-CN"/>
        </w:rPr>
        <w:t>15.3%</w:t>
      </w:r>
      <w:r w:rsidRPr="00875380">
        <w:rPr>
          <w:rFonts w:cs="Arial"/>
          <w:snapToGrid w:val="0"/>
          <w:sz w:val="24"/>
          <w:lang w:eastAsia="zh-CN"/>
        </w:rPr>
        <w:t>。报告</w:t>
      </w:r>
      <w:r w:rsidRPr="00875380">
        <w:rPr>
          <w:rFonts w:cs="Arial" w:hint="eastAsia"/>
          <w:snapToGrid w:val="0"/>
          <w:sz w:val="24"/>
          <w:lang w:eastAsia="zh-CN"/>
        </w:rPr>
        <w:t>中</w:t>
      </w:r>
      <w:r w:rsidRPr="00875380">
        <w:rPr>
          <w:rFonts w:cs="Arial"/>
          <w:snapToGrid w:val="0"/>
          <w:sz w:val="24"/>
          <w:lang w:eastAsia="zh-CN"/>
        </w:rPr>
        <w:t>的销售回报率</w:t>
      </w:r>
      <w:r w:rsidRPr="00875380">
        <w:rPr>
          <w:rFonts w:cs="Arial" w:hint="eastAsia"/>
          <w:snapToGrid w:val="0"/>
          <w:sz w:val="24"/>
          <w:lang w:eastAsia="zh-CN"/>
        </w:rPr>
        <w:t>上升</w:t>
      </w:r>
      <w:r w:rsidRPr="00875380">
        <w:rPr>
          <w:rFonts w:cs="Arial"/>
          <w:snapToGrid w:val="0"/>
          <w:sz w:val="24"/>
          <w:lang w:eastAsia="zh-CN"/>
        </w:rPr>
        <w:t>3.3</w:t>
      </w:r>
      <w:r w:rsidRPr="00875380">
        <w:rPr>
          <w:rFonts w:cs="Arial"/>
          <w:snapToGrid w:val="0"/>
          <w:sz w:val="24"/>
          <w:lang w:eastAsia="zh-CN"/>
        </w:rPr>
        <w:t>个百分点，</w:t>
      </w:r>
      <w:r w:rsidRPr="00875380">
        <w:rPr>
          <w:rFonts w:cs="Arial" w:hint="eastAsia"/>
          <w:snapToGrid w:val="0"/>
          <w:sz w:val="24"/>
          <w:lang w:eastAsia="zh-CN"/>
        </w:rPr>
        <w:t>由</w:t>
      </w:r>
      <w:r w:rsidRPr="00875380">
        <w:rPr>
          <w:rFonts w:cs="Arial"/>
          <w:snapToGrid w:val="0"/>
          <w:sz w:val="24"/>
          <w:lang w:eastAsia="zh-CN"/>
        </w:rPr>
        <w:t>10.8%</w:t>
      </w:r>
      <w:r w:rsidRPr="00875380">
        <w:rPr>
          <w:rFonts w:cs="Arial" w:hint="eastAsia"/>
          <w:snapToGrid w:val="0"/>
          <w:sz w:val="24"/>
          <w:lang w:eastAsia="zh-CN"/>
        </w:rPr>
        <w:t>增至</w:t>
      </w:r>
      <w:r w:rsidRPr="00875380">
        <w:rPr>
          <w:rFonts w:cs="Arial"/>
          <w:snapToGrid w:val="0"/>
          <w:sz w:val="24"/>
          <w:lang w:eastAsia="zh-CN"/>
        </w:rPr>
        <w:t>14.1%</w:t>
      </w:r>
      <w:r w:rsidRPr="00875380">
        <w:rPr>
          <w:rFonts w:cs="Arial"/>
          <w:snapToGrid w:val="0"/>
          <w:sz w:val="24"/>
          <w:lang w:eastAsia="zh-CN"/>
        </w:rPr>
        <w:t>。</w:t>
      </w:r>
      <w:r w:rsidRPr="00875380">
        <w:rPr>
          <w:rFonts w:cs="Tahoma"/>
          <w:sz w:val="24"/>
          <w:lang w:val="en-US" w:eastAsia="zh-CN"/>
        </w:rPr>
        <w:t>扣除</w:t>
      </w:r>
      <w:bookmarkStart w:id="6" w:name="OLE_LINK13"/>
      <w:r w:rsidRPr="00875380">
        <w:rPr>
          <w:rFonts w:cs="Tahoma"/>
          <w:sz w:val="24"/>
          <w:lang w:val="en-US" w:eastAsia="zh-CN"/>
        </w:rPr>
        <w:t>非控制性权益后，</w:t>
      </w:r>
      <w:bookmarkEnd w:id="6"/>
      <w:r w:rsidRPr="00875380">
        <w:rPr>
          <w:rFonts w:cs="Tahoma"/>
          <w:b/>
          <w:sz w:val="24"/>
          <w:lang w:val="en-US" w:eastAsia="zh-CN"/>
        </w:rPr>
        <w:t>调整后</w:t>
      </w:r>
      <w:r w:rsidRPr="00875380">
        <w:rPr>
          <w:rFonts w:cs="Tahoma" w:hint="eastAsia"/>
          <w:b/>
          <w:sz w:val="24"/>
          <w:lang w:val="en-US" w:eastAsia="zh-CN"/>
        </w:rPr>
        <w:t>季度</w:t>
      </w:r>
      <w:r w:rsidRPr="00875380">
        <w:rPr>
          <w:rFonts w:cs="Tahoma"/>
          <w:b/>
          <w:sz w:val="24"/>
          <w:lang w:val="en-US" w:eastAsia="zh-CN"/>
        </w:rPr>
        <w:t>净收入</w:t>
      </w:r>
      <w:r w:rsidRPr="00875380">
        <w:rPr>
          <w:rFonts w:cs="Arial"/>
          <w:snapToGrid w:val="0"/>
          <w:sz w:val="24"/>
          <w:lang w:eastAsia="zh-CN"/>
        </w:rPr>
        <w:t>与</w:t>
      </w:r>
      <w:r w:rsidRPr="00875380">
        <w:rPr>
          <w:rFonts w:cs="Arial" w:hint="eastAsia"/>
          <w:snapToGrid w:val="0"/>
          <w:sz w:val="24"/>
          <w:lang w:eastAsia="zh-CN"/>
        </w:rPr>
        <w:t>上</w:t>
      </w:r>
      <w:r w:rsidRPr="00875380">
        <w:rPr>
          <w:rFonts w:cs="Arial"/>
          <w:snapToGrid w:val="0"/>
          <w:sz w:val="24"/>
          <w:lang w:eastAsia="zh-CN"/>
        </w:rPr>
        <w:t>年相比增</w:t>
      </w:r>
      <w:r w:rsidRPr="00875380">
        <w:rPr>
          <w:rFonts w:cs="Arial" w:hint="eastAsia"/>
          <w:snapToGrid w:val="0"/>
          <w:sz w:val="24"/>
          <w:lang w:eastAsia="zh-CN"/>
        </w:rPr>
        <w:t>长</w:t>
      </w:r>
      <w:r w:rsidRPr="00875380">
        <w:rPr>
          <w:rFonts w:cs="Arial"/>
          <w:snapToGrid w:val="0"/>
          <w:sz w:val="24"/>
          <w:lang w:eastAsia="zh-CN"/>
        </w:rPr>
        <w:t>9.8%</w:t>
      </w:r>
      <w:r w:rsidRPr="00875380">
        <w:rPr>
          <w:rFonts w:cs="Arial"/>
          <w:snapToGrid w:val="0"/>
          <w:sz w:val="24"/>
          <w:lang w:eastAsia="zh-CN"/>
        </w:rPr>
        <w:t>，</w:t>
      </w:r>
      <w:r w:rsidRPr="00875380">
        <w:rPr>
          <w:rFonts w:cs="Arial" w:hint="eastAsia"/>
          <w:snapToGrid w:val="0"/>
          <w:sz w:val="24"/>
          <w:lang w:eastAsia="zh-CN"/>
        </w:rPr>
        <w:t>由</w:t>
      </w:r>
      <w:r w:rsidRPr="00875380">
        <w:rPr>
          <w:rFonts w:cs="Arial"/>
          <w:snapToGrid w:val="0"/>
          <w:sz w:val="24"/>
          <w:lang w:eastAsia="zh-CN"/>
        </w:rPr>
        <w:t>4.37</w:t>
      </w:r>
      <w:r w:rsidRPr="00875380">
        <w:rPr>
          <w:rFonts w:cs="Arial"/>
          <w:snapToGrid w:val="0"/>
          <w:sz w:val="24"/>
          <w:lang w:eastAsia="zh-CN"/>
        </w:rPr>
        <w:t>亿</w:t>
      </w:r>
      <w:r w:rsidRPr="00875380">
        <w:rPr>
          <w:rFonts w:cs="Arial" w:hint="eastAsia"/>
          <w:snapToGrid w:val="0"/>
          <w:sz w:val="24"/>
          <w:lang w:eastAsia="zh-CN"/>
        </w:rPr>
        <w:t>增至</w:t>
      </w:r>
      <w:r w:rsidRPr="00875380">
        <w:rPr>
          <w:rFonts w:cs="Arial"/>
          <w:snapToGrid w:val="0"/>
          <w:sz w:val="24"/>
          <w:lang w:eastAsia="zh-CN"/>
        </w:rPr>
        <w:t>4.8</w:t>
      </w:r>
      <w:r w:rsidRPr="00875380">
        <w:rPr>
          <w:rFonts w:cs="Arial"/>
          <w:snapToGrid w:val="0"/>
          <w:sz w:val="24"/>
          <w:lang w:eastAsia="zh-CN"/>
        </w:rPr>
        <w:t>亿欧元。本季度报告的净收入增长</w:t>
      </w:r>
      <w:r w:rsidRPr="00875380">
        <w:rPr>
          <w:rFonts w:cs="Arial"/>
          <w:snapToGrid w:val="0"/>
          <w:sz w:val="24"/>
          <w:lang w:eastAsia="zh-CN"/>
        </w:rPr>
        <w:t>48.7%</w:t>
      </w:r>
      <w:r w:rsidRPr="00875380">
        <w:rPr>
          <w:rFonts w:cs="Arial"/>
          <w:snapToGrid w:val="0"/>
          <w:sz w:val="24"/>
          <w:lang w:eastAsia="zh-CN"/>
        </w:rPr>
        <w:t>，</w:t>
      </w:r>
      <w:r w:rsidRPr="00875380">
        <w:rPr>
          <w:rFonts w:cs="Arial" w:hint="eastAsia"/>
          <w:snapToGrid w:val="0"/>
          <w:sz w:val="24"/>
          <w:lang w:eastAsia="zh-CN"/>
        </w:rPr>
        <w:t>达</w:t>
      </w:r>
      <w:r w:rsidRPr="00875380">
        <w:rPr>
          <w:rFonts w:cs="Arial"/>
          <w:snapToGrid w:val="0"/>
          <w:sz w:val="24"/>
          <w:lang w:eastAsia="zh-CN"/>
        </w:rPr>
        <w:t>4.61</w:t>
      </w:r>
      <w:r w:rsidRPr="00875380">
        <w:rPr>
          <w:rFonts w:cs="Arial"/>
          <w:snapToGrid w:val="0"/>
          <w:sz w:val="24"/>
          <w:lang w:eastAsia="zh-CN"/>
        </w:rPr>
        <w:t>亿欧元（</w:t>
      </w:r>
      <w:r w:rsidRPr="00875380">
        <w:rPr>
          <w:rFonts w:cs="Arial" w:hint="eastAsia"/>
          <w:snapToGrid w:val="0"/>
          <w:sz w:val="24"/>
          <w:lang w:eastAsia="zh-CN"/>
        </w:rPr>
        <w:t>上</w:t>
      </w:r>
      <w:r w:rsidRPr="00875380">
        <w:rPr>
          <w:rFonts w:cs="Arial"/>
          <w:snapToGrid w:val="0"/>
          <w:sz w:val="24"/>
          <w:lang w:eastAsia="zh-CN"/>
        </w:rPr>
        <w:t>年</w:t>
      </w:r>
      <w:r w:rsidRPr="00875380">
        <w:rPr>
          <w:rFonts w:cs="Arial" w:hint="eastAsia"/>
          <w:snapToGrid w:val="0"/>
          <w:sz w:val="24"/>
          <w:lang w:eastAsia="zh-CN"/>
        </w:rPr>
        <w:t>为</w:t>
      </w:r>
      <w:r w:rsidRPr="00875380">
        <w:rPr>
          <w:rFonts w:cs="Arial"/>
          <w:snapToGrid w:val="0"/>
          <w:sz w:val="24"/>
          <w:lang w:eastAsia="zh-CN"/>
        </w:rPr>
        <w:t>3.1</w:t>
      </w:r>
      <w:r w:rsidRPr="00875380">
        <w:rPr>
          <w:rFonts w:cs="Arial"/>
          <w:snapToGrid w:val="0"/>
          <w:sz w:val="24"/>
          <w:lang w:eastAsia="zh-CN"/>
        </w:rPr>
        <w:t>亿欧元）。扣除</w:t>
      </w:r>
      <w:r w:rsidRPr="00875380">
        <w:rPr>
          <w:rFonts w:cs="Arial"/>
          <w:snapToGrid w:val="0"/>
          <w:sz w:val="24"/>
          <w:lang w:eastAsia="zh-CN"/>
        </w:rPr>
        <w:t>1500</w:t>
      </w:r>
      <w:r w:rsidRPr="00875380">
        <w:rPr>
          <w:rFonts w:cs="Arial"/>
          <w:snapToGrid w:val="0"/>
          <w:sz w:val="24"/>
          <w:lang w:eastAsia="zh-CN"/>
        </w:rPr>
        <w:t>万</w:t>
      </w:r>
      <w:proofErr w:type="gramStart"/>
      <w:r w:rsidRPr="00875380">
        <w:rPr>
          <w:rFonts w:cs="Arial"/>
          <w:snapToGrid w:val="0"/>
          <w:sz w:val="24"/>
          <w:lang w:eastAsia="zh-CN"/>
        </w:rPr>
        <w:t>欧元非</w:t>
      </w:r>
      <w:proofErr w:type="gramEnd"/>
      <w:r w:rsidRPr="00875380">
        <w:rPr>
          <w:rFonts w:cs="Arial"/>
          <w:snapToGrid w:val="0"/>
          <w:sz w:val="24"/>
          <w:lang w:eastAsia="zh-CN"/>
        </w:rPr>
        <w:t>控股权益后，净收入达</w:t>
      </w:r>
      <w:r w:rsidRPr="00875380">
        <w:rPr>
          <w:rFonts w:cs="Arial"/>
          <w:snapToGrid w:val="0"/>
          <w:sz w:val="24"/>
          <w:lang w:eastAsia="zh-CN"/>
        </w:rPr>
        <w:t>4.46</w:t>
      </w:r>
      <w:r w:rsidRPr="00875380">
        <w:rPr>
          <w:rFonts w:cs="Arial"/>
          <w:snapToGrid w:val="0"/>
          <w:sz w:val="24"/>
          <w:lang w:eastAsia="zh-CN"/>
        </w:rPr>
        <w:t>亿欧元（</w:t>
      </w:r>
      <w:r w:rsidRPr="00875380">
        <w:rPr>
          <w:rFonts w:cs="Arial" w:hint="eastAsia"/>
          <w:snapToGrid w:val="0"/>
          <w:sz w:val="24"/>
          <w:lang w:eastAsia="zh-CN"/>
        </w:rPr>
        <w:t>上</w:t>
      </w:r>
      <w:r w:rsidRPr="00875380">
        <w:rPr>
          <w:rFonts w:cs="Arial"/>
          <w:snapToGrid w:val="0"/>
          <w:sz w:val="24"/>
          <w:lang w:eastAsia="zh-CN"/>
        </w:rPr>
        <w:t>年</w:t>
      </w:r>
      <w:r w:rsidRPr="00875380">
        <w:rPr>
          <w:rFonts w:cs="Arial" w:hint="eastAsia"/>
          <w:snapToGrid w:val="0"/>
          <w:sz w:val="24"/>
          <w:lang w:eastAsia="zh-CN"/>
        </w:rPr>
        <w:t>同期为</w:t>
      </w:r>
      <w:r w:rsidRPr="00875380">
        <w:rPr>
          <w:rFonts w:cs="Arial"/>
          <w:snapToGrid w:val="0"/>
          <w:sz w:val="24"/>
          <w:lang w:eastAsia="zh-CN"/>
        </w:rPr>
        <w:t>2.98</w:t>
      </w:r>
      <w:r w:rsidRPr="00875380">
        <w:rPr>
          <w:rFonts w:cs="Arial"/>
          <w:snapToGrid w:val="0"/>
          <w:sz w:val="24"/>
          <w:lang w:eastAsia="zh-CN"/>
        </w:rPr>
        <w:t>亿欧元）。</w:t>
      </w:r>
      <w:r w:rsidRPr="00875380">
        <w:rPr>
          <w:rFonts w:cs="Arial"/>
          <w:b/>
          <w:snapToGrid w:val="0"/>
          <w:sz w:val="24"/>
          <w:lang w:eastAsia="zh-CN"/>
        </w:rPr>
        <w:t>调整后</w:t>
      </w:r>
      <w:r w:rsidRPr="00875380">
        <w:rPr>
          <w:rFonts w:cs="Arial" w:hint="eastAsia"/>
          <w:b/>
          <w:snapToGrid w:val="0"/>
          <w:sz w:val="24"/>
          <w:lang w:eastAsia="zh-CN"/>
        </w:rPr>
        <w:t>优先股</w:t>
      </w:r>
      <w:r w:rsidRPr="00875380">
        <w:rPr>
          <w:rFonts w:cs="Arial"/>
          <w:b/>
          <w:snapToGrid w:val="0"/>
          <w:sz w:val="24"/>
          <w:lang w:eastAsia="zh-CN"/>
        </w:rPr>
        <w:t>每股收益</w:t>
      </w:r>
      <w:r w:rsidRPr="00875380">
        <w:rPr>
          <w:rFonts w:cs="Arial"/>
          <w:snapToGrid w:val="0"/>
          <w:sz w:val="24"/>
          <w:lang w:eastAsia="zh-CN"/>
        </w:rPr>
        <w:t>（</w:t>
      </w:r>
      <w:r w:rsidRPr="00875380">
        <w:rPr>
          <w:rFonts w:cs="Arial"/>
          <w:snapToGrid w:val="0"/>
          <w:sz w:val="24"/>
          <w:lang w:eastAsia="zh-CN"/>
        </w:rPr>
        <w:t>EPS</w:t>
      </w:r>
      <w:r w:rsidRPr="00875380">
        <w:rPr>
          <w:rFonts w:cs="Arial"/>
          <w:snapToGrid w:val="0"/>
          <w:sz w:val="24"/>
          <w:lang w:eastAsia="zh-CN"/>
        </w:rPr>
        <w:t>）增</w:t>
      </w:r>
      <w:r w:rsidRPr="00875380">
        <w:rPr>
          <w:rFonts w:cs="Arial" w:hint="eastAsia"/>
          <w:snapToGrid w:val="0"/>
          <w:sz w:val="24"/>
          <w:lang w:eastAsia="zh-CN"/>
        </w:rPr>
        <w:t>长</w:t>
      </w:r>
      <w:r w:rsidRPr="00875380">
        <w:rPr>
          <w:rFonts w:cs="Arial"/>
          <w:snapToGrid w:val="0"/>
          <w:sz w:val="24"/>
          <w:lang w:eastAsia="zh-CN"/>
        </w:rPr>
        <w:t>9.9%</w:t>
      </w:r>
      <w:r w:rsidRPr="00875380">
        <w:rPr>
          <w:rFonts w:cs="Arial"/>
          <w:snapToGrid w:val="0"/>
          <w:sz w:val="24"/>
          <w:lang w:eastAsia="zh-CN"/>
        </w:rPr>
        <w:t>，</w:t>
      </w:r>
      <w:r w:rsidRPr="00875380">
        <w:rPr>
          <w:rFonts w:cs="Arial" w:hint="eastAsia"/>
          <w:snapToGrid w:val="0"/>
          <w:sz w:val="24"/>
          <w:lang w:eastAsia="zh-CN"/>
        </w:rPr>
        <w:t>由</w:t>
      </w:r>
      <w:r w:rsidRPr="00875380">
        <w:rPr>
          <w:rFonts w:cs="Arial"/>
          <w:snapToGrid w:val="0"/>
          <w:sz w:val="24"/>
          <w:lang w:eastAsia="zh-CN"/>
        </w:rPr>
        <w:t>1.01</w:t>
      </w:r>
      <w:r w:rsidRPr="00875380">
        <w:rPr>
          <w:rFonts w:cs="Arial"/>
          <w:snapToGrid w:val="0"/>
          <w:sz w:val="24"/>
          <w:lang w:eastAsia="zh-CN"/>
        </w:rPr>
        <w:t>欧元增</w:t>
      </w:r>
      <w:r w:rsidRPr="00875380">
        <w:rPr>
          <w:rFonts w:cs="Arial" w:hint="eastAsia"/>
          <w:snapToGrid w:val="0"/>
          <w:sz w:val="24"/>
          <w:lang w:eastAsia="zh-CN"/>
        </w:rPr>
        <w:t>至</w:t>
      </w:r>
      <w:r w:rsidRPr="00875380">
        <w:rPr>
          <w:rFonts w:cs="Arial"/>
          <w:snapToGrid w:val="0"/>
          <w:sz w:val="24"/>
          <w:lang w:eastAsia="zh-CN"/>
        </w:rPr>
        <w:t>1.11</w:t>
      </w:r>
      <w:r w:rsidRPr="00875380">
        <w:rPr>
          <w:rFonts w:cs="Arial"/>
          <w:snapToGrid w:val="0"/>
          <w:sz w:val="24"/>
          <w:lang w:eastAsia="zh-CN"/>
        </w:rPr>
        <w:t>欧元。报告</w:t>
      </w:r>
      <w:r w:rsidRPr="00875380">
        <w:rPr>
          <w:rFonts w:cs="Arial" w:hint="eastAsia"/>
          <w:snapToGrid w:val="0"/>
          <w:sz w:val="24"/>
          <w:lang w:eastAsia="zh-CN"/>
        </w:rPr>
        <w:t>中</w:t>
      </w:r>
      <w:r w:rsidRPr="00875380">
        <w:rPr>
          <w:rFonts w:cs="Arial"/>
          <w:snapToGrid w:val="0"/>
          <w:sz w:val="24"/>
          <w:lang w:eastAsia="zh-CN"/>
        </w:rPr>
        <w:t>的</w:t>
      </w:r>
      <w:r w:rsidRPr="00875380">
        <w:rPr>
          <w:rFonts w:cs="Arial" w:hint="eastAsia"/>
          <w:snapToGrid w:val="0"/>
          <w:sz w:val="24"/>
          <w:lang w:eastAsia="zh-CN"/>
        </w:rPr>
        <w:t>优先股</w:t>
      </w:r>
      <w:r w:rsidRPr="00875380">
        <w:rPr>
          <w:rFonts w:cs="Arial"/>
          <w:snapToGrid w:val="0"/>
          <w:sz w:val="24"/>
          <w:lang w:eastAsia="zh-CN"/>
        </w:rPr>
        <w:t>每股收益</w:t>
      </w:r>
      <w:r w:rsidRPr="00875380">
        <w:rPr>
          <w:rFonts w:cs="Arial" w:hint="eastAsia"/>
          <w:snapToGrid w:val="0"/>
          <w:sz w:val="24"/>
          <w:lang w:eastAsia="zh-CN"/>
        </w:rPr>
        <w:t>较上</w:t>
      </w:r>
      <w:r w:rsidRPr="00875380">
        <w:rPr>
          <w:rFonts w:cs="Arial"/>
          <w:snapToGrid w:val="0"/>
          <w:sz w:val="24"/>
          <w:lang w:eastAsia="zh-CN"/>
        </w:rPr>
        <w:t>年同期相比增</w:t>
      </w:r>
      <w:r w:rsidRPr="00875380">
        <w:rPr>
          <w:rFonts w:cs="Arial" w:hint="eastAsia"/>
          <w:snapToGrid w:val="0"/>
          <w:sz w:val="24"/>
          <w:lang w:eastAsia="zh-CN"/>
        </w:rPr>
        <w:t>长</w:t>
      </w:r>
      <w:r w:rsidRPr="00875380">
        <w:rPr>
          <w:rFonts w:cs="Arial"/>
          <w:snapToGrid w:val="0"/>
          <w:sz w:val="24"/>
          <w:lang w:eastAsia="zh-CN"/>
        </w:rPr>
        <w:t>49.3%</w:t>
      </w:r>
      <w:r w:rsidRPr="00875380">
        <w:rPr>
          <w:rFonts w:cs="Arial"/>
          <w:snapToGrid w:val="0"/>
          <w:sz w:val="24"/>
          <w:lang w:eastAsia="zh-CN"/>
        </w:rPr>
        <w:t>，</w:t>
      </w:r>
      <w:r w:rsidRPr="00875380">
        <w:rPr>
          <w:rFonts w:cs="Arial" w:hint="eastAsia"/>
          <w:snapToGrid w:val="0"/>
          <w:sz w:val="24"/>
          <w:lang w:eastAsia="zh-CN"/>
        </w:rPr>
        <w:t>由</w:t>
      </w:r>
      <w:r w:rsidRPr="00875380">
        <w:rPr>
          <w:rFonts w:cs="Arial"/>
          <w:snapToGrid w:val="0"/>
          <w:sz w:val="24"/>
          <w:lang w:eastAsia="zh-CN"/>
        </w:rPr>
        <w:t>0.69</w:t>
      </w:r>
      <w:r w:rsidRPr="00875380">
        <w:rPr>
          <w:rFonts w:cs="Arial"/>
          <w:snapToGrid w:val="0"/>
          <w:sz w:val="24"/>
          <w:lang w:eastAsia="zh-CN"/>
        </w:rPr>
        <w:t>欧元增</w:t>
      </w:r>
      <w:r w:rsidRPr="00875380">
        <w:rPr>
          <w:rFonts w:cs="Arial" w:hint="eastAsia"/>
          <w:snapToGrid w:val="0"/>
          <w:sz w:val="24"/>
          <w:lang w:eastAsia="zh-CN"/>
        </w:rPr>
        <w:t>至</w:t>
      </w:r>
      <w:r w:rsidRPr="00875380">
        <w:rPr>
          <w:rFonts w:cs="Arial"/>
          <w:snapToGrid w:val="0"/>
          <w:sz w:val="24"/>
          <w:lang w:eastAsia="zh-CN"/>
        </w:rPr>
        <w:t>1.03</w:t>
      </w:r>
      <w:r w:rsidRPr="00875380">
        <w:rPr>
          <w:rFonts w:cs="Arial"/>
          <w:snapToGrid w:val="0"/>
          <w:sz w:val="24"/>
          <w:lang w:eastAsia="zh-CN"/>
        </w:rPr>
        <w:t>欧元。</w:t>
      </w:r>
    </w:p>
    <w:bookmarkEnd w:id="5"/>
    <w:p w14:paraId="1AE8DF8A" w14:textId="77777777" w:rsidR="00CA1115" w:rsidRPr="00875380" w:rsidRDefault="00CA1115" w:rsidP="00CA1115">
      <w:pPr>
        <w:pStyle w:val="a5"/>
        <w:adjustRightInd w:val="0"/>
        <w:snapToGrid w:val="0"/>
        <w:spacing w:afterLines="50" w:line="288" w:lineRule="auto"/>
        <w:jc w:val="both"/>
        <w:rPr>
          <w:rFonts w:cs="Arial"/>
          <w:b/>
          <w:snapToGrid w:val="0"/>
        </w:rPr>
      </w:pPr>
    </w:p>
    <w:p w14:paraId="4D8A3894" w14:textId="5DD43E2E" w:rsidR="00CA1115" w:rsidRPr="00875380" w:rsidRDefault="00CA1115" w:rsidP="00875380">
      <w:pPr>
        <w:pStyle w:val="a5"/>
        <w:adjustRightInd w:val="0"/>
        <w:snapToGrid w:val="0"/>
        <w:spacing w:afterLines="50" w:line="288" w:lineRule="auto"/>
        <w:jc w:val="both"/>
        <w:rPr>
          <w:rFonts w:cs="Arial" w:hint="eastAsia"/>
          <w:b/>
          <w:snapToGrid w:val="0"/>
        </w:rPr>
      </w:pPr>
      <w:r w:rsidRPr="00875380">
        <w:rPr>
          <w:rFonts w:cs="Arial"/>
          <w:b/>
          <w:snapToGrid w:val="0"/>
        </w:rPr>
        <w:t>实施公司战略方面取得的佳绩</w:t>
      </w:r>
    </w:p>
    <w:p w14:paraId="5CDFC4D6" w14:textId="77777777" w:rsidR="00CA1115" w:rsidRPr="00875380" w:rsidRDefault="00CA1115" w:rsidP="00CA1115">
      <w:pPr>
        <w:pStyle w:val="a5"/>
        <w:adjustRightInd w:val="0"/>
        <w:snapToGrid w:val="0"/>
        <w:spacing w:afterLines="50" w:line="288" w:lineRule="auto"/>
        <w:jc w:val="both"/>
        <w:rPr>
          <w:rFonts w:eastAsiaTheme="minorEastAsia" w:cs="Tahoma"/>
          <w:lang w:val="zh-CN" w:eastAsia="zh-CN"/>
        </w:rPr>
      </w:pPr>
      <w:r w:rsidRPr="00875380">
        <w:rPr>
          <w:rFonts w:cs="Tahoma"/>
          <w:lang w:val="en-US" w:eastAsia="zh-CN"/>
        </w:rPr>
        <w:t>201</w:t>
      </w:r>
      <w:r w:rsidRPr="00875380">
        <w:rPr>
          <w:rFonts w:cs="Tahoma"/>
          <w:lang w:eastAsia="zh-CN"/>
        </w:rPr>
        <w:t>5</w:t>
      </w:r>
      <w:r w:rsidRPr="00875380">
        <w:rPr>
          <w:rFonts w:cs="Tahoma"/>
          <w:lang w:val="zh-CN" w:eastAsia="zh-CN"/>
        </w:rPr>
        <w:t>财年中</w:t>
      </w:r>
      <w:r w:rsidRPr="00875380">
        <w:rPr>
          <w:rFonts w:cs="Tahoma"/>
          <w:lang w:val="en-US" w:eastAsia="zh-CN"/>
        </w:rPr>
        <w:t>，</w:t>
      </w:r>
      <w:r w:rsidRPr="00875380">
        <w:rPr>
          <w:rFonts w:cs="Tahoma"/>
          <w:lang w:val="zh-CN" w:eastAsia="zh-CN"/>
        </w:rPr>
        <w:t>汉高在实施</w:t>
      </w:r>
      <w:r w:rsidRPr="00875380">
        <w:rPr>
          <w:rFonts w:cs="Tahoma"/>
          <w:lang w:val="en-US" w:eastAsia="zh-CN"/>
        </w:rPr>
        <w:t>2016</w:t>
      </w:r>
      <w:r w:rsidRPr="00875380">
        <w:rPr>
          <w:rFonts w:cs="Tahoma"/>
          <w:lang w:val="zh-CN" w:eastAsia="zh-CN"/>
        </w:rPr>
        <w:t>年战略方面取得了非常突出的成绩。取得上述优异表现的主要原因是对公司四大战略</w:t>
      </w:r>
      <w:r w:rsidRPr="00875380">
        <w:rPr>
          <w:rFonts w:cs="Tahoma" w:hint="eastAsia"/>
          <w:lang w:val="zh-CN" w:eastAsia="zh-CN"/>
        </w:rPr>
        <w:t>核心</w:t>
      </w:r>
      <w:r w:rsidRPr="00875380">
        <w:rPr>
          <w:rFonts w:cs="Tahoma"/>
          <w:lang w:val="zh-CN" w:eastAsia="zh-CN"/>
        </w:rPr>
        <w:t>“</w:t>
      </w:r>
      <w:r w:rsidRPr="00875380">
        <w:rPr>
          <w:rFonts w:cs="Tahoma"/>
          <w:lang w:val="zh-CN" w:eastAsia="zh-CN"/>
        </w:rPr>
        <w:t>超越、全球化、简化、</w:t>
      </w:r>
      <w:r w:rsidRPr="00875380">
        <w:rPr>
          <w:rFonts w:cs="Tahoma" w:hint="eastAsia"/>
          <w:lang w:val="zh-CN" w:eastAsia="zh-CN"/>
        </w:rPr>
        <w:t>激发</w:t>
      </w:r>
      <w:r w:rsidRPr="00875380">
        <w:rPr>
          <w:rFonts w:cs="Tahoma"/>
          <w:lang w:val="zh-CN" w:eastAsia="zh-CN"/>
        </w:rPr>
        <w:t>”</w:t>
      </w:r>
      <w:r w:rsidRPr="00875380">
        <w:rPr>
          <w:rFonts w:cs="Tahoma"/>
          <w:lang w:val="zh-CN" w:eastAsia="zh-CN"/>
        </w:rPr>
        <w:t>的切实贯彻。</w:t>
      </w:r>
    </w:p>
    <w:p w14:paraId="0F8F250E" w14:textId="77777777" w:rsidR="00CA1115" w:rsidRPr="00875380" w:rsidRDefault="00CA1115" w:rsidP="00CA1115">
      <w:pPr>
        <w:pStyle w:val="a5"/>
        <w:adjustRightInd w:val="0"/>
        <w:snapToGrid w:val="0"/>
        <w:spacing w:afterLines="50" w:line="288" w:lineRule="auto"/>
        <w:jc w:val="both"/>
        <w:rPr>
          <w:rFonts w:eastAsiaTheme="minorEastAsia" w:cs="Tahoma"/>
          <w:lang w:val="zh-CN" w:eastAsia="zh-CN"/>
        </w:rPr>
      </w:pPr>
    </w:p>
    <w:p w14:paraId="69372050" w14:textId="3262625F" w:rsidR="00CA1115" w:rsidRPr="00875380" w:rsidRDefault="00CA1115" w:rsidP="00875380">
      <w:pPr>
        <w:pStyle w:val="a5"/>
        <w:adjustRightInd w:val="0"/>
        <w:snapToGrid w:val="0"/>
        <w:spacing w:afterLines="50" w:line="288" w:lineRule="auto"/>
        <w:jc w:val="both"/>
        <w:rPr>
          <w:rFonts w:cs="Tahoma"/>
          <w:b/>
        </w:rPr>
      </w:pPr>
      <w:r w:rsidRPr="00875380">
        <w:rPr>
          <w:rFonts w:cs="Tahoma"/>
          <w:b/>
          <w:lang w:val="en-US"/>
        </w:rPr>
        <w:t>超越竞争对手</w:t>
      </w:r>
    </w:p>
    <w:p w14:paraId="5335EE3A" w14:textId="5BB32EB0"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2015</w:t>
      </w:r>
      <w:r w:rsidRPr="00875380">
        <w:rPr>
          <w:rFonts w:cs="Arial"/>
          <w:snapToGrid w:val="0"/>
          <w:lang w:eastAsia="zh-CN"/>
        </w:rPr>
        <w:t>年</w:t>
      </w:r>
      <w:r w:rsidRPr="00875380">
        <w:rPr>
          <w:rFonts w:cs="Arial" w:hint="eastAsia"/>
          <w:snapToGrid w:val="0"/>
          <w:lang w:eastAsia="zh-CN"/>
        </w:rPr>
        <w:t>，</w:t>
      </w:r>
      <w:r w:rsidRPr="00875380">
        <w:rPr>
          <w:rFonts w:cs="Tahoma"/>
          <w:lang w:val="en-US" w:eastAsia="zh-CN"/>
        </w:rPr>
        <w:t>汉高继续强化</w:t>
      </w:r>
      <w:r w:rsidRPr="00875380">
        <w:rPr>
          <w:rFonts w:cs="Tahoma" w:hint="eastAsia"/>
          <w:lang w:val="en-US" w:eastAsia="zh-CN"/>
        </w:rPr>
        <w:t>核心</w:t>
      </w:r>
      <w:r w:rsidRPr="00875380">
        <w:rPr>
          <w:rFonts w:cs="Tahoma"/>
          <w:lang w:val="en-US" w:eastAsia="zh-CN"/>
        </w:rPr>
        <w:t>品牌。宝莹</w:t>
      </w:r>
      <w:r w:rsidRPr="00875380">
        <w:rPr>
          <w:rFonts w:cs="Tahoma" w:hint="eastAsia"/>
          <w:lang w:val="en-US" w:eastAsia="zh-CN"/>
        </w:rPr>
        <w:t>（</w:t>
      </w:r>
      <w:r w:rsidRPr="00875380">
        <w:rPr>
          <w:rFonts w:cs="Tahoma" w:hint="eastAsia"/>
          <w:lang w:val="en-US" w:eastAsia="zh-CN"/>
        </w:rPr>
        <w:t>Persil</w:t>
      </w:r>
      <w:r w:rsidRPr="00875380">
        <w:rPr>
          <w:rFonts w:cs="Tahoma" w:hint="eastAsia"/>
          <w:lang w:val="en-US" w:eastAsia="zh-CN"/>
        </w:rPr>
        <w:t>）</w:t>
      </w:r>
      <w:r w:rsidRPr="00875380">
        <w:rPr>
          <w:rFonts w:cs="Tahoma"/>
          <w:lang w:val="en-US" w:eastAsia="zh-CN"/>
        </w:rPr>
        <w:t>、施华</w:t>
      </w:r>
      <w:proofErr w:type="gramStart"/>
      <w:r w:rsidRPr="00875380">
        <w:rPr>
          <w:rFonts w:cs="Tahoma"/>
          <w:lang w:val="en-US" w:eastAsia="zh-CN"/>
        </w:rPr>
        <w:t>蔻</w:t>
      </w:r>
      <w:proofErr w:type="gramEnd"/>
      <w:r w:rsidRPr="00875380">
        <w:rPr>
          <w:rFonts w:cs="Tahoma" w:hint="eastAsia"/>
          <w:lang w:val="en-US" w:eastAsia="zh-CN"/>
        </w:rPr>
        <w:t>（</w:t>
      </w:r>
      <w:r w:rsidRPr="00875380">
        <w:rPr>
          <w:rFonts w:cs="Tahoma" w:hint="eastAsia"/>
          <w:lang w:val="en-US" w:eastAsia="zh-CN"/>
        </w:rPr>
        <w:t>Schwarzkopf</w:t>
      </w:r>
      <w:r w:rsidRPr="00875380">
        <w:rPr>
          <w:rFonts w:cs="Tahoma" w:hint="eastAsia"/>
          <w:lang w:val="en-US" w:eastAsia="zh-CN"/>
        </w:rPr>
        <w:t>）</w:t>
      </w:r>
      <w:r w:rsidRPr="00875380">
        <w:rPr>
          <w:rFonts w:cs="Tahoma"/>
          <w:lang w:val="en-US" w:eastAsia="zh-CN"/>
        </w:rPr>
        <w:t>和乐泰</w:t>
      </w:r>
      <w:r w:rsidRPr="00875380">
        <w:rPr>
          <w:rFonts w:cs="Tahoma" w:hint="eastAsia"/>
          <w:lang w:val="en-US" w:eastAsia="zh-CN"/>
        </w:rPr>
        <w:t>（</w:t>
      </w:r>
      <w:r w:rsidRPr="00875380">
        <w:rPr>
          <w:rFonts w:cs="Tahoma" w:hint="eastAsia"/>
          <w:lang w:val="en-US" w:eastAsia="zh-CN"/>
        </w:rPr>
        <w:t>Loctite</w:t>
      </w:r>
      <w:r w:rsidRPr="00875380">
        <w:rPr>
          <w:rFonts w:cs="Tahoma" w:hint="eastAsia"/>
          <w:lang w:val="en-US" w:eastAsia="zh-CN"/>
        </w:rPr>
        <w:t>）</w:t>
      </w:r>
      <w:r w:rsidRPr="00875380">
        <w:rPr>
          <w:rFonts w:cs="Tahoma"/>
          <w:lang w:val="en-US" w:eastAsia="zh-CN"/>
        </w:rPr>
        <w:t>产出</w:t>
      </w:r>
      <w:r w:rsidRPr="00875380">
        <w:rPr>
          <w:rFonts w:cs="Tahoma" w:hint="eastAsia"/>
          <w:lang w:val="en-US" w:eastAsia="zh-CN"/>
        </w:rPr>
        <w:t>的</w:t>
      </w:r>
      <w:r w:rsidRPr="00875380">
        <w:rPr>
          <w:rFonts w:cs="Tahoma"/>
          <w:lang w:val="en-US" w:eastAsia="zh-CN"/>
        </w:rPr>
        <w:t>销售额达</w:t>
      </w:r>
      <w:r w:rsidRPr="00875380">
        <w:rPr>
          <w:rFonts w:cs="Tahoma"/>
          <w:lang w:val="en-US" w:eastAsia="zh-CN"/>
        </w:rPr>
        <w:t>5</w:t>
      </w:r>
      <w:r w:rsidRPr="00875380">
        <w:rPr>
          <w:rFonts w:cs="Tahoma"/>
          <w:lang w:eastAsia="zh-CN"/>
        </w:rPr>
        <w:t>9</w:t>
      </w:r>
      <w:r w:rsidRPr="00875380">
        <w:rPr>
          <w:rFonts w:cs="Tahoma"/>
          <w:lang w:val="en-US" w:eastAsia="zh-CN"/>
        </w:rPr>
        <w:t>亿欧元。前</w:t>
      </w:r>
      <w:r w:rsidRPr="00875380">
        <w:rPr>
          <w:rFonts w:cs="Tahoma" w:hint="eastAsia"/>
          <w:lang w:val="en-US" w:eastAsia="zh-CN"/>
        </w:rPr>
        <w:t>十</w:t>
      </w:r>
      <w:r w:rsidRPr="00875380">
        <w:rPr>
          <w:rFonts w:cs="Tahoma"/>
          <w:lang w:val="en-US" w:eastAsia="zh-CN"/>
        </w:rPr>
        <w:t>大</w:t>
      </w:r>
      <w:r w:rsidRPr="00875380">
        <w:rPr>
          <w:rFonts w:cs="Tahoma" w:hint="eastAsia"/>
          <w:lang w:val="en-US" w:eastAsia="zh-CN"/>
        </w:rPr>
        <w:t>核心</w:t>
      </w:r>
      <w:r w:rsidRPr="00875380">
        <w:rPr>
          <w:rFonts w:cs="Tahoma"/>
          <w:lang w:val="en-US" w:eastAsia="zh-CN"/>
        </w:rPr>
        <w:t>品牌的销售</w:t>
      </w:r>
      <w:r w:rsidRPr="00875380">
        <w:rPr>
          <w:rFonts w:cs="Tahoma" w:hint="eastAsia"/>
          <w:lang w:val="en-US" w:eastAsia="zh-CN"/>
        </w:rPr>
        <w:t>份</w:t>
      </w:r>
      <w:r w:rsidRPr="00875380">
        <w:rPr>
          <w:rFonts w:cs="Tahoma"/>
          <w:lang w:val="en-US" w:eastAsia="zh-CN"/>
        </w:rPr>
        <w:t>额从</w:t>
      </w:r>
      <w:r w:rsidRPr="00875380">
        <w:rPr>
          <w:rFonts w:cs="Tahoma"/>
          <w:lang w:val="en-US" w:eastAsia="zh-CN"/>
        </w:rPr>
        <w:t>5</w:t>
      </w:r>
      <w:r w:rsidRPr="00875380">
        <w:rPr>
          <w:rFonts w:cs="Tahoma"/>
          <w:lang w:eastAsia="zh-CN"/>
        </w:rPr>
        <w:t>9</w:t>
      </w:r>
      <w:r w:rsidRPr="00875380">
        <w:rPr>
          <w:rFonts w:cs="Tahoma"/>
          <w:lang w:val="en-US" w:eastAsia="zh-CN"/>
        </w:rPr>
        <w:t>%</w:t>
      </w:r>
      <w:r w:rsidRPr="00875380">
        <w:rPr>
          <w:rFonts w:cs="Tahoma"/>
          <w:lang w:val="en-US" w:eastAsia="zh-CN"/>
        </w:rPr>
        <w:t>增至</w:t>
      </w:r>
      <w:r w:rsidRPr="00875380">
        <w:rPr>
          <w:rFonts w:cs="Tahoma"/>
          <w:lang w:eastAsia="zh-CN"/>
        </w:rPr>
        <w:t>61</w:t>
      </w:r>
      <w:r w:rsidRPr="00875380">
        <w:rPr>
          <w:rFonts w:cs="Tahoma"/>
          <w:lang w:val="en-US" w:eastAsia="zh-CN"/>
        </w:rPr>
        <w:t>%</w:t>
      </w:r>
      <w:r w:rsidRPr="00875380">
        <w:rPr>
          <w:rFonts w:cs="Arial"/>
          <w:snapToGrid w:val="0"/>
          <w:lang w:eastAsia="zh-CN"/>
        </w:rPr>
        <w:t>，</w:t>
      </w:r>
      <w:r w:rsidRPr="00875380">
        <w:rPr>
          <w:rFonts w:cs="Arial"/>
          <w:snapToGrid w:val="0"/>
          <w:lang w:eastAsia="zh-CN"/>
        </w:rPr>
        <w:lastRenderedPageBreak/>
        <w:t>已</w:t>
      </w:r>
      <w:r w:rsidR="00956399" w:rsidRPr="00875380">
        <w:rPr>
          <w:rFonts w:cs="Arial" w:hint="eastAsia"/>
          <w:snapToGrid w:val="0"/>
          <w:lang w:eastAsia="zh-CN"/>
        </w:rPr>
        <w:t>超过了</w:t>
      </w:r>
      <w:r w:rsidRPr="00875380">
        <w:rPr>
          <w:rFonts w:cs="Arial"/>
          <w:snapToGrid w:val="0"/>
          <w:lang w:eastAsia="zh-CN"/>
        </w:rPr>
        <w:t>2016</w:t>
      </w:r>
      <w:r w:rsidRPr="00875380">
        <w:rPr>
          <w:rFonts w:cs="Arial"/>
          <w:snapToGrid w:val="0"/>
          <w:lang w:eastAsia="zh-CN"/>
        </w:rPr>
        <w:t>年</w:t>
      </w:r>
      <w:r w:rsidRPr="00875380">
        <w:rPr>
          <w:rFonts w:cs="Arial" w:hint="eastAsia"/>
          <w:snapToGrid w:val="0"/>
          <w:lang w:eastAsia="zh-CN"/>
        </w:rPr>
        <w:t>设定的目标</w:t>
      </w:r>
      <w:r w:rsidRPr="00875380">
        <w:rPr>
          <w:rFonts w:cs="Arial"/>
          <w:snapToGrid w:val="0"/>
          <w:lang w:eastAsia="zh-CN"/>
        </w:rPr>
        <w:t>60%</w:t>
      </w:r>
      <w:r w:rsidRPr="00875380">
        <w:rPr>
          <w:rFonts w:cs="Arial"/>
          <w:snapToGrid w:val="0"/>
          <w:lang w:eastAsia="zh-CN"/>
        </w:rPr>
        <w:t>。</w:t>
      </w:r>
      <w:proofErr w:type="spellStart"/>
      <w:r w:rsidRPr="00875380">
        <w:rPr>
          <w:rFonts w:cs="Arial"/>
          <w:snapToGrid w:val="0"/>
          <w:lang w:eastAsia="zh-CN"/>
        </w:rPr>
        <w:t>较</w:t>
      </w:r>
      <w:r w:rsidRPr="00875380">
        <w:rPr>
          <w:rFonts w:cs="Arial" w:hint="eastAsia"/>
          <w:snapToGrid w:val="0"/>
          <w:lang w:eastAsia="zh-CN"/>
        </w:rPr>
        <w:t>上</w:t>
      </w:r>
      <w:r w:rsidRPr="00875380">
        <w:rPr>
          <w:rFonts w:cs="Arial"/>
          <w:snapToGrid w:val="0"/>
          <w:lang w:eastAsia="zh-CN"/>
        </w:rPr>
        <w:t>年</w:t>
      </w:r>
      <w:r w:rsidRPr="00875380">
        <w:rPr>
          <w:rFonts w:cs="Arial" w:hint="eastAsia"/>
          <w:snapToGrid w:val="0"/>
          <w:lang w:eastAsia="zh-CN"/>
        </w:rPr>
        <w:t>取得</w:t>
      </w:r>
      <w:r w:rsidRPr="00875380">
        <w:rPr>
          <w:rFonts w:cs="Arial"/>
          <w:snapToGrid w:val="0"/>
          <w:lang w:eastAsia="zh-CN"/>
        </w:rPr>
        <w:t>的显著增长得益于创新、对品牌资产的投资以及</w:t>
      </w:r>
      <w:r w:rsidRPr="00875380">
        <w:rPr>
          <w:rFonts w:cs="Arial" w:hint="eastAsia"/>
          <w:snapToGrid w:val="0"/>
          <w:lang w:eastAsia="zh-CN"/>
        </w:rPr>
        <w:t>在</w:t>
      </w:r>
      <w:r w:rsidRPr="00875380">
        <w:rPr>
          <w:rFonts w:cs="Arial"/>
          <w:snapToGrid w:val="0"/>
          <w:lang w:eastAsia="zh-CN"/>
        </w:rPr>
        <w:t>新</w:t>
      </w:r>
      <w:r w:rsidRPr="00875380">
        <w:rPr>
          <w:rFonts w:cs="Arial" w:hint="eastAsia"/>
          <w:snapToGrid w:val="0"/>
          <w:lang w:eastAsia="zh-CN"/>
        </w:rPr>
        <w:t>兴</w:t>
      </w:r>
      <w:r w:rsidRPr="00875380">
        <w:rPr>
          <w:rFonts w:cs="Arial"/>
          <w:snapToGrid w:val="0"/>
          <w:lang w:eastAsia="zh-CN"/>
        </w:rPr>
        <w:t>市场的拓展。</w:t>
      </w:r>
      <w:r w:rsidRPr="00875380">
        <w:rPr>
          <w:rFonts w:cs="Tahoma"/>
          <w:lang w:val="en-US" w:eastAsia="zh-CN"/>
        </w:rPr>
        <w:t>汉高</w:t>
      </w:r>
      <w:r w:rsidRPr="00875380">
        <w:rPr>
          <w:rFonts w:cs="Tahoma" w:hint="eastAsia"/>
          <w:lang w:val="en-US" w:eastAsia="zh-CN"/>
        </w:rPr>
        <w:t>的</w:t>
      </w:r>
      <w:r w:rsidRPr="00875380">
        <w:rPr>
          <w:rFonts w:cs="Tahoma"/>
          <w:lang w:val="en-US" w:eastAsia="zh-CN"/>
        </w:rPr>
        <w:t>消费</w:t>
      </w:r>
      <w:r w:rsidRPr="00875380">
        <w:rPr>
          <w:rFonts w:cs="Tahoma" w:hint="eastAsia"/>
          <w:lang w:val="en-US" w:eastAsia="zh-CN"/>
        </w:rPr>
        <w:t>类</w:t>
      </w:r>
      <w:r w:rsidRPr="00875380">
        <w:rPr>
          <w:rFonts w:cs="Tahoma"/>
          <w:lang w:val="en-US" w:eastAsia="zh-CN"/>
        </w:rPr>
        <w:t>业务</w:t>
      </w:r>
      <w:r w:rsidRPr="00875380">
        <w:rPr>
          <w:rFonts w:cs="Tahoma" w:hint="eastAsia"/>
          <w:lang w:val="en-US" w:eastAsia="zh-CN"/>
        </w:rPr>
        <w:t>部</w:t>
      </w:r>
      <w:proofErr w:type="spellEnd"/>
      <w:r w:rsidRPr="00875380">
        <w:rPr>
          <w:rFonts w:cs="Tahoma"/>
          <w:lang w:val="en-US" w:eastAsia="zh-CN"/>
        </w:rPr>
        <w:t>（洗涤剂及家用护理、化妆品</w:t>
      </w:r>
      <w:r w:rsidRPr="00875380">
        <w:rPr>
          <w:rFonts w:cs="Tahoma"/>
          <w:lang w:val="en-US" w:eastAsia="zh-CN"/>
        </w:rPr>
        <w:t>/</w:t>
      </w:r>
      <w:r w:rsidRPr="00875380">
        <w:rPr>
          <w:rFonts w:cs="Tahoma"/>
          <w:lang w:val="en-US" w:eastAsia="zh-CN"/>
        </w:rPr>
        <w:t>美容用品）</w:t>
      </w:r>
      <w:r w:rsidRPr="00875380">
        <w:rPr>
          <w:rFonts w:cs="Tahoma" w:hint="eastAsia"/>
          <w:lang w:val="en-US" w:eastAsia="zh-CN"/>
        </w:rPr>
        <w:t>中</w:t>
      </w:r>
      <w:r w:rsidRPr="00875380">
        <w:rPr>
          <w:rFonts w:cs="Tahoma"/>
          <w:lang w:val="en-US" w:eastAsia="zh-CN"/>
        </w:rPr>
        <w:t>有超过</w:t>
      </w:r>
      <w:r w:rsidRPr="00875380">
        <w:rPr>
          <w:rFonts w:cs="Tahoma"/>
          <w:lang w:val="en-US" w:eastAsia="zh-CN"/>
        </w:rPr>
        <w:t>45%</w:t>
      </w:r>
      <w:r w:rsidRPr="00875380">
        <w:rPr>
          <w:rFonts w:cs="Tahoma"/>
          <w:lang w:val="en-US" w:eastAsia="zh-CN"/>
        </w:rPr>
        <w:t>的销售额来自</w:t>
      </w:r>
      <w:r w:rsidRPr="00875380">
        <w:rPr>
          <w:rFonts w:cs="Tahoma" w:hint="eastAsia"/>
          <w:lang w:val="en-US" w:eastAsia="zh-CN"/>
        </w:rPr>
        <w:t>过去三年内投放市场</w:t>
      </w:r>
      <w:r w:rsidRPr="00875380">
        <w:rPr>
          <w:rFonts w:cs="Tahoma"/>
          <w:lang w:val="en-US" w:eastAsia="zh-CN"/>
        </w:rPr>
        <w:t>的</w:t>
      </w:r>
      <w:r w:rsidRPr="00875380">
        <w:rPr>
          <w:rFonts w:cs="Tahoma" w:hint="eastAsia"/>
          <w:lang w:val="en-US" w:eastAsia="zh-CN"/>
        </w:rPr>
        <w:t>新</w:t>
      </w:r>
      <w:r w:rsidRPr="00875380">
        <w:rPr>
          <w:rFonts w:cs="Tahoma"/>
          <w:lang w:val="en-US" w:eastAsia="zh-CN"/>
        </w:rPr>
        <w:t>产品。在粘合剂技术业务部，销售额</w:t>
      </w:r>
      <w:r w:rsidRPr="00875380">
        <w:rPr>
          <w:rFonts w:cs="Tahoma" w:hint="eastAsia"/>
          <w:lang w:val="en-US" w:eastAsia="zh-CN"/>
        </w:rPr>
        <w:t>中</w:t>
      </w:r>
      <w:r w:rsidRPr="00875380">
        <w:rPr>
          <w:rFonts w:cs="Tahoma"/>
          <w:lang w:val="en-US" w:eastAsia="zh-CN"/>
        </w:rPr>
        <w:t>过去五年内推出的产品比例增至</w:t>
      </w:r>
      <w:r w:rsidRPr="00875380">
        <w:rPr>
          <w:rFonts w:cs="Tahoma"/>
          <w:lang w:val="en-US" w:eastAsia="zh-CN"/>
        </w:rPr>
        <w:t>30%</w:t>
      </w:r>
      <w:r w:rsidRPr="00875380">
        <w:rPr>
          <w:rFonts w:cs="Tahoma"/>
          <w:lang w:val="en-US" w:eastAsia="zh-CN"/>
        </w:rPr>
        <w:t>以上。</w:t>
      </w:r>
      <w:r w:rsidRPr="00875380">
        <w:rPr>
          <w:rFonts w:eastAsiaTheme="minorEastAsia" w:cs="Tahoma" w:hint="eastAsia"/>
          <w:lang w:eastAsia="zh-CN"/>
        </w:rPr>
        <w:t>同样</w:t>
      </w:r>
      <w:r w:rsidRPr="00875380">
        <w:rPr>
          <w:rFonts w:eastAsiaTheme="minorEastAsia" w:cs="Tahoma"/>
          <w:lang w:eastAsia="zh-CN"/>
        </w:rPr>
        <w:t>在</w:t>
      </w:r>
      <w:r w:rsidRPr="00875380">
        <w:rPr>
          <w:rFonts w:cs="Arial"/>
          <w:snapToGrid w:val="0"/>
          <w:lang w:eastAsia="zh-CN"/>
        </w:rPr>
        <w:t>2015</w:t>
      </w:r>
      <w:r w:rsidRPr="00875380">
        <w:rPr>
          <w:rFonts w:cs="Arial"/>
          <w:snapToGrid w:val="0"/>
          <w:lang w:eastAsia="zh-CN"/>
        </w:rPr>
        <w:t>年，</w:t>
      </w:r>
      <w:r w:rsidRPr="00875380">
        <w:rPr>
          <w:rFonts w:cs="Arial" w:hint="eastAsia"/>
          <w:snapToGrid w:val="0"/>
          <w:lang w:eastAsia="zh-CN"/>
        </w:rPr>
        <w:t>汉高</w:t>
      </w:r>
      <w:r w:rsidRPr="00875380">
        <w:rPr>
          <w:rFonts w:cs="Arial"/>
          <w:snapToGrid w:val="0"/>
          <w:lang w:eastAsia="zh-CN"/>
        </w:rPr>
        <w:t>与主要零售</w:t>
      </w:r>
      <w:r w:rsidRPr="00875380">
        <w:rPr>
          <w:rFonts w:cs="Arial" w:hint="eastAsia"/>
          <w:snapToGrid w:val="0"/>
          <w:lang w:eastAsia="zh-CN"/>
        </w:rPr>
        <w:t>商以及</w:t>
      </w:r>
      <w:r w:rsidRPr="00875380">
        <w:rPr>
          <w:rFonts w:cs="Arial"/>
          <w:snapToGrid w:val="0"/>
          <w:lang w:eastAsia="zh-CN"/>
        </w:rPr>
        <w:t>工业客户的</w:t>
      </w:r>
      <w:r w:rsidRPr="00875380">
        <w:rPr>
          <w:rFonts w:cs="Arial" w:hint="eastAsia"/>
          <w:snapToGrid w:val="0"/>
          <w:lang w:eastAsia="zh-CN"/>
        </w:rPr>
        <w:t>紧密的</w:t>
      </w:r>
      <w:r w:rsidRPr="00875380">
        <w:rPr>
          <w:rFonts w:cs="Arial"/>
          <w:snapToGrid w:val="0"/>
          <w:lang w:eastAsia="zh-CN"/>
        </w:rPr>
        <w:t>业务关系再次帮助我们提高了</w:t>
      </w:r>
      <w:r w:rsidRPr="00875380">
        <w:rPr>
          <w:rFonts w:cs="Arial" w:hint="eastAsia"/>
          <w:snapToGrid w:val="0"/>
          <w:lang w:eastAsia="zh-CN"/>
        </w:rPr>
        <w:t>相关</w:t>
      </w:r>
      <w:r w:rsidRPr="00875380">
        <w:rPr>
          <w:rFonts w:cs="Arial"/>
          <w:snapToGrid w:val="0"/>
          <w:lang w:eastAsia="zh-CN"/>
        </w:rPr>
        <w:t>的销售额占比。</w:t>
      </w:r>
    </w:p>
    <w:p w14:paraId="5701075B" w14:textId="77777777" w:rsidR="00CA1115" w:rsidRPr="00875380" w:rsidRDefault="00CA1115" w:rsidP="00CA1115">
      <w:pPr>
        <w:pStyle w:val="a5"/>
        <w:adjustRightInd w:val="0"/>
        <w:snapToGrid w:val="0"/>
        <w:spacing w:afterLines="50" w:line="288" w:lineRule="auto"/>
        <w:jc w:val="both"/>
        <w:rPr>
          <w:rFonts w:cs="Arial"/>
          <w:snapToGrid w:val="0"/>
          <w:lang w:val="en-US" w:eastAsia="zh-CN"/>
        </w:rPr>
      </w:pPr>
    </w:p>
    <w:p w14:paraId="2D3B53B6"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lang w:eastAsia="zh-CN"/>
        </w:rPr>
        <w:t>除了提高竞争地位，汉高还认识到数字化是未来业务成功的一个关键</w:t>
      </w:r>
      <w:r w:rsidRPr="00875380">
        <w:rPr>
          <w:rFonts w:cs="Arial" w:hint="eastAsia"/>
          <w:snapToGrid w:val="0"/>
          <w:lang w:eastAsia="zh-CN"/>
        </w:rPr>
        <w:t>驱动力</w:t>
      </w:r>
      <w:r w:rsidRPr="00875380">
        <w:rPr>
          <w:rFonts w:cs="Arial"/>
          <w:snapToGrid w:val="0"/>
          <w:lang w:eastAsia="zh-CN"/>
        </w:rPr>
        <w:t>，并进一步采取措施将数字化整合到业务和流程的</w:t>
      </w:r>
      <w:r w:rsidRPr="00875380">
        <w:rPr>
          <w:rFonts w:cs="Arial" w:hint="eastAsia"/>
          <w:snapToGrid w:val="0"/>
          <w:lang w:eastAsia="zh-CN"/>
        </w:rPr>
        <w:t>各</w:t>
      </w:r>
      <w:r w:rsidRPr="00875380">
        <w:rPr>
          <w:rFonts w:cs="Arial"/>
          <w:snapToGrid w:val="0"/>
          <w:lang w:eastAsia="zh-CN"/>
        </w:rPr>
        <w:t>方面。</w:t>
      </w:r>
      <w:r w:rsidRPr="00875380">
        <w:rPr>
          <w:rFonts w:cs="Arial" w:hint="eastAsia"/>
          <w:snapToGrid w:val="0"/>
          <w:lang w:eastAsia="zh-CN"/>
        </w:rPr>
        <w:t>在</w:t>
      </w:r>
      <w:r w:rsidRPr="00875380">
        <w:rPr>
          <w:rFonts w:cs="Arial"/>
          <w:snapToGrid w:val="0"/>
          <w:lang w:eastAsia="zh-CN"/>
        </w:rPr>
        <w:t>2015</w:t>
      </w:r>
      <w:r w:rsidRPr="00875380">
        <w:rPr>
          <w:rFonts w:cs="Arial"/>
          <w:snapToGrid w:val="0"/>
          <w:lang w:eastAsia="zh-CN"/>
        </w:rPr>
        <w:t>年，汉高</w:t>
      </w:r>
      <w:r w:rsidRPr="00875380">
        <w:rPr>
          <w:rFonts w:cs="Arial" w:hint="eastAsia"/>
          <w:snapToGrid w:val="0"/>
          <w:lang w:eastAsia="zh-CN"/>
        </w:rPr>
        <w:t>持续</w:t>
      </w:r>
      <w:r w:rsidRPr="00875380">
        <w:rPr>
          <w:rFonts w:cs="Arial"/>
          <w:snapToGrid w:val="0"/>
          <w:lang w:eastAsia="zh-CN"/>
        </w:rPr>
        <w:t>实现其业务平台的标准化和数字化。公司还改善了内部网络，并成功扩大了面向市场和客户的数字化活动。</w:t>
      </w:r>
    </w:p>
    <w:p w14:paraId="58073605" w14:textId="77777777" w:rsidR="00CA1115" w:rsidRPr="00875380" w:rsidRDefault="00CA1115" w:rsidP="00CA1115">
      <w:pPr>
        <w:pStyle w:val="a5"/>
        <w:adjustRightInd w:val="0"/>
        <w:snapToGrid w:val="0"/>
        <w:spacing w:afterLines="50" w:line="288" w:lineRule="auto"/>
        <w:jc w:val="both"/>
        <w:rPr>
          <w:rFonts w:cs="Arial"/>
          <w:snapToGrid w:val="0"/>
          <w:lang w:eastAsia="zh-CN"/>
        </w:rPr>
      </w:pPr>
    </w:p>
    <w:p w14:paraId="4C51388F" w14:textId="0364B36D" w:rsidR="00CA1115" w:rsidRPr="00875380" w:rsidRDefault="00CA1115" w:rsidP="00875380">
      <w:pPr>
        <w:pStyle w:val="a5"/>
        <w:adjustRightInd w:val="0"/>
        <w:snapToGrid w:val="0"/>
        <w:spacing w:afterLines="50" w:line="288" w:lineRule="auto"/>
        <w:jc w:val="both"/>
        <w:rPr>
          <w:rFonts w:cs="Arial" w:hint="eastAsia"/>
          <w:b/>
          <w:snapToGrid w:val="0"/>
          <w:lang w:eastAsia="zh-CN"/>
        </w:rPr>
      </w:pPr>
      <w:r w:rsidRPr="00875380">
        <w:rPr>
          <w:rFonts w:cs="Arial"/>
          <w:b/>
          <w:snapToGrid w:val="0"/>
          <w:lang w:eastAsia="zh-CN"/>
        </w:rPr>
        <w:t>实现公司全球化</w:t>
      </w:r>
    </w:p>
    <w:p w14:paraId="397380F7"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szCs w:val="24"/>
          <w:lang w:eastAsia="zh-CN"/>
        </w:rPr>
        <w:t>2015</w:t>
      </w:r>
      <w:r w:rsidRPr="00875380">
        <w:rPr>
          <w:rFonts w:cs="Arial"/>
          <w:snapToGrid w:val="0"/>
          <w:szCs w:val="24"/>
          <w:lang w:eastAsia="zh-CN"/>
        </w:rPr>
        <w:t>年，新兴市场销售额占销售总额的</w:t>
      </w:r>
      <w:r w:rsidRPr="00875380">
        <w:rPr>
          <w:rFonts w:cs="Arial"/>
          <w:snapToGrid w:val="0"/>
          <w:szCs w:val="24"/>
          <w:lang w:eastAsia="zh-CN"/>
        </w:rPr>
        <w:t>43%</w:t>
      </w:r>
      <w:r w:rsidRPr="00875380">
        <w:rPr>
          <w:rFonts w:cs="Arial"/>
          <w:snapToGrid w:val="0"/>
          <w:szCs w:val="24"/>
          <w:lang w:eastAsia="zh-CN"/>
        </w:rPr>
        <w:t>，略低于去年水平。</w:t>
      </w:r>
      <w:r w:rsidRPr="00875380">
        <w:rPr>
          <w:rFonts w:cs="Arial" w:hint="eastAsia"/>
          <w:snapToGrid w:val="0"/>
          <w:lang w:eastAsia="zh-CN"/>
        </w:rPr>
        <w:t>下滑的</w:t>
      </w:r>
      <w:r w:rsidRPr="00875380">
        <w:rPr>
          <w:rFonts w:cs="Arial"/>
          <w:snapToGrid w:val="0"/>
          <w:szCs w:val="24"/>
          <w:lang w:eastAsia="zh-CN"/>
        </w:rPr>
        <w:t>主要</w:t>
      </w:r>
      <w:r w:rsidRPr="00875380">
        <w:rPr>
          <w:rFonts w:cs="Arial" w:hint="eastAsia"/>
          <w:snapToGrid w:val="0"/>
          <w:lang w:eastAsia="zh-CN"/>
        </w:rPr>
        <w:t>原因</w:t>
      </w:r>
      <w:r w:rsidRPr="00875380">
        <w:rPr>
          <w:rFonts w:cs="Arial"/>
          <w:snapToGrid w:val="0"/>
          <w:szCs w:val="24"/>
          <w:lang w:eastAsia="zh-CN"/>
        </w:rPr>
        <w:t>是由于这类市场的货币普遍走弱。调整货币</w:t>
      </w:r>
      <w:r w:rsidRPr="00875380">
        <w:rPr>
          <w:rFonts w:cs="Arial" w:hint="eastAsia"/>
          <w:snapToGrid w:val="0"/>
          <w:lang w:eastAsia="zh-CN"/>
        </w:rPr>
        <w:t>影响</w:t>
      </w:r>
      <w:r w:rsidRPr="00875380">
        <w:rPr>
          <w:rFonts w:cs="Arial"/>
          <w:snapToGrid w:val="0"/>
          <w:szCs w:val="24"/>
          <w:lang w:eastAsia="zh-CN"/>
        </w:rPr>
        <w:t>后，新兴市场依然是汉高增长的主要</w:t>
      </w:r>
      <w:r w:rsidRPr="00875380">
        <w:rPr>
          <w:rFonts w:cs="Arial" w:hint="eastAsia"/>
          <w:snapToGrid w:val="0"/>
          <w:lang w:eastAsia="zh-CN"/>
        </w:rPr>
        <w:t>驱动</w:t>
      </w:r>
      <w:r w:rsidRPr="00875380">
        <w:rPr>
          <w:rFonts w:cs="Arial"/>
          <w:snapToGrid w:val="0"/>
          <w:szCs w:val="24"/>
          <w:lang w:eastAsia="zh-CN"/>
        </w:rPr>
        <w:t>力，公司将继续扩大对这类市场的覆盖。</w:t>
      </w:r>
    </w:p>
    <w:p w14:paraId="1F276344" w14:textId="77777777" w:rsidR="00CA1115" w:rsidRPr="00875380" w:rsidRDefault="00CA1115" w:rsidP="00CA1115">
      <w:pPr>
        <w:pStyle w:val="a5"/>
        <w:adjustRightInd w:val="0"/>
        <w:snapToGrid w:val="0"/>
        <w:spacing w:afterLines="50" w:line="288" w:lineRule="auto"/>
        <w:jc w:val="both"/>
        <w:rPr>
          <w:rFonts w:cs="Arial"/>
          <w:snapToGrid w:val="0"/>
          <w:szCs w:val="24"/>
          <w:lang w:val="en-US" w:eastAsia="zh-CN"/>
        </w:rPr>
      </w:pPr>
    </w:p>
    <w:p w14:paraId="42A73E32"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szCs w:val="24"/>
          <w:lang w:eastAsia="zh-CN"/>
        </w:rPr>
        <w:t>在成熟市场，汉高巩固</w:t>
      </w:r>
      <w:r w:rsidRPr="00875380">
        <w:rPr>
          <w:rFonts w:cs="Arial" w:hint="eastAsia"/>
          <w:snapToGrid w:val="0"/>
          <w:lang w:eastAsia="zh-CN"/>
        </w:rPr>
        <w:t>其</w:t>
      </w:r>
      <w:r w:rsidRPr="00875380">
        <w:rPr>
          <w:rFonts w:cs="Arial"/>
          <w:snapToGrid w:val="0"/>
          <w:szCs w:val="24"/>
          <w:lang w:eastAsia="zh-CN"/>
        </w:rPr>
        <w:t>市场领导地位。</w:t>
      </w:r>
      <w:r w:rsidRPr="00875380">
        <w:rPr>
          <w:rFonts w:cs="Arial"/>
          <w:snapToGrid w:val="0"/>
          <w:szCs w:val="24"/>
          <w:lang w:eastAsia="zh-CN"/>
        </w:rPr>
        <w:t>2015</w:t>
      </w:r>
      <w:r w:rsidRPr="00875380">
        <w:rPr>
          <w:rFonts w:cs="Arial"/>
          <w:snapToGrid w:val="0"/>
          <w:lang w:eastAsia="zh-CN"/>
        </w:rPr>
        <w:t>年的一个亮点</w:t>
      </w:r>
      <w:r w:rsidRPr="00875380">
        <w:rPr>
          <w:rFonts w:cs="Arial" w:hint="eastAsia"/>
          <w:snapToGrid w:val="0"/>
          <w:lang w:eastAsia="zh-CN"/>
        </w:rPr>
        <w:t>是</w:t>
      </w:r>
      <w:r w:rsidRPr="00875380">
        <w:rPr>
          <w:rFonts w:cs="Arial"/>
          <w:snapToGrid w:val="0"/>
          <w:lang w:eastAsia="zh-CN"/>
        </w:rPr>
        <w:t>成功地</w:t>
      </w:r>
      <w:r w:rsidRPr="00875380">
        <w:rPr>
          <w:rFonts w:cs="Arial"/>
          <w:snapToGrid w:val="0"/>
          <w:szCs w:val="24"/>
          <w:lang w:eastAsia="zh-CN"/>
        </w:rPr>
        <w:t>向美国零售市场推出汉高</w:t>
      </w:r>
      <w:r w:rsidRPr="00875380">
        <w:rPr>
          <w:rFonts w:cs="Arial" w:hint="eastAsia"/>
          <w:snapToGrid w:val="0"/>
          <w:lang w:eastAsia="zh-CN"/>
        </w:rPr>
        <w:t>两大</w:t>
      </w:r>
      <w:r w:rsidRPr="00875380">
        <w:rPr>
          <w:rFonts w:cs="Arial"/>
          <w:snapToGrid w:val="0"/>
          <w:szCs w:val="24"/>
          <w:lang w:eastAsia="zh-CN"/>
        </w:rPr>
        <w:t>旗舰品牌，</w:t>
      </w:r>
      <w:r w:rsidRPr="00875380">
        <w:rPr>
          <w:rFonts w:cs="Tahoma"/>
          <w:lang w:val="en-US" w:eastAsia="zh-CN"/>
        </w:rPr>
        <w:t>宝莹</w:t>
      </w:r>
      <w:r w:rsidRPr="00875380">
        <w:rPr>
          <w:rFonts w:cs="Tahoma" w:hint="eastAsia"/>
          <w:lang w:val="en-US" w:eastAsia="zh-CN"/>
        </w:rPr>
        <w:t>（</w:t>
      </w:r>
      <w:r w:rsidRPr="00875380">
        <w:rPr>
          <w:rFonts w:cs="Tahoma" w:hint="eastAsia"/>
          <w:lang w:val="en-US" w:eastAsia="zh-CN"/>
        </w:rPr>
        <w:t>Persil</w:t>
      </w:r>
      <w:r w:rsidRPr="00875380">
        <w:rPr>
          <w:rFonts w:cs="Tahoma" w:hint="eastAsia"/>
          <w:lang w:val="en-US" w:eastAsia="zh-CN"/>
        </w:rPr>
        <w:t>）</w:t>
      </w:r>
      <w:r w:rsidRPr="00875380">
        <w:rPr>
          <w:rFonts w:eastAsiaTheme="minorEastAsia" w:cs="Tahoma" w:hint="eastAsia"/>
          <w:lang w:eastAsia="zh-CN"/>
        </w:rPr>
        <w:t>和</w:t>
      </w:r>
      <w:r w:rsidRPr="00875380">
        <w:rPr>
          <w:rFonts w:cs="Tahoma"/>
          <w:lang w:val="en-US" w:eastAsia="zh-CN"/>
        </w:rPr>
        <w:t>施华</w:t>
      </w:r>
      <w:proofErr w:type="gramStart"/>
      <w:r w:rsidRPr="00875380">
        <w:rPr>
          <w:rFonts w:cs="Tahoma"/>
          <w:lang w:val="en-US" w:eastAsia="zh-CN"/>
        </w:rPr>
        <w:t>蔻</w:t>
      </w:r>
      <w:proofErr w:type="gramEnd"/>
      <w:r w:rsidRPr="00875380">
        <w:rPr>
          <w:rFonts w:cs="Tahoma" w:hint="eastAsia"/>
          <w:lang w:val="en-US" w:eastAsia="zh-CN"/>
        </w:rPr>
        <w:t>（</w:t>
      </w:r>
      <w:r w:rsidRPr="00875380">
        <w:rPr>
          <w:rFonts w:cs="Tahoma" w:hint="eastAsia"/>
          <w:lang w:val="en-US" w:eastAsia="zh-CN"/>
        </w:rPr>
        <w:t>Schwarzkopf</w:t>
      </w:r>
      <w:r w:rsidRPr="00875380">
        <w:rPr>
          <w:rFonts w:cs="Tahoma" w:hint="eastAsia"/>
          <w:lang w:val="en-US" w:eastAsia="zh-CN"/>
        </w:rPr>
        <w:t>）</w:t>
      </w:r>
      <w:r w:rsidRPr="00875380">
        <w:rPr>
          <w:rFonts w:cs="Arial"/>
          <w:snapToGrid w:val="0"/>
          <w:szCs w:val="24"/>
          <w:lang w:eastAsia="zh-CN"/>
        </w:rPr>
        <w:t>，帮助汉高</w:t>
      </w:r>
      <w:r w:rsidRPr="00875380">
        <w:rPr>
          <w:rFonts w:cs="Arial" w:hint="eastAsia"/>
          <w:snapToGrid w:val="0"/>
          <w:lang w:eastAsia="zh-CN"/>
        </w:rPr>
        <w:t>在</w:t>
      </w:r>
      <w:r w:rsidRPr="00875380">
        <w:rPr>
          <w:rFonts w:cs="Arial"/>
          <w:snapToGrid w:val="0"/>
          <w:lang w:eastAsia="zh-CN"/>
        </w:rPr>
        <w:t>这一全球最大单一市场上</w:t>
      </w:r>
      <w:r w:rsidRPr="00875380">
        <w:rPr>
          <w:rFonts w:cs="Arial" w:hint="eastAsia"/>
          <w:snapToGrid w:val="0"/>
          <w:lang w:eastAsia="zh-CN"/>
        </w:rPr>
        <w:t>重返增长</w:t>
      </w:r>
      <w:r w:rsidRPr="00875380">
        <w:rPr>
          <w:rFonts w:cs="Arial"/>
          <w:snapToGrid w:val="0"/>
          <w:lang w:eastAsia="zh-CN"/>
        </w:rPr>
        <w:t>势头并</w:t>
      </w:r>
      <w:r w:rsidRPr="00875380">
        <w:rPr>
          <w:rFonts w:cs="Arial" w:hint="eastAsia"/>
          <w:snapToGrid w:val="0"/>
          <w:lang w:eastAsia="zh-CN"/>
        </w:rPr>
        <w:t>增加</w:t>
      </w:r>
      <w:r w:rsidRPr="00875380">
        <w:rPr>
          <w:rFonts w:cs="Arial"/>
          <w:snapToGrid w:val="0"/>
          <w:lang w:eastAsia="zh-CN"/>
        </w:rPr>
        <w:t>业绩</w:t>
      </w:r>
      <w:r w:rsidRPr="00875380">
        <w:rPr>
          <w:rFonts w:cs="Arial" w:hint="eastAsia"/>
          <w:snapToGrid w:val="0"/>
          <w:lang w:eastAsia="zh-CN"/>
        </w:rPr>
        <w:t>表现</w:t>
      </w:r>
      <w:r w:rsidRPr="00875380">
        <w:rPr>
          <w:rFonts w:cs="Arial"/>
          <w:snapToGrid w:val="0"/>
          <w:lang w:eastAsia="zh-CN"/>
        </w:rPr>
        <w:t>。</w:t>
      </w:r>
    </w:p>
    <w:p w14:paraId="2509EEDD" w14:textId="77777777" w:rsidR="00CA1115" w:rsidRPr="00875380" w:rsidRDefault="00CA1115" w:rsidP="00CA1115">
      <w:pPr>
        <w:pStyle w:val="a5"/>
        <w:adjustRightInd w:val="0"/>
        <w:snapToGrid w:val="0"/>
        <w:spacing w:afterLines="50" w:line="288" w:lineRule="auto"/>
        <w:jc w:val="both"/>
        <w:rPr>
          <w:rFonts w:cs="Arial"/>
          <w:snapToGrid w:val="0"/>
          <w:szCs w:val="24"/>
          <w:lang w:eastAsia="zh-CN"/>
        </w:rPr>
      </w:pPr>
    </w:p>
    <w:p w14:paraId="31B4D73E" w14:textId="49441911" w:rsidR="00CA1115" w:rsidRPr="00875380" w:rsidRDefault="00CA1115" w:rsidP="00875380">
      <w:pPr>
        <w:pStyle w:val="a5"/>
        <w:adjustRightInd w:val="0"/>
        <w:snapToGrid w:val="0"/>
        <w:spacing w:afterLines="50" w:line="288" w:lineRule="auto"/>
        <w:jc w:val="both"/>
        <w:rPr>
          <w:rFonts w:cs="Tahoma" w:hint="eastAsia"/>
          <w:b/>
        </w:rPr>
      </w:pPr>
      <w:r w:rsidRPr="00875380">
        <w:rPr>
          <w:rFonts w:cs="Tahoma"/>
          <w:b/>
          <w:lang w:val="en-US"/>
        </w:rPr>
        <w:t>简化</w:t>
      </w:r>
      <w:r w:rsidRPr="00875380">
        <w:rPr>
          <w:rFonts w:cs="Tahoma" w:hint="eastAsia"/>
          <w:b/>
          <w:lang w:val="en-US" w:eastAsia="zh-CN"/>
        </w:rPr>
        <w:t>我们的</w:t>
      </w:r>
      <w:r w:rsidRPr="00875380">
        <w:rPr>
          <w:rFonts w:cs="Tahoma"/>
          <w:b/>
          <w:lang w:val="en-US"/>
        </w:rPr>
        <w:t>运营</w:t>
      </w:r>
    </w:p>
    <w:p w14:paraId="2E1605E2"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szCs w:val="24"/>
          <w:lang w:eastAsia="zh-CN"/>
        </w:rPr>
        <w:t>汉高计划继续简化组织结构，从而改善运营卓越性、提高效率、创造竞争优势。在</w:t>
      </w:r>
      <w:r w:rsidRPr="00875380">
        <w:rPr>
          <w:rFonts w:cs="Arial"/>
          <w:snapToGrid w:val="0"/>
          <w:szCs w:val="24"/>
          <w:lang w:eastAsia="zh-CN"/>
        </w:rPr>
        <w:t>2015</w:t>
      </w:r>
      <w:r w:rsidRPr="00875380">
        <w:rPr>
          <w:rFonts w:cs="Arial"/>
          <w:snapToGrid w:val="0"/>
          <w:szCs w:val="24"/>
          <w:lang w:eastAsia="zh-CN"/>
        </w:rPr>
        <w:t>财年，汉高大力构建了一种可伸缩的业务模式，并配合标准化的、数字化的、加速的业务流程。汉高还成功建立起一个新的组织，负责管理全球供应链和各业务部的采购活动。</w:t>
      </w:r>
      <w:r w:rsidRPr="00875380">
        <w:rPr>
          <w:rFonts w:cs="Arial" w:hint="eastAsia"/>
          <w:snapToGrid w:val="0"/>
          <w:lang w:eastAsia="zh-CN"/>
        </w:rPr>
        <w:t>截止至</w:t>
      </w:r>
      <w:r w:rsidRPr="00875380">
        <w:rPr>
          <w:rFonts w:cs="Arial"/>
          <w:snapToGrid w:val="0"/>
          <w:szCs w:val="24"/>
          <w:lang w:eastAsia="zh-CN"/>
        </w:rPr>
        <w:t>2015</w:t>
      </w:r>
      <w:r w:rsidRPr="00875380">
        <w:rPr>
          <w:rFonts w:cs="Arial"/>
          <w:snapToGrid w:val="0"/>
          <w:szCs w:val="24"/>
          <w:lang w:eastAsia="zh-CN"/>
        </w:rPr>
        <w:t>年年底，汉高在全世界的</w:t>
      </w:r>
      <w:r w:rsidRPr="00875380">
        <w:rPr>
          <w:rFonts w:cs="Arial"/>
          <w:snapToGrid w:val="0"/>
          <w:szCs w:val="24"/>
          <w:lang w:eastAsia="zh-CN"/>
        </w:rPr>
        <w:t>6</w:t>
      </w:r>
      <w:r w:rsidRPr="00875380">
        <w:rPr>
          <w:rFonts w:cs="Arial"/>
          <w:snapToGrid w:val="0"/>
          <w:szCs w:val="24"/>
          <w:lang w:eastAsia="zh-CN"/>
        </w:rPr>
        <w:t>个共享服务中心的员工</w:t>
      </w:r>
      <w:r w:rsidRPr="00875380">
        <w:rPr>
          <w:rFonts w:cs="Arial" w:hint="eastAsia"/>
          <w:snapToGrid w:val="0"/>
          <w:lang w:eastAsia="zh-CN"/>
        </w:rPr>
        <w:t>总</w:t>
      </w:r>
      <w:r w:rsidRPr="00875380">
        <w:rPr>
          <w:rFonts w:cs="Arial"/>
          <w:snapToGrid w:val="0"/>
          <w:szCs w:val="24"/>
          <w:lang w:eastAsia="zh-CN"/>
        </w:rPr>
        <w:t>人数已攀升至</w:t>
      </w:r>
      <w:r w:rsidRPr="00875380">
        <w:rPr>
          <w:rFonts w:cs="Arial"/>
          <w:snapToGrid w:val="0"/>
          <w:szCs w:val="24"/>
          <w:lang w:eastAsia="zh-CN"/>
        </w:rPr>
        <w:t>3,000</w:t>
      </w:r>
      <w:r w:rsidRPr="00875380">
        <w:rPr>
          <w:rFonts w:cs="Arial"/>
          <w:snapToGrid w:val="0"/>
          <w:szCs w:val="24"/>
          <w:lang w:eastAsia="zh-CN"/>
        </w:rPr>
        <w:t>人以上。公司的全球组织的关键流程在这些</w:t>
      </w:r>
      <w:r w:rsidRPr="00875380">
        <w:rPr>
          <w:rFonts w:cs="Arial" w:hint="eastAsia"/>
          <w:snapToGrid w:val="0"/>
          <w:lang w:eastAsia="zh-CN"/>
        </w:rPr>
        <w:t>共享</w:t>
      </w:r>
      <w:r w:rsidRPr="00875380">
        <w:rPr>
          <w:rFonts w:cs="Arial"/>
          <w:snapToGrid w:val="0"/>
          <w:lang w:eastAsia="zh-CN"/>
        </w:rPr>
        <w:t>服务中心处理</w:t>
      </w:r>
      <w:r w:rsidRPr="00875380">
        <w:rPr>
          <w:rFonts w:cs="Arial"/>
          <w:snapToGrid w:val="0"/>
          <w:szCs w:val="24"/>
          <w:lang w:eastAsia="zh-CN"/>
        </w:rPr>
        <w:t>。</w:t>
      </w:r>
    </w:p>
    <w:p w14:paraId="1DEC691A" w14:textId="77777777" w:rsidR="00CA1115" w:rsidRPr="00875380" w:rsidRDefault="00CA1115" w:rsidP="00CA1115">
      <w:pPr>
        <w:pStyle w:val="a5"/>
        <w:adjustRightInd w:val="0"/>
        <w:snapToGrid w:val="0"/>
        <w:spacing w:afterLines="50" w:line="288" w:lineRule="auto"/>
        <w:jc w:val="both"/>
        <w:rPr>
          <w:rFonts w:cs="Arial"/>
          <w:snapToGrid w:val="0"/>
          <w:szCs w:val="24"/>
          <w:lang w:eastAsia="zh-CN"/>
        </w:rPr>
      </w:pPr>
    </w:p>
    <w:p w14:paraId="262B0691" w14:textId="54826B0E" w:rsidR="00CA1115" w:rsidRPr="00875380" w:rsidRDefault="00CA1115" w:rsidP="00875380">
      <w:pPr>
        <w:pStyle w:val="a5"/>
        <w:adjustRightInd w:val="0"/>
        <w:snapToGrid w:val="0"/>
        <w:spacing w:afterLines="50" w:line="288" w:lineRule="auto"/>
        <w:jc w:val="both"/>
        <w:rPr>
          <w:rFonts w:cs="Arial" w:hint="eastAsia"/>
          <w:b/>
          <w:snapToGrid w:val="0"/>
          <w:lang w:eastAsia="zh-CN"/>
        </w:rPr>
      </w:pPr>
      <w:r w:rsidRPr="00875380">
        <w:rPr>
          <w:rFonts w:cs="Arial"/>
          <w:b/>
          <w:snapToGrid w:val="0"/>
          <w:szCs w:val="24"/>
          <w:lang w:eastAsia="zh-CN"/>
        </w:rPr>
        <w:t>激</w:t>
      </w:r>
      <w:r w:rsidRPr="00875380">
        <w:rPr>
          <w:rFonts w:cs="Arial" w:hint="eastAsia"/>
          <w:b/>
          <w:snapToGrid w:val="0"/>
          <w:lang w:eastAsia="zh-CN"/>
        </w:rPr>
        <w:t>发我们</w:t>
      </w:r>
      <w:r w:rsidRPr="00875380">
        <w:rPr>
          <w:rFonts w:cs="Arial"/>
          <w:b/>
          <w:snapToGrid w:val="0"/>
          <w:lang w:eastAsia="zh-CN"/>
        </w:rPr>
        <w:t>的</w:t>
      </w:r>
      <w:r w:rsidRPr="00875380">
        <w:rPr>
          <w:rFonts w:cs="Arial"/>
          <w:b/>
          <w:snapToGrid w:val="0"/>
          <w:szCs w:val="24"/>
          <w:lang w:eastAsia="zh-CN"/>
        </w:rPr>
        <w:t>全球团队</w:t>
      </w:r>
    </w:p>
    <w:p w14:paraId="4BD2EB29" w14:textId="77777777" w:rsidR="00CA1115" w:rsidRPr="00875380" w:rsidRDefault="00CA1115" w:rsidP="00CA1115">
      <w:pPr>
        <w:pStyle w:val="a5"/>
        <w:adjustRightInd w:val="0"/>
        <w:snapToGrid w:val="0"/>
        <w:spacing w:afterLines="50" w:line="288" w:lineRule="auto"/>
        <w:jc w:val="both"/>
        <w:rPr>
          <w:rFonts w:cs="Arial"/>
          <w:snapToGrid w:val="0"/>
          <w:lang w:eastAsia="zh-CN"/>
        </w:rPr>
      </w:pPr>
      <w:r w:rsidRPr="00875380">
        <w:rPr>
          <w:rFonts w:cs="Arial"/>
          <w:snapToGrid w:val="0"/>
          <w:szCs w:val="24"/>
          <w:lang w:eastAsia="zh-CN"/>
        </w:rPr>
        <w:t>卓越绩效</w:t>
      </w:r>
      <w:r w:rsidRPr="00875380">
        <w:rPr>
          <w:rFonts w:cs="Arial" w:hint="eastAsia"/>
          <w:snapToGrid w:val="0"/>
          <w:lang w:eastAsia="zh-CN"/>
        </w:rPr>
        <w:t>是建立</w:t>
      </w:r>
      <w:r w:rsidRPr="00875380">
        <w:rPr>
          <w:rFonts w:cs="Arial"/>
          <w:snapToGrid w:val="0"/>
          <w:lang w:eastAsia="zh-CN"/>
        </w:rPr>
        <w:t>在</w:t>
      </w:r>
      <w:r w:rsidRPr="00875380">
        <w:rPr>
          <w:rFonts w:cs="Arial"/>
          <w:snapToGrid w:val="0"/>
          <w:szCs w:val="24"/>
          <w:lang w:eastAsia="zh-CN"/>
        </w:rPr>
        <w:t>清晰的战略</w:t>
      </w:r>
      <w:r w:rsidRPr="00875380">
        <w:rPr>
          <w:rFonts w:cs="Arial" w:hint="eastAsia"/>
          <w:snapToGrid w:val="0"/>
          <w:lang w:eastAsia="zh-CN"/>
        </w:rPr>
        <w:t>以及</w:t>
      </w:r>
      <w:r w:rsidRPr="00875380">
        <w:rPr>
          <w:rFonts w:cs="Arial"/>
          <w:snapToGrid w:val="0"/>
          <w:szCs w:val="24"/>
          <w:lang w:eastAsia="zh-CN"/>
        </w:rPr>
        <w:t>具有</w:t>
      </w:r>
      <w:proofErr w:type="gramStart"/>
      <w:r w:rsidRPr="00875380">
        <w:rPr>
          <w:rFonts w:cs="Arial"/>
          <w:snapToGrid w:val="0"/>
          <w:szCs w:val="24"/>
          <w:lang w:eastAsia="zh-CN"/>
        </w:rPr>
        <w:t>高执行</w:t>
      </w:r>
      <w:proofErr w:type="gramEnd"/>
      <w:r w:rsidRPr="00875380">
        <w:rPr>
          <w:rFonts w:cs="Arial"/>
          <w:snapToGrid w:val="0"/>
          <w:szCs w:val="24"/>
          <w:lang w:eastAsia="zh-CN"/>
        </w:rPr>
        <w:t>力的强大的全球团队。</w:t>
      </w:r>
      <w:r w:rsidRPr="00875380">
        <w:rPr>
          <w:rFonts w:cs="Arial" w:hint="eastAsia"/>
          <w:snapToGrid w:val="0"/>
          <w:lang w:eastAsia="zh-CN"/>
        </w:rPr>
        <w:t>要</w:t>
      </w:r>
      <w:r w:rsidRPr="00875380">
        <w:rPr>
          <w:rFonts w:cs="Arial"/>
          <w:snapToGrid w:val="0"/>
          <w:szCs w:val="24"/>
          <w:lang w:eastAsia="zh-CN"/>
        </w:rPr>
        <w:t>在多变、复杂的</w:t>
      </w:r>
      <w:r w:rsidRPr="00875380">
        <w:rPr>
          <w:rFonts w:cs="Arial" w:hint="eastAsia"/>
          <w:snapToGrid w:val="0"/>
          <w:lang w:eastAsia="zh-CN"/>
        </w:rPr>
        <w:t>商业</w:t>
      </w:r>
      <w:r w:rsidRPr="00875380">
        <w:rPr>
          <w:rFonts w:cs="Arial"/>
          <w:snapToGrid w:val="0"/>
          <w:szCs w:val="24"/>
          <w:lang w:eastAsia="zh-CN"/>
        </w:rPr>
        <w:t>环境中实现佳绩，汉高需要</w:t>
      </w:r>
      <w:r w:rsidRPr="00875380">
        <w:rPr>
          <w:rFonts w:cs="Arial" w:hint="eastAsia"/>
          <w:snapToGrid w:val="0"/>
          <w:lang w:eastAsia="zh-CN"/>
        </w:rPr>
        <w:t>杰出</w:t>
      </w:r>
      <w:r w:rsidRPr="00875380">
        <w:rPr>
          <w:rFonts w:cs="Arial"/>
          <w:snapToGrid w:val="0"/>
          <w:lang w:eastAsia="zh-CN"/>
        </w:rPr>
        <w:t>的领导者</w:t>
      </w:r>
      <w:r w:rsidRPr="00875380">
        <w:rPr>
          <w:rFonts w:cs="Arial"/>
          <w:snapToGrid w:val="0"/>
          <w:szCs w:val="24"/>
          <w:lang w:eastAsia="zh-CN"/>
        </w:rPr>
        <w:t>并</w:t>
      </w:r>
      <w:r w:rsidRPr="00875380">
        <w:rPr>
          <w:rFonts w:cs="Arial" w:hint="eastAsia"/>
          <w:snapToGrid w:val="0"/>
          <w:lang w:eastAsia="zh-CN"/>
        </w:rPr>
        <w:t>持续</w:t>
      </w:r>
      <w:r w:rsidRPr="00875380">
        <w:rPr>
          <w:rFonts w:cs="Arial"/>
          <w:snapToGrid w:val="0"/>
          <w:szCs w:val="24"/>
          <w:lang w:eastAsia="zh-CN"/>
        </w:rPr>
        <w:t>加强其领导团队。汉高通过在职培训和汉高全球学院向员工提供丰富的培训机会。具有不同文化背景和工作经历的</w:t>
      </w:r>
      <w:r w:rsidRPr="00875380">
        <w:rPr>
          <w:rFonts w:cs="Arial"/>
          <w:snapToGrid w:val="0"/>
          <w:szCs w:val="24"/>
          <w:lang w:eastAsia="zh-CN"/>
        </w:rPr>
        <w:lastRenderedPageBreak/>
        <w:t>多元化的员工队伍也是一个重要的成功因素。这些年来，汉高积极推进多元化建设并取得显著</w:t>
      </w:r>
      <w:r w:rsidRPr="00875380">
        <w:rPr>
          <w:rFonts w:cs="Arial" w:hint="eastAsia"/>
          <w:snapToGrid w:val="0"/>
          <w:lang w:eastAsia="zh-CN"/>
        </w:rPr>
        <w:t>的</w:t>
      </w:r>
      <w:r w:rsidRPr="00875380">
        <w:rPr>
          <w:rFonts w:cs="Arial"/>
          <w:snapToGrid w:val="0"/>
          <w:szCs w:val="24"/>
          <w:lang w:eastAsia="zh-CN"/>
        </w:rPr>
        <w:t>进展。</w:t>
      </w:r>
      <w:r w:rsidRPr="00875380">
        <w:rPr>
          <w:rFonts w:cs="Arial"/>
          <w:snapToGrid w:val="0"/>
          <w:szCs w:val="24"/>
          <w:lang w:eastAsia="zh-CN"/>
        </w:rPr>
        <w:t>2015</w:t>
      </w:r>
      <w:r w:rsidRPr="00875380">
        <w:rPr>
          <w:rFonts w:cs="Arial"/>
          <w:snapToGrid w:val="0"/>
          <w:szCs w:val="24"/>
          <w:lang w:eastAsia="zh-CN"/>
        </w:rPr>
        <w:t>年，新兴市场的员工</w:t>
      </w:r>
      <w:r w:rsidRPr="00875380">
        <w:rPr>
          <w:rFonts w:cs="Arial" w:hint="eastAsia"/>
          <w:snapToGrid w:val="0"/>
          <w:lang w:eastAsia="zh-CN"/>
        </w:rPr>
        <w:t>比例</w:t>
      </w:r>
      <w:r w:rsidRPr="00875380">
        <w:rPr>
          <w:rFonts w:cs="Arial"/>
          <w:snapToGrid w:val="0"/>
          <w:szCs w:val="24"/>
          <w:lang w:eastAsia="zh-CN"/>
        </w:rPr>
        <w:t>为</w:t>
      </w:r>
      <w:r w:rsidRPr="00875380">
        <w:rPr>
          <w:rFonts w:cs="Arial"/>
          <w:snapToGrid w:val="0"/>
          <w:szCs w:val="24"/>
          <w:lang w:eastAsia="zh-CN"/>
        </w:rPr>
        <w:t>55%</w:t>
      </w:r>
      <w:r w:rsidRPr="00875380">
        <w:rPr>
          <w:rFonts w:cs="Arial" w:hint="eastAsia"/>
          <w:snapToGrid w:val="0"/>
          <w:lang w:eastAsia="zh-CN"/>
        </w:rPr>
        <w:t>，</w:t>
      </w:r>
      <w:proofErr w:type="spellStart"/>
      <w:r w:rsidRPr="00875380">
        <w:rPr>
          <w:rFonts w:cs="Arial"/>
          <w:snapToGrid w:val="0"/>
          <w:szCs w:val="24"/>
          <w:lang w:eastAsia="zh-CN"/>
        </w:rPr>
        <w:t>女性管理</w:t>
      </w:r>
      <w:r w:rsidRPr="00875380">
        <w:rPr>
          <w:rFonts w:cs="Arial" w:hint="eastAsia"/>
          <w:snapToGrid w:val="0"/>
          <w:lang w:eastAsia="zh-CN"/>
        </w:rPr>
        <w:t>人员</w:t>
      </w:r>
      <w:r w:rsidRPr="00875380">
        <w:rPr>
          <w:rFonts w:cs="Arial"/>
          <w:snapToGrid w:val="0"/>
          <w:szCs w:val="24"/>
          <w:lang w:eastAsia="zh-CN"/>
        </w:rPr>
        <w:t>占比约为</w:t>
      </w:r>
      <w:proofErr w:type="spellEnd"/>
      <w:r w:rsidRPr="00875380">
        <w:rPr>
          <w:rFonts w:cs="Arial"/>
          <w:snapToGrid w:val="0"/>
          <w:szCs w:val="24"/>
          <w:lang w:eastAsia="zh-CN"/>
        </w:rPr>
        <w:t>33%</w:t>
      </w:r>
      <w:r w:rsidRPr="00875380">
        <w:rPr>
          <w:rFonts w:cs="Arial"/>
          <w:snapToGrid w:val="0"/>
          <w:szCs w:val="24"/>
          <w:lang w:eastAsia="zh-CN"/>
        </w:rPr>
        <w:t>。</w:t>
      </w:r>
    </w:p>
    <w:p w14:paraId="75947269" w14:textId="77777777" w:rsidR="00CA1115" w:rsidRPr="00875380" w:rsidRDefault="00CA1115" w:rsidP="00CA1115">
      <w:pPr>
        <w:pStyle w:val="a5"/>
        <w:adjustRightInd w:val="0"/>
        <w:snapToGrid w:val="0"/>
        <w:spacing w:afterLines="50" w:line="288" w:lineRule="auto"/>
        <w:jc w:val="both"/>
        <w:rPr>
          <w:rFonts w:cs="Arial"/>
          <w:snapToGrid w:val="0"/>
          <w:szCs w:val="24"/>
          <w:lang w:eastAsia="zh-CN"/>
        </w:rPr>
      </w:pPr>
    </w:p>
    <w:p w14:paraId="2A6D58D7" w14:textId="2A51D5AC" w:rsidR="00012002" w:rsidRPr="00875380" w:rsidRDefault="00CA1115" w:rsidP="00875380">
      <w:pPr>
        <w:pStyle w:val="a5"/>
        <w:adjustRightInd w:val="0"/>
        <w:snapToGrid w:val="0"/>
        <w:spacing w:afterLines="50" w:line="288" w:lineRule="auto"/>
        <w:jc w:val="both"/>
        <w:rPr>
          <w:rFonts w:cs="Arial" w:hint="eastAsia"/>
          <w:b/>
          <w:snapToGrid w:val="0"/>
          <w:szCs w:val="24"/>
          <w:lang w:eastAsia="zh-CN"/>
        </w:rPr>
      </w:pPr>
      <w:r w:rsidRPr="00875380">
        <w:rPr>
          <w:rFonts w:cs="Arial"/>
          <w:b/>
          <w:snapToGrid w:val="0"/>
          <w:szCs w:val="24"/>
          <w:lang w:eastAsia="zh-CN"/>
        </w:rPr>
        <w:t>展望汉高集团</w:t>
      </w:r>
      <w:r w:rsidRPr="00875380">
        <w:rPr>
          <w:rFonts w:cs="Arial"/>
          <w:b/>
          <w:snapToGrid w:val="0"/>
          <w:szCs w:val="24"/>
          <w:lang w:eastAsia="zh-CN"/>
        </w:rPr>
        <w:t>2016</w:t>
      </w:r>
      <w:r w:rsidRPr="00875380">
        <w:rPr>
          <w:rFonts w:cs="Arial"/>
          <w:b/>
          <w:snapToGrid w:val="0"/>
          <w:szCs w:val="24"/>
          <w:lang w:eastAsia="zh-CN"/>
        </w:rPr>
        <w:t>年</w:t>
      </w:r>
    </w:p>
    <w:p w14:paraId="07A07ECF" w14:textId="65192447" w:rsidR="00CA1115" w:rsidRPr="00875380" w:rsidRDefault="00CA1115" w:rsidP="00E25787">
      <w:pPr>
        <w:adjustRightInd w:val="0"/>
        <w:snapToGrid w:val="0"/>
        <w:spacing w:afterLines="50" w:after="120" w:line="288" w:lineRule="auto"/>
        <w:jc w:val="both"/>
        <w:rPr>
          <w:rFonts w:cs="Arial"/>
          <w:snapToGrid w:val="0"/>
          <w:sz w:val="24"/>
          <w:lang w:eastAsia="zh-CN"/>
        </w:rPr>
      </w:pPr>
      <w:r w:rsidRPr="00875380">
        <w:rPr>
          <w:rFonts w:cs="Arial"/>
          <w:snapToGrid w:val="0"/>
          <w:sz w:val="24"/>
          <w:lang w:eastAsia="zh-CN"/>
        </w:rPr>
        <w:t>汉高</w:t>
      </w:r>
      <w:r w:rsidRPr="00875380">
        <w:rPr>
          <w:rFonts w:cs="Arial" w:hint="eastAsia"/>
          <w:snapToGrid w:val="0"/>
          <w:sz w:val="24"/>
          <w:lang w:eastAsia="zh-CN"/>
        </w:rPr>
        <w:t>预计</w:t>
      </w:r>
      <w:r w:rsidRPr="00875380">
        <w:rPr>
          <w:rFonts w:cs="Arial"/>
          <w:snapToGrid w:val="0"/>
          <w:sz w:val="24"/>
          <w:lang w:eastAsia="zh-CN"/>
        </w:rPr>
        <w:t>在</w:t>
      </w:r>
      <w:r w:rsidRPr="00875380">
        <w:rPr>
          <w:rFonts w:cs="Arial"/>
          <w:snapToGrid w:val="0"/>
          <w:sz w:val="24"/>
          <w:lang w:eastAsia="zh-CN"/>
        </w:rPr>
        <w:t>2016</w:t>
      </w:r>
      <w:r w:rsidRPr="00875380">
        <w:rPr>
          <w:rFonts w:cs="Arial"/>
          <w:snapToGrid w:val="0"/>
          <w:sz w:val="24"/>
          <w:lang w:eastAsia="zh-CN"/>
        </w:rPr>
        <w:t>财年</w:t>
      </w:r>
      <w:r w:rsidRPr="00875380">
        <w:rPr>
          <w:rFonts w:cs="Arial" w:hint="eastAsia"/>
          <w:snapToGrid w:val="0"/>
          <w:sz w:val="24"/>
          <w:lang w:eastAsia="zh-CN"/>
        </w:rPr>
        <w:t>可以</w:t>
      </w:r>
      <w:r w:rsidRPr="00875380">
        <w:rPr>
          <w:rFonts w:cs="Arial"/>
          <w:snapToGrid w:val="0"/>
          <w:sz w:val="24"/>
          <w:lang w:eastAsia="zh-CN"/>
        </w:rPr>
        <w:t>实现</w:t>
      </w:r>
      <w:r w:rsidRPr="00875380">
        <w:rPr>
          <w:rFonts w:cs="Arial"/>
          <w:snapToGrid w:val="0"/>
          <w:sz w:val="24"/>
          <w:lang w:eastAsia="zh-CN"/>
        </w:rPr>
        <w:t>2</w:t>
      </w:r>
      <w:r w:rsidRPr="00875380">
        <w:rPr>
          <w:rFonts w:cs="Arial" w:hint="eastAsia"/>
          <w:snapToGrid w:val="0"/>
          <w:sz w:val="24"/>
          <w:lang w:eastAsia="zh-CN"/>
        </w:rPr>
        <w:t>至</w:t>
      </w:r>
      <w:r w:rsidRPr="00875380">
        <w:rPr>
          <w:rFonts w:cs="Arial"/>
          <w:snapToGrid w:val="0"/>
          <w:sz w:val="24"/>
          <w:lang w:eastAsia="zh-CN"/>
        </w:rPr>
        <w:t>4</w:t>
      </w:r>
      <w:r w:rsidRPr="00875380">
        <w:rPr>
          <w:rFonts w:cs="Arial"/>
          <w:snapToGrid w:val="0"/>
          <w:sz w:val="24"/>
          <w:lang w:eastAsia="zh-CN"/>
        </w:rPr>
        <w:t>个百分点的</w:t>
      </w:r>
      <w:bookmarkStart w:id="7" w:name="OLE_LINK5"/>
      <w:bookmarkStart w:id="8" w:name="OLE_LINK6"/>
      <w:r w:rsidRPr="00875380">
        <w:rPr>
          <w:rFonts w:cs="Arial"/>
          <w:snapToGrid w:val="0"/>
          <w:sz w:val="24"/>
          <w:lang w:eastAsia="zh-CN"/>
        </w:rPr>
        <w:t>有机销售额增长</w:t>
      </w:r>
      <w:bookmarkEnd w:id="7"/>
      <w:bookmarkEnd w:id="8"/>
      <w:r w:rsidRPr="00875380">
        <w:rPr>
          <w:rFonts w:cs="Arial"/>
          <w:snapToGrid w:val="0"/>
          <w:sz w:val="24"/>
          <w:lang w:eastAsia="zh-CN"/>
        </w:rPr>
        <w:t>。汉高预计各业务部将在这个范围内实现有机销售额增长。汉高还预计新兴市场销售额占比会有略微增加。较</w:t>
      </w:r>
      <w:r w:rsidRPr="00875380">
        <w:rPr>
          <w:rFonts w:cs="Arial" w:hint="eastAsia"/>
          <w:snapToGrid w:val="0"/>
          <w:sz w:val="24"/>
          <w:lang w:eastAsia="zh-CN"/>
        </w:rPr>
        <w:t>上</w:t>
      </w:r>
      <w:r w:rsidRPr="00875380">
        <w:rPr>
          <w:rFonts w:cs="Arial"/>
          <w:snapToGrid w:val="0"/>
          <w:sz w:val="24"/>
          <w:lang w:eastAsia="zh-CN"/>
        </w:rPr>
        <w:t>年</w:t>
      </w:r>
      <w:r w:rsidRPr="00875380">
        <w:rPr>
          <w:rFonts w:cs="Arial" w:hint="eastAsia"/>
          <w:snapToGrid w:val="0"/>
          <w:sz w:val="24"/>
          <w:lang w:eastAsia="zh-CN"/>
        </w:rPr>
        <w:t>相比</w:t>
      </w:r>
      <w:r w:rsidRPr="00875380">
        <w:rPr>
          <w:rFonts w:cs="Arial"/>
          <w:snapToGrid w:val="0"/>
          <w:sz w:val="24"/>
          <w:lang w:eastAsia="zh-CN"/>
        </w:rPr>
        <w:t>，</w:t>
      </w:r>
      <w:bookmarkStart w:id="9" w:name="OLE_LINK9"/>
      <w:bookmarkStart w:id="10" w:name="OLE_LINK10"/>
      <w:r w:rsidRPr="00875380">
        <w:rPr>
          <w:rFonts w:cs="Arial"/>
          <w:snapToGrid w:val="0"/>
          <w:sz w:val="24"/>
          <w:lang w:eastAsia="zh-CN"/>
        </w:rPr>
        <w:t>汉高预计调整后销售回报</w:t>
      </w:r>
      <w:bookmarkEnd w:id="9"/>
      <w:bookmarkEnd w:id="10"/>
      <w:r w:rsidRPr="00875380">
        <w:rPr>
          <w:rFonts w:cs="Arial" w:hint="eastAsia"/>
          <w:snapToGrid w:val="0"/>
          <w:sz w:val="24"/>
          <w:lang w:eastAsia="zh-CN"/>
        </w:rPr>
        <w:t>可以增至</w:t>
      </w:r>
      <w:r w:rsidRPr="00875380">
        <w:rPr>
          <w:rFonts w:cs="Arial"/>
          <w:snapToGrid w:val="0"/>
          <w:sz w:val="24"/>
          <w:lang w:eastAsia="zh-CN"/>
        </w:rPr>
        <w:t>16.5%</w:t>
      </w:r>
      <w:r w:rsidRPr="00875380">
        <w:rPr>
          <w:rFonts w:cs="Arial" w:hint="eastAsia"/>
          <w:snapToGrid w:val="0"/>
          <w:sz w:val="24"/>
          <w:lang w:eastAsia="zh-CN"/>
        </w:rPr>
        <w:t>左右</w:t>
      </w:r>
      <w:r w:rsidRPr="00875380">
        <w:rPr>
          <w:rFonts w:cs="Arial"/>
          <w:snapToGrid w:val="0"/>
          <w:sz w:val="24"/>
          <w:lang w:eastAsia="zh-CN"/>
        </w:rPr>
        <w:t>。各业务部调整后销售回报预计</w:t>
      </w:r>
      <w:r w:rsidRPr="00875380">
        <w:rPr>
          <w:rFonts w:cs="Arial" w:hint="eastAsia"/>
          <w:snapToGrid w:val="0"/>
          <w:sz w:val="24"/>
          <w:lang w:eastAsia="zh-CN"/>
        </w:rPr>
        <w:t>较上</w:t>
      </w:r>
      <w:r w:rsidRPr="00875380">
        <w:rPr>
          <w:rFonts w:cs="Arial"/>
          <w:snapToGrid w:val="0"/>
          <w:sz w:val="24"/>
          <w:lang w:eastAsia="zh-CN"/>
        </w:rPr>
        <w:t>年持平或高于</w:t>
      </w:r>
      <w:r w:rsidRPr="00875380">
        <w:rPr>
          <w:rFonts w:cs="Arial" w:hint="eastAsia"/>
          <w:snapToGrid w:val="0"/>
          <w:sz w:val="24"/>
          <w:lang w:eastAsia="zh-CN"/>
        </w:rPr>
        <w:t>上</w:t>
      </w:r>
      <w:r w:rsidRPr="00875380">
        <w:rPr>
          <w:rFonts w:cs="Arial"/>
          <w:snapToGrid w:val="0"/>
          <w:sz w:val="24"/>
          <w:lang w:eastAsia="zh-CN"/>
        </w:rPr>
        <w:t>年水平</w:t>
      </w:r>
      <w:r w:rsidRPr="00875380">
        <w:rPr>
          <w:rFonts w:cs="Arial" w:hint="eastAsia"/>
          <w:snapToGrid w:val="0"/>
          <w:sz w:val="24"/>
          <w:lang w:eastAsia="zh-CN"/>
        </w:rPr>
        <w:t>，</w:t>
      </w:r>
      <w:r w:rsidRPr="00875380">
        <w:rPr>
          <w:rFonts w:cs="Arial"/>
          <w:snapToGrid w:val="0"/>
          <w:sz w:val="24"/>
          <w:lang w:eastAsia="zh-CN"/>
        </w:rPr>
        <w:t>调整后优先股每股收益</w:t>
      </w:r>
      <w:r w:rsidRPr="00875380">
        <w:rPr>
          <w:rFonts w:cs="Arial" w:hint="eastAsia"/>
          <w:snapToGrid w:val="0"/>
          <w:sz w:val="24"/>
          <w:lang w:eastAsia="zh-CN"/>
        </w:rPr>
        <w:t>将</w:t>
      </w:r>
      <w:r w:rsidRPr="00875380">
        <w:rPr>
          <w:rFonts w:cs="Arial"/>
          <w:snapToGrid w:val="0"/>
          <w:sz w:val="24"/>
          <w:lang w:eastAsia="zh-CN"/>
        </w:rPr>
        <w:t>会</w:t>
      </w:r>
      <w:r w:rsidR="00E25787" w:rsidRPr="00875380">
        <w:rPr>
          <w:rFonts w:cs="Arial"/>
          <w:snapToGrid w:val="0"/>
          <w:sz w:val="24"/>
          <w:lang w:eastAsia="zh-CN"/>
        </w:rPr>
        <w:t>增</w:t>
      </w:r>
      <w:r w:rsidR="00E25787" w:rsidRPr="00875380">
        <w:rPr>
          <w:rFonts w:cs="Arial" w:hint="eastAsia"/>
          <w:snapToGrid w:val="0"/>
          <w:sz w:val="24"/>
          <w:lang w:eastAsia="zh-CN"/>
        </w:rPr>
        <w:t>至</w:t>
      </w:r>
      <w:r w:rsidR="00E25787" w:rsidRPr="00875380">
        <w:rPr>
          <w:rFonts w:cs="Arial"/>
          <w:snapToGrid w:val="0"/>
          <w:sz w:val="24"/>
          <w:lang w:eastAsia="zh-CN"/>
        </w:rPr>
        <w:t>8%</w:t>
      </w:r>
      <w:r w:rsidR="00E25787" w:rsidRPr="00875380">
        <w:rPr>
          <w:rFonts w:cs="Arial" w:hint="eastAsia"/>
          <w:snapToGrid w:val="0"/>
          <w:sz w:val="24"/>
          <w:lang w:eastAsia="zh-CN"/>
        </w:rPr>
        <w:t>和</w:t>
      </w:r>
      <w:r w:rsidR="00E25787" w:rsidRPr="00875380">
        <w:rPr>
          <w:rFonts w:cs="Arial"/>
          <w:snapToGrid w:val="0"/>
          <w:sz w:val="24"/>
          <w:lang w:eastAsia="zh-CN"/>
        </w:rPr>
        <w:t>11%</w:t>
      </w:r>
      <w:r w:rsidR="00E25787" w:rsidRPr="00875380">
        <w:rPr>
          <w:rFonts w:cs="Arial" w:hint="eastAsia"/>
          <w:snapToGrid w:val="0"/>
          <w:sz w:val="24"/>
          <w:lang w:eastAsia="zh-CN"/>
        </w:rPr>
        <w:t>之间</w:t>
      </w:r>
      <w:r w:rsidRPr="00875380">
        <w:rPr>
          <w:rFonts w:cs="Arial"/>
          <w:snapToGrid w:val="0"/>
          <w:sz w:val="24"/>
          <w:lang w:eastAsia="zh-CN"/>
        </w:rPr>
        <w:t>。</w:t>
      </w:r>
    </w:p>
    <w:p w14:paraId="332D8EA3" w14:textId="77777777" w:rsidR="00CA1115" w:rsidRPr="00716B57" w:rsidRDefault="00CA1115" w:rsidP="00CA1115">
      <w:pPr>
        <w:pStyle w:val="a5"/>
        <w:jc w:val="both"/>
        <w:rPr>
          <w:rFonts w:eastAsiaTheme="minorEastAsia"/>
          <w:sz w:val="16"/>
          <w:lang w:eastAsia="zh-CN"/>
        </w:rPr>
      </w:pPr>
    </w:p>
    <w:p w14:paraId="75C5C8F8" w14:textId="77777777" w:rsidR="00CA1115" w:rsidRPr="00716B57" w:rsidRDefault="00CA1115" w:rsidP="00CA1115">
      <w:pPr>
        <w:pStyle w:val="a5"/>
        <w:spacing w:after="0" w:line="240" w:lineRule="auto"/>
        <w:jc w:val="both"/>
        <w:rPr>
          <w:sz w:val="16"/>
          <w:lang w:val="en-US" w:eastAsia="zh-CN"/>
        </w:rPr>
      </w:pPr>
      <w:r w:rsidRPr="00716B57">
        <w:rPr>
          <w:rFonts w:hint="eastAsia"/>
          <w:sz w:val="16"/>
          <w:lang w:val="en-US" w:eastAsia="zh-CN"/>
        </w:rPr>
        <w:t>该内容所含前瞻性表述是汉高股份及两合公司管理层基于现有的预测和假设。前瞻性表述的特点是使用诸如：期望、计划、预测、假设、相信、预计、预期和类似的表述。这样的表述在任何情况下都不应该被理解成确保这些预期将是准确的。汉高股份及两合公司及其关联公司实际实现的未来表现和结果基于一系列的风险和不确定性，因此，可能与前瞻性表述有明显差别。这些因素，例如未来的经济环境和竞争者行为以及市场上的其它参与者的行为，均在汉高</w:t>
      </w:r>
      <w:r w:rsidRPr="00716B57">
        <w:rPr>
          <w:sz w:val="16"/>
          <w:lang w:val="en-US" w:eastAsia="zh-CN"/>
        </w:rPr>
        <w:t>(Henkel)</w:t>
      </w:r>
      <w:r w:rsidRPr="00716B57">
        <w:rPr>
          <w:rFonts w:hint="eastAsia"/>
          <w:sz w:val="16"/>
          <w:lang w:val="en-US" w:eastAsia="zh-CN"/>
        </w:rPr>
        <w:t>的控制之外，并且无法准确预计。汉高</w:t>
      </w:r>
      <w:r w:rsidRPr="00716B57">
        <w:rPr>
          <w:sz w:val="16"/>
          <w:lang w:val="en-US" w:eastAsia="zh-CN"/>
        </w:rPr>
        <w:t>(Henkel)</w:t>
      </w:r>
      <w:r w:rsidRPr="00716B57">
        <w:rPr>
          <w:rFonts w:hint="eastAsia"/>
          <w:sz w:val="16"/>
          <w:lang w:val="en-US" w:eastAsia="zh-CN"/>
        </w:rPr>
        <w:t>将不计划或采取行动更新任何前瞻性表述。</w:t>
      </w:r>
    </w:p>
    <w:p w14:paraId="3FBBD66B" w14:textId="77777777" w:rsidR="00CA1115" w:rsidRPr="00716B57" w:rsidRDefault="00CA1115" w:rsidP="00CA1115">
      <w:pPr>
        <w:adjustRightInd w:val="0"/>
        <w:snapToGrid w:val="0"/>
        <w:spacing w:afterLines="50" w:after="120" w:line="288" w:lineRule="auto"/>
        <w:jc w:val="both"/>
        <w:rPr>
          <w:rFonts w:eastAsia="Arial" w:cs="Arial"/>
          <w:snapToGrid w:val="0"/>
          <w:sz w:val="16"/>
          <w:szCs w:val="16"/>
          <w:lang w:eastAsia="zh-CN"/>
        </w:rPr>
      </w:pPr>
    </w:p>
    <w:p w14:paraId="241D9852" w14:textId="77777777" w:rsidR="00CA1115" w:rsidRPr="00716B57" w:rsidRDefault="00CA1115" w:rsidP="00CA1115">
      <w:pPr>
        <w:pStyle w:val="a5"/>
        <w:spacing w:after="0" w:line="240" w:lineRule="auto"/>
        <w:rPr>
          <w:rFonts w:cs="Tahoma"/>
          <w:lang w:val="en-US" w:eastAsia="zh-CN"/>
        </w:rPr>
      </w:pPr>
      <w:r w:rsidRPr="00716B57">
        <w:rPr>
          <w:rFonts w:cs="Tahoma" w:hint="eastAsia"/>
          <w:b/>
          <w:lang w:val="en-US" w:eastAsia="zh-CN"/>
        </w:rPr>
        <w:t>媒体联系人（大中华区）</w:t>
      </w:r>
      <w:r w:rsidRPr="00716B57">
        <w:rPr>
          <w:rFonts w:cs="Tahoma"/>
          <w:lang w:val="en-US" w:eastAsia="zh-CN"/>
        </w:rPr>
        <w:tab/>
      </w:r>
    </w:p>
    <w:p w14:paraId="1E694647" w14:textId="77777777" w:rsidR="00CA1115" w:rsidRPr="00716B57" w:rsidRDefault="00CA1115" w:rsidP="00CA1115">
      <w:pPr>
        <w:tabs>
          <w:tab w:val="left" w:pos="851"/>
          <w:tab w:val="left" w:pos="4536"/>
          <w:tab w:val="left" w:pos="4962"/>
          <w:tab w:val="left" w:pos="5387"/>
        </w:tabs>
        <w:spacing w:line="260" w:lineRule="exact"/>
        <w:rPr>
          <w:rFonts w:cs="Arial"/>
          <w:b/>
          <w:szCs w:val="20"/>
          <w:lang w:val="en-US" w:eastAsia="de-DE"/>
        </w:rPr>
      </w:pPr>
      <w:r w:rsidRPr="00716B57">
        <w:rPr>
          <w:rFonts w:cs="Arial"/>
          <w:b/>
          <w:szCs w:val="20"/>
          <w:lang w:val="en-US" w:eastAsia="zh-CN"/>
        </w:rPr>
        <w:t xml:space="preserve">Louise Cheung </w:t>
      </w:r>
      <w:r w:rsidRPr="00716B57">
        <w:rPr>
          <w:rFonts w:cs="Arial" w:hint="eastAsia"/>
          <w:b/>
          <w:szCs w:val="20"/>
          <w:lang w:val="en-US" w:eastAsia="zh-CN"/>
        </w:rPr>
        <w:t>张晓芸</w:t>
      </w:r>
      <w:r w:rsidRPr="00716B57">
        <w:rPr>
          <w:rFonts w:cs="Arial"/>
          <w:b/>
          <w:szCs w:val="20"/>
          <w:lang w:val="en-US" w:eastAsia="de-DE"/>
        </w:rPr>
        <w:tab/>
        <w:t>Janice Fu</w:t>
      </w:r>
      <w:r w:rsidRPr="00716B57">
        <w:rPr>
          <w:rFonts w:cs="Arial"/>
          <w:b/>
          <w:szCs w:val="20"/>
          <w:lang w:val="en-US" w:eastAsia="zh-CN"/>
        </w:rPr>
        <w:t xml:space="preserve"> </w:t>
      </w:r>
      <w:r w:rsidRPr="00716B57">
        <w:rPr>
          <w:rFonts w:cs="Arial" w:hint="eastAsia"/>
          <w:b/>
          <w:szCs w:val="20"/>
          <w:lang w:val="en-US" w:eastAsia="zh-CN"/>
        </w:rPr>
        <w:t>傅竞烨</w:t>
      </w:r>
    </w:p>
    <w:p w14:paraId="47B9C605" w14:textId="77777777" w:rsidR="00CA1115" w:rsidRPr="00716B57" w:rsidRDefault="00CA1115" w:rsidP="00CA1115">
      <w:pPr>
        <w:tabs>
          <w:tab w:val="left" w:pos="851"/>
          <w:tab w:val="left" w:pos="4536"/>
          <w:tab w:val="left" w:pos="5387"/>
        </w:tabs>
        <w:spacing w:line="260" w:lineRule="exact"/>
        <w:rPr>
          <w:rFonts w:cs="Arial"/>
          <w:color w:val="000000"/>
          <w:szCs w:val="20"/>
          <w:lang w:val="en-US" w:eastAsia="de-DE"/>
        </w:rPr>
      </w:pPr>
      <w:r w:rsidRPr="00716B57">
        <w:rPr>
          <w:rFonts w:cs="Arial"/>
          <w:szCs w:val="20"/>
          <w:lang w:val="en-US" w:eastAsia="de-DE"/>
        </w:rPr>
        <w:t>Phone:</w:t>
      </w:r>
      <w:r w:rsidRPr="00716B57">
        <w:rPr>
          <w:rFonts w:cs="Arial"/>
          <w:szCs w:val="20"/>
          <w:lang w:val="en-US" w:eastAsia="de-DE"/>
        </w:rPr>
        <w:tab/>
        <w:t>+</w:t>
      </w:r>
      <w:r w:rsidRPr="00716B57">
        <w:rPr>
          <w:rFonts w:cs="Arial"/>
          <w:szCs w:val="20"/>
          <w:lang w:val="en-US" w:eastAsia="zh-CN"/>
        </w:rPr>
        <w:t>86</w:t>
      </w:r>
      <w:r w:rsidRPr="00716B57">
        <w:rPr>
          <w:rFonts w:cs="Arial"/>
          <w:szCs w:val="20"/>
          <w:lang w:val="en-US" w:eastAsia="de-DE"/>
        </w:rPr>
        <w:t xml:space="preserve"> </w:t>
      </w:r>
      <w:r w:rsidRPr="00716B57">
        <w:rPr>
          <w:rFonts w:cs="Arial"/>
          <w:szCs w:val="20"/>
          <w:lang w:val="en-US" w:eastAsia="zh-CN"/>
        </w:rPr>
        <w:t>021 2891 5152</w:t>
      </w:r>
      <w:r w:rsidRPr="00716B57">
        <w:rPr>
          <w:rFonts w:cs="Arial"/>
          <w:szCs w:val="20"/>
          <w:lang w:val="en-US" w:eastAsia="de-DE"/>
        </w:rPr>
        <w:tab/>
        <w:t>Phone:</w:t>
      </w:r>
      <w:r w:rsidRPr="00716B57">
        <w:rPr>
          <w:rFonts w:cs="Arial"/>
          <w:szCs w:val="20"/>
          <w:lang w:val="en-US" w:eastAsia="de-DE"/>
        </w:rPr>
        <w:tab/>
        <w:t>+86 021 2891 5121</w:t>
      </w:r>
    </w:p>
    <w:p w14:paraId="3CEE7872" w14:textId="77777777" w:rsidR="00CA1115" w:rsidRPr="00716B57" w:rsidRDefault="00CA1115" w:rsidP="00CA1115">
      <w:pPr>
        <w:tabs>
          <w:tab w:val="left" w:pos="851"/>
          <w:tab w:val="left" w:pos="4536"/>
          <w:tab w:val="left" w:pos="5387"/>
        </w:tabs>
        <w:spacing w:line="260" w:lineRule="exact"/>
        <w:rPr>
          <w:lang w:val="en-US"/>
        </w:rPr>
      </w:pPr>
      <w:r w:rsidRPr="00716B57">
        <w:rPr>
          <w:rFonts w:cs="Arial"/>
          <w:color w:val="000000"/>
          <w:szCs w:val="20"/>
          <w:lang w:val="en-US" w:eastAsia="de-DE"/>
        </w:rPr>
        <w:t xml:space="preserve">Email: </w:t>
      </w:r>
      <w:r w:rsidRPr="00716B57">
        <w:rPr>
          <w:rFonts w:cs="Arial"/>
          <w:color w:val="000000"/>
          <w:szCs w:val="20"/>
          <w:lang w:val="en-US" w:eastAsia="de-DE"/>
        </w:rPr>
        <w:tab/>
      </w:r>
      <w:hyperlink r:id="rId8" w:history="1">
        <w:r w:rsidRPr="00716B57">
          <w:rPr>
            <w:rStyle w:val="a6"/>
            <w:rFonts w:cs="Arial"/>
            <w:szCs w:val="20"/>
            <w:lang w:val="en-US" w:eastAsia="de-DE"/>
          </w:rPr>
          <w:t>louise.cheung@henkel.com</w:t>
        </w:r>
      </w:hyperlink>
      <w:r w:rsidRPr="00716B57">
        <w:rPr>
          <w:rFonts w:cs="Arial"/>
          <w:color w:val="0000FF"/>
          <w:szCs w:val="20"/>
          <w:lang w:val="en-US" w:eastAsia="de-DE"/>
        </w:rPr>
        <w:tab/>
      </w:r>
      <w:r w:rsidRPr="00716B57">
        <w:rPr>
          <w:rFonts w:cs="Arial"/>
          <w:szCs w:val="20"/>
          <w:lang w:val="en-US" w:eastAsia="de-DE"/>
        </w:rPr>
        <w:t xml:space="preserve">Email: </w:t>
      </w:r>
      <w:r w:rsidRPr="00716B57">
        <w:rPr>
          <w:rFonts w:cs="Arial"/>
          <w:szCs w:val="20"/>
          <w:lang w:val="en-US" w:eastAsia="de-DE"/>
        </w:rPr>
        <w:tab/>
      </w:r>
      <w:hyperlink r:id="rId9" w:history="1">
        <w:r w:rsidRPr="00716B57">
          <w:rPr>
            <w:rStyle w:val="a6"/>
            <w:rFonts w:cs="Arial"/>
            <w:szCs w:val="20"/>
            <w:lang w:val="en-US" w:eastAsia="de-DE"/>
          </w:rPr>
          <w:t>janice.fu@henkel.com</w:t>
        </w:r>
      </w:hyperlink>
    </w:p>
    <w:p w14:paraId="238F83F5" w14:textId="77777777" w:rsidR="00CA1115" w:rsidRPr="00716B57" w:rsidRDefault="00CA1115" w:rsidP="00CA1115">
      <w:pPr>
        <w:adjustRightInd w:val="0"/>
        <w:snapToGrid w:val="0"/>
        <w:spacing w:afterLines="50" w:after="120" w:line="288" w:lineRule="auto"/>
        <w:jc w:val="both"/>
        <w:rPr>
          <w:rFonts w:eastAsia="Arial" w:cs="Arial"/>
          <w:snapToGrid w:val="0"/>
          <w:color w:val="0000FF"/>
          <w:szCs w:val="20"/>
          <w:u w:val="single" w:color="0000FF"/>
        </w:rPr>
      </w:pPr>
    </w:p>
    <w:p w14:paraId="53C61FF9" w14:textId="77777777" w:rsidR="00CA1115" w:rsidRPr="00716B57" w:rsidRDefault="00CA1115" w:rsidP="00CA1115">
      <w:pPr>
        <w:tabs>
          <w:tab w:val="left" w:pos="0"/>
          <w:tab w:val="left" w:pos="360"/>
          <w:tab w:val="left" w:pos="1080"/>
          <w:tab w:val="left" w:pos="1800"/>
          <w:tab w:val="left" w:pos="2520"/>
          <w:tab w:val="left" w:pos="3240"/>
          <w:tab w:val="left" w:pos="3960"/>
        </w:tabs>
        <w:autoSpaceDE w:val="0"/>
        <w:autoSpaceDN w:val="0"/>
        <w:adjustRightInd w:val="0"/>
        <w:spacing w:line="240" w:lineRule="auto"/>
        <w:rPr>
          <w:rFonts w:cs="Tahoma"/>
          <w:szCs w:val="20"/>
          <w:lang w:val="en-US" w:eastAsia="zh-CN"/>
        </w:rPr>
      </w:pPr>
    </w:p>
    <w:p w14:paraId="72C588B8" w14:textId="77777777" w:rsidR="00CA1115" w:rsidRPr="00716B57" w:rsidRDefault="00CA1115" w:rsidP="00CA1115">
      <w:pPr>
        <w:tabs>
          <w:tab w:val="left" w:pos="0"/>
          <w:tab w:val="left" w:pos="360"/>
          <w:tab w:val="left" w:pos="1080"/>
          <w:tab w:val="left" w:pos="1800"/>
          <w:tab w:val="left" w:pos="2520"/>
          <w:tab w:val="left" w:pos="3240"/>
          <w:tab w:val="left" w:pos="3960"/>
        </w:tabs>
        <w:autoSpaceDE w:val="0"/>
        <w:autoSpaceDN w:val="0"/>
        <w:adjustRightInd w:val="0"/>
        <w:spacing w:line="240" w:lineRule="auto"/>
        <w:rPr>
          <w:rFonts w:cs="Tahoma"/>
          <w:szCs w:val="20"/>
          <w:lang w:val="en-US" w:eastAsia="zh-CN"/>
        </w:rPr>
      </w:pPr>
      <w:r w:rsidRPr="00716B57">
        <w:rPr>
          <w:rFonts w:cs="Tahoma" w:hint="eastAsia"/>
          <w:szCs w:val="20"/>
          <w:lang w:val="en-US" w:eastAsia="zh-CN"/>
        </w:rPr>
        <w:t>欲获取</w:t>
      </w:r>
      <w:r w:rsidRPr="00716B57">
        <w:rPr>
          <w:rFonts w:cs="Tahoma"/>
          <w:szCs w:val="20"/>
          <w:lang w:val="en-US" w:eastAsia="zh-CN"/>
        </w:rPr>
        <w:t>201</w:t>
      </w:r>
      <w:r w:rsidRPr="00716B57">
        <w:rPr>
          <w:rFonts w:cs="Tahoma"/>
          <w:szCs w:val="20"/>
          <w:lang w:eastAsia="zh-CN"/>
        </w:rPr>
        <w:t>5</w:t>
      </w:r>
      <w:r w:rsidRPr="00716B57">
        <w:rPr>
          <w:rFonts w:cs="Tahoma" w:hint="eastAsia"/>
          <w:szCs w:val="20"/>
          <w:lang w:val="en-US" w:eastAsia="zh-CN"/>
        </w:rPr>
        <w:t>财年年报及更多信息和下载资料，以及新闻发布会的网络直播链接，请访问</w:t>
      </w:r>
    </w:p>
    <w:p w14:paraId="1F1ADEF3" w14:textId="77777777" w:rsidR="00CA1115" w:rsidRPr="00716B57" w:rsidRDefault="00CA1115" w:rsidP="00CA1115">
      <w:pPr>
        <w:tabs>
          <w:tab w:val="left" w:pos="0"/>
          <w:tab w:val="left" w:pos="360"/>
          <w:tab w:val="left" w:pos="1080"/>
          <w:tab w:val="left" w:pos="1800"/>
          <w:tab w:val="left" w:pos="2520"/>
          <w:tab w:val="left" w:pos="3240"/>
          <w:tab w:val="left" w:pos="3960"/>
        </w:tabs>
        <w:autoSpaceDE w:val="0"/>
        <w:autoSpaceDN w:val="0"/>
        <w:adjustRightInd w:val="0"/>
        <w:spacing w:line="240" w:lineRule="auto"/>
        <w:rPr>
          <w:rFonts w:cs="Tahoma"/>
          <w:szCs w:val="20"/>
          <w:lang w:val="en-US" w:eastAsia="zh-CN"/>
        </w:rPr>
      </w:pPr>
      <w:r w:rsidRPr="00716B57">
        <w:rPr>
          <w:rFonts w:cs="Tahoma" w:hint="eastAsia"/>
          <w:szCs w:val="20"/>
          <w:lang w:val="en-US" w:eastAsia="zh-CN"/>
        </w:rPr>
        <w:t>我司网站中的新闻页面：</w:t>
      </w:r>
    </w:p>
    <w:p w14:paraId="64E7DD87" w14:textId="77777777" w:rsidR="00CA1115" w:rsidRPr="00716B57" w:rsidRDefault="00891DB2" w:rsidP="00CA1115">
      <w:pPr>
        <w:adjustRightInd w:val="0"/>
        <w:snapToGrid w:val="0"/>
        <w:spacing w:afterLines="50" w:after="120" w:line="288" w:lineRule="auto"/>
        <w:jc w:val="both"/>
        <w:rPr>
          <w:rFonts w:cs="Arial"/>
          <w:snapToGrid w:val="0"/>
          <w:color w:val="0000FF"/>
          <w:szCs w:val="20"/>
          <w:u w:val="single" w:color="0000FF"/>
          <w:lang w:eastAsia="zh-CN"/>
        </w:rPr>
      </w:pPr>
      <w:hyperlink r:id="rId10">
        <w:r w:rsidR="00CA1115" w:rsidRPr="00716B57">
          <w:rPr>
            <w:rFonts w:eastAsia="Arial" w:cs="Arial"/>
            <w:snapToGrid w:val="0"/>
            <w:color w:val="0000FF"/>
            <w:szCs w:val="20"/>
            <w:u w:val="single" w:color="0000FF"/>
          </w:rPr>
          <w:t>www.henkel.com/ir</w:t>
        </w:r>
      </w:hyperlink>
    </w:p>
    <w:p w14:paraId="2E2A684C" w14:textId="77777777" w:rsidR="00CA1115" w:rsidRDefault="00891DB2" w:rsidP="00CA1115">
      <w:pPr>
        <w:adjustRightInd w:val="0"/>
        <w:snapToGrid w:val="0"/>
        <w:spacing w:afterLines="50" w:after="120" w:line="288" w:lineRule="auto"/>
        <w:jc w:val="both"/>
        <w:rPr>
          <w:rFonts w:eastAsia="Arial" w:cs="Arial"/>
          <w:snapToGrid w:val="0"/>
          <w:color w:val="0000FF"/>
          <w:szCs w:val="20"/>
          <w:u w:val="single" w:color="0000FF"/>
        </w:rPr>
      </w:pPr>
      <w:hyperlink r:id="rId11">
        <w:r w:rsidR="00CA1115" w:rsidRPr="00716B57">
          <w:rPr>
            <w:rFonts w:eastAsia="Arial" w:cs="Arial"/>
            <w:snapToGrid w:val="0"/>
            <w:color w:val="0000FF"/>
            <w:szCs w:val="20"/>
            <w:u w:val="single" w:color="0000FF"/>
          </w:rPr>
          <w:t>www.henkel.com/press</w:t>
        </w:r>
      </w:hyperlink>
    </w:p>
    <w:p w14:paraId="00C5A63A" w14:textId="77777777" w:rsidR="007E478E" w:rsidRPr="00CA1115" w:rsidRDefault="007E478E" w:rsidP="00FB38E6">
      <w:pPr>
        <w:autoSpaceDE w:val="0"/>
        <w:autoSpaceDN w:val="0"/>
        <w:adjustRightInd w:val="0"/>
        <w:spacing w:after="120" w:line="360" w:lineRule="auto"/>
        <w:jc w:val="both"/>
        <w:rPr>
          <w:rFonts w:cs="Arial"/>
          <w:sz w:val="24"/>
          <w:lang w:eastAsia="zh-CN"/>
        </w:rPr>
      </w:pPr>
    </w:p>
    <w:p w14:paraId="38A1CF60" w14:textId="77777777" w:rsidR="007E478E" w:rsidRDefault="007E478E" w:rsidP="00FB38E6">
      <w:pPr>
        <w:autoSpaceDE w:val="0"/>
        <w:autoSpaceDN w:val="0"/>
        <w:adjustRightInd w:val="0"/>
        <w:spacing w:after="120" w:line="360" w:lineRule="auto"/>
        <w:jc w:val="both"/>
        <w:rPr>
          <w:rFonts w:ascii="Calibri" w:hAnsi="Calibri" w:cs="Calibri"/>
          <w:sz w:val="22"/>
          <w:szCs w:val="22"/>
          <w:lang w:val="en-US"/>
        </w:rPr>
      </w:pPr>
    </w:p>
    <w:sectPr w:rsidR="007E478E">
      <w:headerReference w:type="default" r:id="rId12"/>
      <w:footerReference w:type="default" r:id="rId13"/>
      <w:headerReference w:type="first" r:id="rId14"/>
      <w:footerReference w:type="first" r:id="rId15"/>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63849" w14:textId="77777777" w:rsidR="00891DB2" w:rsidRDefault="00891DB2">
      <w:pPr>
        <w:rPr>
          <w:lang w:val="en-GB"/>
        </w:rPr>
      </w:pPr>
      <w:r>
        <w:rPr>
          <w:lang w:val="en-GB"/>
        </w:rPr>
        <w:separator/>
      </w:r>
    </w:p>
  </w:endnote>
  <w:endnote w:type="continuationSeparator" w:id="0">
    <w:p w14:paraId="160AFB4E" w14:textId="77777777" w:rsidR="00891DB2" w:rsidRDefault="00891DB2">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27F71" w14:textId="77777777" w:rsidR="0027406C" w:rsidRPr="00543199" w:rsidRDefault="0027406C">
    <w:pPr>
      <w:pStyle w:val="a4"/>
      <w:tabs>
        <w:tab w:val="clear" w:pos="7083"/>
        <w:tab w:val="clear" w:pos="8640"/>
        <w:tab w:val="right" w:pos="9057"/>
      </w:tabs>
      <w:rPr>
        <w:b w:val="0"/>
        <w:color w:val="auto"/>
        <w:sz w:val="16"/>
        <w:szCs w:val="16"/>
        <w:lang w:val="en-GB"/>
      </w:rPr>
    </w:pPr>
    <w:r w:rsidRPr="00543199">
      <w:rPr>
        <w:color w:val="auto"/>
        <w:sz w:val="16"/>
        <w:szCs w:val="16"/>
        <w:lang w:val="en-GB"/>
      </w:rPr>
      <w:t>Henkel AG &amp; Co.</w:t>
    </w:r>
    <w:r w:rsidRPr="00543199">
      <w:rPr>
        <w:b w:val="0"/>
        <w:color w:val="auto"/>
        <w:sz w:val="16"/>
        <w:szCs w:val="16"/>
        <w:lang w:val="en-GB"/>
      </w:rPr>
      <w:t xml:space="preserve"> </w:t>
    </w:r>
    <w:proofErr w:type="spellStart"/>
    <w:r w:rsidRPr="00543199">
      <w:rPr>
        <w:color w:val="auto"/>
        <w:sz w:val="16"/>
        <w:szCs w:val="16"/>
        <w:lang w:val="en-GB"/>
      </w:rPr>
      <w:t>KGaA</w:t>
    </w:r>
    <w:proofErr w:type="spellEnd"/>
    <w:r w:rsidRPr="00543199">
      <w:rPr>
        <w:color w:val="auto"/>
        <w:sz w:val="16"/>
        <w:szCs w:val="16"/>
        <w:lang w:val="en-GB"/>
      </w:rPr>
      <w:tab/>
    </w:r>
    <w:r w:rsidRPr="00543199">
      <w:rPr>
        <w:b w:val="0"/>
        <w:color w:val="auto"/>
        <w:sz w:val="16"/>
        <w:szCs w:val="16"/>
        <w:lang w:val="en-GB"/>
      </w:rPr>
      <w:t xml:space="preserve">Page </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PAGE</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875380" w:rsidRPr="00875380">
      <w:rPr>
        <w:b w:val="0"/>
        <w:noProof/>
        <w:color w:val="auto"/>
        <w:sz w:val="16"/>
        <w:szCs w:val="16"/>
        <w:lang w:val="en-GB" w:eastAsia="en-GB"/>
      </w:rPr>
      <w:t>7</w:t>
    </w:r>
    <w:r w:rsidRPr="00543199">
      <w:rPr>
        <w:b w:val="0"/>
        <w:color w:val="auto"/>
        <w:sz w:val="16"/>
        <w:szCs w:val="16"/>
        <w:lang w:val="en-US"/>
      </w:rPr>
      <w:fldChar w:fldCharType="end"/>
    </w:r>
    <w:r w:rsidRPr="00543199">
      <w:rPr>
        <w:b w:val="0"/>
        <w:color w:val="auto"/>
        <w:sz w:val="16"/>
        <w:szCs w:val="16"/>
        <w:lang w:val="en-GB"/>
      </w:rPr>
      <w:t>/</w:t>
    </w:r>
    <w:r w:rsidRPr="00543199">
      <w:rPr>
        <w:b w:val="0"/>
        <w:color w:val="auto"/>
        <w:sz w:val="16"/>
        <w:szCs w:val="16"/>
        <w:lang w:val="en-US"/>
      </w:rPr>
      <w:fldChar w:fldCharType="begin"/>
    </w:r>
    <w:r w:rsidRPr="00543199">
      <w:rPr>
        <w:b w:val="0"/>
        <w:color w:val="auto"/>
        <w:sz w:val="16"/>
        <w:szCs w:val="16"/>
        <w:lang w:val="en-US"/>
      </w:rPr>
      <w:instrText xml:space="preserve"> </w:instrText>
    </w:r>
    <w:r>
      <w:rPr>
        <w:b w:val="0"/>
        <w:color w:val="auto"/>
        <w:sz w:val="16"/>
        <w:szCs w:val="16"/>
        <w:lang w:val="en-US"/>
      </w:rPr>
      <w:instrText>NUMPAGES</w:instrText>
    </w:r>
    <w:r w:rsidRPr="00543199">
      <w:rPr>
        <w:b w:val="0"/>
        <w:color w:val="auto"/>
        <w:sz w:val="16"/>
        <w:szCs w:val="16"/>
        <w:lang w:val="en-US"/>
      </w:rPr>
      <w:instrText xml:space="preserve">  \* Arabic  \* MERGEFORMAT </w:instrText>
    </w:r>
    <w:r w:rsidRPr="00543199">
      <w:rPr>
        <w:b w:val="0"/>
        <w:color w:val="auto"/>
        <w:sz w:val="16"/>
        <w:szCs w:val="16"/>
        <w:lang w:val="en-US"/>
      </w:rPr>
      <w:fldChar w:fldCharType="separate"/>
    </w:r>
    <w:r w:rsidR="00875380" w:rsidRPr="00875380">
      <w:rPr>
        <w:b w:val="0"/>
        <w:noProof/>
        <w:color w:val="auto"/>
        <w:sz w:val="16"/>
        <w:szCs w:val="16"/>
        <w:lang w:val="en-GB" w:eastAsia="en-GB"/>
      </w:rPr>
      <w:t>7</w:t>
    </w:r>
    <w:r w:rsidRPr="00543199">
      <w:rPr>
        <w:b w:val="0"/>
        <w:color w:val="auto"/>
        <w:sz w:val="16"/>
        <w:szCs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8FCF" w14:textId="5AF11637" w:rsidR="004359B0" w:rsidRDefault="00E74F1F" w:rsidP="004359B0">
    <w:pPr>
      <w:pStyle w:val="a4"/>
      <w:jc w:val="distribute"/>
      <w:rPr>
        <w:b w:val="0"/>
        <w:color w:val="auto"/>
        <w:szCs w:val="24"/>
      </w:rPr>
    </w:pPr>
    <w:r w:rsidRPr="00A21066">
      <w:rPr>
        <w:b w:val="0"/>
        <w:noProof/>
        <w:color w:val="auto"/>
        <w:lang w:val="en-US" w:eastAsia="zh-CN"/>
      </w:rPr>
      <w:drawing>
        <wp:inline distT="0" distB="0" distL="0" distR="0" wp14:anchorId="2CFA1470" wp14:editId="702F2025">
          <wp:extent cx="419100" cy="142875"/>
          <wp:effectExtent l="0" t="0" r="0" b="9525"/>
          <wp:docPr id="9" name="Grafik 28"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
        <w:lang w:val="en-US" w:eastAsia="zh-CN"/>
      </w:rPr>
      <w:drawing>
        <wp:inline distT="0" distB="0" distL="0" distR="0" wp14:anchorId="2817D330" wp14:editId="7DED907F">
          <wp:extent cx="352425" cy="142875"/>
          <wp:effectExtent l="0" t="0" r="9525" b="9525"/>
          <wp:docPr id="8" name="Grafik 27"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004359B0">
      <w:rPr>
        <w:b w:val="0"/>
        <w:color w:val="auto"/>
      </w:rPr>
      <w:t xml:space="preserve"> </w:t>
    </w:r>
    <w:r w:rsidRPr="00A21066">
      <w:rPr>
        <w:b w:val="0"/>
        <w:noProof/>
        <w:color w:val="auto"/>
        <w:position w:val="-14"/>
        <w:lang w:val="en-US" w:eastAsia="zh-CN"/>
      </w:rPr>
      <w:drawing>
        <wp:inline distT="0" distB="0" distL="0" distR="0" wp14:anchorId="615BEA18" wp14:editId="32968A4E">
          <wp:extent cx="257175" cy="285750"/>
          <wp:effectExtent l="0" t="0" r="9525" b="0"/>
          <wp:docPr id="7" name="Grafik 26" descr="Pril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ril Logo High 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004359B0">
      <w:rPr>
        <w:b w:val="0"/>
        <w:color w:val="auto"/>
      </w:rPr>
      <w:t xml:space="preserve"> </w:t>
    </w:r>
    <w:r w:rsidRPr="00A21066">
      <w:rPr>
        <w:b w:val="0"/>
        <w:noProof/>
        <w:color w:val="auto"/>
        <w:position w:val="-8"/>
        <w:lang w:val="en-US" w:eastAsia="zh-CN"/>
      </w:rPr>
      <w:drawing>
        <wp:inline distT="0" distB="0" distL="0" distR="0" wp14:anchorId="1B1D4F30" wp14:editId="480EB5D8">
          <wp:extent cx="695325" cy="266700"/>
          <wp:effectExtent l="0" t="0" r="9525" b="0"/>
          <wp:docPr id="6" name="Grafik 25" descr="schwarz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schwarzkop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10"/>
        <w:lang w:val="en-US" w:eastAsia="zh-CN"/>
      </w:rPr>
      <w:drawing>
        <wp:inline distT="0" distB="0" distL="0" distR="0" wp14:anchorId="1E6AE52F" wp14:editId="40C0410B">
          <wp:extent cx="352425" cy="266700"/>
          <wp:effectExtent l="0" t="0" r="9525" b="0"/>
          <wp:docPr id="5" name="Grafik 24"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004359B0">
      <w:rPr>
        <w:b w:val="0"/>
        <w:color w:val="auto"/>
      </w:rPr>
      <w:t xml:space="preserve"> </w:t>
    </w:r>
    <w:r w:rsidRPr="00A21066">
      <w:rPr>
        <w:b w:val="0"/>
        <w:noProof/>
        <w:color w:val="auto"/>
        <w:position w:val="-4"/>
        <w:lang w:val="en-US" w:eastAsia="zh-CN"/>
      </w:rPr>
      <w:drawing>
        <wp:inline distT="0" distB="0" distL="0" distR="0" wp14:anchorId="23520856" wp14:editId="60925901">
          <wp:extent cx="495300" cy="123825"/>
          <wp:effectExtent l="0" t="0" r="0" b="9525"/>
          <wp:docPr id="4" name="Grafik 23"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r w:rsidR="004359B0">
      <w:rPr>
        <w:b w:val="0"/>
        <w:color w:val="auto"/>
      </w:rPr>
      <w:t xml:space="preserve"> </w:t>
    </w:r>
    <w:r w:rsidRPr="00A21066">
      <w:rPr>
        <w:b w:val="0"/>
        <w:noProof/>
        <w:color w:val="auto"/>
        <w:lang w:val="en-US" w:eastAsia="zh-CN"/>
      </w:rPr>
      <w:drawing>
        <wp:inline distT="0" distB="0" distL="0" distR="0" wp14:anchorId="154704B0" wp14:editId="022DB284">
          <wp:extent cx="590550" cy="104775"/>
          <wp:effectExtent l="0" t="0" r="0" b="9525"/>
          <wp:docPr id="3" name="Grafik 2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104775"/>
                  </a:xfrm>
                  <a:prstGeom prst="rect">
                    <a:avLst/>
                  </a:prstGeom>
                  <a:noFill/>
                  <a:ln>
                    <a:noFill/>
                  </a:ln>
                </pic:spPr>
              </pic:pic>
            </a:graphicData>
          </a:graphic>
        </wp:inline>
      </w:drawing>
    </w:r>
    <w:r w:rsidR="004359B0">
      <w:rPr>
        <w:b w:val="0"/>
        <w:color w:val="auto"/>
      </w:rPr>
      <w:t xml:space="preserve"> </w:t>
    </w:r>
    <w:r w:rsidRPr="00A21066">
      <w:rPr>
        <w:b w:val="0"/>
        <w:noProof/>
        <w:color w:val="auto"/>
        <w:lang w:val="en-US" w:eastAsia="zh-CN"/>
      </w:rPr>
      <w:drawing>
        <wp:inline distT="0" distB="0" distL="0" distR="0" wp14:anchorId="556A78CF" wp14:editId="2ABEDA88">
          <wp:extent cx="1000125" cy="104775"/>
          <wp:effectExtent l="0" t="0" r="9525" b="9525"/>
          <wp:docPr id="2" name="Grafik 21"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rsidRPr="00A21066">
      <w:rPr>
        <w:b w:val="0"/>
        <w:i/>
        <w:noProof/>
        <w:lang w:val="en-US" w:eastAsia="zh-CN"/>
      </w:rPr>
      <w:drawing>
        <wp:inline distT="0" distB="0" distL="0" distR="0" wp14:anchorId="6EFD20B9" wp14:editId="4078067B">
          <wp:extent cx="876300" cy="114300"/>
          <wp:effectExtent l="0" t="0" r="0" b="0"/>
          <wp:docPr id="1"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9">
                    <a:extLst>
                      <a:ext uri="{28A0092B-C50C-407E-A947-70E740481C1C}">
                        <a14:useLocalDpi xmlns:a14="http://schemas.microsoft.com/office/drawing/2010/main" val="0"/>
                      </a:ext>
                    </a:extLst>
                  </a:blip>
                  <a:srcRect t="31265" b="30222"/>
                  <a:stretch>
                    <a:fillRect/>
                  </a:stretch>
                </pic:blipFill>
                <pic:spPr bwMode="auto">
                  <a:xfrm>
                    <a:off x="0" y="0"/>
                    <a:ext cx="876300" cy="114300"/>
                  </a:xfrm>
                  <a:prstGeom prst="rect">
                    <a:avLst/>
                  </a:prstGeom>
                  <a:noFill/>
                  <a:ln>
                    <a:noFill/>
                  </a:ln>
                </pic:spPr>
              </pic:pic>
            </a:graphicData>
          </a:graphic>
        </wp:inline>
      </w:drawing>
    </w:r>
  </w:p>
  <w:p w14:paraId="13740E43" w14:textId="2B5861C9" w:rsidR="0027406C" w:rsidRDefault="0027406C">
    <w:pPr>
      <w:pStyle w:val="a4"/>
      <w:jc w:val="distribute"/>
      <w:rPr>
        <w:b w:val="0"/>
        <w:color w:val="auto"/>
        <w:lang w:val="en-GB"/>
      </w:rPr>
    </w:pPr>
  </w:p>
  <w:p w14:paraId="6653D23D" w14:textId="77777777" w:rsidR="0027406C" w:rsidRPr="00510B7C" w:rsidRDefault="0027406C">
    <w:pPr>
      <w:pStyle w:val="a4"/>
      <w:jc w:val="right"/>
      <w:rPr>
        <w:b w:val="0"/>
        <w:color w:val="auto"/>
        <w:sz w:val="16"/>
        <w:szCs w:val="16"/>
        <w:lang w:val="en-GB"/>
      </w:rPr>
    </w:pPr>
    <w:r w:rsidRPr="00510B7C">
      <w:rPr>
        <w:b w:val="0"/>
        <w:color w:val="auto"/>
        <w:sz w:val="16"/>
        <w:szCs w:val="16"/>
        <w:lang w:val="en-GB"/>
      </w:rPr>
      <w:t xml:space="preserve">Page </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PAGE</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875380">
      <w:rPr>
        <w:b w:val="0"/>
        <w:noProof/>
        <w:color w:val="auto"/>
        <w:sz w:val="16"/>
        <w:szCs w:val="16"/>
        <w:lang w:val="en-GB"/>
      </w:rPr>
      <w:t>1</w:t>
    </w:r>
    <w:r w:rsidRPr="00510B7C">
      <w:rPr>
        <w:b w:val="0"/>
        <w:color w:val="auto"/>
        <w:sz w:val="16"/>
        <w:szCs w:val="16"/>
        <w:lang w:val="en-GB"/>
      </w:rPr>
      <w:fldChar w:fldCharType="end"/>
    </w:r>
    <w:r w:rsidRPr="00510B7C">
      <w:rPr>
        <w:b w:val="0"/>
        <w:color w:val="auto"/>
        <w:sz w:val="16"/>
        <w:szCs w:val="16"/>
        <w:lang w:val="en-GB"/>
      </w:rPr>
      <w:t>/</w:t>
    </w:r>
    <w:r w:rsidRPr="00510B7C">
      <w:rPr>
        <w:b w:val="0"/>
        <w:color w:val="auto"/>
        <w:sz w:val="16"/>
        <w:szCs w:val="16"/>
        <w:lang w:val="en-GB"/>
      </w:rPr>
      <w:fldChar w:fldCharType="begin"/>
    </w:r>
    <w:r w:rsidRPr="00510B7C">
      <w:rPr>
        <w:b w:val="0"/>
        <w:color w:val="auto"/>
        <w:sz w:val="16"/>
        <w:szCs w:val="16"/>
        <w:lang w:val="en-GB"/>
      </w:rPr>
      <w:instrText xml:space="preserve"> </w:instrText>
    </w:r>
    <w:r>
      <w:rPr>
        <w:b w:val="0"/>
        <w:color w:val="auto"/>
        <w:sz w:val="16"/>
        <w:szCs w:val="16"/>
        <w:lang w:val="en-GB"/>
      </w:rPr>
      <w:instrText>NUMPAGES</w:instrText>
    </w:r>
    <w:r w:rsidRPr="00510B7C">
      <w:rPr>
        <w:b w:val="0"/>
        <w:color w:val="auto"/>
        <w:sz w:val="16"/>
        <w:szCs w:val="16"/>
        <w:lang w:val="en-GB"/>
      </w:rPr>
      <w:instrText xml:space="preserve">  \* Arabic  \* MERGEFORMAT </w:instrText>
    </w:r>
    <w:r w:rsidRPr="00510B7C">
      <w:rPr>
        <w:b w:val="0"/>
        <w:color w:val="auto"/>
        <w:sz w:val="16"/>
        <w:szCs w:val="16"/>
        <w:lang w:val="en-GB"/>
      </w:rPr>
      <w:fldChar w:fldCharType="separate"/>
    </w:r>
    <w:r w:rsidR="00875380">
      <w:rPr>
        <w:b w:val="0"/>
        <w:noProof/>
        <w:color w:val="auto"/>
        <w:sz w:val="16"/>
        <w:szCs w:val="16"/>
        <w:lang w:val="en-GB"/>
      </w:rPr>
      <w:t>7</w:t>
    </w:r>
    <w:r w:rsidRPr="00510B7C">
      <w:rPr>
        <w:b w:val="0"/>
        <w:color w:val="auto"/>
        <w:sz w:val="16"/>
        <w:szCs w:val="16"/>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D8EEF" w14:textId="77777777" w:rsidR="00891DB2" w:rsidRDefault="00891DB2">
      <w:pPr>
        <w:rPr>
          <w:lang w:val="en-GB"/>
        </w:rPr>
      </w:pPr>
      <w:r>
        <w:rPr>
          <w:lang w:val="en-GB"/>
        </w:rPr>
        <w:separator/>
      </w:r>
    </w:p>
  </w:footnote>
  <w:footnote w:type="continuationSeparator" w:id="0">
    <w:p w14:paraId="3A64F10C" w14:textId="77777777" w:rsidR="00891DB2" w:rsidRDefault="00891DB2">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57043" w14:textId="2BB8BE5C" w:rsidR="0027406C" w:rsidRDefault="00E74F1F">
    <w:pPr>
      <w:pStyle w:val="a3"/>
      <w:spacing w:after="567" w:line="280" w:lineRule="exact"/>
      <w:jc w:val="right"/>
      <w:rPr>
        <w:lang w:val="en-GB"/>
      </w:rPr>
    </w:pPr>
    <w:r>
      <w:rPr>
        <w:noProof/>
        <w:lang w:val="en-US" w:eastAsia="zh-CN"/>
      </w:rPr>
      <mc:AlternateContent>
        <mc:Choice Requires="wpg">
          <w:drawing>
            <wp:anchor distT="0" distB="0" distL="114300" distR="114300" simplePos="0" relativeHeight="251657728" behindDoc="0" locked="0" layoutInCell="1" allowOverlap="1" wp14:anchorId="070D3D22" wp14:editId="24ECCE72">
              <wp:simplePos x="0" y="0"/>
              <wp:positionH relativeFrom="page">
                <wp:posOffset>180340</wp:posOffset>
              </wp:positionH>
              <wp:positionV relativeFrom="page">
                <wp:posOffset>3780790</wp:posOffset>
              </wp:positionV>
              <wp:extent cx="183515" cy="3796030"/>
              <wp:effectExtent l="0" t="0" r="26035" b="13970"/>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715117" id="Group 1" o:spid="_x0000_s1026" style="position:absolute;left:0;text-align:left;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EC439" w14:textId="77777777" w:rsidR="0027406C" w:rsidRDefault="0027406C">
    <w:pPr>
      <w:pStyle w:val="a3"/>
      <w:tabs>
        <w:tab w:val="clear" w:pos="8640"/>
      </w:tabs>
      <w:spacing w:line="2155" w:lineRule="exact"/>
      <w:jc w:val="right"/>
      <w:rPr>
        <w:b/>
        <w:bCs/>
        <w:sz w:val="36"/>
        <w:szCs w:val="36"/>
        <w:lang w:val="en-GB"/>
      </w:rPr>
    </w:pPr>
  </w:p>
  <w:p w14:paraId="41BA8B36" w14:textId="525126CA" w:rsidR="0027406C" w:rsidRDefault="00F24FD0">
    <w:pPr>
      <w:pStyle w:val="a3"/>
      <w:tabs>
        <w:tab w:val="clear" w:pos="8640"/>
      </w:tabs>
      <w:spacing w:line="420" w:lineRule="atLeast"/>
      <w:jc w:val="right"/>
      <w:rPr>
        <w:b/>
        <w:bCs/>
        <w:sz w:val="36"/>
        <w:szCs w:val="36"/>
        <w:lang w:val="en-GB"/>
      </w:rPr>
    </w:pPr>
    <w:r>
      <w:rPr>
        <w:rFonts w:hint="eastAsia"/>
        <w:b/>
        <w:bCs/>
        <w:sz w:val="36"/>
        <w:szCs w:val="36"/>
        <w:lang w:val="en-GB" w:eastAsia="zh-CN"/>
      </w:rPr>
      <w:t>新闻稿</w:t>
    </w:r>
    <w:r w:rsidR="00E74F1F">
      <w:rPr>
        <w:noProof/>
        <w:lang w:val="en-US" w:eastAsia="zh-CN"/>
      </w:rPr>
      <mc:AlternateContent>
        <mc:Choice Requires="wpg">
          <w:drawing>
            <wp:anchor distT="0" distB="0" distL="114300" distR="114300" simplePos="0" relativeHeight="251656704" behindDoc="0" locked="0" layoutInCell="1" allowOverlap="1" wp14:anchorId="2D3AFE35" wp14:editId="36B4A0C2">
              <wp:simplePos x="0" y="0"/>
              <wp:positionH relativeFrom="page">
                <wp:posOffset>180340</wp:posOffset>
              </wp:positionH>
              <wp:positionV relativeFrom="page">
                <wp:posOffset>3780790</wp:posOffset>
              </wp:positionV>
              <wp:extent cx="179705" cy="3780155"/>
              <wp:effectExtent l="0" t="0" r="29845" b="10795"/>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F7EB3" id="Group 5" o:spid="_x0000_s1026" style="position:absolute;left:0;text-align:left;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mc:Fallback>
      </mc:AlternateContent>
    </w:r>
    <w:r w:rsidR="00E74F1F">
      <w:rPr>
        <w:noProof/>
        <w:lang w:val="en-US" w:eastAsia="zh-CN"/>
      </w:rPr>
      <w:drawing>
        <wp:anchor distT="0" distB="0" distL="114300" distR="114300" simplePos="0" relativeHeight="251658752" behindDoc="1" locked="0" layoutInCell="1" allowOverlap="1" wp14:anchorId="105A164B" wp14:editId="42840813">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66650F7"/>
    <w:multiLevelType w:val="hybridMultilevel"/>
    <w:tmpl w:val="CE88CF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A14"/>
    <w:rsid w:val="000012BD"/>
    <w:rsid w:val="00012002"/>
    <w:rsid w:val="00020A1B"/>
    <w:rsid w:val="00022AD0"/>
    <w:rsid w:val="00033DE7"/>
    <w:rsid w:val="00047FD6"/>
    <w:rsid w:val="00064838"/>
    <w:rsid w:val="0006572E"/>
    <w:rsid w:val="000834D0"/>
    <w:rsid w:val="00083546"/>
    <w:rsid w:val="000910EE"/>
    <w:rsid w:val="000B0B87"/>
    <w:rsid w:val="000C3443"/>
    <w:rsid w:val="000C79E5"/>
    <w:rsid w:val="000D154F"/>
    <w:rsid w:val="000D76FF"/>
    <w:rsid w:val="000E07FD"/>
    <w:rsid w:val="000E0AB6"/>
    <w:rsid w:val="000F489E"/>
    <w:rsid w:val="000F742D"/>
    <w:rsid w:val="00110252"/>
    <w:rsid w:val="00156F3B"/>
    <w:rsid w:val="00161F9E"/>
    <w:rsid w:val="001703F5"/>
    <w:rsid w:val="00182596"/>
    <w:rsid w:val="00186509"/>
    <w:rsid w:val="00190BA4"/>
    <w:rsid w:val="0019228E"/>
    <w:rsid w:val="00194E89"/>
    <w:rsid w:val="00197551"/>
    <w:rsid w:val="001B1AEB"/>
    <w:rsid w:val="001C2ABF"/>
    <w:rsid w:val="001C4984"/>
    <w:rsid w:val="001C6D1D"/>
    <w:rsid w:val="001D4610"/>
    <w:rsid w:val="002031BC"/>
    <w:rsid w:val="0020426B"/>
    <w:rsid w:val="00213F8A"/>
    <w:rsid w:val="00233523"/>
    <w:rsid w:val="00234A52"/>
    <w:rsid w:val="0023594D"/>
    <w:rsid w:val="00240610"/>
    <w:rsid w:val="0024480A"/>
    <w:rsid w:val="00253D87"/>
    <w:rsid w:val="0025573E"/>
    <w:rsid w:val="002645C3"/>
    <w:rsid w:val="002665AC"/>
    <w:rsid w:val="0027406C"/>
    <w:rsid w:val="00284FDE"/>
    <w:rsid w:val="00295D31"/>
    <w:rsid w:val="002A4B4D"/>
    <w:rsid w:val="002B273E"/>
    <w:rsid w:val="002C1229"/>
    <w:rsid w:val="002C387C"/>
    <w:rsid w:val="002D0CE6"/>
    <w:rsid w:val="002D51B1"/>
    <w:rsid w:val="002D6BED"/>
    <w:rsid w:val="002E0791"/>
    <w:rsid w:val="002F339D"/>
    <w:rsid w:val="00301A70"/>
    <w:rsid w:val="0030780F"/>
    <w:rsid w:val="0031248D"/>
    <w:rsid w:val="003149CB"/>
    <w:rsid w:val="00333E30"/>
    <w:rsid w:val="00336E26"/>
    <w:rsid w:val="00350463"/>
    <w:rsid w:val="003526DB"/>
    <w:rsid w:val="0036162A"/>
    <w:rsid w:val="003619D4"/>
    <w:rsid w:val="003626B8"/>
    <w:rsid w:val="00366D77"/>
    <w:rsid w:val="0037181B"/>
    <w:rsid w:val="00371857"/>
    <w:rsid w:val="00382CC0"/>
    <w:rsid w:val="00385149"/>
    <w:rsid w:val="003A2225"/>
    <w:rsid w:val="003A4BCE"/>
    <w:rsid w:val="003B2DDB"/>
    <w:rsid w:val="003B40D1"/>
    <w:rsid w:val="003B70E3"/>
    <w:rsid w:val="003C0700"/>
    <w:rsid w:val="003C1C78"/>
    <w:rsid w:val="003C746B"/>
    <w:rsid w:val="003D3FB5"/>
    <w:rsid w:val="003E0228"/>
    <w:rsid w:val="003E1636"/>
    <w:rsid w:val="003F7379"/>
    <w:rsid w:val="004000F1"/>
    <w:rsid w:val="00413B39"/>
    <w:rsid w:val="0042000D"/>
    <w:rsid w:val="00420D11"/>
    <w:rsid w:val="00422B8A"/>
    <w:rsid w:val="004247DB"/>
    <w:rsid w:val="004274F9"/>
    <w:rsid w:val="004327C3"/>
    <w:rsid w:val="004359B0"/>
    <w:rsid w:val="00435A2D"/>
    <w:rsid w:val="00442151"/>
    <w:rsid w:val="00443FC6"/>
    <w:rsid w:val="00457418"/>
    <w:rsid w:val="00473248"/>
    <w:rsid w:val="0048157B"/>
    <w:rsid w:val="0049298B"/>
    <w:rsid w:val="004A1D55"/>
    <w:rsid w:val="004B096C"/>
    <w:rsid w:val="004B3E96"/>
    <w:rsid w:val="004D2F43"/>
    <w:rsid w:val="004D5248"/>
    <w:rsid w:val="005014B8"/>
    <w:rsid w:val="00506973"/>
    <w:rsid w:val="005070DC"/>
    <w:rsid w:val="00510B7C"/>
    <w:rsid w:val="005126A8"/>
    <w:rsid w:val="00531D8E"/>
    <w:rsid w:val="00531F36"/>
    <w:rsid w:val="005401DD"/>
    <w:rsid w:val="00543199"/>
    <w:rsid w:val="005610CA"/>
    <w:rsid w:val="0058322F"/>
    <w:rsid w:val="0058759D"/>
    <w:rsid w:val="00593C39"/>
    <w:rsid w:val="005A1FCE"/>
    <w:rsid w:val="005A57F7"/>
    <w:rsid w:val="005B0253"/>
    <w:rsid w:val="005B27BB"/>
    <w:rsid w:val="005B42CF"/>
    <w:rsid w:val="005C4F3B"/>
    <w:rsid w:val="005D5E6F"/>
    <w:rsid w:val="005D6E5C"/>
    <w:rsid w:val="005E0218"/>
    <w:rsid w:val="005E2DFF"/>
    <w:rsid w:val="005F28E9"/>
    <w:rsid w:val="0060486E"/>
    <w:rsid w:val="00613D37"/>
    <w:rsid w:val="00614644"/>
    <w:rsid w:val="00633538"/>
    <w:rsid w:val="00637B61"/>
    <w:rsid w:val="00650966"/>
    <w:rsid w:val="0065118E"/>
    <w:rsid w:val="00656466"/>
    <w:rsid w:val="00656719"/>
    <w:rsid w:val="0066205B"/>
    <w:rsid w:val="00681763"/>
    <w:rsid w:val="00690A55"/>
    <w:rsid w:val="006918A5"/>
    <w:rsid w:val="006B6334"/>
    <w:rsid w:val="006C3E76"/>
    <w:rsid w:val="006E10CE"/>
    <w:rsid w:val="006E20F7"/>
    <w:rsid w:val="006E2D19"/>
    <w:rsid w:val="006E5D5E"/>
    <w:rsid w:val="00706CEC"/>
    <w:rsid w:val="007131CA"/>
    <w:rsid w:val="007142E4"/>
    <w:rsid w:val="007214C2"/>
    <w:rsid w:val="0072671C"/>
    <w:rsid w:val="00727E53"/>
    <w:rsid w:val="00745F31"/>
    <w:rsid w:val="00750D49"/>
    <w:rsid w:val="00751E70"/>
    <w:rsid w:val="007566DE"/>
    <w:rsid w:val="00764D04"/>
    <w:rsid w:val="007800CD"/>
    <w:rsid w:val="007979C1"/>
    <w:rsid w:val="00797ECE"/>
    <w:rsid w:val="007A61B9"/>
    <w:rsid w:val="007B33DD"/>
    <w:rsid w:val="007C2404"/>
    <w:rsid w:val="007C291A"/>
    <w:rsid w:val="007C5C43"/>
    <w:rsid w:val="007E1326"/>
    <w:rsid w:val="007E206D"/>
    <w:rsid w:val="007E478E"/>
    <w:rsid w:val="007F0F81"/>
    <w:rsid w:val="0080226A"/>
    <w:rsid w:val="00802372"/>
    <w:rsid w:val="00806E0F"/>
    <w:rsid w:val="00816CB8"/>
    <w:rsid w:val="00834801"/>
    <w:rsid w:val="0083737B"/>
    <w:rsid w:val="00846C52"/>
    <w:rsid w:val="00852E98"/>
    <w:rsid w:val="00853A3C"/>
    <w:rsid w:val="008565A5"/>
    <w:rsid w:val="00875380"/>
    <w:rsid w:val="00885039"/>
    <w:rsid w:val="00891DB2"/>
    <w:rsid w:val="008A6A2D"/>
    <w:rsid w:val="008B0548"/>
    <w:rsid w:val="008B6D97"/>
    <w:rsid w:val="008B6ECF"/>
    <w:rsid w:val="008C49FB"/>
    <w:rsid w:val="008C610A"/>
    <w:rsid w:val="008F3896"/>
    <w:rsid w:val="008F6FFA"/>
    <w:rsid w:val="008F73CB"/>
    <w:rsid w:val="00904E6F"/>
    <w:rsid w:val="009146DF"/>
    <w:rsid w:val="009214FF"/>
    <w:rsid w:val="009304EC"/>
    <w:rsid w:val="009314AF"/>
    <w:rsid w:val="009464DC"/>
    <w:rsid w:val="00956399"/>
    <w:rsid w:val="00967D0F"/>
    <w:rsid w:val="009701C5"/>
    <w:rsid w:val="009708CC"/>
    <w:rsid w:val="0098664A"/>
    <w:rsid w:val="00990D60"/>
    <w:rsid w:val="00994A89"/>
    <w:rsid w:val="00997257"/>
    <w:rsid w:val="009A0370"/>
    <w:rsid w:val="009A1074"/>
    <w:rsid w:val="009A2B81"/>
    <w:rsid w:val="009B5517"/>
    <w:rsid w:val="009C3CAC"/>
    <w:rsid w:val="009D0316"/>
    <w:rsid w:val="009D73E1"/>
    <w:rsid w:val="009F158F"/>
    <w:rsid w:val="009F2D2D"/>
    <w:rsid w:val="00A01A35"/>
    <w:rsid w:val="00A021DD"/>
    <w:rsid w:val="00A11CA5"/>
    <w:rsid w:val="00A15B9F"/>
    <w:rsid w:val="00A21066"/>
    <w:rsid w:val="00A35804"/>
    <w:rsid w:val="00A363AD"/>
    <w:rsid w:val="00A41970"/>
    <w:rsid w:val="00A45EB8"/>
    <w:rsid w:val="00A57859"/>
    <w:rsid w:val="00A62D4F"/>
    <w:rsid w:val="00A67407"/>
    <w:rsid w:val="00A70E56"/>
    <w:rsid w:val="00A87B93"/>
    <w:rsid w:val="00A921D9"/>
    <w:rsid w:val="00A92441"/>
    <w:rsid w:val="00AB315E"/>
    <w:rsid w:val="00AB4566"/>
    <w:rsid w:val="00AB5758"/>
    <w:rsid w:val="00AC3074"/>
    <w:rsid w:val="00AD1E73"/>
    <w:rsid w:val="00AD2009"/>
    <w:rsid w:val="00AD2926"/>
    <w:rsid w:val="00AD5AA2"/>
    <w:rsid w:val="00AE05D7"/>
    <w:rsid w:val="00AE20BC"/>
    <w:rsid w:val="00AE5C27"/>
    <w:rsid w:val="00AE6230"/>
    <w:rsid w:val="00AF6D21"/>
    <w:rsid w:val="00B027CD"/>
    <w:rsid w:val="00B02C81"/>
    <w:rsid w:val="00B038EC"/>
    <w:rsid w:val="00B13609"/>
    <w:rsid w:val="00B2041A"/>
    <w:rsid w:val="00B21EF7"/>
    <w:rsid w:val="00B25281"/>
    <w:rsid w:val="00B2602C"/>
    <w:rsid w:val="00B41B99"/>
    <w:rsid w:val="00B4613B"/>
    <w:rsid w:val="00B47A2A"/>
    <w:rsid w:val="00B57BFB"/>
    <w:rsid w:val="00B759D6"/>
    <w:rsid w:val="00B82819"/>
    <w:rsid w:val="00B85BD1"/>
    <w:rsid w:val="00B935E0"/>
    <w:rsid w:val="00BA2B5E"/>
    <w:rsid w:val="00BA3A42"/>
    <w:rsid w:val="00BA512F"/>
    <w:rsid w:val="00BA600D"/>
    <w:rsid w:val="00BB57C7"/>
    <w:rsid w:val="00BC011A"/>
    <w:rsid w:val="00BC5F37"/>
    <w:rsid w:val="00BD59FE"/>
    <w:rsid w:val="00BF1217"/>
    <w:rsid w:val="00C023A8"/>
    <w:rsid w:val="00C05CAA"/>
    <w:rsid w:val="00C216B6"/>
    <w:rsid w:val="00C33135"/>
    <w:rsid w:val="00C334C3"/>
    <w:rsid w:val="00C347BF"/>
    <w:rsid w:val="00C45E08"/>
    <w:rsid w:val="00C5135F"/>
    <w:rsid w:val="00C65B32"/>
    <w:rsid w:val="00C7000E"/>
    <w:rsid w:val="00C70047"/>
    <w:rsid w:val="00C74B6D"/>
    <w:rsid w:val="00C77A42"/>
    <w:rsid w:val="00C80CBB"/>
    <w:rsid w:val="00CA1115"/>
    <w:rsid w:val="00CA2F05"/>
    <w:rsid w:val="00CB0690"/>
    <w:rsid w:val="00CB0CC3"/>
    <w:rsid w:val="00CC53AA"/>
    <w:rsid w:val="00CC78B2"/>
    <w:rsid w:val="00CD1F31"/>
    <w:rsid w:val="00CE7E29"/>
    <w:rsid w:val="00CF23F8"/>
    <w:rsid w:val="00D03BED"/>
    <w:rsid w:val="00D1225A"/>
    <w:rsid w:val="00D12307"/>
    <w:rsid w:val="00D15B32"/>
    <w:rsid w:val="00D21EF1"/>
    <w:rsid w:val="00D5316B"/>
    <w:rsid w:val="00D536EF"/>
    <w:rsid w:val="00D63FAE"/>
    <w:rsid w:val="00D673D9"/>
    <w:rsid w:val="00D73001"/>
    <w:rsid w:val="00D86027"/>
    <w:rsid w:val="00D86646"/>
    <w:rsid w:val="00D90623"/>
    <w:rsid w:val="00DA20EC"/>
    <w:rsid w:val="00DB1DA7"/>
    <w:rsid w:val="00DE552A"/>
    <w:rsid w:val="00DF64B0"/>
    <w:rsid w:val="00DF68E8"/>
    <w:rsid w:val="00E0686A"/>
    <w:rsid w:val="00E13C6D"/>
    <w:rsid w:val="00E218BE"/>
    <w:rsid w:val="00E22B12"/>
    <w:rsid w:val="00E24252"/>
    <w:rsid w:val="00E25787"/>
    <w:rsid w:val="00E343BA"/>
    <w:rsid w:val="00E3586E"/>
    <w:rsid w:val="00E4224E"/>
    <w:rsid w:val="00E440EA"/>
    <w:rsid w:val="00E44AD5"/>
    <w:rsid w:val="00E47766"/>
    <w:rsid w:val="00E504EC"/>
    <w:rsid w:val="00E51A9A"/>
    <w:rsid w:val="00E6004E"/>
    <w:rsid w:val="00E609EA"/>
    <w:rsid w:val="00E74F1F"/>
    <w:rsid w:val="00E75D41"/>
    <w:rsid w:val="00E8055D"/>
    <w:rsid w:val="00E84BD1"/>
    <w:rsid w:val="00E92664"/>
    <w:rsid w:val="00EA38C1"/>
    <w:rsid w:val="00EA45FC"/>
    <w:rsid w:val="00EA5901"/>
    <w:rsid w:val="00EB00BC"/>
    <w:rsid w:val="00EC3CAA"/>
    <w:rsid w:val="00EC58B9"/>
    <w:rsid w:val="00ED09B8"/>
    <w:rsid w:val="00ED2BD9"/>
    <w:rsid w:val="00EE4E84"/>
    <w:rsid w:val="00EE7D80"/>
    <w:rsid w:val="00EF0964"/>
    <w:rsid w:val="00EF2559"/>
    <w:rsid w:val="00EF486D"/>
    <w:rsid w:val="00F162AF"/>
    <w:rsid w:val="00F177FF"/>
    <w:rsid w:val="00F24FD0"/>
    <w:rsid w:val="00F40CC3"/>
    <w:rsid w:val="00F51C37"/>
    <w:rsid w:val="00F51D84"/>
    <w:rsid w:val="00F77E8A"/>
    <w:rsid w:val="00F8185B"/>
    <w:rsid w:val="00F87FAA"/>
    <w:rsid w:val="00F90325"/>
    <w:rsid w:val="00F93527"/>
    <w:rsid w:val="00FA1033"/>
    <w:rsid w:val="00FA1DED"/>
    <w:rsid w:val="00FA270B"/>
    <w:rsid w:val="00FA442E"/>
    <w:rsid w:val="00FA5699"/>
    <w:rsid w:val="00FB38E6"/>
    <w:rsid w:val="00FC5192"/>
    <w:rsid w:val="00FC6B45"/>
    <w:rsid w:val="00FD1290"/>
    <w:rsid w:val="00FD3F33"/>
    <w:rsid w:val="00FD7689"/>
    <w:rsid w:val="00FE56BE"/>
    <w:rsid w:val="00FE6A1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F49F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a">
    <w:name w:val="Normal"/>
    <w:qFormat/>
    <w:pPr>
      <w:spacing w:line="260" w:lineRule="atLeast"/>
    </w:pPr>
    <w:rPr>
      <w:rFonts w:ascii="Arial" w:hAnsi="Arial"/>
      <w:szCs w:val="24"/>
      <w:lang w:eastAsia="en-US"/>
    </w:rPr>
  </w:style>
  <w:style w:type="paragraph" w:styleId="1">
    <w:name w:val="heading 1"/>
    <w:basedOn w:val="a"/>
    <w:next w:val="a"/>
    <w:link w:val="1Char"/>
    <w:uiPriority w:val="99"/>
    <w:qFormat/>
    <w:pPr>
      <w:keepNext/>
      <w:spacing w:line="420" w:lineRule="atLeast"/>
      <w:outlineLvl w:val="0"/>
    </w:pPr>
    <w:rPr>
      <w:b/>
      <w:kern w:val="32"/>
      <w:sz w:val="32"/>
      <w:szCs w:val="20"/>
      <w:lang w:val="x-none"/>
    </w:rPr>
  </w:style>
  <w:style w:type="paragraph" w:styleId="2">
    <w:name w:val="heading 2"/>
    <w:basedOn w:val="a"/>
    <w:next w:val="a"/>
    <w:link w:val="2Char"/>
    <w:uiPriority w:val="9"/>
    <w:qFormat/>
    <w:pPr>
      <w:keepNext/>
      <w:outlineLvl w:val="1"/>
    </w:pPr>
    <w:rPr>
      <w:rFonts w:ascii="Cambria" w:hAnsi="Cambria"/>
      <w:b/>
      <w:bCs/>
      <w:i/>
      <w:iCs/>
      <w:sz w:val="28"/>
      <w:szCs w:val="28"/>
    </w:rPr>
  </w:style>
  <w:style w:type="paragraph" w:styleId="3">
    <w:name w:val="heading 3"/>
    <w:basedOn w:val="2"/>
    <w:next w:val="a"/>
    <w:link w:val="3Char"/>
    <w:uiPriority w:val="9"/>
    <w:qFormat/>
    <w:pPr>
      <w:outlineLvl w:val="2"/>
    </w:pPr>
    <w:rPr>
      <w:b w:val="0"/>
      <w:iCs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rFonts w:ascii="Arial" w:hAnsi="Arial"/>
      <w:b/>
      <w:kern w:val="32"/>
      <w:sz w:val="32"/>
      <w:lang w:eastAsia="en-US"/>
    </w:rPr>
  </w:style>
  <w:style w:type="character" w:customStyle="1" w:styleId="2Char">
    <w:name w:val="标题 2 Char"/>
    <w:link w:val="2"/>
    <w:uiPriority w:val="9"/>
    <w:semiHidden/>
    <w:rPr>
      <w:rFonts w:ascii="Cambria" w:eastAsia="Times New Roman" w:hAnsi="Cambria" w:cs="Times New Roman"/>
      <w:b/>
      <w:bCs/>
      <w:i/>
      <w:iCs/>
      <w:sz w:val="28"/>
      <w:szCs w:val="28"/>
      <w:lang w:val="de-DE" w:eastAsia="en-US"/>
    </w:rPr>
  </w:style>
  <w:style w:type="character" w:customStyle="1" w:styleId="3Char">
    <w:name w:val="标题 3 Char"/>
    <w:link w:val="3"/>
    <w:uiPriority w:val="9"/>
    <w:semiHidden/>
    <w:rPr>
      <w:rFonts w:ascii="Cambria" w:eastAsia="Times New Roman" w:hAnsi="Cambria" w:cs="Times New Roman"/>
      <w:b/>
      <w:bCs/>
      <w:sz w:val="26"/>
      <w:szCs w:val="26"/>
      <w:lang w:val="de-DE" w:eastAsia="en-US"/>
    </w:rPr>
  </w:style>
  <w:style w:type="paragraph" w:styleId="a3">
    <w:name w:val="header"/>
    <w:basedOn w:val="a"/>
    <w:link w:val="Char"/>
    <w:uiPriority w:val="99"/>
    <w:pPr>
      <w:tabs>
        <w:tab w:val="center" w:pos="4320"/>
        <w:tab w:val="right" w:pos="8640"/>
      </w:tabs>
    </w:pPr>
  </w:style>
  <w:style w:type="character" w:customStyle="1" w:styleId="Char">
    <w:name w:val="页眉 Char"/>
    <w:link w:val="a3"/>
    <w:uiPriority w:val="99"/>
    <w:semiHidden/>
    <w:rPr>
      <w:rFonts w:ascii="Arial" w:hAnsi="Arial"/>
      <w:szCs w:val="24"/>
      <w:lang w:val="de-DE" w:eastAsia="en-US"/>
    </w:rPr>
  </w:style>
  <w:style w:type="paragraph" w:styleId="a4">
    <w:name w:val="footer"/>
    <w:basedOn w:val="a"/>
    <w:link w:val="Char0"/>
    <w:pPr>
      <w:tabs>
        <w:tab w:val="right" w:pos="7083"/>
        <w:tab w:val="right" w:pos="8640"/>
      </w:tabs>
      <w:spacing w:line="180" w:lineRule="atLeast"/>
    </w:pPr>
    <w:rPr>
      <w:b/>
      <w:color w:val="E1000F"/>
      <w:sz w:val="24"/>
      <w:szCs w:val="20"/>
      <w:lang w:val="x-none" w:eastAsia="x-none"/>
    </w:rPr>
  </w:style>
  <w:style w:type="character" w:customStyle="1" w:styleId="Char0">
    <w:name w:val="页脚 Char"/>
    <w:link w:val="a4"/>
    <w:locked/>
    <w:rPr>
      <w:rFonts w:ascii="Arial" w:hAnsi="Arial"/>
      <w:b/>
      <w:color w:val="E1000F"/>
      <w:sz w:val="24"/>
    </w:rPr>
  </w:style>
  <w:style w:type="paragraph" w:customStyle="1" w:styleId="Intro">
    <w:name w:val="Intro"/>
    <w:basedOn w:val="a"/>
    <w:pPr>
      <w:spacing w:after="300"/>
    </w:pPr>
    <w:rPr>
      <w:color w:val="415055"/>
      <w:sz w:val="24"/>
    </w:rPr>
  </w:style>
  <w:style w:type="paragraph" w:customStyle="1" w:styleId="NumBullet">
    <w:name w:val="Num_Bullet"/>
    <w:basedOn w:val="a"/>
    <w:pPr>
      <w:numPr>
        <w:numId w:val="1"/>
      </w:numPr>
      <w:tabs>
        <w:tab w:val="left" w:pos="357"/>
      </w:tabs>
      <w:ind w:left="357" w:hanging="357"/>
    </w:pPr>
  </w:style>
  <w:style w:type="paragraph" w:customStyle="1" w:styleId="Page1Name">
    <w:name w:val="Page1_Name"/>
    <w:basedOn w:val="a"/>
    <w:pPr>
      <w:spacing w:after="420" w:line="360" w:lineRule="atLeast"/>
    </w:pPr>
    <w:rPr>
      <w:b/>
      <w:sz w:val="30"/>
    </w:rPr>
  </w:style>
  <w:style w:type="paragraph" w:customStyle="1" w:styleId="Page1Title">
    <w:name w:val="Page1_Title"/>
    <w:basedOn w:val="a"/>
    <w:pPr>
      <w:spacing w:line="228" w:lineRule="auto"/>
    </w:pPr>
    <w:rPr>
      <w:color w:val="E1000F"/>
      <w:sz w:val="90"/>
    </w:rPr>
  </w:style>
  <w:style w:type="paragraph" w:customStyle="1" w:styleId="Page1Author">
    <w:name w:val="Page1_Author"/>
    <w:basedOn w:val="Page1Name"/>
    <w:pPr>
      <w:spacing w:before="240" w:after="0"/>
    </w:pPr>
    <w:rPr>
      <w:b w:val="0"/>
      <w:bCs/>
    </w:rPr>
  </w:style>
  <w:style w:type="paragraph" w:styleId="a5">
    <w:name w:val="Body Text"/>
    <w:basedOn w:val="a"/>
    <w:link w:val="Char1"/>
    <w:uiPriority w:val="99"/>
    <w:pPr>
      <w:spacing w:after="120" w:line="280" w:lineRule="exact"/>
    </w:pPr>
    <w:rPr>
      <w:sz w:val="24"/>
      <w:szCs w:val="20"/>
      <w:lang w:val="x-none" w:eastAsia="de-DE"/>
    </w:rPr>
  </w:style>
  <w:style w:type="character" w:customStyle="1" w:styleId="Char1">
    <w:name w:val="正文文本 Char"/>
    <w:link w:val="a5"/>
    <w:uiPriority w:val="99"/>
    <w:locked/>
    <w:rPr>
      <w:rFonts w:ascii="Arial" w:hAnsi="Arial"/>
      <w:sz w:val="24"/>
      <w:lang w:eastAsia="de-DE"/>
    </w:rPr>
  </w:style>
  <w:style w:type="paragraph" w:customStyle="1" w:styleId="Info">
    <w:name w:val="Info"/>
    <w:basedOn w:val="a"/>
    <w:pPr>
      <w:spacing w:line="240" w:lineRule="atLeast"/>
    </w:pPr>
    <w:rPr>
      <w:sz w:val="13"/>
    </w:rPr>
  </w:style>
  <w:style w:type="character" w:customStyle="1" w:styleId="InfoZchn">
    <w:name w:val="Info Zchn"/>
    <w:rPr>
      <w:rFonts w:ascii="Arial" w:hAnsi="Arial"/>
      <w:sz w:val="24"/>
      <w:lang w:eastAsia="en-US"/>
    </w:rPr>
  </w:style>
  <w:style w:type="paragraph" w:customStyle="1" w:styleId="Standard12pt">
    <w:name w:val="Standard_12pt"/>
    <w:basedOn w:val="a"/>
    <w:pPr>
      <w:spacing w:line="300" w:lineRule="atLeast"/>
    </w:pPr>
    <w:rPr>
      <w:sz w:val="24"/>
    </w:rPr>
  </w:style>
  <w:style w:type="paragraph" w:customStyle="1" w:styleId="BodyText31">
    <w:name w:val="Body Text 31"/>
    <w:basedOn w:val="a"/>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a"/>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a"/>
    <w:next w:val="PRContact"/>
    <w:pPr>
      <w:keepLines/>
      <w:spacing w:after="280" w:line="280" w:lineRule="exact"/>
      <w:jc w:val="both"/>
    </w:pPr>
    <w:rPr>
      <w:rFonts w:cs="Arial"/>
      <w:szCs w:val="20"/>
      <w:lang w:eastAsia="de-DE"/>
    </w:rPr>
  </w:style>
  <w:style w:type="character" w:styleId="a6">
    <w:name w:val="Hyperlink"/>
    <w:uiPriority w:val="99"/>
    <w:rPr>
      <w:color w:val="0000FF"/>
      <w:u w:val="single"/>
    </w:rPr>
  </w:style>
  <w:style w:type="character" w:customStyle="1" w:styleId="PRHalfblank">
    <w:name w:val="_PR_Halfblank"/>
    <w:rPr>
      <w:w w:val="50"/>
    </w:rPr>
  </w:style>
  <w:style w:type="character" w:styleId="a7">
    <w:name w:val="FollowedHyperlink"/>
    <w:uiPriority w:val="99"/>
    <w:rPr>
      <w:color w:val="800080"/>
      <w:u w:val="single"/>
    </w:rPr>
  </w:style>
  <w:style w:type="paragraph" w:styleId="30">
    <w:name w:val="Body Text 3"/>
    <w:basedOn w:val="a"/>
    <w:link w:val="3Char0"/>
    <w:uiPriority w:val="99"/>
    <w:pPr>
      <w:spacing w:after="120" w:line="280" w:lineRule="exact"/>
    </w:pPr>
    <w:rPr>
      <w:sz w:val="16"/>
      <w:szCs w:val="16"/>
    </w:rPr>
  </w:style>
  <w:style w:type="character" w:customStyle="1" w:styleId="3Char0">
    <w:name w:val="正文文本 3 Char"/>
    <w:link w:val="30"/>
    <w:uiPriority w:val="99"/>
    <w:semiHidden/>
    <w:rPr>
      <w:rFonts w:ascii="Arial" w:hAnsi="Arial"/>
      <w:sz w:val="16"/>
      <w:szCs w:val="16"/>
      <w:lang w:val="de-DE" w:eastAsia="en-US"/>
    </w:rPr>
  </w:style>
  <w:style w:type="paragraph" w:styleId="a8">
    <w:name w:val="Balloon Text"/>
    <w:basedOn w:val="a"/>
    <w:link w:val="Char2"/>
    <w:uiPriority w:val="99"/>
    <w:pPr>
      <w:spacing w:line="240" w:lineRule="auto"/>
    </w:pPr>
    <w:rPr>
      <w:rFonts w:ascii="Tahoma" w:hAnsi="Tahoma"/>
      <w:sz w:val="16"/>
      <w:szCs w:val="20"/>
      <w:lang w:val="x-none"/>
    </w:rPr>
  </w:style>
  <w:style w:type="character" w:customStyle="1" w:styleId="Char2">
    <w:name w:val="批注框文本 Char"/>
    <w:link w:val="a8"/>
    <w:uiPriority w:val="99"/>
    <w:locked/>
    <w:rPr>
      <w:rFonts w:ascii="Tahoma" w:hAnsi="Tahoma"/>
      <w:sz w:val="16"/>
      <w:lang w:eastAsia="en-US"/>
    </w:rPr>
  </w:style>
  <w:style w:type="paragraph" w:styleId="a9">
    <w:name w:val="footnote text"/>
    <w:basedOn w:val="a"/>
    <w:link w:val="Char3"/>
    <w:uiPriority w:val="99"/>
    <w:semiHidden/>
    <w:rPr>
      <w:szCs w:val="20"/>
    </w:rPr>
  </w:style>
  <w:style w:type="character" w:customStyle="1" w:styleId="Char3">
    <w:name w:val="脚注文本 Char"/>
    <w:link w:val="a9"/>
    <w:uiPriority w:val="99"/>
    <w:semiHidden/>
    <w:rPr>
      <w:rFonts w:ascii="Arial" w:hAnsi="Arial"/>
      <w:lang w:val="de-DE" w:eastAsia="en-US"/>
    </w:rPr>
  </w:style>
  <w:style w:type="character" w:styleId="aa">
    <w:name w:val="footnote reference"/>
    <w:uiPriority w:val="99"/>
    <w:semiHidden/>
    <w:rPr>
      <w:vertAlign w:val="superscript"/>
    </w:rPr>
  </w:style>
  <w:style w:type="character" w:styleId="ab">
    <w:name w:val="annotation reference"/>
    <w:uiPriority w:val="99"/>
    <w:rPr>
      <w:sz w:val="16"/>
    </w:rPr>
  </w:style>
  <w:style w:type="paragraph" w:styleId="ac">
    <w:name w:val="annotation text"/>
    <w:basedOn w:val="a"/>
    <w:link w:val="Char4"/>
    <w:uiPriority w:val="99"/>
    <w:rPr>
      <w:szCs w:val="20"/>
      <w:lang w:val="x-none"/>
    </w:rPr>
  </w:style>
  <w:style w:type="character" w:customStyle="1" w:styleId="Char4">
    <w:name w:val="批注文字 Char"/>
    <w:link w:val="ac"/>
    <w:uiPriority w:val="99"/>
    <w:locked/>
    <w:rPr>
      <w:rFonts w:ascii="Arial" w:hAnsi="Arial"/>
      <w:lang w:eastAsia="en-US"/>
    </w:rPr>
  </w:style>
  <w:style w:type="paragraph" w:styleId="ad">
    <w:name w:val="annotation subject"/>
    <w:basedOn w:val="ac"/>
    <w:next w:val="ac"/>
    <w:link w:val="Char5"/>
    <w:uiPriority w:val="99"/>
    <w:rPr>
      <w:b/>
    </w:rPr>
  </w:style>
  <w:style w:type="character" w:customStyle="1" w:styleId="Char5">
    <w:name w:val="批注主题 Char"/>
    <w:link w:val="ad"/>
    <w:uiPriority w:val="99"/>
    <w:locked/>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586307037">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cheung@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nkel.com/pres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com/ir" TargetMode="External"/><Relationship Id="rId4" Type="http://schemas.openxmlformats.org/officeDocument/2006/relationships/settings" Target="settings.xml"/><Relationship Id="rId9" Type="http://schemas.openxmlformats.org/officeDocument/2006/relationships/hyperlink" Target="mailto:janice.fu@henke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DB0DD-8EF0-498A-A683-91956AC7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HENKEL_DE_Pressemitteilung_110203.dot</Template>
  <TotalTime>0</TotalTime>
  <Pages>7</Pages>
  <Words>858</Words>
  <Characters>4896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5743</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Klueppelholz</dc:creator>
  <cp:keywords/>
  <cp:lastModifiedBy>Janice  Fu</cp:lastModifiedBy>
  <cp:revision>14</cp:revision>
  <cp:lastPrinted>2016-02-19T12:34:00Z</cp:lastPrinted>
  <dcterms:created xsi:type="dcterms:W3CDTF">2016-02-24T10:25:00Z</dcterms:created>
  <dcterms:modified xsi:type="dcterms:W3CDTF">2016-02-26T08:10:00Z</dcterms:modified>
</cp:coreProperties>
</file>