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8B10C" w14:textId="77777777" w:rsidR="00656719" w:rsidRPr="007F0F81" w:rsidRDefault="00656719" w:rsidP="00656719">
      <w:pPr>
        <w:rPr>
          <w:sz w:val="24"/>
          <w:highlight w:val="yellow"/>
          <w:lang w:val="en-US"/>
        </w:rPr>
      </w:pPr>
    </w:p>
    <w:p w14:paraId="2C5CEEB4" w14:textId="5A438121" w:rsidR="00656719" w:rsidRPr="009343D6" w:rsidRDefault="009343D6" w:rsidP="00656719">
      <w:pPr>
        <w:pStyle w:val="Standard12pt"/>
        <w:jc w:val="right"/>
        <w:rPr>
          <w:lang w:val="es-ES"/>
        </w:rPr>
      </w:pPr>
      <w:bookmarkStart w:id="0" w:name="_GoBack"/>
      <w:bookmarkEnd w:id="0"/>
      <w:r>
        <w:rPr>
          <w:lang w:val="es-ES"/>
        </w:rPr>
        <w:t>Junio</w:t>
      </w:r>
      <w:r w:rsidR="00623BA1" w:rsidRPr="009343D6">
        <w:rPr>
          <w:lang w:val="es-ES"/>
        </w:rPr>
        <w:t xml:space="preserve"> de</w:t>
      </w:r>
      <w:r w:rsidR="008C610A" w:rsidRPr="009343D6">
        <w:rPr>
          <w:lang w:val="es-ES"/>
        </w:rPr>
        <w:t xml:space="preserve"> 2016</w:t>
      </w:r>
    </w:p>
    <w:p w14:paraId="5276A771" w14:textId="77777777" w:rsidR="0025573E" w:rsidRDefault="0025573E" w:rsidP="008C610A">
      <w:pPr>
        <w:pStyle w:val="Standard12pt"/>
        <w:rPr>
          <w:lang w:val="es-ES"/>
        </w:rPr>
      </w:pPr>
    </w:p>
    <w:p w14:paraId="5A85C220" w14:textId="77777777" w:rsidR="00100FAF" w:rsidRPr="009343D6" w:rsidRDefault="00100FAF" w:rsidP="008C610A">
      <w:pPr>
        <w:pStyle w:val="Standard12pt"/>
        <w:rPr>
          <w:lang w:val="es-ES"/>
        </w:rPr>
      </w:pPr>
    </w:p>
    <w:p w14:paraId="5D18A321" w14:textId="6B907CEB" w:rsidR="009343D6" w:rsidRPr="009343D6" w:rsidRDefault="009343D6" w:rsidP="009343D6">
      <w:pPr>
        <w:pStyle w:val="Default"/>
        <w:rPr>
          <w:b/>
          <w:bCs/>
          <w:sz w:val="23"/>
          <w:szCs w:val="23"/>
          <w:lang w:val="de-DE"/>
        </w:rPr>
      </w:pPr>
      <w:r w:rsidRPr="009343D6">
        <w:rPr>
          <w:bCs/>
          <w:lang w:val="de-DE"/>
        </w:rPr>
        <w:t>Foment</w:t>
      </w:r>
      <w:r w:rsidR="00F61FB5">
        <w:rPr>
          <w:bCs/>
          <w:lang w:val="de-DE"/>
        </w:rPr>
        <w:t>ando</w:t>
      </w:r>
      <w:r w:rsidRPr="009343D6">
        <w:rPr>
          <w:bCs/>
          <w:lang w:val="de-DE"/>
        </w:rPr>
        <w:t xml:space="preserve"> una cadena de valor de aceite de palma </w:t>
      </w:r>
      <w:r w:rsidR="00FE23D6">
        <w:rPr>
          <w:bCs/>
          <w:lang w:val="de-DE"/>
        </w:rPr>
        <w:t>sostenible</w:t>
      </w:r>
    </w:p>
    <w:p w14:paraId="294CCC83" w14:textId="77777777" w:rsidR="009343D6" w:rsidRDefault="009343D6" w:rsidP="009343D6">
      <w:pPr>
        <w:pStyle w:val="Default"/>
        <w:rPr>
          <w:b/>
          <w:bCs/>
          <w:sz w:val="32"/>
          <w:szCs w:val="32"/>
          <w:lang w:val="de-DE"/>
        </w:rPr>
      </w:pPr>
    </w:p>
    <w:p w14:paraId="153710FE" w14:textId="77777777" w:rsidR="009343D6" w:rsidRPr="00100FAF" w:rsidRDefault="009343D6" w:rsidP="009343D6">
      <w:pPr>
        <w:pStyle w:val="Default"/>
        <w:rPr>
          <w:b/>
          <w:bCs/>
          <w:sz w:val="32"/>
          <w:szCs w:val="32"/>
          <w:lang w:val="de-DE"/>
        </w:rPr>
      </w:pPr>
      <w:r w:rsidRPr="00100FAF">
        <w:rPr>
          <w:b/>
          <w:bCs/>
          <w:sz w:val="32"/>
          <w:szCs w:val="32"/>
          <w:lang w:val="de-DE"/>
        </w:rPr>
        <w:t>El Programa de Agricultores en Honduras alcanzó 17.500 pequeños propietarios y trabajadores</w:t>
      </w:r>
    </w:p>
    <w:p w14:paraId="024E981B" w14:textId="77777777" w:rsidR="009343D6" w:rsidRDefault="009343D6" w:rsidP="009343D6">
      <w:pPr>
        <w:pStyle w:val="Default"/>
        <w:rPr>
          <w:bCs/>
          <w:lang w:val="de-DE"/>
        </w:rPr>
      </w:pPr>
    </w:p>
    <w:p w14:paraId="7C93983E" w14:textId="724E0FA0" w:rsidR="009343D6" w:rsidRPr="009343D6" w:rsidRDefault="009343D6" w:rsidP="009343D6">
      <w:pPr>
        <w:pStyle w:val="Default"/>
        <w:jc w:val="both"/>
        <w:rPr>
          <w:bCs/>
          <w:lang w:val="de-DE"/>
        </w:rPr>
      </w:pPr>
      <w:r w:rsidRPr="009343D6">
        <w:rPr>
          <w:bCs/>
          <w:lang w:val="de-DE"/>
        </w:rPr>
        <w:t xml:space="preserve">Métodos de agricultura </w:t>
      </w:r>
      <w:r w:rsidR="00FE23D6">
        <w:rPr>
          <w:bCs/>
          <w:lang w:val="de-DE"/>
        </w:rPr>
        <w:t>sostenible</w:t>
      </w:r>
      <w:r w:rsidRPr="009343D6">
        <w:rPr>
          <w:bCs/>
          <w:lang w:val="de-DE"/>
        </w:rPr>
        <w:t xml:space="preserve">, producción eficiente y altos estándares en salud y seguridad ocupacional son criterios importantes que las plantaciones </w:t>
      </w:r>
      <w:r w:rsidR="00FE23D6">
        <w:rPr>
          <w:bCs/>
          <w:lang w:val="de-DE"/>
        </w:rPr>
        <w:t>sostenible</w:t>
      </w:r>
      <w:r w:rsidRPr="009343D6">
        <w:rPr>
          <w:bCs/>
          <w:lang w:val="de-DE"/>
        </w:rPr>
        <w:t xml:space="preserve">s de aceite de palma necesitan cumplir. Desde 2013, Henkel y la organización internacional de desarrollo Solidaridad han estado apoyando a 17.500 pequeños agricultores y trabajadores en Honduras con un programa de entrenamiento de tres años para cumplir con los criterios para la certificación. Para octubre de 2015, los agricultores y empresas que participan en el proyecto produjeron un total de 500.000 toneladas de aceite de palma y aceite de </w:t>
      </w:r>
      <w:r w:rsidR="00501714">
        <w:rPr>
          <w:bCs/>
          <w:lang w:val="de-DE"/>
        </w:rPr>
        <w:t>semilla</w:t>
      </w:r>
      <w:r w:rsidRPr="009343D6">
        <w:rPr>
          <w:bCs/>
          <w:lang w:val="de-DE"/>
        </w:rPr>
        <w:t xml:space="preserve"> de palma, y sus rendimientos aumentaron en más del 25 por ciento.</w:t>
      </w:r>
    </w:p>
    <w:p w14:paraId="56612110" w14:textId="77777777" w:rsidR="009343D6" w:rsidRDefault="009343D6" w:rsidP="009343D6">
      <w:pPr>
        <w:pStyle w:val="Default"/>
        <w:jc w:val="both"/>
        <w:rPr>
          <w:bCs/>
          <w:lang w:val="de-DE"/>
        </w:rPr>
      </w:pPr>
    </w:p>
    <w:p w14:paraId="454476AA" w14:textId="77777777" w:rsidR="009343D6" w:rsidRPr="009343D6" w:rsidRDefault="009343D6" w:rsidP="009343D6">
      <w:pPr>
        <w:pStyle w:val="Default"/>
        <w:jc w:val="both"/>
        <w:rPr>
          <w:b/>
          <w:bCs/>
          <w:lang w:val="de-DE"/>
        </w:rPr>
      </w:pPr>
      <w:r w:rsidRPr="009343D6">
        <w:rPr>
          <w:b/>
          <w:bCs/>
          <w:lang w:val="de-DE"/>
        </w:rPr>
        <w:t>Formación directa y apoyo a pequeños productores</w:t>
      </w:r>
    </w:p>
    <w:p w14:paraId="368CE605" w14:textId="77777777" w:rsidR="009343D6" w:rsidRDefault="009343D6" w:rsidP="009343D6">
      <w:pPr>
        <w:pStyle w:val="Default"/>
        <w:jc w:val="both"/>
        <w:rPr>
          <w:bCs/>
          <w:lang w:val="de-DE"/>
        </w:rPr>
      </w:pPr>
    </w:p>
    <w:p w14:paraId="6E892036" w14:textId="05CD4398" w:rsidR="009343D6" w:rsidRPr="009343D6" w:rsidRDefault="009343D6" w:rsidP="009343D6">
      <w:pPr>
        <w:pStyle w:val="Default"/>
        <w:jc w:val="both"/>
        <w:rPr>
          <w:bCs/>
          <w:lang w:val="de-DE"/>
        </w:rPr>
      </w:pPr>
      <w:r w:rsidRPr="009343D6">
        <w:rPr>
          <w:bCs/>
          <w:lang w:val="de-DE"/>
        </w:rPr>
        <w:t xml:space="preserve">El objetivo del programa llevado a cabo por Solidaridad en cooperación con los partners WWF, Proforest y SNV fue el de mejorar la vida de los trabajadores, los agricultores y sus familias, construyendo una cadena de suministro de aceite de palma </w:t>
      </w:r>
      <w:r w:rsidR="00FE23D6">
        <w:rPr>
          <w:bCs/>
          <w:lang w:val="de-DE"/>
        </w:rPr>
        <w:t>sostenible</w:t>
      </w:r>
      <w:r w:rsidRPr="009343D6">
        <w:rPr>
          <w:bCs/>
          <w:lang w:val="de-DE"/>
        </w:rPr>
        <w:t xml:space="preserve">, tanto para que el aceite de palma y el aceite de </w:t>
      </w:r>
      <w:r w:rsidR="00501714">
        <w:rPr>
          <w:bCs/>
          <w:lang w:val="de-DE"/>
        </w:rPr>
        <w:t>semilla</w:t>
      </w:r>
      <w:r w:rsidRPr="009343D6">
        <w:rPr>
          <w:bCs/>
          <w:lang w:val="de-DE"/>
        </w:rPr>
        <w:t xml:space="preserve"> de palma puedan ser certificados de acuerdo con los criterios de la Mesa Redonda de Aceite de Palma Sostenible (RSPO). Los pequeños productores incluidos en el programa recibieron formación directa y apoyo en mejores prácticas culturales, mejora de la gestión agrícola, temas de salud y seguridad, así como la gestión del impacto ambiental y social. El proyecto se extiende en una superficie de 100.000 hectáreas y apoyó la introducción de prácticas </w:t>
      </w:r>
      <w:r w:rsidR="00FE23D6">
        <w:rPr>
          <w:bCs/>
          <w:lang w:val="de-DE"/>
        </w:rPr>
        <w:t>sostenible</w:t>
      </w:r>
      <w:r w:rsidRPr="009343D6">
        <w:rPr>
          <w:bCs/>
          <w:lang w:val="de-DE"/>
        </w:rPr>
        <w:t>s en el 80 por ciento de las tierras de cultivo de aceite de palma de Honduras. Es uno de los primeros proyectos que cubre tan alto porcentaje de la zona de producción del aceite de palma en un país.</w:t>
      </w:r>
    </w:p>
    <w:p w14:paraId="5CEE21A0" w14:textId="77777777" w:rsidR="009343D6" w:rsidRDefault="009343D6" w:rsidP="009343D6">
      <w:pPr>
        <w:pStyle w:val="Default"/>
        <w:jc w:val="both"/>
        <w:rPr>
          <w:bCs/>
          <w:lang w:val="de-DE"/>
        </w:rPr>
      </w:pPr>
    </w:p>
    <w:p w14:paraId="1DA5AA43" w14:textId="5486ED54" w:rsidR="009343D6" w:rsidRPr="009343D6" w:rsidRDefault="009343D6" w:rsidP="009343D6">
      <w:pPr>
        <w:pStyle w:val="Default"/>
        <w:jc w:val="both"/>
        <w:rPr>
          <w:b/>
          <w:bCs/>
          <w:lang w:val="de-DE"/>
        </w:rPr>
      </w:pPr>
      <w:r w:rsidRPr="009343D6">
        <w:rPr>
          <w:b/>
          <w:bCs/>
          <w:lang w:val="de-DE"/>
        </w:rPr>
        <w:t xml:space="preserve">Incrementando la oferta de aceite </w:t>
      </w:r>
      <w:r w:rsidR="00FE23D6">
        <w:rPr>
          <w:b/>
          <w:bCs/>
          <w:lang w:val="de-DE"/>
        </w:rPr>
        <w:t>sostenible</w:t>
      </w:r>
    </w:p>
    <w:p w14:paraId="5C20446E" w14:textId="77777777" w:rsidR="009343D6" w:rsidRDefault="009343D6" w:rsidP="009343D6">
      <w:pPr>
        <w:pStyle w:val="Default"/>
        <w:jc w:val="both"/>
        <w:rPr>
          <w:bCs/>
          <w:lang w:val="de-DE"/>
        </w:rPr>
      </w:pPr>
    </w:p>
    <w:p w14:paraId="77817C84" w14:textId="480C9EB5" w:rsidR="009343D6" w:rsidRPr="009343D6" w:rsidRDefault="009343D6" w:rsidP="009343D6">
      <w:pPr>
        <w:pStyle w:val="Default"/>
        <w:jc w:val="both"/>
        <w:rPr>
          <w:bCs/>
          <w:i/>
          <w:lang w:val="de-DE"/>
        </w:rPr>
      </w:pPr>
      <w:r w:rsidRPr="009343D6">
        <w:rPr>
          <w:bCs/>
          <w:lang w:val="de-DE"/>
        </w:rPr>
        <w:t xml:space="preserve">Henkel fue el primer fabricante de bienes de consumo en unirse y apoyar el programa de pequeños agricultores iniciado por ocho empresas hondureñas y Solidaridad, el coordinador principal del proyecto. </w:t>
      </w:r>
      <w:r w:rsidRPr="009343D6">
        <w:rPr>
          <w:bCs/>
          <w:i/>
          <w:lang w:val="de-DE"/>
        </w:rPr>
        <w:t xml:space="preserve">"Queremos aumentar el suministro de aceite </w:t>
      </w:r>
      <w:r w:rsidR="00FE23D6">
        <w:rPr>
          <w:bCs/>
          <w:i/>
          <w:lang w:val="de-DE"/>
        </w:rPr>
        <w:t>sostenible</w:t>
      </w:r>
      <w:r w:rsidRPr="009343D6">
        <w:rPr>
          <w:bCs/>
          <w:i/>
          <w:lang w:val="de-DE"/>
        </w:rPr>
        <w:t xml:space="preserve"> disponible en el mercado equivalente a nuestra demanda hacia el año </w:t>
      </w:r>
      <w:r w:rsidRPr="009343D6">
        <w:rPr>
          <w:bCs/>
          <w:i/>
          <w:lang w:val="de-DE"/>
        </w:rPr>
        <w:lastRenderedPageBreak/>
        <w:t>2020. Para lograr este objetivo, nos centramos en el apoyo a los pequeños agricultores en los países productores de palma. Al completar con éxito el programa de pequeños productores en Honduras, ya habremos hecho progresos sustanciales para cumplir esta aspiración"</w:t>
      </w:r>
      <w:r w:rsidRPr="009343D6">
        <w:rPr>
          <w:bCs/>
          <w:lang w:val="de-DE"/>
        </w:rPr>
        <w:t xml:space="preserve">, dice Kathrin Menges, Vicepresidente Ejecutiva de Recursos Humanos y Presidente del Consejo de </w:t>
      </w:r>
      <w:r w:rsidR="00FE23D6">
        <w:rPr>
          <w:bCs/>
          <w:lang w:val="de-DE"/>
        </w:rPr>
        <w:t>Sostenibilidad</w:t>
      </w:r>
      <w:r w:rsidRPr="009343D6">
        <w:rPr>
          <w:bCs/>
          <w:lang w:val="de-DE"/>
        </w:rPr>
        <w:t xml:space="preserve"> de Henkel. </w:t>
      </w:r>
      <w:r w:rsidRPr="009343D6">
        <w:rPr>
          <w:bCs/>
          <w:i/>
          <w:lang w:val="de-DE"/>
        </w:rPr>
        <w:t xml:space="preserve">"Además de aumentar el volumen de aceite de palma producido por plantaciones gestionadas de manera </w:t>
      </w:r>
      <w:r w:rsidR="00FE23D6">
        <w:rPr>
          <w:bCs/>
          <w:i/>
          <w:lang w:val="de-DE"/>
        </w:rPr>
        <w:t>sostenible</w:t>
      </w:r>
      <w:r w:rsidRPr="009343D6">
        <w:rPr>
          <w:bCs/>
          <w:i/>
          <w:lang w:val="de-DE"/>
        </w:rPr>
        <w:t>, los proyectos de pequeña escala de este tipo son también una oportunidad para mejorar la calidad de vida de los agricultores y sus familias, aumentar la productividad de sus plantaciones y, por lo tanto, producir más aceite de palma sin necesidad de conversión de nuevas tierras".</w:t>
      </w:r>
    </w:p>
    <w:p w14:paraId="55453C1F" w14:textId="77777777" w:rsidR="009343D6" w:rsidRDefault="009343D6" w:rsidP="009343D6">
      <w:pPr>
        <w:pStyle w:val="Default"/>
        <w:jc w:val="both"/>
        <w:rPr>
          <w:bCs/>
          <w:lang w:val="de-DE"/>
        </w:rPr>
      </w:pPr>
    </w:p>
    <w:p w14:paraId="3D92CC4A" w14:textId="2F439854" w:rsidR="009343D6" w:rsidRPr="009343D6" w:rsidRDefault="009343D6" w:rsidP="009343D6">
      <w:pPr>
        <w:pStyle w:val="Default"/>
        <w:jc w:val="both"/>
        <w:rPr>
          <w:bCs/>
          <w:lang w:val="de-DE"/>
        </w:rPr>
      </w:pPr>
      <w:r w:rsidRPr="009343D6">
        <w:rPr>
          <w:bCs/>
          <w:i/>
          <w:lang w:val="de-DE"/>
        </w:rPr>
        <w:t xml:space="preserve">"Estamos encantados con el apoyo que Henkel ha dado a este programa. El proyecto ha permitido a Solidaridad y sus partners trabajar con diez molinos de aceite de palma en Honduras y sus pequeños proveedores a mejorar sus prácticas y sentar las bases para su certificación RSPO. Henkel entiende que la única manera de crear una cadena de suministro verdaderamente </w:t>
      </w:r>
      <w:r w:rsidR="00FE23D6">
        <w:rPr>
          <w:bCs/>
          <w:i/>
          <w:lang w:val="de-DE"/>
        </w:rPr>
        <w:t>sostenible</w:t>
      </w:r>
      <w:r w:rsidRPr="009343D6">
        <w:rPr>
          <w:bCs/>
          <w:i/>
          <w:lang w:val="de-DE"/>
        </w:rPr>
        <w:t xml:space="preserve"> es cuando las empresas apoyan las mejoras en el suelo y ayudan a incluir pequeños productores y trabajadores en este proceso"</w:t>
      </w:r>
      <w:r w:rsidRPr="009343D6">
        <w:rPr>
          <w:bCs/>
          <w:lang w:val="de-DE"/>
        </w:rPr>
        <w:t xml:space="preserve">, </w:t>
      </w:r>
      <w:r>
        <w:rPr>
          <w:bCs/>
          <w:lang w:val="de-DE"/>
        </w:rPr>
        <w:t>manifiesta</w:t>
      </w:r>
      <w:r w:rsidRPr="009343D6">
        <w:rPr>
          <w:bCs/>
          <w:lang w:val="de-DE"/>
        </w:rPr>
        <w:t xml:space="preserve"> Michaelyn Baur, Director Regional de América Central, México y el Caribe en Solidaridad.</w:t>
      </w:r>
    </w:p>
    <w:p w14:paraId="5D5D0993" w14:textId="77777777" w:rsidR="009343D6" w:rsidRDefault="009343D6" w:rsidP="009343D6">
      <w:pPr>
        <w:pStyle w:val="Default"/>
        <w:jc w:val="both"/>
        <w:rPr>
          <w:bCs/>
          <w:lang w:val="de-DE"/>
        </w:rPr>
      </w:pPr>
    </w:p>
    <w:p w14:paraId="43B401EF" w14:textId="515FC47B" w:rsidR="009343D6" w:rsidRPr="009343D6" w:rsidRDefault="009343D6" w:rsidP="009343D6">
      <w:pPr>
        <w:pStyle w:val="Default"/>
        <w:jc w:val="both"/>
        <w:rPr>
          <w:b/>
          <w:bCs/>
          <w:lang w:val="de-DE"/>
        </w:rPr>
      </w:pPr>
      <w:r w:rsidRPr="009343D6">
        <w:rPr>
          <w:b/>
          <w:bCs/>
          <w:lang w:val="de-DE"/>
        </w:rPr>
        <w:t xml:space="preserve">Impulsando el progreso físico en la cadena de valor de aceite de palma y de </w:t>
      </w:r>
      <w:r w:rsidR="00501714">
        <w:rPr>
          <w:b/>
          <w:bCs/>
          <w:lang w:val="de-DE"/>
        </w:rPr>
        <w:t>semilla</w:t>
      </w:r>
      <w:r w:rsidRPr="009343D6">
        <w:rPr>
          <w:b/>
          <w:bCs/>
          <w:lang w:val="de-DE"/>
        </w:rPr>
        <w:t xml:space="preserve"> de palma </w:t>
      </w:r>
    </w:p>
    <w:p w14:paraId="2CE16143" w14:textId="77777777" w:rsidR="009343D6" w:rsidRDefault="009343D6" w:rsidP="009343D6">
      <w:pPr>
        <w:pStyle w:val="Default"/>
        <w:jc w:val="both"/>
        <w:rPr>
          <w:bCs/>
          <w:lang w:val="de-DE"/>
        </w:rPr>
      </w:pPr>
    </w:p>
    <w:p w14:paraId="6BBAF980" w14:textId="45F2A8D6" w:rsidR="009343D6" w:rsidRDefault="009343D6" w:rsidP="009343D6">
      <w:pPr>
        <w:pStyle w:val="Default"/>
        <w:jc w:val="both"/>
        <w:rPr>
          <w:bCs/>
          <w:lang w:val="de-DE"/>
        </w:rPr>
      </w:pPr>
      <w:r w:rsidRPr="009343D6">
        <w:rPr>
          <w:bCs/>
          <w:lang w:val="de-DE"/>
        </w:rPr>
        <w:t xml:space="preserve">Henkel ha participado activamente en la RSPO desde 2003 y se convirtió en un miembro oficial en 2008. La compañía quiere promover prácticas agrícolas </w:t>
      </w:r>
      <w:r w:rsidR="00FE23D6">
        <w:rPr>
          <w:bCs/>
          <w:lang w:val="de-DE"/>
        </w:rPr>
        <w:t>sostenible</w:t>
      </w:r>
      <w:r w:rsidRPr="009343D6">
        <w:rPr>
          <w:bCs/>
          <w:lang w:val="de-DE"/>
        </w:rPr>
        <w:t xml:space="preserve">s, mejorar las condiciones de vida de las personas que intervienen en la cadena de suministro de aceite de palma, y está comprometida lograr cero deforestación neta para el año 2020. Esto significa que la palma y aceite de palmiste que Henkel utiliza no deben contribuir a la deforestación de bosques primarios o secundarios de alto valor ecológico. Mediante la conversión de Balance de Masa de palma y aceite de </w:t>
      </w:r>
      <w:r w:rsidR="00501714">
        <w:rPr>
          <w:bCs/>
          <w:lang w:val="de-DE"/>
        </w:rPr>
        <w:t>semilla</w:t>
      </w:r>
      <w:r w:rsidRPr="009343D6">
        <w:rPr>
          <w:bCs/>
          <w:lang w:val="de-DE"/>
        </w:rPr>
        <w:t xml:space="preserve"> de palma certificados, la mejora de la trazabilidad, así como el apoyo a las plantaciones y los pequeños propietarios - como el proyecto de Solidaridad en Honduras - Henkel se centra en impulsar el avance físico en la cadena de valor del aceite de palma y de </w:t>
      </w:r>
      <w:r w:rsidR="00501714">
        <w:rPr>
          <w:bCs/>
          <w:lang w:val="de-DE"/>
        </w:rPr>
        <w:t>semilla</w:t>
      </w:r>
      <w:r w:rsidRPr="009343D6">
        <w:rPr>
          <w:bCs/>
          <w:lang w:val="de-DE"/>
        </w:rPr>
        <w:t xml:space="preserve"> de palma.</w:t>
      </w:r>
    </w:p>
    <w:p w14:paraId="1C2E0779" w14:textId="77777777" w:rsidR="009343D6" w:rsidRPr="009343D6" w:rsidRDefault="009343D6" w:rsidP="009343D6">
      <w:pPr>
        <w:pStyle w:val="Default"/>
        <w:jc w:val="both"/>
        <w:rPr>
          <w:bCs/>
          <w:lang w:val="de-DE"/>
        </w:rPr>
      </w:pPr>
    </w:p>
    <w:p w14:paraId="479843E5" w14:textId="15F2303F" w:rsidR="009343D6" w:rsidRDefault="009343D6" w:rsidP="009343D6">
      <w:pPr>
        <w:pStyle w:val="Default"/>
        <w:jc w:val="both"/>
        <w:rPr>
          <w:bCs/>
          <w:lang w:val="de-DE"/>
        </w:rPr>
      </w:pPr>
      <w:r w:rsidRPr="009343D6">
        <w:rPr>
          <w:bCs/>
          <w:lang w:val="de-DE"/>
        </w:rPr>
        <w:t xml:space="preserve">Más información disponible en </w:t>
      </w:r>
      <w:r>
        <w:rPr>
          <w:bCs/>
          <w:lang w:val="de-DE"/>
        </w:rPr>
        <w:fldChar w:fldCharType="begin"/>
      </w:r>
      <w:r>
        <w:rPr>
          <w:bCs/>
          <w:lang w:val="de-DE"/>
        </w:rPr>
        <w:instrText xml:space="preserve"> HYPERLINK "</w:instrText>
      </w:r>
      <w:r w:rsidRPr="009343D6">
        <w:rPr>
          <w:bCs/>
          <w:lang w:val="de-DE"/>
        </w:rPr>
        <w:instrText>http://www.henkel.com/sustainability/dialog-and-contacts/positions/palm-oil</w:instrText>
      </w:r>
      <w:r>
        <w:rPr>
          <w:bCs/>
          <w:lang w:val="de-DE"/>
        </w:rPr>
        <w:instrText xml:space="preserve">" </w:instrText>
      </w:r>
      <w:r>
        <w:rPr>
          <w:bCs/>
          <w:lang w:val="de-DE"/>
        </w:rPr>
        <w:fldChar w:fldCharType="separate"/>
      </w:r>
      <w:r w:rsidRPr="00BA7356">
        <w:rPr>
          <w:rStyle w:val="Hipervnculo"/>
          <w:bCs/>
          <w:lang w:val="de-DE"/>
        </w:rPr>
        <w:t>http://www.henkel.com/sustainability/dialog-and-contacts/positions/palm-oil</w:t>
      </w:r>
      <w:r>
        <w:rPr>
          <w:bCs/>
          <w:lang w:val="de-DE"/>
        </w:rPr>
        <w:fldChar w:fldCharType="end"/>
      </w:r>
      <w:r w:rsidRPr="009343D6">
        <w:rPr>
          <w:bCs/>
          <w:lang w:val="de-DE"/>
        </w:rPr>
        <w:t>.</w:t>
      </w:r>
    </w:p>
    <w:p w14:paraId="673E3515" w14:textId="77777777" w:rsidR="009343D6" w:rsidRDefault="009343D6" w:rsidP="009343D6">
      <w:pPr>
        <w:pStyle w:val="Default"/>
        <w:jc w:val="both"/>
        <w:rPr>
          <w:bCs/>
          <w:lang w:val="de-DE"/>
        </w:rPr>
      </w:pPr>
    </w:p>
    <w:p w14:paraId="541E7AFA" w14:textId="77777777" w:rsidR="00884522" w:rsidRPr="009343D6" w:rsidRDefault="00884522" w:rsidP="009343D6">
      <w:pPr>
        <w:pStyle w:val="Default"/>
        <w:jc w:val="both"/>
        <w:rPr>
          <w:bCs/>
          <w:lang w:val="de-DE"/>
        </w:rPr>
      </w:pPr>
    </w:p>
    <w:p w14:paraId="290C99F6" w14:textId="72CF9B88" w:rsidR="00EE7DF6" w:rsidRPr="00EE7DF6" w:rsidRDefault="00EE7DF6" w:rsidP="00A21066">
      <w:pPr>
        <w:pStyle w:val="Standard12pt"/>
        <w:jc w:val="both"/>
        <w:rPr>
          <w:sz w:val="20"/>
          <w:lang w:val="es-AR" w:eastAsia="de-DE"/>
        </w:rPr>
      </w:pPr>
      <w:r w:rsidRPr="00EE7DF6">
        <w:rPr>
          <w:sz w:val="20"/>
          <w:lang w:val="es-AR" w:eastAsia="de-DE"/>
        </w:rPr>
        <w:t xml:space="preserve">Henkel opera a nivel mundial con marcas y tecnologías líderes en tres áreas de negocio: </w:t>
      </w:r>
      <w:proofErr w:type="spellStart"/>
      <w:r w:rsidRPr="00EE7DF6">
        <w:rPr>
          <w:sz w:val="20"/>
          <w:lang w:val="es-AR" w:eastAsia="de-DE"/>
        </w:rPr>
        <w:t>Laundry</w:t>
      </w:r>
      <w:proofErr w:type="spellEnd"/>
      <w:r w:rsidRPr="00EE7DF6">
        <w:rPr>
          <w:sz w:val="20"/>
          <w:lang w:val="es-AR" w:eastAsia="de-DE"/>
        </w:rPr>
        <w:t xml:space="preserve"> &amp; Home </w:t>
      </w:r>
      <w:proofErr w:type="spellStart"/>
      <w:r w:rsidRPr="00EE7DF6">
        <w:rPr>
          <w:sz w:val="20"/>
          <w:lang w:val="es-AR" w:eastAsia="de-DE"/>
        </w:rPr>
        <w:t>Care</w:t>
      </w:r>
      <w:proofErr w:type="spellEnd"/>
      <w:r w:rsidRPr="00EE7DF6">
        <w:rPr>
          <w:sz w:val="20"/>
          <w:lang w:val="es-AR" w:eastAsia="de-DE"/>
        </w:rPr>
        <w:t xml:space="preserve">, </w:t>
      </w:r>
      <w:proofErr w:type="spellStart"/>
      <w:r w:rsidRPr="00EE7DF6">
        <w:rPr>
          <w:sz w:val="20"/>
          <w:lang w:val="es-AR" w:eastAsia="de-DE"/>
        </w:rPr>
        <w:t>Beauty</w:t>
      </w:r>
      <w:proofErr w:type="spellEnd"/>
      <w:r w:rsidRPr="00EE7DF6">
        <w:rPr>
          <w:sz w:val="20"/>
          <w:lang w:val="es-AR" w:eastAsia="de-DE"/>
        </w:rPr>
        <w:t xml:space="preserve"> </w:t>
      </w:r>
      <w:proofErr w:type="spellStart"/>
      <w:r w:rsidRPr="00EE7DF6">
        <w:rPr>
          <w:sz w:val="20"/>
          <w:lang w:val="es-AR" w:eastAsia="de-DE"/>
        </w:rPr>
        <w:t>Care</w:t>
      </w:r>
      <w:proofErr w:type="spellEnd"/>
      <w:r w:rsidRPr="00EE7DF6">
        <w:rPr>
          <w:sz w:val="20"/>
          <w:lang w:val="es-AR" w:eastAsia="de-DE"/>
        </w:rPr>
        <w:t xml:space="preserve"> y </w:t>
      </w:r>
      <w:proofErr w:type="spellStart"/>
      <w:r w:rsidRPr="00EE7DF6">
        <w:rPr>
          <w:sz w:val="20"/>
          <w:lang w:val="es-AR" w:eastAsia="de-DE"/>
        </w:rPr>
        <w:t>Adhesive</w:t>
      </w:r>
      <w:proofErr w:type="spellEnd"/>
      <w:r w:rsidRPr="00EE7DF6">
        <w:rPr>
          <w:sz w:val="20"/>
          <w:lang w:val="es-AR" w:eastAsia="de-DE"/>
        </w:rPr>
        <w:t xml:space="preserve"> Technologies. Fundada en 1876, Henkel mantiene posiciones líderes en el mercado global, tanto en los sectores de consumo como industriales, con marcas reconocidas como </w:t>
      </w:r>
      <w:proofErr w:type="spellStart"/>
      <w:r w:rsidRPr="00EE7DF6">
        <w:rPr>
          <w:sz w:val="20"/>
          <w:lang w:val="es-AR" w:eastAsia="de-DE"/>
        </w:rPr>
        <w:t>Persil</w:t>
      </w:r>
      <w:proofErr w:type="spellEnd"/>
      <w:r w:rsidRPr="00EE7DF6">
        <w:rPr>
          <w:sz w:val="20"/>
          <w:lang w:val="es-AR" w:eastAsia="de-DE"/>
        </w:rPr>
        <w:t xml:space="preserve">, Schwarzkopf y </w:t>
      </w:r>
      <w:proofErr w:type="spellStart"/>
      <w:r w:rsidRPr="00EE7DF6">
        <w:rPr>
          <w:sz w:val="20"/>
          <w:lang w:val="es-AR" w:eastAsia="de-DE"/>
        </w:rPr>
        <w:t>Loctite</w:t>
      </w:r>
      <w:proofErr w:type="spellEnd"/>
      <w:r w:rsidRPr="00EE7DF6">
        <w:rPr>
          <w:sz w:val="20"/>
          <w:lang w:val="es-AR" w:eastAsia="de-DE"/>
        </w:rPr>
        <w:t>. Henkel emplea a alrededor de 50.000 personas y reportó ventas de 1</w:t>
      </w:r>
      <w:r>
        <w:rPr>
          <w:sz w:val="20"/>
          <w:lang w:val="es-AR" w:eastAsia="de-DE"/>
        </w:rPr>
        <w:t>8</w:t>
      </w:r>
      <w:r w:rsidRPr="00EE7DF6">
        <w:rPr>
          <w:sz w:val="20"/>
          <w:lang w:val="es-AR" w:eastAsia="de-DE"/>
        </w:rPr>
        <w:t>,</w:t>
      </w:r>
      <w:r>
        <w:rPr>
          <w:sz w:val="20"/>
          <w:lang w:val="es-AR" w:eastAsia="de-DE"/>
        </w:rPr>
        <w:t>1</w:t>
      </w:r>
      <w:r w:rsidRPr="00EE7DF6">
        <w:rPr>
          <w:sz w:val="20"/>
          <w:lang w:val="es-AR" w:eastAsia="de-DE"/>
        </w:rPr>
        <w:t xml:space="preserve"> mil millones de euros y un beneficio operativo ajustado de 2,</w:t>
      </w:r>
      <w:r>
        <w:rPr>
          <w:sz w:val="20"/>
          <w:lang w:val="es-AR" w:eastAsia="de-DE"/>
        </w:rPr>
        <w:t>9</w:t>
      </w:r>
      <w:r w:rsidRPr="00EE7DF6">
        <w:rPr>
          <w:sz w:val="20"/>
          <w:lang w:val="es-AR" w:eastAsia="de-DE"/>
        </w:rPr>
        <w:t xml:space="preserve"> mil millones de euros en el año fiscal 201</w:t>
      </w:r>
      <w:r>
        <w:rPr>
          <w:sz w:val="20"/>
          <w:lang w:val="es-AR" w:eastAsia="de-DE"/>
        </w:rPr>
        <w:t>5</w:t>
      </w:r>
      <w:r w:rsidRPr="00EE7DF6">
        <w:rPr>
          <w:sz w:val="20"/>
          <w:lang w:val="es-AR" w:eastAsia="de-DE"/>
        </w:rPr>
        <w:t>. Las acciones preferentes de Henkel se cotizan en el índice bursátil alemán DAX.</w:t>
      </w:r>
    </w:p>
    <w:p w14:paraId="70D9E786" w14:textId="77777777" w:rsidR="00A21066" w:rsidRPr="009343D6" w:rsidRDefault="00A21066" w:rsidP="00A21066">
      <w:pPr>
        <w:rPr>
          <w:lang w:val="es-ES"/>
        </w:rPr>
      </w:pPr>
    </w:p>
    <w:sectPr w:rsidR="00A21066" w:rsidRPr="009343D6">
      <w:headerReference w:type="default" r:id="rId8"/>
      <w:footerReference w:type="default" r:id="rId9"/>
      <w:headerReference w:type="first" r:id="rId10"/>
      <w:footerReference w:type="first" r:id="rId11"/>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89D72" w14:textId="77777777" w:rsidR="000D6E14" w:rsidRDefault="000D6E14">
      <w:pPr>
        <w:rPr>
          <w:lang w:val="en-GB"/>
        </w:rPr>
      </w:pPr>
      <w:r>
        <w:rPr>
          <w:lang w:val="en-GB"/>
        </w:rPr>
        <w:separator/>
      </w:r>
    </w:p>
  </w:endnote>
  <w:endnote w:type="continuationSeparator" w:id="0">
    <w:p w14:paraId="2F2FBEF8" w14:textId="77777777" w:rsidR="000D6E14" w:rsidRDefault="000D6E14">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27F71" w14:textId="77777777" w:rsidR="0027406C" w:rsidRPr="00543199" w:rsidRDefault="0027406C">
    <w:pPr>
      <w:pStyle w:val="Piedepgina"/>
      <w:tabs>
        <w:tab w:val="clear" w:pos="7083"/>
        <w:tab w:val="clear" w:pos="8640"/>
        <w:tab w:val="right" w:pos="9057"/>
      </w:tabs>
      <w:rPr>
        <w:b w:val="0"/>
        <w:color w:val="auto"/>
        <w:sz w:val="16"/>
        <w:szCs w:val="16"/>
        <w:lang w:val="en-GB"/>
      </w:rPr>
    </w:pPr>
    <w:r w:rsidRPr="00543199">
      <w:rPr>
        <w:color w:val="auto"/>
        <w:sz w:val="16"/>
        <w:szCs w:val="16"/>
        <w:lang w:val="en-GB"/>
      </w:rPr>
      <w:t>Henkel AG &amp; Co.</w:t>
    </w:r>
    <w:r w:rsidRPr="00543199">
      <w:rPr>
        <w:b w:val="0"/>
        <w:color w:val="auto"/>
        <w:sz w:val="16"/>
        <w:szCs w:val="16"/>
        <w:lang w:val="en-GB"/>
      </w:rPr>
      <w:t xml:space="preserve"> </w:t>
    </w:r>
    <w:proofErr w:type="spellStart"/>
    <w:r w:rsidRPr="00543199">
      <w:rPr>
        <w:color w:val="auto"/>
        <w:sz w:val="16"/>
        <w:szCs w:val="16"/>
        <w:lang w:val="en-GB"/>
      </w:rPr>
      <w:t>KGaA</w:t>
    </w:r>
    <w:proofErr w:type="spellEnd"/>
    <w:r w:rsidRPr="00543199">
      <w:rPr>
        <w:color w:val="auto"/>
        <w:sz w:val="16"/>
        <w:szCs w:val="16"/>
        <w:lang w:val="en-GB"/>
      </w:rPr>
      <w:tab/>
    </w:r>
    <w:r w:rsidRPr="00543199">
      <w:rPr>
        <w:b w:val="0"/>
        <w:color w:val="auto"/>
        <w:sz w:val="16"/>
        <w:szCs w:val="16"/>
        <w:lang w:val="en-GB"/>
      </w:rPr>
      <w:t xml:space="preserve">Page </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PAGE</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501714" w:rsidRPr="00501714">
      <w:rPr>
        <w:b w:val="0"/>
        <w:noProof/>
        <w:color w:val="auto"/>
        <w:sz w:val="16"/>
        <w:szCs w:val="16"/>
        <w:lang w:val="en-GB" w:eastAsia="en-GB"/>
      </w:rPr>
      <w:t>2</w:t>
    </w:r>
    <w:r w:rsidRPr="00543199">
      <w:rPr>
        <w:b w:val="0"/>
        <w:color w:val="auto"/>
        <w:sz w:val="16"/>
        <w:szCs w:val="16"/>
        <w:lang w:val="en-US"/>
      </w:rPr>
      <w:fldChar w:fldCharType="end"/>
    </w:r>
    <w:r w:rsidRPr="00543199">
      <w:rPr>
        <w:b w:val="0"/>
        <w:color w:val="auto"/>
        <w:sz w:val="16"/>
        <w:szCs w:val="16"/>
        <w:lang w:val="en-GB"/>
      </w:rPr>
      <w:t>/</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NUMPAGES</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501714" w:rsidRPr="00501714">
      <w:rPr>
        <w:b w:val="0"/>
        <w:noProof/>
        <w:color w:val="auto"/>
        <w:sz w:val="16"/>
        <w:szCs w:val="16"/>
        <w:lang w:val="en-GB" w:eastAsia="en-GB"/>
      </w:rPr>
      <w:t>2</w:t>
    </w:r>
    <w:r w:rsidRPr="00543199">
      <w:rPr>
        <w:b w:val="0"/>
        <w:color w:val="auto"/>
        <w:sz w:val="16"/>
        <w:szCs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8FCF" w14:textId="5AF11637" w:rsidR="004359B0" w:rsidRDefault="00E74F1F" w:rsidP="004359B0">
    <w:pPr>
      <w:pStyle w:val="Piedepgina"/>
      <w:jc w:val="distribute"/>
      <w:rPr>
        <w:b w:val="0"/>
        <w:color w:val="auto"/>
        <w:szCs w:val="24"/>
      </w:rPr>
    </w:pPr>
    <w:r w:rsidRPr="00A21066">
      <w:rPr>
        <w:b w:val="0"/>
        <w:noProof/>
        <w:color w:val="auto"/>
        <w:lang w:val="es-ES" w:eastAsia="es-ES"/>
      </w:rPr>
      <w:drawing>
        <wp:inline distT="0" distB="0" distL="0" distR="0" wp14:anchorId="2CFA1470" wp14:editId="702F2025">
          <wp:extent cx="419100" cy="142875"/>
          <wp:effectExtent l="0" t="0" r="0" b="9525"/>
          <wp:docPr id="9" name="Grafik 28"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
        <w:lang w:val="es-ES" w:eastAsia="es-ES"/>
      </w:rPr>
      <w:drawing>
        <wp:inline distT="0" distB="0" distL="0" distR="0" wp14:anchorId="2817D330" wp14:editId="7DED907F">
          <wp:extent cx="352425" cy="142875"/>
          <wp:effectExtent l="0" t="0" r="9525" b="9525"/>
          <wp:docPr id="8" name="Grafik 27"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4"/>
        <w:lang w:val="es-ES" w:eastAsia="es-ES"/>
      </w:rPr>
      <w:drawing>
        <wp:inline distT="0" distB="0" distL="0" distR="0" wp14:anchorId="615BEA18" wp14:editId="32968A4E">
          <wp:extent cx="257175" cy="285750"/>
          <wp:effectExtent l="0" t="0" r="9525" b="0"/>
          <wp:docPr id="7" name="Grafik 26" descr="Pril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ril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4359B0">
      <w:rPr>
        <w:b w:val="0"/>
        <w:color w:val="auto"/>
      </w:rPr>
      <w:t xml:space="preserve"> </w:t>
    </w:r>
    <w:r w:rsidRPr="00A21066">
      <w:rPr>
        <w:b w:val="0"/>
        <w:noProof/>
        <w:color w:val="auto"/>
        <w:position w:val="-8"/>
        <w:lang w:val="es-ES" w:eastAsia="es-ES"/>
      </w:rPr>
      <w:drawing>
        <wp:inline distT="0" distB="0" distL="0" distR="0" wp14:anchorId="1B1D4F30" wp14:editId="480EB5D8">
          <wp:extent cx="695325" cy="266700"/>
          <wp:effectExtent l="0" t="0" r="9525" b="0"/>
          <wp:docPr id="6" name="Grafik 25"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schwarzkop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10"/>
        <w:lang w:val="es-ES" w:eastAsia="es-ES"/>
      </w:rPr>
      <w:drawing>
        <wp:inline distT="0" distB="0" distL="0" distR="0" wp14:anchorId="1E6AE52F" wp14:editId="40C0410B">
          <wp:extent cx="352425" cy="266700"/>
          <wp:effectExtent l="0" t="0" r="9525" b="0"/>
          <wp:docPr id="5" name="Grafik 24"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4"/>
        <w:lang w:val="es-ES" w:eastAsia="es-ES"/>
      </w:rPr>
      <w:drawing>
        <wp:inline distT="0" distB="0" distL="0" distR="0" wp14:anchorId="23520856" wp14:editId="60925901">
          <wp:extent cx="495300" cy="123825"/>
          <wp:effectExtent l="0" t="0" r="0" b="9525"/>
          <wp:docPr id="4" name="Grafik 23"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004359B0">
      <w:rPr>
        <w:b w:val="0"/>
        <w:color w:val="auto"/>
      </w:rPr>
      <w:t xml:space="preserve"> </w:t>
    </w:r>
    <w:r w:rsidRPr="00A21066">
      <w:rPr>
        <w:b w:val="0"/>
        <w:noProof/>
        <w:color w:val="auto"/>
        <w:lang w:val="es-ES" w:eastAsia="es-ES"/>
      </w:rPr>
      <w:drawing>
        <wp:inline distT="0" distB="0" distL="0" distR="0" wp14:anchorId="154704B0" wp14:editId="022DB284">
          <wp:extent cx="590550" cy="104775"/>
          <wp:effectExtent l="0" t="0" r="0" b="9525"/>
          <wp:docPr id="3" name="Grafik 2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sidR="004359B0">
      <w:rPr>
        <w:b w:val="0"/>
        <w:color w:val="auto"/>
      </w:rPr>
      <w:t xml:space="preserve"> </w:t>
    </w:r>
    <w:r w:rsidRPr="00A21066">
      <w:rPr>
        <w:b w:val="0"/>
        <w:noProof/>
        <w:color w:val="auto"/>
        <w:lang w:val="es-ES" w:eastAsia="es-ES"/>
      </w:rPr>
      <w:drawing>
        <wp:inline distT="0" distB="0" distL="0" distR="0" wp14:anchorId="556A78CF" wp14:editId="2ABEDA88">
          <wp:extent cx="1000125" cy="104775"/>
          <wp:effectExtent l="0" t="0" r="9525" b="9525"/>
          <wp:docPr id="2" name="Grafik 21"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rsidRPr="00A21066">
      <w:rPr>
        <w:b w:val="0"/>
        <w:i/>
        <w:noProof/>
        <w:lang w:val="es-ES" w:eastAsia="es-ES"/>
      </w:rPr>
      <w:drawing>
        <wp:inline distT="0" distB="0" distL="0" distR="0" wp14:anchorId="6EFD20B9" wp14:editId="4078067B">
          <wp:extent cx="876300" cy="114300"/>
          <wp:effectExtent l="0" t="0" r="0" b="0"/>
          <wp:docPr id="1"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9">
                    <a:extLst>
                      <a:ext uri="{28A0092B-C50C-407E-A947-70E740481C1C}">
                        <a14:useLocalDpi xmlns:a14="http://schemas.microsoft.com/office/drawing/2010/main" val="0"/>
                      </a:ext>
                    </a:extLst>
                  </a:blip>
                  <a:srcRect t="31265" b="30222"/>
                  <a:stretch>
                    <a:fillRect/>
                  </a:stretch>
                </pic:blipFill>
                <pic:spPr bwMode="auto">
                  <a:xfrm>
                    <a:off x="0" y="0"/>
                    <a:ext cx="876300" cy="114300"/>
                  </a:xfrm>
                  <a:prstGeom prst="rect">
                    <a:avLst/>
                  </a:prstGeom>
                  <a:noFill/>
                  <a:ln>
                    <a:noFill/>
                  </a:ln>
                </pic:spPr>
              </pic:pic>
            </a:graphicData>
          </a:graphic>
        </wp:inline>
      </w:drawing>
    </w:r>
  </w:p>
  <w:p w14:paraId="13740E43" w14:textId="2B5861C9" w:rsidR="0027406C" w:rsidRDefault="0027406C">
    <w:pPr>
      <w:pStyle w:val="Piedepgina"/>
      <w:jc w:val="distribute"/>
      <w:rPr>
        <w:b w:val="0"/>
        <w:color w:val="auto"/>
        <w:lang w:val="en-GB"/>
      </w:rPr>
    </w:pPr>
  </w:p>
  <w:p w14:paraId="6653D23D" w14:textId="77777777" w:rsidR="0027406C" w:rsidRPr="00510B7C" w:rsidRDefault="0027406C">
    <w:pPr>
      <w:pStyle w:val="Piedepgina"/>
      <w:jc w:val="right"/>
      <w:rPr>
        <w:b w:val="0"/>
        <w:color w:val="auto"/>
        <w:sz w:val="16"/>
        <w:szCs w:val="16"/>
        <w:lang w:val="en-GB"/>
      </w:rPr>
    </w:pPr>
    <w:r w:rsidRPr="00510B7C">
      <w:rPr>
        <w:b w:val="0"/>
        <w:color w:val="auto"/>
        <w:sz w:val="16"/>
        <w:szCs w:val="16"/>
        <w:lang w:val="en-GB"/>
      </w:rPr>
      <w:t xml:space="preserve">Page </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PAGE</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501714">
      <w:rPr>
        <w:b w:val="0"/>
        <w:noProof/>
        <w:color w:val="auto"/>
        <w:sz w:val="16"/>
        <w:szCs w:val="16"/>
        <w:lang w:val="en-GB"/>
      </w:rPr>
      <w:t>1</w:t>
    </w:r>
    <w:r w:rsidRPr="00510B7C">
      <w:rPr>
        <w:b w:val="0"/>
        <w:color w:val="auto"/>
        <w:sz w:val="16"/>
        <w:szCs w:val="16"/>
        <w:lang w:val="en-GB"/>
      </w:rPr>
      <w:fldChar w:fldCharType="end"/>
    </w:r>
    <w:r w:rsidRPr="00510B7C">
      <w:rPr>
        <w:b w:val="0"/>
        <w:color w:val="auto"/>
        <w:sz w:val="16"/>
        <w:szCs w:val="16"/>
        <w:lang w:val="en-GB"/>
      </w:rPr>
      <w:t>/</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NUMPAGES</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501714">
      <w:rPr>
        <w:b w:val="0"/>
        <w:noProof/>
        <w:color w:val="auto"/>
        <w:sz w:val="16"/>
        <w:szCs w:val="16"/>
        <w:lang w:val="en-GB"/>
      </w:rPr>
      <w:t>2</w:t>
    </w:r>
    <w:r w:rsidRPr="00510B7C">
      <w:rPr>
        <w:b w:val="0"/>
        <w:color w:val="auto"/>
        <w:sz w:val="16"/>
        <w:szCs w:val="16"/>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0CFE1" w14:textId="77777777" w:rsidR="000D6E14" w:rsidRDefault="000D6E14">
      <w:pPr>
        <w:rPr>
          <w:lang w:val="en-GB"/>
        </w:rPr>
      </w:pPr>
      <w:r>
        <w:rPr>
          <w:lang w:val="en-GB"/>
        </w:rPr>
        <w:separator/>
      </w:r>
    </w:p>
  </w:footnote>
  <w:footnote w:type="continuationSeparator" w:id="0">
    <w:p w14:paraId="47046C74" w14:textId="77777777" w:rsidR="000D6E14" w:rsidRDefault="000D6E14">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57043" w14:textId="2BB8BE5C" w:rsidR="0027406C" w:rsidRDefault="00E74F1F">
    <w:pPr>
      <w:pStyle w:val="Encabezado"/>
      <w:spacing w:after="567" w:line="280" w:lineRule="exact"/>
      <w:jc w:val="right"/>
      <w:rPr>
        <w:lang w:val="en-GB"/>
      </w:rPr>
    </w:pPr>
    <w:r>
      <w:rPr>
        <w:noProof/>
        <w:lang w:val="es-ES" w:eastAsia="es-ES"/>
      </w:rPr>
      <mc:AlternateContent>
        <mc:Choice Requires="wpg">
          <w:drawing>
            <wp:anchor distT="0" distB="0" distL="114300" distR="114300" simplePos="0" relativeHeight="251657728" behindDoc="0" locked="0" layoutInCell="1" allowOverlap="1" wp14:anchorId="070D3D22" wp14:editId="24ECCE72">
              <wp:simplePos x="0" y="0"/>
              <wp:positionH relativeFrom="page">
                <wp:posOffset>180340</wp:posOffset>
              </wp:positionH>
              <wp:positionV relativeFrom="page">
                <wp:posOffset>3780790</wp:posOffset>
              </wp:positionV>
              <wp:extent cx="183515" cy="3796030"/>
              <wp:effectExtent l="0" t="0" r="26035" b="1397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BA6BC" id="Group 1"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EC439" w14:textId="77777777" w:rsidR="0027406C" w:rsidRDefault="0027406C">
    <w:pPr>
      <w:pStyle w:val="Encabezado"/>
      <w:tabs>
        <w:tab w:val="clear" w:pos="8640"/>
      </w:tabs>
      <w:spacing w:line="2155" w:lineRule="exact"/>
      <w:jc w:val="right"/>
      <w:rPr>
        <w:b/>
        <w:bCs/>
        <w:sz w:val="36"/>
        <w:szCs w:val="36"/>
        <w:lang w:val="en-GB"/>
      </w:rPr>
    </w:pPr>
  </w:p>
  <w:p w14:paraId="41BA8B36" w14:textId="0AEA1B88" w:rsidR="0027406C" w:rsidRDefault="00E74F1F">
    <w:pPr>
      <w:pStyle w:val="Encabezado"/>
      <w:tabs>
        <w:tab w:val="clear" w:pos="8640"/>
      </w:tabs>
      <w:spacing w:line="420" w:lineRule="atLeast"/>
      <w:jc w:val="right"/>
      <w:rPr>
        <w:b/>
        <w:bCs/>
        <w:sz w:val="36"/>
        <w:szCs w:val="36"/>
        <w:lang w:val="en-GB"/>
      </w:rPr>
    </w:pPr>
    <w:r>
      <w:rPr>
        <w:noProof/>
        <w:lang w:val="es-ES" w:eastAsia="es-ES"/>
      </w:rPr>
      <mc:AlternateContent>
        <mc:Choice Requires="wpg">
          <w:drawing>
            <wp:anchor distT="0" distB="0" distL="114300" distR="114300" simplePos="0" relativeHeight="251656704" behindDoc="0" locked="0" layoutInCell="1" allowOverlap="1" wp14:anchorId="2D3AFE35" wp14:editId="36B4A0C2">
              <wp:simplePos x="0" y="0"/>
              <wp:positionH relativeFrom="page">
                <wp:posOffset>180340</wp:posOffset>
              </wp:positionH>
              <wp:positionV relativeFrom="page">
                <wp:posOffset>3780790</wp:posOffset>
              </wp:positionV>
              <wp:extent cx="179705" cy="3780155"/>
              <wp:effectExtent l="0" t="0" r="29845" b="1079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DE63E" id="Group 5"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Pr>
        <w:noProof/>
        <w:lang w:val="es-ES" w:eastAsia="es-ES"/>
      </w:rPr>
      <w:drawing>
        <wp:anchor distT="0" distB="0" distL="114300" distR="114300" simplePos="0" relativeHeight="251658752" behindDoc="1" locked="0" layoutInCell="1" allowOverlap="1" wp14:anchorId="105A164B" wp14:editId="42840813">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C1CD3">
      <w:rPr>
        <w:b/>
        <w:bCs/>
        <w:sz w:val="36"/>
        <w:szCs w:val="36"/>
        <w:lang w:val="en-GB"/>
      </w:rPr>
      <w:t>Información</w:t>
    </w:r>
    <w:proofErr w:type="spellEnd"/>
    <w:r w:rsidR="00AC1CD3">
      <w:rPr>
        <w:b/>
        <w:bCs/>
        <w:sz w:val="36"/>
        <w:szCs w:val="36"/>
        <w:lang w:val="en-GB"/>
      </w:rPr>
      <w:t xml:space="preserve"> de Prensa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909F2"/>
    <w:multiLevelType w:val="hybridMultilevel"/>
    <w:tmpl w:val="57583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CD2184"/>
    <w:multiLevelType w:val="hybridMultilevel"/>
    <w:tmpl w:val="F06AB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FFE3DFE"/>
    <w:multiLevelType w:val="hybridMultilevel"/>
    <w:tmpl w:val="64D01EB2"/>
    <w:lvl w:ilvl="0" w:tplc="89F896B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A14"/>
    <w:rsid w:val="000012BD"/>
    <w:rsid w:val="00020A1B"/>
    <w:rsid w:val="00022AD0"/>
    <w:rsid w:val="00033DE7"/>
    <w:rsid w:val="000377BB"/>
    <w:rsid w:val="00047FD6"/>
    <w:rsid w:val="00064838"/>
    <w:rsid w:val="0006572E"/>
    <w:rsid w:val="000834D0"/>
    <w:rsid w:val="00083546"/>
    <w:rsid w:val="000910EE"/>
    <w:rsid w:val="000B0B87"/>
    <w:rsid w:val="000C3443"/>
    <w:rsid w:val="000C79E5"/>
    <w:rsid w:val="000D154F"/>
    <w:rsid w:val="000D6E14"/>
    <w:rsid w:val="000D76FF"/>
    <w:rsid w:val="000E07FD"/>
    <w:rsid w:val="000E0AB6"/>
    <w:rsid w:val="000F489E"/>
    <w:rsid w:val="000F742D"/>
    <w:rsid w:val="00100FAF"/>
    <w:rsid w:val="00110252"/>
    <w:rsid w:val="00156F3B"/>
    <w:rsid w:val="00161F9E"/>
    <w:rsid w:val="001703F5"/>
    <w:rsid w:val="00182596"/>
    <w:rsid w:val="00186509"/>
    <w:rsid w:val="00190BA4"/>
    <w:rsid w:val="0019228E"/>
    <w:rsid w:val="00194E89"/>
    <w:rsid w:val="00197551"/>
    <w:rsid w:val="001B1AEB"/>
    <w:rsid w:val="001C2ABF"/>
    <w:rsid w:val="001C4984"/>
    <w:rsid w:val="001C6D1D"/>
    <w:rsid w:val="001D4610"/>
    <w:rsid w:val="002031BC"/>
    <w:rsid w:val="0020426B"/>
    <w:rsid w:val="00213F8A"/>
    <w:rsid w:val="00233523"/>
    <w:rsid w:val="00234A52"/>
    <w:rsid w:val="0023594D"/>
    <w:rsid w:val="00240610"/>
    <w:rsid w:val="0024480A"/>
    <w:rsid w:val="00253D87"/>
    <w:rsid w:val="0025573E"/>
    <w:rsid w:val="002645C3"/>
    <w:rsid w:val="002665AC"/>
    <w:rsid w:val="0027406C"/>
    <w:rsid w:val="00284FDE"/>
    <w:rsid w:val="00295D31"/>
    <w:rsid w:val="002A4B4D"/>
    <w:rsid w:val="002B273E"/>
    <w:rsid w:val="002C1229"/>
    <w:rsid w:val="002C387C"/>
    <w:rsid w:val="002D0CE6"/>
    <w:rsid w:val="002D51B1"/>
    <w:rsid w:val="002D6BED"/>
    <w:rsid w:val="002E0791"/>
    <w:rsid w:val="002F339D"/>
    <w:rsid w:val="00301A70"/>
    <w:rsid w:val="00306935"/>
    <w:rsid w:val="0030780F"/>
    <w:rsid w:val="0031248D"/>
    <w:rsid w:val="003149CB"/>
    <w:rsid w:val="00333E30"/>
    <w:rsid w:val="00336E26"/>
    <w:rsid w:val="00350463"/>
    <w:rsid w:val="003526DB"/>
    <w:rsid w:val="0036162A"/>
    <w:rsid w:val="003619D4"/>
    <w:rsid w:val="003626B8"/>
    <w:rsid w:val="00366D77"/>
    <w:rsid w:val="0037181B"/>
    <w:rsid w:val="00371857"/>
    <w:rsid w:val="00382CC0"/>
    <w:rsid w:val="00385149"/>
    <w:rsid w:val="003A2225"/>
    <w:rsid w:val="003A4BCE"/>
    <w:rsid w:val="003B2DDB"/>
    <w:rsid w:val="003B40D1"/>
    <w:rsid w:val="003B70E3"/>
    <w:rsid w:val="003C0700"/>
    <w:rsid w:val="003C1C78"/>
    <w:rsid w:val="003C746B"/>
    <w:rsid w:val="003D3FB5"/>
    <w:rsid w:val="003E0228"/>
    <w:rsid w:val="003E1636"/>
    <w:rsid w:val="003F7379"/>
    <w:rsid w:val="004000F1"/>
    <w:rsid w:val="00413B39"/>
    <w:rsid w:val="0042000D"/>
    <w:rsid w:val="00420D11"/>
    <w:rsid w:val="00422B8A"/>
    <w:rsid w:val="004247DB"/>
    <w:rsid w:val="004274F9"/>
    <w:rsid w:val="004327C3"/>
    <w:rsid w:val="004359B0"/>
    <w:rsid w:val="00435A2D"/>
    <w:rsid w:val="00442151"/>
    <w:rsid w:val="00443FC6"/>
    <w:rsid w:val="00457418"/>
    <w:rsid w:val="00473248"/>
    <w:rsid w:val="0048157B"/>
    <w:rsid w:val="0049298B"/>
    <w:rsid w:val="004A1D55"/>
    <w:rsid w:val="004B096C"/>
    <w:rsid w:val="004B3E96"/>
    <w:rsid w:val="004D2F43"/>
    <w:rsid w:val="004D5248"/>
    <w:rsid w:val="004F2D3A"/>
    <w:rsid w:val="005014B8"/>
    <w:rsid w:val="00501714"/>
    <w:rsid w:val="00506973"/>
    <w:rsid w:val="005070DC"/>
    <w:rsid w:val="00510B7C"/>
    <w:rsid w:val="005126A8"/>
    <w:rsid w:val="00531D8E"/>
    <w:rsid w:val="00531F36"/>
    <w:rsid w:val="005401DD"/>
    <w:rsid w:val="00543199"/>
    <w:rsid w:val="005610CA"/>
    <w:rsid w:val="0058322F"/>
    <w:rsid w:val="0058759D"/>
    <w:rsid w:val="00593C39"/>
    <w:rsid w:val="005A1FCE"/>
    <w:rsid w:val="005A57F7"/>
    <w:rsid w:val="005B0253"/>
    <w:rsid w:val="005C4F3B"/>
    <w:rsid w:val="005D5E6F"/>
    <w:rsid w:val="005D6E5C"/>
    <w:rsid w:val="005E0218"/>
    <w:rsid w:val="005E2DFF"/>
    <w:rsid w:val="005F28E9"/>
    <w:rsid w:val="0060486E"/>
    <w:rsid w:val="00613D37"/>
    <w:rsid w:val="00614644"/>
    <w:rsid w:val="00623BA1"/>
    <w:rsid w:val="00624CA0"/>
    <w:rsid w:val="00633538"/>
    <w:rsid w:val="00650966"/>
    <w:rsid w:val="0065118E"/>
    <w:rsid w:val="00656466"/>
    <w:rsid w:val="00656719"/>
    <w:rsid w:val="0066205B"/>
    <w:rsid w:val="00681763"/>
    <w:rsid w:val="00690A55"/>
    <w:rsid w:val="006918A5"/>
    <w:rsid w:val="006B6334"/>
    <w:rsid w:val="006C3E76"/>
    <w:rsid w:val="006E10CE"/>
    <w:rsid w:val="006E20F7"/>
    <w:rsid w:val="006E2D19"/>
    <w:rsid w:val="006E5D5E"/>
    <w:rsid w:val="00706CEC"/>
    <w:rsid w:val="007131CA"/>
    <w:rsid w:val="007142E4"/>
    <w:rsid w:val="007214C2"/>
    <w:rsid w:val="0072671C"/>
    <w:rsid w:val="00727E53"/>
    <w:rsid w:val="00745F31"/>
    <w:rsid w:val="00750D49"/>
    <w:rsid w:val="00751E70"/>
    <w:rsid w:val="007566DE"/>
    <w:rsid w:val="00764928"/>
    <w:rsid w:val="00764D04"/>
    <w:rsid w:val="007800CD"/>
    <w:rsid w:val="00797ECE"/>
    <w:rsid w:val="007A61B9"/>
    <w:rsid w:val="007B33DD"/>
    <w:rsid w:val="007C2404"/>
    <w:rsid w:val="007C291A"/>
    <w:rsid w:val="007C5C43"/>
    <w:rsid w:val="007E1326"/>
    <w:rsid w:val="007E206D"/>
    <w:rsid w:val="007F0F81"/>
    <w:rsid w:val="0080226A"/>
    <w:rsid w:val="00802372"/>
    <w:rsid w:val="00806E0F"/>
    <w:rsid w:val="00816CB8"/>
    <w:rsid w:val="00834801"/>
    <w:rsid w:val="0083737B"/>
    <w:rsid w:val="00846C52"/>
    <w:rsid w:val="00852E98"/>
    <w:rsid w:val="00853A3C"/>
    <w:rsid w:val="008565A5"/>
    <w:rsid w:val="00884522"/>
    <w:rsid w:val="00885039"/>
    <w:rsid w:val="008A6A2D"/>
    <w:rsid w:val="008B0548"/>
    <w:rsid w:val="008B6D97"/>
    <w:rsid w:val="008B6ECF"/>
    <w:rsid w:val="008C49FB"/>
    <w:rsid w:val="008C610A"/>
    <w:rsid w:val="008F3896"/>
    <w:rsid w:val="008F6FFA"/>
    <w:rsid w:val="008F73CB"/>
    <w:rsid w:val="00904E6F"/>
    <w:rsid w:val="009146DF"/>
    <w:rsid w:val="009214FF"/>
    <w:rsid w:val="009304EC"/>
    <w:rsid w:val="009314AF"/>
    <w:rsid w:val="009343D6"/>
    <w:rsid w:val="009464DC"/>
    <w:rsid w:val="00967D0F"/>
    <w:rsid w:val="009701C5"/>
    <w:rsid w:val="009708CC"/>
    <w:rsid w:val="0098664A"/>
    <w:rsid w:val="00990D60"/>
    <w:rsid w:val="00994A89"/>
    <w:rsid w:val="00997257"/>
    <w:rsid w:val="009A0370"/>
    <w:rsid w:val="009A1074"/>
    <w:rsid w:val="009A2B81"/>
    <w:rsid w:val="009B5517"/>
    <w:rsid w:val="009C3CAC"/>
    <w:rsid w:val="009D0316"/>
    <w:rsid w:val="009D73E1"/>
    <w:rsid w:val="009F158F"/>
    <w:rsid w:val="009F2D2D"/>
    <w:rsid w:val="00A01A35"/>
    <w:rsid w:val="00A021DD"/>
    <w:rsid w:val="00A11CA5"/>
    <w:rsid w:val="00A15B9F"/>
    <w:rsid w:val="00A21066"/>
    <w:rsid w:val="00A35804"/>
    <w:rsid w:val="00A363AD"/>
    <w:rsid w:val="00A41970"/>
    <w:rsid w:val="00A45EB8"/>
    <w:rsid w:val="00A57859"/>
    <w:rsid w:val="00A617EB"/>
    <w:rsid w:val="00A62D4F"/>
    <w:rsid w:val="00A67407"/>
    <w:rsid w:val="00A67BB1"/>
    <w:rsid w:val="00A70E56"/>
    <w:rsid w:val="00A87B93"/>
    <w:rsid w:val="00A921D9"/>
    <w:rsid w:val="00A92441"/>
    <w:rsid w:val="00AB315E"/>
    <w:rsid w:val="00AB4566"/>
    <w:rsid w:val="00AB5758"/>
    <w:rsid w:val="00AC1CD3"/>
    <w:rsid w:val="00AC3074"/>
    <w:rsid w:val="00AD1E73"/>
    <w:rsid w:val="00AD2009"/>
    <w:rsid w:val="00AD5AA2"/>
    <w:rsid w:val="00AE05D7"/>
    <w:rsid w:val="00AE20BC"/>
    <w:rsid w:val="00AE5C27"/>
    <w:rsid w:val="00AE6230"/>
    <w:rsid w:val="00AF6D21"/>
    <w:rsid w:val="00B027CD"/>
    <w:rsid w:val="00B02C81"/>
    <w:rsid w:val="00B038EC"/>
    <w:rsid w:val="00B21EF7"/>
    <w:rsid w:val="00B25281"/>
    <w:rsid w:val="00B2602C"/>
    <w:rsid w:val="00B41B99"/>
    <w:rsid w:val="00B4613B"/>
    <w:rsid w:val="00B47A2A"/>
    <w:rsid w:val="00B57BFB"/>
    <w:rsid w:val="00B759D6"/>
    <w:rsid w:val="00B82819"/>
    <w:rsid w:val="00B85BD1"/>
    <w:rsid w:val="00B935E0"/>
    <w:rsid w:val="00BA2B5E"/>
    <w:rsid w:val="00BA3A42"/>
    <w:rsid w:val="00BA512F"/>
    <w:rsid w:val="00BB57C7"/>
    <w:rsid w:val="00BC011A"/>
    <w:rsid w:val="00BC5F37"/>
    <w:rsid w:val="00BD59FE"/>
    <w:rsid w:val="00BF1217"/>
    <w:rsid w:val="00C023A8"/>
    <w:rsid w:val="00C05CAA"/>
    <w:rsid w:val="00C113E6"/>
    <w:rsid w:val="00C216B6"/>
    <w:rsid w:val="00C33135"/>
    <w:rsid w:val="00C334C3"/>
    <w:rsid w:val="00C347BF"/>
    <w:rsid w:val="00C45E08"/>
    <w:rsid w:val="00C5135F"/>
    <w:rsid w:val="00C65B32"/>
    <w:rsid w:val="00C7000E"/>
    <w:rsid w:val="00C70047"/>
    <w:rsid w:val="00C74B6D"/>
    <w:rsid w:val="00C77A42"/>
    <w:rsid w:val="00C80CBB"/>
    <w:rsid w:val="00C967D0"/>
    <w:rsid w:val="00CA2F05"/>
    <w:rsid w:val="00CB0690"/>
    <w:rsid w:val="00CB0CC3"/>
    <w:rsid w:val="00CC53AA"/>
    <w:rsid w:val="00CC78B2"/>
    <w:rsid w:val="00CD1F31"/>
    <w:rsid w:val="00CE7E29"/>
    <w:rsid w:val="00CF23F8"/>
    <w:rsid w:val="00D03BED"/>
    <w:rsid w:val="00D1225A"/>
    <w:rsid w:val="00D12307"/>
    <w:rsid w:val="00D15B32"/>
    <w:rsid w:val="00D21EF1"/>
    <w:rsid w:val="00D5316B"/>
    <w:rsid w:val="00D536EF"/>
    <w:rsid w:val="00D63FAE"/>
    <w:rsid w:val="00D673D9"/>
    <w:rsid w:val="00D73001"/>
    <w:rsid w:val="00D86027"/>
    <w:rsid w:val="00D86646"/>
    <w:rsid w:val="00D90623"/>
    <w:rsid w:val="00DA20EC"/>
    <w:rsid w:val="00DB1DA7"/>
    <w:rsid w:val="00DE552A"/>
    <w:rsid w:val="00DF64B0"/>
    <w:rsid w:val="00E0686A"/>
    <w:rsid w:val="00E13C6D"/>
    <w:rsid w:val="00E218BE"/>
    <w:rsid w:val="00E22B12"/>
    <w:rsid w:val="00E24252"/>
    <w:rsid w:val="00E343BA"/>
    <w:rsid w:val="00E3586E"/>
    <w:rsid w:val="00E4224E"/>
    <w:rsid w:val="00E440EA"/>
    <w:rsid w:val="00E44AD5"/>
    <w:rsid w:val="00E47766"/>
    <w:rsid w:val="00E504EC"/>
    <w:rsid w:val="00E51A9A"/>
    <w:rsid w:val="00E6004E"/>
    <w:rsid w:val="00E609EA"/>
    <w:rsid w:val="00E74F1F"/>
    <w:rsid w:val="00E75D41"/>
    <w:rsid w:val="00E8055D"/>
    <w:rsid w:val="00E84BD1"/>
    <w:rsid w:val="00E92664"/>
    <w:rsid w:val="00EA38C1"/>
    <w:rsid w:val="00EA45FC"/>
    <w:rsid w:val="00EA5901"/>
    <w:rsid w:val="00EB00BC"/>
    <w:rsid w:val="00EC3CAA"/>
    <w:rsid w:val="00EC58B9"/>
    <w:rsid w:val="00ED09B8"/>
    <w:rsid w:val="00ED2BD9"/>
    <w:rsid w:val="00EE4E84"/>
    <w:rsid w:val="00EE7D80"/>
    <w:rsid w:val="00EE7DF6"/>
    <w:rsid w:val="00EF0964"/>
    <w:rsid w:val="00EF2559"/>
    <w:rsid w:val="00EF486D"/>
    <w:rsid w:val="00F0725E"/>
    <w:rsid w:val="00F162AF"/>
    <w:rsid w:val="00F177FF"/>
    <w:rsid w:val="00F40CC3"/>
    <w:rsid w:val="00F51C37"/>
    <w:rsid w:val="00F51D84"/>
    <w:rsid w:val="00F61FB5"/>
    <w:rsid w:val="00F77E8A"/>
    <w:rsid w:val="00F8185B"/>
    <w:rsid w:val="00F87FAA"/>
    <w:rsid w:val="00F90325"/>
    <w:rsid w:val="00F93527"/>
    <w:rsid w:val="00FA1033"/>
    <w:rsid w:val="00FA1DED"/>
    <w:rsid w:val="00FA442E"/>
    <w:rsid w:val="00FA5699"/>
    <w:rsid w:val="00FB38E6"/>
    <w:rsid w:val="00FC5192"/>
    <w:rsid w:val="00FC6B45"/>
    <w:rsid w:val="00FD1290"/>
    <w:rsid w:val="00FD3F33"/>
    <w:rsid w:val="00FD7689"/>
    <w:rsid w:val="00FE23D6"/>
    <w:rsid w:val="00FE6A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F49F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line="260" w:lineRule="atLeast"/>
    </w:pPr>
    <w:rPr>
      <w:rFonts w:ascii="Arial" w:hAnsi="Arial"/>
      <w:szCs w:val="24"/>
      <w:lang w:eastAsia="en-US"/>
    </w:rPr>
  </w:style>
  <w:style w:type="paragraph" w:styleId="Ttulo1">
    <w:name w:val="heading 1"/>
    <w:basedOn w:val="Normal"/>
    <w:next w:val="Normal"/>
    <w:link w:val="Ttulo1Car"/>
    <w:uiPriority w:val="99"/>
    <w:qFormat/>
    <w:pPr>
      <w:keepNext/>
      <w:spacing w:line="420" w:lineRule="atLeast"/>
      <w:outlineLvl w:val="0"/>
    </w:pPr>
    <w:rPr>
      <w:b/>
      <w:kern w:val="32"/>
      <w:sz w:val="32"/>
      <w:szCs w:val="20"/>
      <w:lang w:val="x-none"/>
    </w:rPr>
  </w:style>
  <w:style w:type="paragraph" w:styleId="Ttulo2">
    <w:name w:val="heading 2"/>
    <w:basedOn w:val="Normal"/>
    <w:next w:val="Normal"/>
    <w:link w:val="Ttulo2Car"/>
    <w:uiPriority w:val="9"/>
    <w:qFormat/>
    <w:pPr>
      <w:keepNext/>
      <w:outlineLvl w:val="1"/>
    </w:pPr>
    <w:rPr>
      <w:rFonts w:ascii="Cambria" w:hAnsi="Cambria"/>
      <w:b/>
      <w:bCs/>
      <w:i/>
      <w:iCs/>
      <w:sz w:val="28"/>
      <w:szCs w:val="28"/>
    </w:rPr>
  </w:style>
  <w:style w:type="paragraph" w:styleId="Ttulo3">
    <w:name w:val="heading 3"/>
    <w:basedOn w:val="Ttulo2"/>
    <w:next w:val="Normal"/>
    <w:link w:val="Ttulo3Car"/>
    <w:uiPriority w:val="9"/>
    <w:qFormat/>
    <w:pPr>
      <w:outlineLvl w:val="2"/>
    </w:pPr>
    <w:rPr>
      <w:b w:val="0"/>
      <w:iCs w:val="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Pr>
      <w:rFonts w:ascii="Arial" w:hAnsi="Arial"/>
      <w:b/>
      <w:kern w:val="32"/>
      <w:sz w:val="32"/>
      <w:lang w:eastAsia="en-US"/>
    </w:rPr>
  </w:style>
  <w:style w:type="character" w:customStyle="1" w:styleId="Ttulo2Car">
    <w:name w:val="Título 2 Car"/>
    <w:link w:val="Ttulo2"/>
    <w:uiPriority w:val="9"/>
    <w:semiHidden/>
    <w:rPr>
      <w:rFonts w:ascii="Cambria" w:eastAsia="Times New Roman" w:hAnsi="Cambria" w:cs="Times New Roman"/>
      <w:b/>
      <w:bCs/>
      <w:i/>
      <w:iCs/>
      <w:sz w:val="28"/>
      <w:szCs w:val="28"/>
      <w:lang w:val="de-DE" w:eastAsia="en-US"/>
    </w:rPr>
  </w:style>
  <w:style w:type="character" w:customStyle="1" w:styleId="Ttulo3Car">
    <w:name w:val="Título 3 Car"/>
    <w:link w:val="Ttulo3"/>
    <w:uiPriority w:val="9"/>
    <w:semiHidden/>
    <w:rPr>
      <w:rFonts w:ascii="Cambria" w:eastAsia="Times New Roman" w:hAnsi="Cambria" w:cs="Times New Roman"/>
      <w:b/>
      <w:bCs/>
      <w:sz w:val="26"/>
      <w:szCs w:val="26"/>
      <w:lang w:val="de-DE" w:eastAsia="en-US"/>
    </w:rPr>
  </w:style>
  <w:style w:type="paragraph" w:styleId="Encabezado">
    <w:name w:val="header"/>
    <w:basedOn w:val="Normal"/>
    <w:link w:val="EncabezadoCar"/>
    <w:uiPriority w:val="99"/>
    <w:pPr>
      <w:tabs>
        <w:tab w:val="center" w:pos="4320"/>
        <w:tab w:val="right" w:pos="8640"/>
      </w:tabs>
    </w:pPr>
  </w:style>
  <w:style w:type="character" w:customStyle="1" w:styleId="EncabezadoCar">
    <w:name w:val="Encabezado Car"/>
    <w:link w:val="Encabezado"/>
    <w:uiPriority w:val="99"/>
    <w:semiHidden/>
    <w:rPr>
      <w:rFonts w:ascii="Arial" w:hAnsi="Arial"/>
      <w:szCs w:val="24"/>
      <w:lang w:val="de-DE" w:eastAsia="en-US"/>
    </w:rPr>
  </w:style>
  <w:style w:type="paragraph" w:styleId="Piedepgina">
    <w:name w:val="footer"/>
    <w:basedOn w:val="Normal"/>
    <w:link w:val="PiedepginaCar"/>
    <w:pPr>
      <w:tabs>
        <w:tab w:val="right" w:pos="7083"/>
        <w:tab w:val="right" w:pos="8640"/>
      </w:tabs>
      <w:spacing w:line="180" w:lineRule="atLeast"/>
    </w:pPr>
    <w:rPr>
      <w:b/>
      <w:color w:val="E1000F"/>
      <w:sz w:val="24"/>
      <w:szCs w:val="20"/>
      <w:lang w:val="x-none" w:eastAsia="x-none"/>
    </w:rPr>
  </w:style>
  <w:style w:type="character" w:customStyle="1" w:styleId="PiedepginaCar">
    <w:name w:val="Pie de página Car"/>
    <w:link w:val="Piedepgina"/>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Textoindependiente">
    <w:name w:val="Body Text"/>
    <w:basedOn w:val="Normal"/>
    <w:link w:val="TextoindependienteCar"/>
    <w:uiPriority w:val="99"/>
    <w:pPr>
      <w:spacing w:after="120" w:line="280" w:lineRule="exact"/>
    </w:pPr>
    <w:rPr>
      <w:sz w:val="24"/>
      <w:szCs w:val="20"/>
      <w:lang w:val="x-none" w:eastAsia="de-DE"/>
    </w:rPr>
  </w:style>
  <w:style w:type="character" w:customStyle="1" w:styleId="TextoindependienteCar">
    <w:name w:val="Texto independiente Car"/>
    <w:link w:val="Textoindependiente"/>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ipervnculo">
    <w:name w:val="Hyperlink"/>
    <w:uiPriority w:val="99"/>
    <w:rPr>
      <w:color w:val="0000FF"/>
      <w:u w:val="single"/>
    </w:rPr>
  </w:style>
  <w:style w:type="character" w:customStyle="1" w:styleId="PRHalfblank">
    <w:name w:val="_PR_Halfblank"/>
    <w:rPr>
      <w:w w:val="50"/>
    </w:rPr>
  </w:style>
  <w:style w:type="character" w:styleId="Hipervnculovisitado">
    <w:name w:val="FollowedHyperlink"/>
    <w:uiPriority w:val="99"/>
    <w:rPr>
      <w:color w:val="800080"/>
      <w:u w:val="single"/>
    </w:rPr>
  </w:style>
  <w:style w:type="paragraph" w:styleId="Textoindependiente3">
    <w:name w:val="Body Text 3"/>
    <w:basedOn w:val="Normal"/>
    <w:link w:val="Textoindependiente3Car"/>
    <w:uiPriority w:val="99"/>
    <w:pPr>
      <w:spacing w:after="120" w:line="280" w:lineRule="exact"/>
    </w:pPr>
    <w:rPr>
      <w:sz w:val="16"/>
      <w:szCs w:val="16"/>
    </w:rPr>
  </w:style>
  <w:style w:type="character" w:customStyle="1" w:styleId="Textoindependiente3Car">
    <w:name w:val="Texto independiente 3 Car"/>
    <w:link w:val="Textoindependiente3"/>
    <w:uiPriority w:val="99"/>
    <w:semiHidden/>
    <w:rPr>
      <w:rFonts w:ascii="Arial" w:hAnsi="Arial"/>
      <w:sz w:val="16"/>
      <w:szCs w:val="16"/>
      <w:lang w:val="de-DE" w:eastAsia="en-US"/>
    </w:rPr>
  </w:style>
  <w:style w:type="paragraph" w:styleId="Textodeglobo">
    <w:name w:val="Balloon Text"/>
    <w:basedOn w:val="Normal"/>
    <w:link w:val="TextodegloboCar"/>
    <w:uiPriority w:val="99"/>
    <w:pPr>
      <w:spacing w:line="240" w:lineRule="auto"/>
    </w:pPr>
    <w:rPr>
      <w:rFonts w:ascii="Tahoma" w:hAnsi="Tahoma"/>
      <w:sz w:val="16"/>
      <w:szCs w:val="20"/>
      <w:lang w:val="x-none"/>
    </w:rPr>
  </w:style>
  <w:style w:type="character" w:customStyle="1" w:styleId="TextodegloboCar">
    <w:name w:val="Texto de globo Car"/>
    <w:link w:val="Textodeglobo"/>
    <w:uiPriority w:val="99"/>
    <w:locked/>
    <w:rPr>
      <w:rFonts w:ascii="Tahoma" w:hAnsi="Tahoma"/>
      <w:sz w:val="16"/>
      <w:lang w:eastAsia="en-US"/>
    </w:rPr>
  </w:style>
  <w:style w:type="paragraph" w:styleId="Textonotapie">
    <w:name w:val="footnote text"/>
    <w:basedOn w:val="Normal"/>
    <w:link w:val="TextonotapieCar"/>
    <w:uiPriority w:val="99"/>
    <w:semiHidden/>
    <w:rPr>
      <w:szCs w:val="20"/>
    </w:rPr>
  </w:style>
  <w:style w:type="character" w:customStyle="1" w:styleId="TextonotapieCar">
    <w:name w:val="Texto nota pie Car"/>
    <w:link w:val="Textonotapie"/>
    <w:uiPriority w:val="99"/>
    <w:semiHidden/>
    <w:rPr>
      <w:rFonts w:ascii="Arial" w:hAnsi="Arial"/>
      <w:lang w:val="de-DE" w:eastAsia="en-US"/>
    </w:rPr>
  </w:style>
  <w:style w:type="character" w:styleId="Refdenotaalpie">
    <w:name w:val="footnote reference"/>
    <w:uiPriority w:val="99"/>
    <w:semiHidden/>
    <w:rPr>
      <w:vertAlign w:val="superscript"/>
    </w:rPr>
  </w:style>
  <w:style w:type="character" w:styleId="Refdecomentario">
    <w:name w:val="annotation reference"/>
    <w:uiPriority w:val="99"/>
    <w:rPr>
      <w:sz w:val="16"/>
    </w:rPr>
  </w:style>
  <w:style w:type="paragraph" w:styleId="Textocomentario">
    <w:name w:val="annotation text"/>
    <w:basedOn w:val="Normal"/>
    <w:link w:val="TextocomentarioCar"/>
    <w:uiPriority w:val="99"/>
    <w:rPr>
      <w:szCs w:val="20"/>
      <w:lang w:val="x-none"/>
    </w:rPr>
  </w:style>
  <w:style w:type="character" w:customStyle="1" w:styleId="TextocomentarioCar">
    <w:name w:val="Texto comentario Car"/>
    <w:link w:val="Textocomentario"/>
    <w:uiPriority w:val="99"/>
    <w:locked/>
    <w:rPr>
      <w:rFonts w:ascii="Arial" w:hAnsi="Arial"/>
      <w:lang w:eastAsia="en-US"/>
    </w:rPr>
  </w:style>
  <w:style w:type="paragraph" w:styleId="Asuntodelcomentario">
    <w:name w:val="annotation subject"/>
    <w:basedOn w:val="Textocomentario"/>
    <w:next w:val="Textocomentario"/>
    <w:link w:val="AsuntodelcomentarioCar"/>
    <w:uiPriority w:val="99"/>
    <w:rPr>
      <w:b/>
    </w:rPr>
  </w:style>
  <w:style w:type="character" w:customStyle="1" w:styleId="AsuntodelcomentarioCar">
    <w:name w:val="Asunto del comentario Car"/>
    <w:link w:val="Asuntodelcomentario"/>
    <w:uiPriority w:val="99"/>
    <w:locked/>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Pr>
      <w:rFonts w:ascii="Courier New" w:hAnsi="Courier New"/>
      <w:vanish/>
      <w:color w:val="800080"/>
      <w:vertAlign w:val="subscript"/>
    </w:rPr>
  </w:style>
  <w:style w:type="paragraph" w:customStyle="1" w:styleId="Default">
    <w:name w:val="Default"/>
    <w:rsid w:val="00623BA1"/>
    <w:pPr>
      <w:autoSpaceDE w:val="0"/>
      <w:autoSpaceDN w:val="0"/>
      <w:adjustRightInd w:val="0"/>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586307037">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B9717-6D72-47B8-B1B6-9D1E3DD1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Template>
  <TotalTime>0</TotalTime>
  <Pages>2</Pages>
  <Words>827</Words>
  <Characters>4554</Characters>
  <Application>Microsoft Office Word</Application>
  <DocSecurity>0</DocSecurity>
  <Lines>37</Lines>
  <Paragraphs>10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5371</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Klueppelholz</dc:creator>
  <cp:keywords/>
  <cp:lastModifiedBy>Ignacio Sabino</cp:lastModifiedBy>
  <cp:revision>4</cp:revision>
  <cp:lastPrinted>2016-02-19T12:34:00Z</cp:lastPrinted>
  <dcterms:created xsi:type="dcterms:W3CDTF">2016-06-08T13:55:00Z</dcterms:created>
  <dcterms:modified xsi:type="dcterms:W3CDTF">2016-06-08T14:04:00Z</dcterms:modified>
</cp:coreProperties>
</file>