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40D" w:rsidRPr="00AC6ACD" w:rsidRDefault="00B6540D" w:rsidP="00B6540D">
      <w:pPr>
        <w:rPr>
          <w:b/>
          <w:i/>
          <w:sz w:val="24"/>
        </w:rPr>
      </w:pPr>
    </w:p>
    <w:p w:rsidR="003B4629" w:rsidRPr="001A42FA" w:rsidRDefault="00002BD2" w:rsidP="003B4629">
      <w:pPr>
        <w:pStyle w:val="Standard12pt"/>
        <w:jc w:val="right"/>
      </w:pPr>
      <w:r>
        <w:t>8 novembre 2016</w:t>
      </w:r>
    </w:p>
    <w:p w:rsidR="00233832" w:rsidRDefault="00233832" w:rsidP="0032035C">
      <w:pPr>
        <w:pStyle w:val="Standard12pt"/>
        <w:spacing w:line="240" w:lineRule="auto"/>
        <w:rPr>
          <w:b/>
          <w:i/>
        </w:rPr>
      </w:pPr>
    </w:p>
    <w:p w:rsidR="003B4629" w:rsidRPr="001A42FA" w:rsidRDefault="00B15A6A" w:rsidP="0032035C">
      <w:pPr>
        <w:pStyle w:val="Standard12pt"/>
        <w:spacing w:line="240" w:lineRule="auto"/>
      </w:pPr>
      <w:r>
        <w:t>P</w:t>
      </w:r>
      <w:r w:rsidR="0032035C">
        <w:t>erspectives pour 2016</w:t>
      </w:r>
      <w:r>
        <w:t xml:space="preserve"> confirmées</w:t>
      </w:r>
      <w:r w:rsidR="0032035C">
        <w:t xml:space="preserve"> </w:t>
      </w:r>
    </w:p>
    <w:p w:rsidR="003B4629" w:rsidRPr="001A42FA" w:rsidRDefault="003B4629" w:rsidP="003B4629">
      <w:pPr>
        <w:pStyle w:val="Standard12pt"/>
      </w:pPr>
    </w:p>
    <w:p w:rsidR="003B4629" w:rsidRPr="00860E14" w:rsidRDefault="00B15A6A" w:rsidP="0032035C">
      <w:pPr>
        <w:pStyle w:val="Titre1"/>
        <w:rPr>
          <w:bCs/>
          <w:sz w:val="36"/>
          <w:szCs w:val="36"/>
        </w:rPr>
      </w:pPr>
      <w:r>
        <w:rPr>
          <w:sz w:val="36"/>
        </w:rPr>
        <w:t xml:space="preserve">Henkel poursuit ses solides performances </w:t>
      </w:r>
      <w:r w:rsidR="0032035C">
        <w:rPr>
          <w:sz w:val="36"/>
        </w:rPr>
        <w:t>au troisième trimestre</w:t>
      </w:r>
    </w:p>
    <w:p w:rsidR="003B4629" w:rsidRPr="001A42FA" w:rsidRDefault="003B4629" w:rsidP="003B4629">
      <w:pPr>
        <w:pStyle w:val="Standard12pt"/>
      </w:pPr>
    </w:p>
    <w:p w:rsidR="003B4629" w:rsidRPr="001A42FA" w:rsidRDefault="003B4629" w:rsidP="00836639">
      <w:pPr>
        <w:pStyle w:val="Corpsdetexte"/>
        <w:numPr>
          <w:ilvl w:val="0"/>
          <w:numId w:val="2"/>
        </w:numPr>
        <w:tabs>
          <w:tab w:val="clear" w:pos="720"/>
          <w:tab w:val="num" w:pos="284"/>
        </w:tabs>
        <w:spacing w:after="0" w:line="400" w:lineRule="exact"/>
        <w:ind w:hanging="720"/>
        <w:rPr>
          <w:b/>
        </w:rPr>
      </w:pPr>
      <w:r>
        <w:rPr>
          <w:b/>
        </w:rPr>
        <w:t>Ventes à 4 748 millions d'euros : organiques +2,8 % (nominales : +3,4 %)</w:t>
      </w:r>
    </w:p>
    <w:p w:rsidR="003B4629" w:rsidRPr="001A42FA" w:rsidRDefault="00FD1860" w:rsidP="00836639">
      <w:pPr>
        <w:numPr>
          <w:ilvl w:val="0"/>
          <w:numId w:val="2"/>
        </w:numPr>
        <w:tabs>
          <w:tab w:val="clear" w:pos="720"/>
          <w:tab w:val="num" w:pos="284"/>
        </w:tabs>
        <w:spacing w:line="400" w:lineRule="exact"/>
        <w:ind w:left="284" w:hanging="284"/>
        <w:rPr>
          <w:b/>
          <w:sz w:val="24"/>
        </w:rPr>
      </w:pPr>
      <w:r>
        <w:rPr>
          <w:b/>
          <w:sz w:val="24"/>
        </w:rPr>
        <w:t>Croissance des ventes sur les marchés émergents : organique +6,7 %</w:t>
      </w:r>
    </w:p>
    <w:p w:rsidR="003B4629" w:rsidRPr="001A42FA" w:rsidRDefault="00B273EC" w:rsidP="00836639">
      <w:pPr>
        <w:pStyle w:val="Corpsdetexte"/>
        <w:numPr>
          <w:ilvl w:val="0"/>
          <w:numId w:val="2"/>
        </w:numPr>
        <w:tabs>
          <w:tab w:val="clear" w:pos="720"/>
          <w:tab w:val="num" w:pos="284"/>
        </w:tabs>
        <w:spacing w:after="0" w:line="400" w:lineRule="exact"/>
        <w:ind w:hanging="720"/>
        <w:rPr>
          <w:b/>
        </w:rPr>
      </w:pPr>
      <w:r>
        <w:rPr>
          <w:b/>
        </w:rPr>
        <w:t xml:space="preserve">Résultat d'exploitation* : +7,6 % à 837 millions d’EUR </w:t>
      </w:r>
    </w:p>
    <w:p w:rsidR="003B62F1" w:rsidRPr="003B62F1" w:rsidRDefault="0032035C" w:rsidP="003B62F1">
      <w:pPr>
        <w:numPr>
          <w:ilvl w:val="0"/>
          <w:numId w:val="2"/>
        </w:numPr>
        <w:tabs>
          <w:tab w:val="clear" w:pos="720"/>
          <w:tab w:val="num" w:pos="284"/>
        </w:tabs>
        <w:spacing w:line="400" w:lineRule="exact"/>
        <w:ind w:hanging="720"/>
        <w:rPr>
          <w:b/>
          <w:sz w:val="24"/>
        </w:rPr>
      </w:pPr>
      <w:r>
        <w:rPr>
          <w:b/>
          <w:sz w:val="24"/>
        </w:rPr>
        <w:t>Très forte amélioration de la marge EBIT* : +70 points de base à 17,6 %</w:t>
      </w:r>
      <w:r>
        <w:rPr>
          <w:sz w:val="24"/>
        </w:rPr>
        <w:t xml:space="preserve"> </w:t>
      </w:r>
    </w:p>
    <w:p w:rsidR="00240709" w:rsidRPr="003B62F1" w:rsidRDefault="003B62F1" w:rsidP="003B62F1">
      <w:pPr>
        <w:numPr>
          <w:ilvl w:val="0"/>
          <w:numId w:val="2"/>
        </w:numPr>
        <w:tabs>
          <w:tab w:val="clear" w:pos="720"/>
          <w:tab w:val="num" w:pos="284"/>
        </w:tabs>
        <w:spacing w:line="400" w:lineRule="exact"/>
        <w:ind w:hanging="720"/>
        <w:rPr>
          <w:b/>
          <w:sz w:val="24"/>
        </w:rPr>
      </w:pPr>
      <w:r>
        <w:rPr>
          <w:b/>
          <w:sz w:val="24"/>
        </w:rPr>
        <w:t xml:space="preserve">Résultat par action préférentielle* : +9,2 % à 1,42 </w:t>
      </w:r>
      <w:r w:rsidR="00B15A6A">
        <w:rPr>
          <w:b/>
          <w:sz w:val="24"/>
        </w:rPr>
        <w:t>EUR</w:t>
      </w:r>
    </w:p>
    <w:p w:rsidR="003B4629" w:rsidRPr="00682A1A" w:rsidRDefault="003B4629" w:rsidP="00682A1A">
      <w:pPr>
        <w:pStyle w:val="Standard12pt"/>
      </w:pPr>
    </w:p>
    <w:p w:rsidR="00B74B22" w:rsidRPr="00AC4608" w:rsidRDefault="003B4629" w:rsidP="003B4629">
      <w:pPr>
        <w:autoSpaceDE w:val="0"/>
        <w:autoSpaceDN w:val="0"/>
        <w:adjustRightInd w:val="0"/>
        <w:spacing w:line="360" w:lineRule="auto"/>
        <w:jc w:val="both"/>
        <w:rPr>
          <w:b/>
          <w:bCs/>
          <w:sz w:val="24"/>
        </w:rPr>
      </w:pPr>
      <w:r>
        <w:rPr>
          <w:b/>
          <w:sz w:val="24"/>
        </w:rPr>
        <w:t xml:space="preserve">Düsseldorf – « Henkel </w:t>
      </w:r>
      <w:r w:rsidR="00B15A6A">
        <w:rPr>
          <w:b/>
          <w:sz w:val="24"/>
        </w:rPr>
        <w:t xml:space="preserve">a continué de réaliser une solide performance </w:t>
      </w:r>
      <w:r>
        <w:rPr>
          <w:b/>
          <w:sz w:val="24"/>
        </w:rPr>
        <w:t xml:space="preserve">au troisième trimestre. Les ventes, la marge EBIT ajustée et le résultat ajusté par action préférentielle ont atteint de nouveaux records. La réussite de notre développement et </w:t>
      </w:r>
      <w:r w:rsidR="00B15A6A">
        <w:rPr>
          <w:b/>
          <w:sz w:val="24"/>
        </w:rPr>
        <w:t>la qualité de nos</w:t>
      </w:r>
      <w:r>
        <w:rPr>
          <w:b/>
          <w:sz w:val="24"/>
        </w:rPr>
        <w:t xml:space="preserve"> résultats </w:t>
      </w:r>
      <w:r w:rsidR="00B15A6A">
        <w:rPr>
          <w:b/>
          <w:sz w:val="24"/>
        </w:rPr>
        <w:t>est le fruit</w:t>
      </w:r>
      <w:r>
        <w:rPr>
          <w:b/>
          <w:sz w:val="24"/>
        </w:rPr>
        <w:t xml:space="preserve"> de nos trois secteurs d'activité et </w:t>
      </w:r>
      <w:r w:rsidR="00B15A6A">
        <w:rPr>
          <w:b/>
          <w:sz w:val="24"/>
        </w:rPr>
        <w:t>de</w:t>
      </w:r>
      <w:r>
        <w:rPr>
          <w:b/>
          <w:sz w:val="24"/>
        </w:rPr>
        <w:t xml:space="preserve"> la forte implication de notre équipe mondiale », a déclaré Hans Van Bylen, le P</w:t>
      </w:r>
      <w:r w:rsidR="00B15A6A">
        <w:rPr>
          <w:b/>
          <w:sz w:val="24"/>
        </w:rPr>
        <w:t>résident de Comité de Direction</w:t>
      </w:r>
      <w:r>
        <w:rPr>
          <w:b/>
          <w:sz w:val="24"/>
        </w:rPr>
        <w:t xml:space="preserve"> de Henkel.</w:t>
      </w:r>
    </w:p>
    <w:p w:rsidR="00B74B22" w:rsidRDefault="00B74B22" w:rsidP="0091370F">
      <w:pPr>
        <w:autoSpaceDE w:val="0"/>
        <w:autoSpaceDN w:val="0"/>
        <w:adjustRightInd w:val="0"/>
        <w:spacing w:line="240" w:lineRule="auto"/>
        <w:jc w:val="both"/>
        <w:rPr>
          <w:sz w:val="24"/>
        </w:rPr>
      </w:pPr>
    </w:p>
    <w:p w:rsidR="00B15A6A" w:rsidRPr="00233832" w:rsidRDefault="00233832" w:rsidP="005C64FB">
      <w:pPr>
        <w:autoSpaceDE w:val="0"/>
        <w:autoSpaceDN w:val="0"/>
        <w:adjustRightInd w:val="0"/>
        <w:spacing w:line="360" w:lineRule="auto"/>
        <w:jc w:val="both"/>
        <w:rPr>
          <w:b/>
          <w:sz w:val="24"/>
        </w:rPr>
      </w:pPr>
      <w:r>
        <w:rPr>
          <w:noProof/>
        </w:rPr>
        <w:pict>
          <v:shapetype id="_x0000_t202" coordsize="21600,21600" o:spt="202" path="m,l,21600r21600,l21600,xe">
            <v:stroke joinstyle="miter"/>
            <v:path gradientshapeok="t" o:connecttype="rect"/>
          </v:shapetype>
          <v:shape id="Textfeld 2" o:spid="_x0000_s1030" type="#_x0000_t202" style="position:absolute;left:0;text-align:left;margin-left:.3pt;margin-top:177.9pt;width:406.15pt;height:16.35pt;z-index:251657728;visibility:visible;mso-wrap-distance-top:3.6pt;mso-wrap-distance-bottom:3.6pt;mso-width-relative:margin;mso-height-relative:margin" stroked="f">
            <v:textbox style="mso-next-textbox:#Textfeld 2">
              <w:txbxContent>
                <w:p w:rsidR="003B4629" w:rsidRPr="002033EB" w:rsidRDefault="003B4629" w:rsidP="003B4629">
                  <w:pPr>
                    <w:autoSpaceDE w:val="0"/>
                    <w:autoSpaceDN w:val="0"/>
                    <w:adjustRightInd w:val="0"/>
                    <w:spacing w:line="360" w:lineRule="auto"/>
                    <w:jc w:val="both"/>
                    <w:rPr>
                      <w:sz w:val="16"/>
                      <w:szCs w:val="16"/>
                    </w:rPr>
                  </w:pPr>
                  <w:r>
                    <w:rPr>
                      <w:sz w:val="16"/>
                    </w:rPr>
                    <w:t>* Après ajustement des produits et des dépenses exceptionnels ainsi que des dépenses pour restructuration.</w:t>
                  </w:r>
                </w:p>
                <w:p w:rsidR="003B4629" w:rsidRPr="002033EB" w:rsidRDefault="003B4629" w:rsidP="003B4629"/>
              </w:txbxContent>
            </v:textbox>
            <w10:wrap type="square"/>
          </v:shape>
        </w:pict>
      </w:r>
      <w:r w:rsidR="003B4629">
        <w:rPr>
          <w:b/>
          <w:sz w:val="24"/>
        </w:rPr>
        <w:t>« Au troisième trimestre, nous avons également pu conclure</w:t>
      </w:r>
      <w:r w:rsidR="00B15A6A">
        <w:rPr>
          <w:b/>
          <w:sz w:val="24"/>
        </w:rPr>
        <w:t xml:space="preserve"> avec succès</w:t>
      </w:r>
      <w:r w:rsidR="003B4629">
        <w:rPr>
          <w:b/>
          <w:sz w:val="24"/>
        </w:rPr>
        <w:t xml:space="preserve"> l'acquisition de Sun Products et garantir son financement dans des conditions favorables. Cette transaction est la deu</w:t>
      </w:r>
      <w:bookmarkStart w:id="0" w:name="_GoBack"/>
      <w:bookmarkEnd w:id="0"/>
      <w:r w:rsidR="003B4629">
        <w:rPr>
          <w:b/>
          <w:sz w:val="24"/>
        </w:rPr>
        <w:t>xième pl</w:t>
      </w:r>
      <w:r w:rsidR="00B15A6A">
        <w:rPr>
          <w:b/>
          <w:sz w:val="24"/>
        </w:rPr>
        <w:t>us importante de l'histoire du g</w:t>
      </w:r>
      <w:r w:rsidR="003B4629">
        <w:rPr>
          <w:b/>
          <w:sz w:val="24"/>
        </w:rPr>
        <w:t xml:space="preserve">roupe, elle fait de Henkel le n° 2 sur le marché nord-américain </w:t>
      </w:r>
      <w:r w:rsidR="00B15A6A">
        <w:rPr>
          <w:b/>
          <w:sz w:val="24"/>
        </w:rPr>
        <w:t>du soin du linge</w:t>
      </w:r>
      <w:r w:rsidR="003B4629">
        <w:rPr>
          <w:b/>
          <w:sz w:val="24"/>
        </w:rPr>
        <w:t xml:space="preserve"> et ajoute à notre portefeuille une gamme de marques solides et attractives. Nous sommes heureux et fiers d'accueillir les </w:t>
      </w:r>
      <w:r w:rsidR="00B15A6A">
        <w:rPr>
          <w:b/>
          <w:sz w:val="24"/>
        </w:rPr>
        <w:t>collaborateurs</w:t>
      </w:r>
      <w:r w:rsidR="003B4629">
        <w:rPr>
          <w:b/>
          <w:sz w:val="24"/>
        </w:rPr>
        <w:t xml:space="preserve"> de Sun Products au sein du groupe Henkel, et nous allons </w:t>
      </w:r>
      <w:r w:rsidR="00B15A6A">
        <w:rPr>
          <w:b/>
          <w:sz w:val="24"/>
        </w:rPr>
        <w:t>nous attacher à</w:t>
      </w:r>
      <w:r w:rsidR="003B4629">
        <w:rPr>
          <w:b/>
          <w:sz w:val="24"/>
        </w:rPr>
        <w:t xml:space="preserve"> </w:t>
      </w:r>
      <w:r w:rsidR="00204BFE">
        <w:rPr>
          <w:b/>
          <w:sz w:val="24"/>
        </w:rPr>
        <w:t>une</w:t>
      </w:r>
      <w:r w:rsidR="00656125">
        <w:rPr>
          <w:b/>
          <w:sz w:val="24"/>
        </w:rPr>
        <w:t xml:space="preserve"> </w:t>
      </w:r>
      <w:r w:rsidR="003B4629">
        <w:rPr>
          <w:b/>
          <w:sz w:val="24"/>
        </w:rPr>
        <w:t>intégration</w:t>
      </w:r>
      <w:r w:rsidR="00B15A6A">
        <w:rPr>
          <w:b/>
          <w:sz w:val="24"/>
        </w:rPr>
        <w:t xml:space="preserve"> réussie</w:t>
      </w:r>
      <w:r w:rsidR="003B4629">
        <w:rPr>
          <w:b/>
          <w:sz w:val="24"/>
        </w:rPr>
        <w:t xml:space="preserve"> </w:t>
      </w:r>
      <w:r w:rsidR="00B15A6A">
        <w:rPr>
          <w:b/>
          <w:sz w:val="24"/>
        </w:rPr>
        <w:t>au sein de l’activité</w:t>
      </w:r>
      <w:r w:rsidR="003B4629">
        <w:rPr>
          <w:b/>
          <w:sz w:val="24"/>
        </w:rPr>
        <w:t xml:space="preserve"> La</w:t>
      </w:r>
      <w:r>
        <w:rPr>
          <w:b/>
          <w:sz w:val="24"/>
        </w:rPr>
        <w:t xml:space="preserve">undry and Home Care en Amérique </w:t>
      </w:r>
      <w:r w:rsidR="003B4629">
        <w:rPr>
          <w:b/>
          <w:sz w:val="24"/>
        </w:rPr>
        <w:t>du Nord. »</w:t>
      </w:r>
    </w:p>
    <w:p w:rsidR="00AD2786" w:rsidRPr="00B15A6A" w:rsidRDefault="00C8312C" w:rsidP="005C64FB">
      <w:pPr>
        <w:autoSpaceDE w:val="0"/>
        <w:autoSpaceDN w:val="0"/>
        <w:adjustRightInd w:val="0"/>
        <w:spacing w:line="360" w:lineRule="auto"/>
        <w:jc w:val="both"/>
        <w:rPr>
          <w:b/>
          <w:i/>
          <w:sz w:val="24"/>
        </w:rPr>
      </w:pPr>
      <w:r>
        <w:rPr>
          <w:b/>
          <w:sz w:val="24"/>
        </w:rPr>
        <w:lastRenderedPageBreak/>
        <w:t>En ce qui concerne l'année en cours, Hans Van Bylen a déclaré :</w:t>
      </w:r>
      <w:r>
        <w:rPr>
          <w:sz w:val="24"/>
        </w:rPr>
        <w:t xml:space="preserve"> </w:t>
      </w:r>
      <w:r>
        <w:rPr>
          <w:b/>
          <w:sz w:val="24"/>
        </w:rPr>
        <w:t>« </w:t>
      </w:r>
      <w:bookmarkStart w:id="1" w:name="OLE_LINK4"/>
      <w:r>
        <w:rPr>
          <w:b/>
          <w:sz w:val="24"/>
        </w:rPr>
        <w:t xml:space="preserve">Nous nous attendons à ce que le contexte du marché reste globalement difficile en 2016. Nous continuerons donc à </w:t>
      </w:r>
      <w:r w:rsidR="00B15A6A">
        <w:rPr>
          <w:b/>
          <w:sz w:val="24"/>
        </w:rPr>
        <w:t>tirer</w:t>
      </w:r>
      <w:r>
        <w:rPr>
          <w:b/>
          <w:sz w:val="24"/>
        </w:rPr>
        <w:t xml:space="preserve"> </w:t>
      </w:r>
      <w:r w:rsidR="00567A9C">
        <w:rPr>
          <w:b/>
          <w:sz w:val="24"/>
        </w:rPr>
        <w:t>parti</w:t>
      </w:r>
      <w:r w:rsidR="00B15A6A">
        <w:rPr>
          <w:b/>
          <w:sz w:val="24"/>
        </w:rPr>
        <w:t xml:space="preserve"> de </w:t>
      </w:r>
      <w:r>
        <w:rPr>
          <w:b/>
          <w:sz w:val="24"/>
        </w:rPr>
        <w:t xml:space="preserve">nos marques </w:t>
      </w:r>
      <w:r w:rsidR="00B15A6A">
        <w:rPr>
          <w:b/>
          <w:sz w:val="24"/>
        </w:rPr>
        <w:t>fortes</w:t>
      </w:r>
      <w:r>
        <w:rPr>
          <w:b/>
          <w:sz w:val="24"/>
        </w:rPr>
        <w:t>, nos positions de leader sur les marchés et nos capacités d'innovation pour atteindre nos objectifs ambitieux. »</w:t>
      </w:r>
    </w:p>
    <w:p w:rsidR="00AD2786" w:rsidRPr="001A42FA" w:rsidRDefault="00AD2786" w:rsidP="005C64FB">
      <w:pPr>
        <w:autoSpaceDE w:val="0"/>
        <w:autoSpaceDN w:val="0"/>
        <w:adjustRightInd w:val="0"/>
        <w:spacing w:line="360" w:lineRule="auto"/>
        <w:jc w:val="both"/>
        <w:rPr>
          <w:b/>
          <w:bCs/>
          <w:sz w:val="24"/>
        </w:rPr>
      </w:pPr>
    </w:p>
    <w:bookmarkEnd w:id="1"/>
    <w:p w:rsidR="001C5CA9" w:rsidRPr="001C5CA9" w:rsidRDefault="00B15A6A" w:rsidP="001C5CA9">
      <w:pPr>
        <w:autoSpaceDE w:val="0"/>
        <w:autoSpaceDN w:val="0"/>
        <w:adjustRightInd w:val="0"/>
        <w:spacing w:after="120" w:line="360" w:lineRule="auto"/>
        <w:rPr>
          <w:b/>
          <w:sz w:val="24"/>
        </w:rPr>
      </w:pPr>
      <w:r>
        <w:rPr>
          <w:b/>
          <w:sz w:val="24"/>
        </w:rPr>
        <w:t>P</w:t>
      </w:r>
      <w:r w:rsidR="001C5CA9">
        <w:rPr>
          <w:b/>
          <w:sz w:val="24"/>
        </w:rPr>
        <w:t>erspectives pour 2016</w:t>
      </w:r>
      <w:r>
        <w:rPr>
          <w:b/>
          <w:sz w:val="24"/>
        </w:rPr>
        <w:t xml:space="preserve"> confirmées</w:t>
      </w:r>
    </w:p>
    <w:p w:rsidR="005C64FB" w:rsidRPr="001C5CA9" w:rsidRDefault="006F311D" w:rsidP="001C5CA9">
      <w:pPr>
        <w:autoSpaceDE w:val="0"/>
        <w:autoSpaceDN w:val="0"/>
        <w:adjustRightInd w:val="0"/>
        <w:spacing w:line="360" w:lineRule="auto"/>
        <w:jc w:val="both"/>
        <w:rPr>
          <w:rFonts w:cs="Arial"/>
          <w:b/>
          <w:bCs/>
          <w:sz w:val="24"/>
        </w:rPr>
      </w:pPr>
      <w:r>
        <w:rPr>
          <w:b/>
          <w:sz w:val="24"/>
        </w:rPr>
        <w:t>Henkel a confirmé ses perspectives pour l'exercice en cours : « </w:t>
      </w:r>
      <w:r>
        <w:rPr>
          <w:b/>
          <w:color w:val="000000"/>
          <w:sz w:val="24"/>
        </w:rPr>
        <w:t>Nous nous attendons à une croissance organique des ventes de 2 à 4 %</w:t>
      </w:r>
      <w:r>
        <w:rPr>
          <w:b/>
          <w:sz w:val="24"/>
        </w:rPr>
        <w:t xml:space="preserve"> sur l'ensemble de l'exercice 2016.</w:t>
      </w:r>
      <w:r>
        <w:rPr>
          <w:b/>
          <w:color w:val="000000"/>
          <w:sz w:val="24"/>
        </w:rPr>
        <w:t xml:space="preserve"> </w:t>
      </w:r>
      <w:r>
        <w:rPr>
          <w:b/>
          <w:sz w:val="24"/>
        </w:rPr>
        <w:t>Nous nous attendons également à une progression de la marge EBIT ajustée à plus de 16,5 % et une augmentation des bénéfices ajustés par action préférentielle à un</w:t>
      </w:r>
      <w:r w:rsidR="00B15A6A">
        <w:rPr>
          <w:b/>
          <w:sz w:val="24"/>
        </w:rPr>
        <w:t xml:space="preserve"> niveau compris entre 8 et 11 %</w:t>
      </w:r>
      <w:r>
        <w:rPr>
          <w:b/>
          <w:sz w:val="24"/>
        </w:rPr>
        <w:t xml:space="preserve"> », a </w:t>
      </w:r>
      <w:r w:rsidR="00B15A6A">
        <w:rPr>
          <w:b/>
          <w:sz w:val="24"/>
        </w:rPr>
        <w:t>indiqu</w:t>
      </w:r>
      <w:r>
        <w:rPr>
          <w:b/>
          <w:sz w:val="24"/>
        </w:rPr>
        <w:t>é Hans Van Bylen.</w:t>
      </w:r>
    </w:p>
    <w:p w:rsidR="003B4629" w:rsidRPr="001A42FA" w:rsidRDefault="003B4629" w:rsidP="003B4629">
      <w:pPr>
        <w:autoSpaceDE w:val="0"/>
        <w:autoSpaceDN w:val="0"/>
        <w:adjustRightInd w:val="0"/>
        <w:spacing w:line="360" w:lineRule="auto"/>
        <w:jc w:val="both"/>
        <w:rPr>
          <w:rFonts w:cs="Arial"/>
          <w:sz w:val="24"/>
        </w:rPr>
      </w:pPr>
    </w:p>
    <w:p w:rsidR="003B4629" w:rsidRPr="001A42FA" w:rsidRDefault="003B4629" w:rsidP="003B4629">
      <w:pPr>
        <w:autoSpaceDE w:val="0"/>
        <w:autoSpaceDN w:val="0"/>
        <w:adjustRightInd w:val="0"/>
        <w:spacing w:after="120" w:line="360" w:lineRule="auto"/>
        <w:jc w:val="both"/>
        <w:rPr>
          <w:b/>
          <w:sz w:val="24"/>
        </w:rPr>
      </w:pPr>
      <w:r>
        <w:rPr>
          <w:b/>
          <w:sz w:val="24"/>
        </w:rPr>
        <w:t xml:space="preserve">Développement des ventes et </w:t>
      </w:r>
      <w:r w:rsidR="00B15A6A">
        <w:rPr>
          <w:b/>
          <w:sz w:val="24"/>
        </w:rPr>
        <w:t>du résultat</w:t>
      </w:r>
      <w:r>
        <w:rPr>
          <w:b/>
          <w:sz w:val="24"/>
        </w:rPr>
        <w:t xml:space="preserve"> au troisième trimestre 2016</w:t>
      </w:r>
    </w:p>
    <w:p w:rsidR="003B4629" w:rsidRPr="001A42FA" w:rsidRDefault="003B4629" w:rsidP="003B4629">
      <w:pPr>
        <w:autoSpaceDE w:val="0"/>
        <w:autoSpaceDN w:val="0"/>
        <w:adjustRightInd w:val="0"/>
        <w:spacing w:line="360" w:lineRule="auto"/>
        <w:jc w:val="both"/>
        <w:rPr>
          <w:rFonts w:cs="Arial"/>
          <w:sz w:val="24"/>
        </w:rPr>
      </w:pPr>
      <w:r>
        <w:rPr>
          <w:sz w:val="24"/>
        </w:rPr>
        <w:t xml:space="preserve">Au troisième trimestre 2016, les </w:t>
      </w:r>
      <w:r>
        <w:rPr>
          <w:b/>
          <w:sz w:val="24"/>
        </w:rPr>
        <w:t>ventes</w:t>
      </w:r>
      <w:r>
        <w:rPr>
          <w:sz w:val="24"/>
        </w:rPr>
        <w:t xml:space="preserve"> de Henkel ont atteint un nouveau record. Elles ont progressé de 3,4 % à 4 748 millions d'EUR. Cette performance est due à un solide développement organique, mais aussi aux acquisitions réalisées. La croissance des ventes </w:t>
      </w:r>
      <w:r>
        <w:rPr>
          <w:b/>
          <w:sz w:val="24"/>
        </w:rPr>
        <w:t>organiques</w:t>
      </w:r>
      <w:r>
        <w:rPr>
          <w:sz w:val="24"/>
        </w:rPr>
        <w:t>, c’est-à-dire après ajustement des effets liés aux opérations de change, aux acquisitions et désinvestissements, a été de 2,8 %. Après ajustement des effets négatifs liés aux opérations de change s'élevant à 3,3 %, les ventes ont augmenté de 6,7 %.</w:t>
      </w:r>
    </w:p>
    <w:p w:rsidR="003B4629" w:rsidRPr="001A42FA" w:rsidRDefault="003B4629" w:rsidP="003B4629">
      <w:pPr>
        <w:autoSpaceDE w:val="0"/>
        <w:autoSpaceDN w:val="0"/>
        <w:adjustRightInd w:val="0"/>
        <w:spacing w:line="360" w:lineRule="auto"/>
        <w:jc w:val="both"/>
        <w:rPr>
          <w:rFonts w:cs="Arial"/>
          <w:sz w:val="24"/>
        </w:rPr>
      </w:pPr>
    </w:p>
    <w:p w:rsidR="003B4629" w:rsidRPr="001A42FA" w:rsidRDefault="00B05A01" w:rsidP="003B4629">
      <w:pPr>
        <w:autoSpaceDE w:val="0"/>
        <w:autoSpaceDN w:val="0"/>
        <w:adjustRightInd w:val="0"/>
        <w:spacing w:line="360" w:lineRule="auto"/>
        <w:jc w:val="both"/>
        <w:rPr>
          <w:rFonts w:eastAsia="SimSun" w:cs="Arial"/>
          <w:sz w:val="24"/>
        </w:rPr>
      </w:pPr>
      <w:r>
        <w:rPr>
          <w:sz w:val="24"/>
        </w:rPr>
        <w:t>Cette croissance des ventes organiques a été portée par les solides résultats de tous les secteurs d'activité. Le secteur d'activité</w:t>
      </w:r>
      <w:r>
        <w:rPr>
          <w:b/>
          <w:sz w:val="24"/>
        </w:rPr>
        <w:t xml:space="preserve"> Laundry &amp; Home Care</w:t>
      </w:r>
      <w:r>
        <w:rPr>
          <w:sz w:val="24"/>
        </w:rPr>
        <w:t xml:space="preserve"> a enregistré une croissance des ventes organiques de 4,0 %. Les ventes organiques du secteur d'activité </w:t>
      </w:r>
      <w:r>
        <w:rPr>
          <w:b/>
          <w:sz w:val="24"/>
        </w:rPr>
        <w:t>Beauty Care</w:t>
      </w:r>
      <w:r>
        <w:rPr>
          <w:sz w:val="24"/>
        </w:rPr>
        <w:t xml:space="preserve"> se sont également améliorées, avec une croissance de 2,6 %. Le secteur d'activité </w:t>
      </w:r>
      <w:r>
        <w:rPr>
          <w:b/>
          <w:sz w:val="24"/>
        </w:rPr>
        <w:t>Adhesive Technologies</w:t>
      </w:r>
      <w:r>
        <w:rPr>
          <w:sz w:val="24"/>
        </w:rPr>
        <w:t xml:space="preserve"> a également augmenté ses ventes organiques de 2,5 %.</w:t>
      </w:r>
    </w:p>
    <w:p w:rsidR="003B4629" w:rsidRPr="001A42FA" w:rsidRDefault="003B4629" w:rsidP="003B4629">
      <w:pPr>
        <w:autoSpaceDE w:val="0"/>
        <w:autoSpaceDN w:val="0"/>
        <w:adjustRightInd w:val="0"/>
        <w:spacing w:line="360" w:lineRule="auto"/>
        <w:jc w:val="both"/>
        <w:rPr>
          <w:rFonts w:cs="Arial"/>
          <w:sz w:val="24"/>
        </w:rPr>
      </w:pPr>
    </w:p>
    <w:p w:rsidR="003B4629" w:rsidRPr="00B15A6A" w:rsidRDefault="003B4629" w:rsidP="00B15A6A">
      <w:pPr>
        <w:autoSpaceDE w:val="0"/>
        <w:autoSpaceDN w:val="0"/>
        <w:adjustRightInd w:val="0"/>
        <w:spacing w:line="360" w:lineRule="auto"/>
        <w:jc w:val="both"/>
        <w:rPr>
          <w:rFonts w:cs="Arial"/>
          <w:sz w:val="24"/>
        </w:rPr>
      </w:pPr>
      <w:r w:rsidRPr="00B15A6A">
        <w:rPr>
          <w:sz w:val="24"/>
        </w:rPr>
        <w:lastRenderedPageBreak/>
        <w:t xml:space="preserve">Après ajustement des produits et des dépenses exceptionnels ainsi que des dépenses pour restructuration, le </w:t>
      </w:r>
      <w:r w:rsidRPr="00B15A6A">
        <w:rPr>
          <w:b/>
          <w:sz w:val="24"/>
        </w:rPr>
        <w:t>résultat d'exploitation ajusté</w:t>
      </w:r>
      <w:r w:rsidRPr="00B15A6A">
        <w:rPr>
          <w:sz w:val="24"/>
        </w:rPr>
        <w:t xml:space="preserve"> (EBIT) a progressé de 7,6 %, passant de 778 millions d’EUR à 837 millions d'EUR. Le résultat d'exploitation a augmenté de 16,4 %, passant de 666 millions d’EUR à 775 millions d'EUR.</w:t>
      </w:r>
    </w:p>
    <w:p w:rsidR="009139DE" w:rsidRPr="00B15A6A" w:rsidRDefault="009139DE" w:rsidP="00B15A6A">
      <w:pPr>
        <w:autoSpaceDE w:val="0"/>
        <w:autoSpaceDN w:val="0"/>
        <w:adjustRightInd w:val="0"/>
        <w:spacing w:line="360" w:lineRule="auto"/>
        <w:jc w:val="both"/>
        <w:rPr>
          <w:rFonts w:cs="Arial"/>
          <w:b/>
          <w:bCs/>
          <w:sz w:val="24"/>
        </w:rPr>
      </w:pPr>
    </w:p>
    <w:p w:rsidR="003B4629" w:rsidRPr="00B15A6A" w:rsidRDefault="003B4629" w:rsidP="00B15A6A">
      <w:pPr>
        <w:autoSpaceDE w:val="0"/>
        <w:autoSpaceDN w:val="0"/>
        <w:adjustRightInd w:val="0"/>
        <w:spacing w:line="360" w:lineRule="auto"/>
        <w:jc w:val="both"/>
        <w:rPr>
          <w:rFonts w:cs="Arial"/>
          <w:sz w:val="24"/>
        </w:rPr>
      </w:pPr>
      <w:r w:rsidRPr="00B15A6A">
        <w:rPr>
          <w:sz w:val="24"/>
        </w:rPr>
        <w:t xml:space="preserve">La </w:t>
      </w:r>
      <w:r w:rsidRPr="00B15A6A">
        <w:rPr>
          <w:b/>
          <w:sz w:val="24"/>
        </w:rPr>
        <w:t>rentabilité des ventes ajustée</w:t>
      </w:r>
      <w:r w:rsidRPr="00B15A6A">
        <w:rPr>
          <w:sz w:val="24"/>
        </w:rPr>
        <w:t xml:space="preserve"> (marge EBIT) a enregistré une hausse de 0,7 point pour atteindre 17,6 %. La rentabilité des ventes est passée de 14,5 % à 16,3 %.</w:t>
      </w:r>
    </w:p>
    <w:p w:rsidR="00B946E8" w:rsidRPr="00B15A6A" w:rsidRDefault="00B946E8" w:rsidP="00B15A6A">
      <w:pPr>
        <w:autoSpaceDE w:val="0"/>
        <w:autoSpaceDN w:val="0"/>
        <w:adjustRightInd w:val="0"/>
        <w:spacing w:line="360" w:lineRule="auto"/>
        <w:jc w:val="both"/>
        <w:rPr>
          <w:rFonts w:cs="Arial"/>
          <w:sz w:val="24"/>
        </w:rPr>
      </w:pPr>
    </w:p>
    <w:p w:rsidR="003B4629" w:rsidRPr="00B15A6A" w:rsidRDefault="003B4629" w:rsidP="00B15A6A">
      <w:pPr>
        <w:autoSpaceDE w:val="0"/>
        <w:autoSpaceDN w:val="0"/>
        <w:adjustRightInd w:val="0"/>
        <w:spacing w:line="360" w:lineRule="auto"/>
        <w:jc w:val="both"/>
        <w:rPr>
          <w:rFonts w:cs="Arial"/>
          <w:sz w:val="24"/>
        </w:rPr>
      </w:pPr>
      <w:r w:rsidRPr="00B15A6A">
        <w:rPr>
          <w:sz w:val="24"/>
        </w:rPr>
        <w:t xml:space="preserve">Le </w:t>
      </w:r>
      <w:r w:rsidRPr="00B15A6A">
        <w:rPr>
          <w:b/>
          <w:sz w:val="24"/>
        </w:rPr>
        <w:t>résultat financier</w:t>
      </w:r>
      <w:r w:rsidRPr="00B15A6A">
        <w:rPr>
          <w:sz w:val="24"/>
        </w:rPr>
        <w:t xml:space="preserve"> de Henkel a atteint -15 millions d’euros et, du fait des acquisitions, était inférieur à celui enregistré au même trimestre de l'année précédente. Le taux d'imposition reporté s'est élevé à 23,2 % contre 24,6 % au même trimestre de l'année précédente.</w:t>
      </w:r>
    </w:p>
    <w:p w:rsidR="003B4629" w:rsidRPr="00B15A6A" w:rsidRDefault="003B4629" w:rsidP="00B15A6A">
      <w:pPr>
        <w:autoSpaceDE w:val="0"/>
        <w:autoSpaceDN w:val="0"/>
        <w:adjustRightInd w:val="0"/>
        <w:spacing w:line="360" w:lineRule="auto"/>
        <w:jc w:val="both"/>
        <w:rPr>
          <w:rFonts w:cs="Arial"/>
          <w:sz w:val="24"/>
        </w:rPr>
      </w:pPr>
    </w:p>
    <w:p w:rsidR="003B4629" w:rsidRPr="00B15A6A" w:rsidRDefault="00B15A6A" w:rsidP="00B15A6A">
      <w:pPr>
        <w:autoSpaceDE w:val="0"/>
        <w:autoSpaceDN w:val="0"/>
        <w:adjustRightInd w:val="0"/>
        <w:spacing w:line="360" w:lineRule="auto"/>
        <w:jc w:val="both"/>
        <w:rPr>
          <w:rFonts w:cs="Arial"/>
          <w:sz w:val="24"/>
        </w:rPr>
      </w:pPr>
      <w:r>
        <w:rPr>
          <w:sz w:val="24"/>
        </w:rPr>
        <w:t>L</w:t>
      </w:r>
      <w:r w:rsidR="003B4629" w:rsidRPr="00B15A6A">
        <w:rPr>
          <w:sz w:val="24"/>
        </w:rPr>
        <w:t xml:space="preserve">e </w:t>
      </w:r>
      <w:r w:rsidR="003B4629" w:rsidRPr="00B15A6A">
        <w:rPr>
          <w:b/>
          <w:sz w:val="24"/>
        </w:rPr>
        <w:t>bénéfice net ajusté trimestriel</w:t>
      </w:r>
      <w:r>
        <w:rPr>
          <w:b/>
          <w:sz w:val="24"/>
        </w:rPr>
        <w:t xml:space="preserve">, </w:t>
      </w:r>
      <w:r w:rsidRPr="00B15A6A">
        <w:rPr>
          <w:sz w:val="24"/>
        </w:rPr>
        <w:t xml:space="preserve">après déduction des participations </w:t>
      </w:r>
      <w:r>
        <w:rPr>
          <w:sz w:val="24"/>
        </w:rPr>
        <w:t>minoritaires,</w:t>
      </w:r>
      <w:r w:rsidR="003B4629" w:rsidRPr="00B15A6A">
        <w:rPr>
          <w:sz w:val="24"/>
        </w:rPr>
        <w:t xml:space="preserve"> s'est amélioré de 9,2 % en passant de 564 millions d'EUR à 616 millions d'EUR. Le bénéfice net trimestriel a augmenté de 18,2 % en passant de 494 millions d'EUR à 584 millions d'EUR. Après déduction des participations </w:t>
      </w:r>
      <w:r>
        <w:rPr>
          <w:sz w:val="24"/>
        </w:rPr>
        <w:t>minoritaires</w:t>
      </w:r>
      <w:r w:rsidR="003B4629" w:rsidRPr="00B15A6A">
        <w:rPr>
          <w:sz w:val="24"/>
        </w:rPr>
        <w:t>, d'un montant de 8 millions d'EUR, le bénéfice net trimestriel s'est élevé à 576 millions d'EUR (même trimestre de l'année précédente : 484 millions d’EUR).</w:t>
      </w:r>
    </w:p>
    <w:p w:rsidR="003B4629" w:rsidRPr="00B15A6A" w:rsidRDefault="003B4629" w:rsidP="00B15A6A">
      <w:pPr>
        <w:autoSpaceDE w:val="0"/>
        <w:autoSpaceDN w:val="0"/>
        <w:adjustRightInd w:val="0"/>
        <w:spacing w:line="360" w:lineRule="auto"/>
        <w:jc w:val="both"/>
        <w:rPr>
          <w:rFonts w:cs="Arial"/>
          <w:sz w:val="24"/>
        </w:rPr>
      </w:pPr>
    </w:p>
    <w:p w:rsidR="003B4629" w:rsidRPr="00B15A6A" w:rsidRDefault="003B4629" w:rsidP="00B15A6A">
      <w:pPr>
        <w:autoSpaceDE w:val="0"/>
        <w:autoSpaceDN w:val="0"/>
        <w:adjustRightInd w:val="0"/>
        <w:spacing w:line="360" w:lineRule="auto"/>
        <w:jc w:val="both"/>
        <w:rPr>
          <w:rFonts w:cs="Arial"/>
          <w:sz w:val="24"/>
        </w:rPr>
      </w:pPr>
      <w:r w:rsidRPr="00B15A6A">
        <w:rPr>
          <w:sz w:val="24"/>
        </w:rPr>
        <w:t xml:space="preserve">Le </w:t>
      </w:r>
      <w:r w:rsidRPr="00B15A6A">
        <w:rPr>
          <w:b/>
          <w:sz w:val="24"/>
        </w:rPr>
        <w:t>résultat par action préférentielle après ajustement</w:t>
      </w:r>
      <w:r w:rsidRPr="00B15A6A">
        <w:rPr>
          <w:sz w:val="24"/>
        </w:rPr>
        <w:t xml:space="preserve"> (EPS) a augmenté de 9,2 %, passant de 1,30 </w:t>
      </w:r>
      <w:r w:rsidR="00B15A6A">
        <w:rPr>
          <w:sz w:val="24"/>
        </w:rPr>
        <w:t>EUR</w:t>
      </w:r>
      <w:r w:rsidRPr="00B15A6A">
        <w:rPr>
          <w:sz w:val="24"/>
        </w:rPr>
        <w:t xml:space="preserve"> à 1,42 </w:t>
      </w:r>
      <w:r w:rsidR="00B15A6A">
        <w:rPr>
          <w:sz w:val="24"/>
        </w:rPr>
        <w:t>EUR</w:t>
      </w:r>
      <w:r w:rsidRPr="00B15A6A">
        <w:rPr>
          <w:sz w:val="24"/>
        </w:rPr>
        <w:t>. Sans ajustement, il est passé de 1,12 </w:t>
      </w:r>
      <w:r w:rsidR="00B15A6A">
        <w:rPr>
          <w:sz w:val="24"/>
        </w:rPr>
        <w:t>EUR</w:t>
      </w:r>
      <w:r w:rsidRPr="00B15A6A">
        <w:rPr>
          <w:sz w:val="24"/>
        </w:rPr>
        <w:t xml:space="preserve"> à 1,33 </w:t>
      </w:r>
      <w:r w:rsidR="00B15A6A">
        <w:rPr>
          <w:sz w:val="24"/>
        </w:rPr>
        <w:t>EUR</w:t>
      </w:r>
      <w:r w:rsidRPr="00B15A6A">
        <w:rPr>
          <w:sz w:val="24"/>
        </w:rPr>
        <w:t>.</w:t>
      </w:r>
    </w:p>
    <w:p w:rsidR="003B4629" w:rsidRPr="00B15A6A" w:rsidRDefault="003B4629" w:rsidP="00B15A6A">
      <w:pPr>
        <w:autoSpaceDE w:val="0"/>
        <w:autoSpaceDN w:val="0"/>
        <w:adjustRightInd w:val="0"/>
        <w:spacing w:line="360" w:lineRule="auto"/>
        <w:jc w:val="both"/>
        <w:rPr>
          <w:sz w:val="24"/>
        </w:rPr>
      </w:pPr>
    </w:p>
    <w:p w:rsidR="003B4629" w:rsidRPr="00B15A6A" w:rsidRDefault="003B4629" w:rsidP="00B15A6A">
      <w:pPr>
        <w:autoSpaceDE w:val="0"/>
        <w:autoSpaceDN w:val="0"/>
        <w:adjustRightInd w:val="0"/>
        <w:spacing w:line="360" w:lineRule="auto"/>
        <w:jc w:val="both"/>
        <w:rPr>
          <w:sz w:val="24"/>
        </w:rPr>
      </w:pPr>
      <w:r w:rsidRPr="00B15A6A">
        <w:rPr>
          <w:sz w:val="24"/>
        </w:rPr>
        <w:t xml:space="preserve">Le rapport </w:t>
      </w:r>
      <w:r w:rsidR="00B15A6A">
        <w:rPr>
          <w:sz w:val="24"/>
        </w:rPr>
        <w:t>du</w:t>
      </w:r>
      <w:r w:rsidRPr="00B15A6A">
        <w:rPr>
          <w:sz w:val="24"/>
        </w:rPr>
        <w:t xml:space="preserve"> </w:t>
      </w:r>
      <w:r w:rsidRPr="00B15A6A">
        <w:rPr>
          <w:b/>
          <w:sz w:val="24"/>
        </w:rPr>
        <w:t>fonds de roulement net</w:t>
      </w:r>
      <w:r w:rsidRPr="00B15A6A">
        <w:rPr>
          <w:sz w:val="24"/>
        </w:rPr>
        <w:t xml:space="preserve"> </w:t>
      </w:r>
      <w:r w:rsidR="00B15A6A">
        <w:rPr>
          <w:sz w:val="24"/>
        </w:rPr>
        <w:t>des</w:t>
      </w:r>
      <w:r w:rsidRPr="00B15A6A">
        <w:rPr>
          <w:sz w:val="24"/>
        </w:rPr>
        <w:t xml:space="preserve"> ventes s'améliore </w:t>
      </w:r>
      <w:r w:rsidR="00B15A6A">
        <w:rPr>
          <w:sz w:val="24"/>
        </w:rPr>
        <w:t>par rapport à l’année précédente, de 0,8 point à 5,2%</w:t>
      </w:r>
      <w:r w:rsidRPr="00B15A6A">
        <w:rPr>
          <w:sz w:val="24"/>
        </w:rPr>
        <w:t xml:space="preserve">. </w:t>
      </w:r>
    </w:p>
    <w:p w:rsidR="003B4629" w:rsidRPr="00B15A6A" w:rsidRDefault="003B4629" w:rsidP="00B15A6A">
      <w:pPr>
        <w:autoSpaceDE w:val="0"/>
        <w:autoSpaceDN w:val="0"/>
        <w:adjustRightInd w:val="0"/>
        <w:spacing w:line="360" w:lineRule="auto"/>
        <w:jc w:val="both"/>
        <w:rPr>
          <w:sz w:val="24"/>
        </w:rPr>
      </w:pPr>
    </w:p>
    <w:p w:rsidR="00B15A6A" w:rsidRDefault="00B15A6A">
      <w:pPr>
        <w:spacing w:line="240" w:lineRule="auto"/>
        <w:rPr>
          <w:b/>
          <w:sz w:val="24"/>
        </w:rPr>
      </w:pPr>
      <w:r>
        <w:rPr>
          <w:b/>
          <w:sz w:val="24"/>
        </w:rPr>
        <w:br w:type="page"/>
      </w:r>
    </w:p>
    <w:p w:rsidR="003B4629" w:rsidRPr="00B15A6A" w:rsidRDefault="00196E76" w:rsidP="00B15A6A">
      <w:pPr>
        <w:autoSpaceDE w:val="0"/>
        <w:autoSpaceDN w:val="0"/>
        <w:adjustRightInd w:val="0"/>
        <w:spacing w:line="360" w:lineRule="auto"/>
        <w:jc w:val="both"/>
        <w:rPr>
          <w:b/>
          <w:sz w:val="24"/>
        </w:rPr>
      </w:pPr>
      <w:r>
        <w:rPr>
          <w:b/>
          <w:sz w:val="24"/>
        </w:rPr>
        <w:lastRenderedPageBreak/>
        <w:t>Forte performance</w:t>
      </w:r>
      <w:r w:rsidR="00833918" w:rsidRPr="00B15A6A">
        <w:rPr>
          <w:b/>
          <w:sz w:val="24"/>
        </w:rPr>
        <w:t xml:space="preserve"> pour les neuf premiers mois de 2016</w:t>
      </w:r>
    </w:p>
    <w:p w:rsidR="003B4629" w:rsidRDefault="00196E76" w:rsidP="003B4629">
      <w:pPr>
        <w:autoSpaceDE w:val="0"/>
        <w:autoSpaceDN w:val="0"/>
        <w:adjustRightInd w:val="0"/>
        <w:spacing w:line="360" w:lineRule="auto"/>
        <w:jc w:val="both"/>
        <w:rPr>
          <w:rFonts w:cs="Arial"/>
          <w:sz w:val="24"/>
        </w:rPr>
      </w:pPr>
      <w:r>
        <w:rPr>
          <w:sz w:val="24"/>
        </w:rPr>
        <w:t>Au cours des</w:t>
      </w:r>
      <w:r w:rsidR="009C1C99" w:rsidRPr="00B15A6A">
        <w:rPr>
          <w:sz w:val="24"/>
        </w:rPr>
        <w:t xml:space="preserve"> neuf premiers mois de 2016, Henkel a assuré une forte croissance des ventes </w:t>
      </w:r>
      <w:r w:rsidR="009C1C99" w:rsidRPr="00B15A6A">
        <w:rPr>
          <w:b/>
          <w:sz w:val="24"/>
        </w:rPr>
        <w:t>organiques</w:t>
      </w:r>
      <w:r w:rsidR="009C1C99" w:rsidRPr="00B15A6A">
        <w:rPr>
          <w:sz w:val="24"/>
        </w:rPr>
        <w:t xml:space="preserve"> – c’est-à-dire après ajustement des effets liés aux opérations de change, aux acquisitions et désinvestissements – de 3,0 %, et tous les secteurs</w:t>
      </w:r>
      <w:r w:rsidR="009C1C99">
        <w:rPr>
          <w:sz w:val="24"/>
        </w:rPr>
        <w:t xml:space="preserve"> d'activité y ont contribué. En valeur nominale, les </w:t>
      </w:r>
      <w:r w:rsidR="009C1C99">
        <w:rPr>
          <w:b/>
          <w:sz w:val="24"/>
        </w:rPr>
        <w:t>ventes</w:t>
      </w:r>
      <w:r w:rsidR="009C1C99">
        <w:rPr>
          <w:sz w:val="24"/>
        </w:rPr>
        <w:t xml:space="preserve"> ont augmenté de 1,0 %, pour passer à 13 858 millions d'EUR.</w:t>
      </w:r>
    </w:p>
    <w:p w:rsidR="009C1C99" w:rsidRPr="001A42FA" w:rsidRDefault="009C1C99" w:rsidP="003B4629">
      <w:pPr>
        <w:autoSpaceDE w:val="0"/>
        <w:autoSpaceDN w:val="0"/>
        <w:adjustRightInd w:val="0"/>
        <w:spacing w:line="360" w:lineRule="auto"/>
        <w:jc w:val="both"/>
        <w:rPr>
          <w:rFonts w:cs="Arial"/>
          <w:sz w:val="24"/>
        </w:rPr>
      </w:pPr>
    </w:p>
    <w:p w:rsidR="00B05A01" w:rsidRPr="00262317" w:rsidRDefault="003B4629" w:rsidP="003B4629">
      <w:pPr>
        <w:autoSpaceDE w:val="0"/>
        <w:autoSpaceDN w:val="0"/>
        <w:adjustRightInd w:val="0"/>
        <w:spacing w:line="360" w:lineRule="auto"/>
        <w:jc w:val="both"/>
        <w:rPr>
          <w:sz w:val="24"/>
          <w:lang w:eastAsia="en-US" w:bidi="ar-SA"/>
        </w:rPr>
      </w:pPr>
      <w:r w:rsidRPr="00262317">
        <w:rPr>
          <w:sz w:val="24"/>
          <w:lang w:eastAsia="en-US" w:bidi="ar-SA"/>
        </w:rPr>
        <w:t>Le</w:t>
      </w:r>
      <w:r>
        <w:t xml:space="preserve"> </w:t>
      </w:r>
      <w:r>
        <w:rPr>
          <w:b/>
          <w:sz w:val="24"/>
        </w:rPr>
        <w:t>résultat d'exploitation ajusté</w:t>
      </w:r>
      <w:r>
        <w:t xml:space="preserve"> </w:t>
      </w:r>
      <w:r w:rsidRPr="00262317">
        <w:rPr>
          <w:sz w:val="24"/>
          <w:lang w:eastAsia="en-US" w:bidi="ar-SA"/>
        </w:rPr>
        <w:t>a progressé de 6,9 % passant de 2 253 millions d'EUR à 2 407 millions d'EUR ; la</w:t>
      </w:r>
      <w:r>
        <w:t xml:space="preserve"> </w:t>
      </w:r>
      <w:r>
        <w:rPr>
          <w:b/>
          <w:sz w:val="24"/>
        </w:rPr>
        <w:t xml:space="preserve">rentabilité des ventes ajustée </w:t>
      </w:r>
      <w:r w:rsidRPr="00262317">
        <w:rPr>
          <w:sz w:val="24"/>
          <w:lang w:eastAsia="en-US" w:bidi="ar-SA"/>
        </w:rPr>
        <w:t>s'est améliorée en passant de 16,4 % à 17,4 %.</w:t>
      </w:r>
      <w:r>
        <w:rPr>
          <w:sz w:val="24"/>
          <w:lang w:eastAsia="en-US" w:bidi="ar-SA"/>
        </w:rPr>
        <w:t xml:space="preserve"> </w:t>
      </w:r>
    </w:p>
    <w:p w:rsidR="00B05A01" w:rsidRDefault="00B05A01" w:rsidP="003B4629">
      <w:pPr>
        <w:autoSpaceDE w:val="0"/>
        <w:autoSpaceDN w:val="0"/>
        <w:adjustRightInd w:val="0"/>
        <w:spacing w:line="360" w:lineRule="auto"/>
        <w:jc w:val="both"/>
        <w:rPr>
          <w:rFonts w:cs="Arial"/>
          <w:sz w:val="24"/>
        </w:rPr>
      </w:pPr>
    </w:p>
    <w:p w:rsidR="003B4629" w:rsidRPr="001A42FA" w:rsidRDefault="003B4629" w:rsidP="003B4629">
      <w:pPr>
        <w:autoSpaceDE w:val="0"/>
        <w:autoSpaceDN w:val="0"/>
        <w:adjustRightInd w:val="0"/>
        <w:spacing w:line="360" w:lineRule="auto"/>
        <w:jc w:val="both"/>
        <w:rPr>
          <w:rFonts w:cs="Arial"/>
          <w:sz w:val="24"/>
        </w:rPr>
      </w:pPr>
      <w:r>
        <w:rPr>
          <w:sz w:val="24"/>
        </w:rPr>
        <w:t xml:space="preserve">Après déduction des participations </w:t>
      </w:r>
      <w:r w:rsidR="00196E76">
        <w:rPr>
          <w:sz w:val="24"/>
        </w:rPr>
        <w:t>minoritaires</w:t>
      </w:r>
      <w:r>
        <w:rPr>
          <w:sz w:val="24"/>
        </w:rPr>
        <w:t xml:space="preserve">, le </w:t>
      </w:r>
      <w:r>
        <w:rPr>
          <w:b/>
          <w:sz w:val="24"/>
        </w:rPr>
        <w:t>bénéfice net ajusté pour les neuf premiers mois</w:t>
      </w:r>
      <w:r>
        <w:rPr>
          <w:sz w:val="24"/>
        </w:rPr>
        <w:t xml:space="preserve"> s'est amélioré de 8,6 % en passant de 1 632 millions d'EUR à 1 772 millions d'EUR.</w:t>
      </w:r>
    </w:p>
    <w:p w:rsidR="000B0CEA" w:rsidRDefault="000B0CEA" w:rsidP="003B4629">
      <w:pPr>
        <w:autoSpaceDE w:val="0"/>
        <w:autoSpaceDN w:val="0"/>
        <w:adjustRightInd w:val="0"/>
        <w:spacing w:line="360" w:lineRule="auto"/>
        <w:jc w:val="both"/>
        <w:rPr>
          <w:rFonts w:cs="Arial"/>
          <w:b/>
          <w:bCs/>
          <w:sz w:val="24"/>
        </w:rPr>
      </w:pPr>
    </w:p>
    <w:p w:rsidR="003B4629" w:rsidRPr="00262317" w:rsidRDefault="003B4629" w:rsidP="003B4629">
      <w:pPr>
        <w:autoSpaceDE w:val="0"/>
        <w:autoSpaceDN w:val="0"/>
        <w:adjustRightInd w:val="0"/>
        <w:spacing w:line="360" w:lineRule="auto"/>
        <w:jc w:val="both"/>
        <w:rPr>
          <w:sz w:val="24"/>
        </w:rPr>
      </w:pPr>
      <w:r w:rsidRPr="00262317">
        <w:rPr>
          <w:sz w:val="24"/>
        </w:rPr>
        <w:t>Le</w:t>
      </w:r>
      <w:r>
        <w:t xml:space="preserve"> </w:t>
      </w:r>
      <w:r>
        <w:rPr>
          <w:b/>
          <w:sz w:val="24"/>
        </w:rPr>
        <w:t>résultat par action préférentielle après ajustement</w:t>
      </w:r>
      <w:r>
        <w:t xml:space="preserve"> </w:t>
      </w:r>
      <w:r w:rsidRPr="00262317">
        <w:rPr>
          <w:sz w:val="24"/>
        </w:rPr>
        <w:t>(EPS) a augmenté de 8,5 %, passant de 3,77 </w:t>
      </w:r>
      <w:r w:rsidR="00196E76">
        <w:rPr>
          <w:sz w:val="24"/>
        </w:rPr>
        <w:t>EUR</w:t>
      </w:r>
      <w:r w:rsidRPr="00262317">
        <w:rPr>
          <w:sz w:val="24"/>
        </w:rPr>
        <w:t xml:space="preserve"> à 4,09 </w:t>
      </w:r>
      <w:r w:rsidR="00196E76">
        <w:rPr>
          <w:sz w:val="24"/>
        </w:rPr>
        <w:t>EUR</w:t>
      </w:r>
      <w:r w:rsidRPr="00262317">
        <w:rPr>
          <w:sz w:val="24"/>
        </w:rPr>
        <w:t>.</w:t>
      </w:r>
    </w:p>
    <w:p w:rsidR="00102B47" w:rsidRDefault="00102B47" w:rsidP="003B4629">
      <w:pPr>
        <w:autoSpaceDE w:val="0"/>
        <w:autoSpaceDN w:val="0"/>
        <w:adjustRightInd w:val="0"/>
        <w:spacing w:line="360" w:lineRule="auto"/>
        <w:jc w:val="both"/>
        <w:rPr>
          <w:sz w:val="24"/>
        </w:rPr>
      </w:pPr>
    </w:p>
    <w:p w:rsidR="00196E76" w:rsidRDefault="003B4629" w:rsidP="003B4629">
      <w:pPr>
        <w:autoSpaceDE w:val="0"/>
        <w:autoSpaceDN w:val="0"/>
        <w:adjustRightInd w:val="0"/>
        <w:spacing w:line="360" w:lineRule="auto"/>
        <w:jc w:val="both"/>
        <w:rPr>
          <w:sz w:val="24"/>
        </w:rPr>
      </w:pPr>
      <w:r>
        <w:rPr>
          <w:sz w:val="24"/>
        </w:rPr>
        <w:t xml:space="preserve">Au 30 septembre 2016, la </w:t>
      </w:r>
      <w:r>
        <w:rPr>
          <w:b/>
          <w:sz w:val="24"/>
        </w:rPr>
        <w:t xml:space="preserve">position financière nette </w:t>
      </w:r>
      <w:r>
        <w:rPr>
          <w:sz w:val="24"/>
        </w:rPr>
        <w:t xml:space="preserve">de Henkel s'établissait à </w:t>
      </w:r>
    </w:p>
    <w:p w:rsidR="003B4629" w:rsidRPr="001A42FA" w:rsidRDefault="003B4629" w:rsidP="003B4629">
      <w:pPr>
        <w:autoSpaceDE w:val="0"/>
        <w:autoSpaceDN w:val="0"/>
        <w:adjustRightInd w:val="0"/>
        <w:spacing w:line="360" w:lineRule="auto"/>
        <w:jc w:val="both"/>
        <w:rPr>
          <w:sz w:val="24"/>
        </w:rPr>
      </w:pPr>
      <w:r>
        <w:rPr>
          <w:sz w:val="24"/>
        </w:rPr>
        <w:t>-</w:t>
      </w:r>
      <w:r w:rsidR="00196E76">
        <w:rPr>
          <w:sz w:val="24"/>
        </w:rPr>
        <w:t xml:space="preserve"> </w:t>
      </w:r>
      <w:r>
        <w:rPr>
          <w:sz w:val="24"/>
        </w:rPr>
        <w:t xml:space="preserve">2 661 millions d'EUR (31 décembre 2015 : 335 millions d’EUR). Ce changement par rapport à la fin 2015 est principalement dû aux </w:t>
      </w:r>
      <w:r w:rsidR="00196E76">
        <w:rPr>
          <w:sz w:val="24"/>
        </w:rPr>
        <w:t>versements</w:t>
      </w:r>
      <w:r>
        <w:rPr>
          <w:sz w:val="24"/>
        </w:rPr>
        <w:t xml:space="preserve"> pour acquisitions et aux dividendes payés.</w:t>
      </w:r>
    </w:p>
    <w:p w:rsidR="003B4629" w:rsidRPr="001A42FA" w:rsidRDefault="003B4629" w:rsidP="003B4629">
      <w:pPr>
        <w:autoSpaceDE w:val="0"/>
        <w:autoSpaceDN w:val="0"/>
        <w:adjustRightInd w:val="0"/>
        <w:spacing w:after="120" w:line="360" w:lineRule="auto"/>
        <w:jc w:val="both"/>
        <w:rPr>
          <w:b/>
          <w:sz w:val="24"/>
        </w:rPr>
      </w:pPr>
    </w:p>
    <w:p w:rsidR="003B4629" w:rsidRPr="001A42FA" w:rsidRDefault="003B4629" w:rsidP="003B4629">
      <w:pPr>
        <w:autoSpaceDE w:val="0"/>
        <w:autoSpaceDN w:val="0"/>
        <w:adjustRightInd w:val="0"/>
        <w:spacing w:after="120" w:line="360" w:lineRule="auto"/>
        <w:jc w:val="both"/>
        <w:rPr>
          <w:b/>
          <w:sz w:val="24"/>
        </w:rPr>
      </w:pPr>
      <w:r>
        <w:rPr>
          <w:b/>
          <w:sz w:val="24"/>
        </w:rPr>
        <w:t>Évolution des secteurs d'activité au cours du troisième trimestre 2016</w:t>
      </w:r>
    </w:p>
    <w:p w:rsidR="003B4629" w:rsidRPr="001A42FA" w:rsidRDefault="003B4629" w:rsidP="003B4629">
      <w:pPr>
        <w:autoSpaceDE w:val="0"/>
        <w:autoSpaceDN w:val="0"/>
        <w:adjustRightInd w:val="0"/>
        <w:spacing w:line="360" w:lineRule="auto"/>
        <w:jc w:val="both"/>
        <w:rPr>
          <w:rFonts w:cs="Arial"/>
          <w:color w:val="000000"/>
          <w:sz w:val="24"/>
        </w:rPr>
      </w:pPr>
      <w:r>
        <w:rPr>
          <w:color w:val="000000"/>
          <w:sz w:val="24"/>
        </w:rPr>
        <w:t xml:space="preserve">Le troisième trimestre 2016 a vu la progression de la croissance </w:t>
      </w:r>
      <w:r w:rsidR="00196E76">
        <w:rPr>
          <w:color w:val="000000"/>
          <w:sz w:val="24"/>
        </w:rPr>
        <w:t>profitable</w:t>
      </w:r>
      <w:r>
        <w:rPr>
          <w:color w:val="000000"/>
          <w:sz w:val="24"/>
        </w:rPr>
        <w:t xml:space="preserve"> du secteur </w:t>
      </w:r>
      <w:r>
        <w:rPr>
          <w:b/>
          <w:color w:val="000000"/>
          <w:sz w:val="24"/>
        </w:rPr>
        <w:t>Laundry &amp; Home Care</w:t>
      </w:r>
      <w:r>
        <w:rPr>
          <w:color w:val="000000"/>
          <w:sz w:val="24"/>
        </w:rPr>
        <w:t xml:space="preserve">, qui a amélioré à la fois ses ventes et sa marge EBIT. Organiquement, les </w:t>
      </w:r>
      <w:r>
        <w:rPr>
          <w:b/>
          <w:color w:val="000000"/>
          <w:sz w:val="24"/>
        </w:rPr>
        <w:t>ventes</w:t>
      </w:r>
      <w:r>
        <w:rPr>
          <w:color w:val="000000"/>
          <w:sz w:val="24"/>
        </w:rPr>
        <w:t xml:space="preserve"> ont progressé de 4,0 % par rapport </w:t>
      </w:r>
      <w:r w:rsidR="00196E76">
        <w:rPr>
          <w:color w:val="000000"/>
          <w:sz w:val="24"/>
        </w:rPr>
        <w:t>au même trimestre de</w:t>
      </w:r>
      <w:r>
        <w:rPr>
          <w:color w:val="000000"/>
          <w:sz w:val="24"/>
        </w:rPr>
        <w:t xml:space="preserve"> l'année précédente. En valeur nominale, les ventes ont progressé de 12,6 % pour atteindre 1 479 millions d’EUR, notamment portées par l'acquisition de Sun Products.</w:t>
      </w:r>
    </w:p>
    <w:p w:rsidR="003B4629" w:rsidRPr="001A42FA" w:rsidRDefault="003B4629" w:rsidP="003B4629">
      <w:pPr>
        <w:autoSpaceDE w:val="0"/>
        <w:autoSpaceDN w:val="0"/>
        <w:adjustRightInd w:val="0"/>
        <w:spacing w:line="360" w:lineRule="auto"/>
        <w:jc w:val="both"/>
        <w:rPr>
          <w:rFonts w:cs="Arial"/>
          <w:color w:val="000000"/>
          <w:sz w:val="24"/>
        </w:rPr>
      </w:pPr>
    </w:p>
    <w:p w:rsidR="003B4629" w:rsidRPr="00196E76" w:rsidRDefault="003B4629" w:rsidP="003B4629">
      <w:pPr>
        <w:autoSpaceDE w:val="0"/>
        <w:autoSpaceDN w:val="0"/>
        <w:adjustRightInd w:val="0"/>
        <w:spacing w:line="360" w:lineRule="auto"/>
        <w:jc w:val="both"/>
        <w:rPr>
          <w:rFonts w:cs="Arial"/>
          <w:color w:val="000000"/>
          <w:sz w:val="24"/>
        </w:rPr>
      </w:pPr>
      <w:r w:rsidRPr="00196E76">
        <w:rPr>
          <w:color w:val="000000"/>
          <w:sz w:val="24"/>
        </w:rPr>
        <w:lastRenderedPageBreak/>
        <w:t>Cette solide amélioration organique a principalement été due à la croissance des activités dans les marchés émergents. En Asie (hors Japon) et dans la région Afrique/Moyen-Orient, le secteur d'activité a atteint une croissance à deux chiffres. Avec une forte augmentation des ventes, les régions d'Europe de l'Est et d'Amérique latine ont également contribué aux bonnes performances. L'évolution des ventes a été solide sur les marchés matures. Les ventes dans la région Amérique du Nord ont connu une forte hausse par rapport</w:t>
      </w:r>
      <w:r w:rsidR="00196E76">
        <w:rPr>
          <w:color w:val="000000"/>
          <w:sz w:val="24"/>
        </w:rPr>
        <w:t xml:space="preserve"> la même période que l'an</w:t>
      </w:r>
      <w:r w:rsidRPr="00196E76">
        <w:rPr>
          <w:color w:val="000000"/>
          <w:sz w:val="24"/>
        </w:rPr>
        <w:t xml:space="preserve"> passé. En Europe de l'Ouest les ventes ont été positives dans un environnement </w:t>
      </w:r>
      <w:r w:rsidR="00196E76">
        <w:rPr>
          <w:color w:val="000000"/>
          <w:sz w:val="24"/>
        </w:rPr>
        <w:t xml:space="preserve">compétitif </w:t>
      </w:r>
      <w:r w:rsidRPr="00196E76">
        <w:rPr>
          <w:color w:val="000000"/>
          <w:sz w:val="24"/>
        </w:rPr>
        <w:t xml:space="preserve">où la concurrence </w:t>
      </w:r>
      <w:r w:rsidR="00196E76">
        <w:rPr>
          <w:color w:val="000000"/>
          <w:sz w:val="24"/>
        </w:rPr>
        <w:t>est très forte</w:t>
      </w:r>
      <w:r w:rsidRPr="00196E76">
        <w:rPr>
          <w:color w:val="000000"/>
          <w:sz w:val="24"/>
        </w:rPr>
        <w:t>.</w:t>
      </w:r>
    </w:p>
    <w:p w:rsidR="003B4629" w:rsidRPr="00196E76" w:rsidRDefault="003B4629" w:rsidP="003B4629">
      <w:pPr>
        <w:autoSpaceDE w:val="0"/>
        <w:autoSpaceDN w:val="0"/>
        <w:adjustRightInd w:val="0"/>
        <w:spacing w:line="360" w:lineRule="auto"/>
        <w:jc w:val="both"/>
        <w:rPr>
          <w:rFonts w:cs="Arial"/>
          <w:color w:val="000000"/>
          <w:sz w:val="24"/>
        </w:rPr>
      </w:pPr>
    </w:p>
    <w:p w:rsidR="003B4629" w:rsidRPr="00196E76" w:rsidRDefault="003B4629" w:rsidP="00081234">
      <w:pPr>
        <w:autoSpaceDE w:val="0"/>
        <w:autoSpaceDN w:val="0"/>
        <w:adjustRightInd w:val="0"/>
        <w:spacing w:line="360" w:lineRule="auto"/>
        <w:jc w:val="both"/>
        <w:rPr>
          <w:rFonts w:cs="Arial"/>
          <w:sz w:val="24"/>
        </w:rPr>
      </w:pPr>
      <w:r w:rsidRPr="00196E76">
        <w:rPr>
          <w:sz w:val="24"/>
        </w:rPr>
        <w:t xml:space="preserve">Le </w:t>
      </w:r>
      <w:r w:rsidRPr="00196E76">
        <w:rPr>
          <w:b/>
          <w:sz w:val="24"/>
        </w:rPr>
        <w:t>résultat d'exploitation ajusté</w:t>
      </w:r>
      <w:r w:rsidRPr="00196E76">
        <w:rPr>
          <w:sz w:val="24"/>
        </w:rPr>
        <w:t xml:space="preserve"> du secteur d'activité Laundry &amp; Home Care a enregistré une augmentation à deux chiffres (+11 %), passant à 265 millions d'EUR. À 17,9 %, la rentabilité des ventes ajustée a é</w:t>
      </w:r>
      <w:r w:rsidR="00196E76">
        <w:rPr>
          <w:sz w:val="24"/>
        </w:rPr>
        <w:t>té inférieure au niveau élevé du même trimestre de</w:t>
      </w:r>
      <w:r w:rsidRPr="00196E76">
        <w:rPr>
          <w:sz w:val="24"/>
        </w:rPr>
        <w:t xml:space="preserve"> l'année précédente. Cela s'explique par les acquisitions conclues en 2016. </w:t>
      </w:r>
      <w:r w:rsidR="00196E76">
        <w:rPr>
          <w:sz w:val="24"/>
        </w:rPr>
        <w:t>Hors acquisitions</w:t>
      </w:r>
      <w:r w:rsidRPr="00196E76">
        <w:rPr>
          <w:sz w:val="24"/>
        </w:rPr>
        <w:t>, la rentabilité des ventes ajustée a fortement augmenté. Le résultat d'exploitation a augmenté de 8,0 %, passant de 211 millions d’EUR à 228 millions d'EUR.</w:t>
      </w:r>
    </w:p>
    <w:p w:rsidR="000653E1" w:rsidRPr="00196E76" w:rsidRDefault="000653E1" w:rsidP="003B4629">
      <w:pPr>
        <w:autoSpaceDE w:val="0"/>
        <w:autoSpaceDN w:val="0"/>
        <w:adjustRightInd w:val="0"/>
        <w:spacing w:line="360" w:lineRule="auto"/>
        <w:jc w:val="both"/>
        <w:rPr>
          <w:rFonts w:cs="Arial"/>
          <w:sz w:val="24"/>
        </w:rPr>
      </w:pPr>
    </w:p>
    <w:p w:rsidR="003B4629" w:rsidRPr="00196E76" w:rsidRDefault="003B4629" w:rsidP="003B4629">
      <w:pPr>
        <w:autoSpaceDE w:val="0"/>
        <w:autoSpaceDN w:val="0"/>
        <w:adjustRightInd w:val="0"/>
        <w:spacing w:line="360" w:lineRule="auto"/>
        <w:jc w:val="both"/>
        <w:rPr>
          <w:rFonts w:cs="Arial"/>
          <w:sz w:val="24"/>
        </w:rPr>
      </w:pPr>
      <w:r w:rsidRPr="00196E76">
        <w:rPr>
          <w:sz w:val="24"/>
        </w:rPr>
        <w:t xml:space="preserve">Le secteur d'activité </w:t>
      </w:r>
      <w:r w:rsidRPr="00196E76">
        <w:rPr>
          <w:b/>
          <w:sz w:val="24"/>
        </w:rPr>
        <w:t>Beauty Care</w:t>
      </w:r>
      <w:r w:rsidRPr="00196E76">
        <w:rPr>
          <w:sz w:val="24"/>
        </w:rPr>
        <w:t xml:space="preserve"> a également maintenu sa croissance rentable au cours du troisième trimestre 2016. Organiquement, les </w:t>
      </w:r>
      <w:r w:rsidRPr="00196E76">
        <w:rPr>
          <w:b/>
          <w:sz w:val="24"/>
        </w:rPr>
        <w:t>ventes</w:t>
      </w:r>
      <w:r w:rsidRPr="00196E76">
        <w:rPr>
          <w:sz w:val="24"/>
        </w:rPr>
        <w:t xml:space="preserve"> ont augmenté de 2,6 %. En valeur nominale, les ventes ont augmenté de 0,4 %, pour passer à 968 millions d'EUR.</w:t>
      </w:r>
    </w:p>
    <w:p w:rsidR="003B4629" w:rsidRPr="00196E76" w:rsidRDefault="005B7366" w:rsidP="003B4629">
      <w:pPr>
        <w:autoSpaceDE w:val="0"/>
        <w:autoSpaceDN w:val="0"/>
        <w:adjustRightInd w:val="0"/>
        <w:spacing w:line="360" w:lineRule="auto"/>
        <w:jc w:val="both"/>
        <w:rPr>
          <w:rFonts w:cs="Arial"/>
          <w:sz w:val="24"/>
        </w:rPr>
      </w:pPr>
      <w:r w:rsidRPr="00196E76">
        <w:rPr>
          <w:sz w:val="24"/>
        </w:rPr>
        <w:t>Le succès de la progression de ce secteur s'est poursuivi sur les marchés émergents avec une très forte augmentation organique des ventes. L</w:t>
      </w:r>
      <w:r w:rsidR="00196E76">
        <w:rPr>
          <w:sz w:val="24"/>
        </w:rPr>
        <w:t>'Europe de l'Est et l'Amérique L</w:t>
      </w:r>
      <w:r w:rsidRPr="00196E76">
        <w:rPr>
          <w:sz w:val="24"/>
        </w:rPr>
        <w:t xml:space="preserve">atine ont joué un rôle majeur, grâce à un taux de croissance à deux chiffres. Dans la région Asie (hors Japon), les ventes ont été inférieures à celles du troisième trimestre 2015, </w:t>
      </w:r>
      <w:r w:rsidR="00196E76">
        <w:rPr>
          <w:sz w:val="24"/>
        </w:rPr>
        <w:t xml:space="preserve">alors que </w:t>
      </w:r>
      <w:r w:rsidRPr="00196E76">
        <w:rPr>
          <w:sz w:val="24"/>
        </w:rPr>
        <w:t xml:space="preserve">la région Afrique/Moyen-Orient a enregistré une très forte croissance. Les </w:t>
      </w:r>
      <w:r w:rsidR="00196E76">
        <w:rPr>
          <w:sz w:val="24"/>
        </w:rPr>
        <w:t>ventes</w:t>
      </w:r>
      <w:r w:rsidRPr="00196E76">
        <w:rPr>
          <w:sz w:val="24"/>
        </w:rPr>
        <w:t xml:space="preserve"> sur les marchés matures sont restées stables. </w:t>
      </w:r>
      <w:r w:rsidR="00196E76">
        <w:rPr>
          <w:sz w:val="24"/>
        </w:rPr>
        <w:t>E</w:t>
      </w:r>
      <w:r w:rsidRPr="00196E76">
        <w:rPr>
          <w:sz w:val="24"/>
        </w:rPr>
        <w:t>n Europe de l'Ouest et sur les marchés matures de la région Asie/Pacifique</w:t>
      </w:r>
      <w:r w:rsidR="00196E76">
        <w:rPr>
          <w:sz w:val="24"/>
        </w:rPr>
        <w:t>, les ventes</w:t>
      </w:r>
      <w:r w:rsidRPr="00196E76">
        <w:rPr>
          <w:sz w:val="24"/>
        </w:rPr>
        <w:t xml:space="preserve"> n'ont pas atteint le niveau du même trimestre de l'année précéden</w:t>
      </w:r>
      <w:r w:rsidR="00196E76">
        <w:rPr>
          <w:sz w:val="24"/>
        </w:rPr>
        <w:t>te. En Amérique du Nord, une solide</w:t>
      </w:r>
      <w:r w:rsidRPr="00196E76">
        <w:rPr>
          <w:sz w:val="24"/>
        </w:rPr>
        <w:t xml:space="preserve"> croissance des ventes organiques a été </w:t>
      </w:r>
      <w:r w:rsidR="00196E76">
        <w:rPr>
          <w:sz w:val="24"/>
        </w:rPr>
        <w:t xml:space="preserve">réalisée. </w:t>
      </w:r>
    </w:p>
    <w:p w:rsidR="003B4629" w:rsidRPr="001A42FA" w:rsidRDefault="003B4629" w:rsidP="003B4629">
      <w:pPr>
        <w:autoSpaceDE w:val="0"/>
        <w:autoSpaceDN w:val="0"/>
        <w:adjustRightInd w:val="0"/>
        <w:spacing w:line="360" w:lineRule="auto"/>
        <w:jc w:val="both"/>
        <w:rPr>
          <w:rFonts w:cs="Arial"/>
          <w:sz w:val="24"/>
        </w:rPr>
      </w:pPr>
    </w:p>
    <w:p w:rsidR="003B4629" w:rsidRPr="00196E76" w:rsidRDefault="00B363AE" w:rsidP="003B4629">
      <w:pPr>
        <w:spacing w:line="360" w:lineRule="auto"/>
        <w:jc w:val="both"/>
        <w:rPr>
          <w:rFonts w:cs="Arial"/>
          <w:sz w:val="24"/>
        </w:rPr>
      </w:pPr>
      <w:r w:rsidRPr="00196E76">
        <w:rPr>
          <w:sz w:val="24"/>
        </w:rPr>
        <w:lastRenderedPageBreak/>
        <w:t xml:space="preserve">Le </w:t>
      </w:r>
      <w:r w:rsidRPr="00196E76">
        <w:rPr>
          <w:b/>
          <w:sz w:val="24"/>
        </w:rPr>
        <w:t xml:space="preserve">résultat d'exploitation ajusté </w:t>
      </w:r>
      <w:r w:rsidRPr="00196E76">
        <w:rPr>
          <w:sz w:val="24"/>
        </w:rPr>
        <w:t xml:space="preserve">du secteur d'activité Beauty Care a très fortement progressé de 9,7 %, pour s'établir à 170 millions d'EUR. L'amélioration de la rentabilité des </w:t>
      </w:r>
      <w:r w:rsidR="00196E76" w:rsidRPr="00196E76">
        <w:rPr>
          <w:sz w:val="24"/>
        </w:rPr>
        <w:t>ventes ajustée a été excellente :</w:t>
      </w:r>
      <w:r w:rsidRPr="00196E76">
        <w:rPr>
          <w:sz w:val="24"/>
        </w:rPr>
        <w:t xml:space="preserve"> elle a gagné 1,4 point pour atteindre un nouveau record de 17,5 %. Le résultat d'exploitation a augmenté de 9,1 % à 155 millions d'EUR.</w:t>
      </w:r>
    </w:p>
    <w:p w:rsidR="003B4629" w:rsidRPr="00196E76" w:rsidRDefault="003B4629" w:rsidP="003B4629">
      <w:pPr>
        <w:spacing w:line="360" w:lineRule="auto"/>
        <w:jc w:val="both"/>
        <w:rPr>
          <w:rFonts w:cs="Arial"/>
          <w:sz w:val="24"/>
        </w:rPr>
      </w:pPr>
    </w:p>
    <w:p w:rsidR="003B4629" w:rsidRPr="00196E76" w:rsidRDefault="003B4629" w:rsidP="003B4629">
      <w:pPr>
        <w:autoSpaceDE w:val="0"/>
        <w:autoSpaceDN w:val="0"/>
        <w:adjustRightInd w:val="0"/>
        <w:spacing w:line="360" w:lineRule="auto"/>
        <w:jc w:val="both"/>
        <w:rPr>
          <w:rFonts w:cs="Arial"/>
          <w:sz w:val="24"/>
        </w:rPr>
      </w:pPr>
      <w:r w:rsidRPr="00196E76">
        <w:rPr>
          <w:sz w:val="24"/>
        </w:rPr>
        <w:t xml:space="preserve">Le secteur d'activité </w:t>
      </w:r>
      <w:r w:rsidRPr="00196E76">
        <w:rPr>
          <w:b/>
          <w:sz w:val="24"/>
        </w:rPr>
        <w:t>Adhesive Technologies</w:t>
      </w:r>
      <w:r w:rsidRPr="00196E76">
        <w:rPr>
          <w:sz w:val="24"/>
        </w:rPr>
        <w:t xml:space="preserve"> a réalisé une solide croissance organique des ventes de 2,5 % au cours du troisième trimestre. Nominalement, les ventes ont atteint 2 272 millions d’EUR, contre 2 279 millions d'EUR au même trimestre de l'année précédente.</w:t>
      </w:r>
    </w:p>
    <w:p w:rsidR="003B4629" w:rsidRPr="00196E76" w:rsidRDefault="003B4629" w:rsidP="003B4629">
      <w:pPr>
        <w:autoSpaceDE w:val="0"/>
        <w:autoSpaceDN w:val="0"/>
        <w:adjustRightInd w:val="0"/>
        <w:spacing w:line="360" w:lineRule="auto"/>
        <w:jc w:val="both"/>
        <w:rPr>
          <w:rFonts w:cs="Arial"/>
          <w:sz w:val="24"/>
        </w:rPr>
      </w:pPr>
    </w:p>
    <w:p w:rsidR="003B4629" w:rsidRPr="00196E76" w:rsidRDefault="006E4B54" w:rsidP="003B4629">
      <w:pPr>
        <w:autoSpaceDE w:val="0"/>
        <w:autoSpaceDN w:val="0"/>
        <w:adjustRightInd w:val="0"/>
        <w:spacing w:line="360" w:lineRule="auto"/>
        <w:jc w:val="both"/>
        <w:rPr>
          <w:rFonts w:cs="Arial"/>
          <w:sz w:val="24"/>
        </w:rPr>
      </w:pPr>
      <w:r w:rsidRPr="00196E76">
        <w:rPr>
          <w:sz w:val="24"/>
        </w:rPr>
        <w:t>Les marchés émergents ont poursuivi leur performance positive, grâce à une bonne croissance or</w:t>
      </w:r>
      <w:r w:rsidR="00196E76" w:rsidRPr="00196E76">
        <w:rPr>
          <w:sz w:val="24"/>
        </w:rPr>
        <w:t>ganique des ventes. L'Amérique L</w:t>
      </w:r>
      <w:r w:rsidRPr="00196E76">
        <w:rPr>
          <w:sz w:val="24"/>
        </w:rPr>
        <w:t>atine a enregistré une croissance à deux chiffres. L'Eu</w:t>
      </w:r>
      <w:r w:rsidR="00196E76" w:rsidRPr="00196E76">
        <w:rPr>
          <w:sz w:val="24"/>
        </w:rPr>
        <w:t>rope de l'Est a enregistré une solide</w:t>
      </w:r>
      <w:r w:rsidRPr="00196E76">
        <w:rPr>
          <w:sz w:val="24"/>
        </w:rPr>
        <w:t xml:space="preserve"> croissance organique des ventes. Par rapport au même trimestre de l'année précédente, les ventes dans la région Afrique/Moyen-Orient ont été plus faibles. L'Asie (hors Japon) a enregistré une très forte croissance organique des ventes. Les performances sur les marchés matures ont légèrement décliné. Les ventes en Europe de l'Ouest et sur les marchés matures de la région Asie/Pacifique n'ont pas atteint le niveau du troisième trimestre de 2015, tandis qu'en Amérique du Nord elles sont restées stables.</w:t>
      </w:r>
    </w:p>
    <w:p w:rsidR="00290597" w:rsidRPr="00196E76" w:rsidRDefault="00290597" w:rsidP="003B4629">
      <w:pPr>
        <w:autoSpaceDE w:val="0"/>
        <w:autoSpaceDN w:val="0"/>
        <w:adjustRightInd w:val="0"/>
        <w:spacing w:line="360" w:lineRule="auto"/>
        <w:jc w:val="both"/>
        <w:rPr>
          <w:rFonts w:cs="Arial"/>
          <w:b/>
          <w:bCs/>
          <w:sz w:val="24"/>
        </w:rPr>
      </w:pPr>
    </w:p>
    <w:p w:rsidR="003B4629" w:rsidRPr="00196E76" w:rsidRDefault="003B4629" w:rsidP="003B4629">
      <w:pPr>
        <w:autoSpaceDE w:val="0"/>
        <w:autoSpaceDN w:val="0"/>
        <w:adjustRightInd w:val="0"/>
        <w:spacing w:line="360" w:lineRule="auto"/>
        <w:jc w:val="both"/>
        <w:rPr>
          <w:rFonts w:cs="Arial"/>
          <w:sz w:val="24"/>
        </w:rPr>
      </w:pPr>
      <w:r w:rsidRPr="00196E76">
        <w:rPr>
          <w:sz w:val="24"/>
        </w:rPr>
        <w:t xml:space="preserve">Le </w:t>
      </w:r>
      <w:r w:rsidRPr="00196E76">
        <w:rPr>
          <w:b/>
          <w:sz w:val="24"/>
        </w:rPr>
        <w:t>résultat d'exploitation ajusté</w:t>
      </w:r>
      <w:r w:rsidRPr="00196E76">
        <w:rPr>
          <w:sz w:val="24"/>
        </w:rPr>
        <w:t xml:space="preserve"> du secteur d'activité Adhesive Technologies a augmenté de 4,4 % par rapport au même trimestre 2015, pour s'établir à 430 millions d'EUR. La rentabilité des ventes a enregistré une forte hausse de 0,8 point pour atteindre un nouveau record de 18,9 %. Le résultat d'exploitation a augmenté de 15,3 %, passant à 423 millions d'EUR.</w:t>
      </w:r>
    </w:p>
    <w:p w:rsidR="00196E76" w:rsidRPr="00196E76" w:rsidRDefault="00196E76" w:rsidP="003B4629">
      <w:pPr>
        <w:autoSpaceDE w:val="0"/>
        <w:autoSpaceDN w:val="0"/>
        <w:adjustRightInd w:val="0"/>
        <w:spacing w:after="120" w:line="360" w:lineRule="auto"/>
        <w:jc w:val="both"/>
        <w:rPr>
          <w:sz w:val="24"/>
        </w:rPr>
      </w:pPr>
    </w:p>
    <w:p w:rsidR="003B4629" w:rsidRPr="00196E76" w:rsidRDefault="00AE63BF" w:rsidP="003B4629">
      <w:pPr>
        <w:autoSpaceDE w:val="0"/>
        <w:autoSpaceDN w:val="0"/>
        <w:adjustRightInd w:val="0"/>
        <w:spacing w:after="120" w:line="360" w:lineRule="auto"/>
        <w:jc w:val="both"/>
        <w:rPr>
          <w:b/>
          <w:sz w:val="24"/>
        </w:rPr>
      </w:pPr>
      <w:r w:rsidRPr="00196E76">
        <w:rPr>
          <w:b/>
          <w:sz w:val="24"/>
        </w:rPr>
        <w:t>Évolution par région au cours du troisième trimestre 2016</w:t>
      </w:r>
    </w:p>
    <w:p w:rsidR="00885ECD" w:rsidRPr="001A42FA" w:rsidRDefault="003B4629" w:rsidP="003B4629">
      <w:pPr>
        <w:autoSpaceDE w:val="0"/>
        <w:autoSpaceDN w:val="0"/>
        <w:adjustRightInd w:val="0"/>
        <w:spacing w:line="360" w:lineRule="auto"/>
        <w:jc w:val="both"/>
        <w:rPr>
          <w:rFonts w:cs="Arial"/>
          <w:sz w:val="24"/>
        </w:rPr>
      </w:pPr>
      <w:r w:rsidRPr="00196E76">
        <w:rPr>
          <w:sz w:val="24"/>
        </w:rPr>
        <w:t xml:space="preserve">Dans un environnement de marché très concurrentiel, Henkel a enregistré une baisse organique des ventes en </w:t>
      </w:r>
      <w:r w:rsidRPr="00196E76">
        <w:rPr>
          <w:b/>
          <w:sz w:val="24"/>
        </w:rPr>
        <w:t>Europe de l'Ouest</w:t>
      </w:r>
      <w:r w:rsidRPr="00196E76">
        <w:rPr>
          <w:sz w:val="24"/>
        </w:rPr>
        <w:t xml:space="preserve">, de 0,5 % par rapport au même trimestre de l'année précédente. L'évolution dans la région a été mitigée. En Allemagne, la </w:t>
      </w:r>
      <w:r w:rsidRPr="00196E76">
        <w:rPr>
          <w:sz w:val="24"/>
        </w:rPr>
        <w:lastRenderedPageBreak/>
        <w:t>croissance organique des ventes a été légèrement positive et</w:t>
      </w:r>
      <w:r>
        <w:rPr>
          <w:sz w:val="24"/>
        </w:rPr>
        <w:t xml:space="preserve"> l'Espagne a enregistré une solide croissance organique. </w:t>
      </w:r>
      <w:r w:rsidR="008A3E7D">
        <w:rPr>
          <w:sz w:val="24"/>
        </w:rPr>
        <w:t>En</w:t>
      </w:r>
      <w:r>
        <w:rPr>
          <w:sz w:val="24"/>
        </w:rPr>
        <w:t xml:space="preserve"> France et en Italie, les ventes n'ont pas atteint le niveau du même trimestre de l'année précédente. Nominalement, les ventes ont atteint 1 473 millions d’EUR, contre 1 508 millions d'EUR au troisième trimestre 2015. En </w:t>
      </w:r>
      <w:r>
        <w:rPr>
          <w:b/>
          <w:sz w:val="24"/>
        </w:rPr>
        <w:t>Europe de l'Est</w:t>
      </w:r>
      <w:r>
        <w:rPr>
          <w:sz w:val="24"/>
        </w:rPr>
        <w:t>, les ventes ont organiquement progressé de 4,5 %. Une augmentation notamment due aux activités en Russie et en Turquie. S'établissant à 733 millions d'EUR, les ventes nominales</w:t>
      </w:r>
      <w:r w:rsidR="008A3E7D">
        <w:rPr>
          <w:sz w:val="24"/>
        </w:rPr>
        <w:t xml:space="preserve"> dans la région</w:t>
      </w:r>
      <w:r>
        <w:rPr>
          <w:sz w:val="24"/>
        </w:rPr>
        <w:t xml:space="preserve"> étaient au niveau de l'année précédente. La croissance dans la région </w:t>
      </w:r>
      <w:r>
        <w:rPr>
          <w:b/>
          <w:sz w:val="24"/>
        </w:rPr>
        <w:t xml:space="preserve">Afrique/Moyen-Orient </w:t>
      </w:r>
      <w:r>
        <w:rPr>
          <w:sz w:val="24"/>
        </w:rPr>
        <w:t>continue de subir les conséquences des troubles géopolitiques de certains pays. La croissance organique a toutefois atteint le fort pourcentage de 6,9 %. En valeur nominale, les ventes ont augmenté de 9,0 %, pour passer à 348 millions d'EUR.</w:t>
      </w:r>
    </w:p>
    <w:p w:rsidR="00885ECD" w:rsidRPr="001A42FA" w:rsidRDefault="00885ECD" w:rsidP="003B4629">
      <w:pPr>
        <w:autoSpaceDE w:val="0"/>
        <w:autoSpaceDN w:val="0"/>
        <w:adjustRightInd w:val="0"/>
        <w:spacing w:line="360" w:lineRule="auto"/>
        <w:jc w:val="both"/>
        <w:rPr>
          <w:rFonts w:cs="Arial"/>
          <w:sz w:val="24"/>
        </w:rPr>
      </w:pPr>
    </w:p>
    <w:p w:rsidR="003B4629" w:rsidRPr="001A42FA" w:rsidRDefault="003B4629" w:rsidP="003B4629">
      <w:pPr>
        <w:autoSpaceDE w:val="0"/>
        <w:autoSpaceDN w:val="0"/>
        <w:adjustRightInd w:val="0"/>
        <w:spacing w:line="360" w:lineRule="auto"/>
        <w:jc w:val="both"/>
        <w:rPr>
          <w:rFonts w:cs="Arial"/>
          <w:sz w:val="24"/>
        </w:rPr>
      </w:pPr>
      <w:r>
        <w:rPr>
          <w:sz w:val="24"/>
        </w:rPr>
        <w:t xml:space="preserve">En </w:t>
      </w:r>
      <w:r>
        <w:rPr>
          <w:b/>
          <w:sz w:val="24"/>
        </w:rPr>
        <w:t>Amérique du Nord</w:t>
      </w:r>
      <w:r>
        <w:rPr>
          <w:sz w:val="24"/>
        </w:rPr>
        <w:t xml:space="preserve">, les ventes ont organiquement progressé de 1,6 %. S'établissant à 1 067 millions d'EUR, les ventes ont augmenté de 13,5 % par rapport à l'année précédente. L'augmentation des ventes organiques en </w:t>
      </w:r>
      <w:r>
        <w:rPr>
          <w:b/>
          <w:sz w:val="24"/>
        </w:rPr>
        <w:t xml:space="preserve">Amérique latine </w:t>
      </w:r>
      <w:r>
        <w:rPr>
          <w:sz w:val="24"/>
        </w:rPr>
        <w:t>a atteint les 13,9 %, une augmentation notamment due aux performances</w:t>
      </w:r>
      <w:r w:rsidR="008A3E7D">
        <w:rPr>
          <w:sz w:val="24"/>
        </w:rPr>
        <w:t xml:space="preserve"> réalisées au</w:t>
      </w:r>
      <w:r>
        <w:rPr>
          <w:sz w:val="24"/>
        </w:rPr>
        <w:t xml:space="preserve"> Mexique, </w:t>
      </w:r>
      <w:r w:rsidR="008A3E7D">
        <w:rPr>
          <w:sz w:val="24"/>
        </w:rPr>
        <w:t>avec</w:t>
      </w:r>
      <w:r>
        <w:rPr>
          <w:sz w:val="24"/>
        </w:rPr>
        <w:t xml:space="preserve"> une croissance à deux chiffres. Nominalement, les ventes ont atteint 268 millions d’EUR, contre 280 millions d'EUR au même trimestre de l'année précédente. En </w:t>
      </w:r>
      <w:r>
        <w:rPr>
          <w:b/>
          <w:sz w:val="24"/>
        </w:rPr>
        <w:t>Asie-Pacifique</w:t>
      </w:r>
      <w:r>
        <w:rPr>
          <w:sz w:val="24"/>
        </w:rPr>
        <w:t xml:space="preserve">, les ventes ont organiquement progressé de 4,3 %. Cela s'explique principalement par les performances </w:t>
      </w:r>
      <w:r w:rsidR="008A3E7D">
        <w:rPr>
          <w:sz w:val="24"/>
        </w:rPr>
        <w:t xml:space="preserve">réalisées en </w:t>
      </w:r>
      <w:r>
        <w:rPr>
          <w:sz w:val="24"/>
        </w:rPr>
        <w:t xml:space="preserve">Inde, </w:t>
      </w:r>
      <w:r w:rsidR="008A3E7D">
        <w:rPr>
          <w:sz w:val="24"/>
        </w:rPr>
        <w:t>en</w:t>
      </w:r>
      <w:r>
        <w:rPr>
          <w:sz w:val="24"/>
        </w:rPr>
        <w:t xml:space="preserve"> Corée du Sud et </w:t>
      </w:r>
      <w:r w:rsidR="008A3E7D">
        <w:rPr>
          <w:sz w:val="24"/>
        </w:rPr>
        <w:t>en</w:t>
      </w:r>
      <w:r>
        <w:rPr>
          <w:sz w:val="24"/>
        </w:rPr>
        <w:t xml:space="preserve"> Chine, alors que les ventes au Japon </w:t>
      </w:r>
      <w:r w:rsidR="008A3E7D">
        <w:rPr>
          <w:sz w:val="24"/>
        </w:rPr>
        <w:t>ont baissé</w:t>
      </w:r>
      <w:r>
        <w:rPr>
          <w:sz w:val="24"/>
        </w:rPr>
        <w:t>. En valeur nominale, les ventes ont augmenté de 6,9 %, pour passer à 830 millions d'EUR.</w:t>
      </w:r>
    </w:p>
    <w:p w:rsidR="00B67B16" w:rsidRDefault="00B67B16" w:rsidP="003B4629">
      <w:pPr>
        <w:autoSpaceDE w:val="0"/>
        <w:autoSpaceDN w:val="0"/>
        <w:adjustRightInd w:val="0"/>
        <w:spacing w:line="360" w:lineRule="auto"/>
        <w:jc w:val="both"/>
        <w:rPr>
          <w:sz w:val="24"/>
        </w:rPr>
      </w:pPr>
    </w:p>
    <w:p w:rsidR="003B4629" w:rsidRPr="001A42FA" w:rsidRDefault="003B4629" w:rsidP="003B4629">
      <w:pPr>
        <w:autoSpaceDE w:val="0"/>
        <w:autoSpaceDN w:val="0"/>
        <w:adjustRightInd w:val="0"/>
        <w:spacing w:line="360" w:lineRule="auto"/>
        <w:jc w:val="both"/>
        <w:rPr>
          <w:bCs/>
          <w:sz w:val="24"/>
        </w:rPr>
      </w:pPr>
      <w:r>
        <w:rPr>
          <w:sz w:val="24"/>
        </w:rPr>
        <w:t xml:space="preserve">Avec une augmentation des ventes organiques de 6,7 %, les </w:t>
      </w:r>
      <w:r>
        <w:rPr>
          <w:b/>
          <w:sz w:val="24"/>
        </w:rPr>
        <w:t>marchés émergents</w:t>
      </w:r>
      <w:r>
        <w:rPr>
          <w:sz w:val="24"/>
        </w:rPr>
        <w:t xml:space="preserve"> ont une fois encore fait une contribution </w:t>
      </w:r>
      <w:r w:rsidR="008A3E7D">
        <w:rPr>
          <w:sz w:val="24"/>
        </w:rPr>
        <w:t>à la croissance organique du g</w:t>
      </w:r>
      <w:r>
        <w:rPr>
          <w:sz w:val="24"/>
        </w:rPr>
        <w:t>roupe</w:t>
      </w:r>
      <w:r w:rsidR="008A3E7D">
        <w:rPr>
          <w:sz w:val="24"/>
        </w:rPr>
        <w:t xml:space="preserve"> supérieure à la moyenne</w:t>
      </w:r>
      <w:r>
        <w:rPr>
          <w:sz w:val="24"/>
        </w:rPr>
        <w:t>. En valeur nominale, les ventes ont augmenté de 1,8</w:t>
      </w:r>
      <w:r w:rsidR="008A3E7D">
        <w:rPr>
          <w:sz w:val="24"/>
        </w:rPr>
        <w:t xml:space="preserve"> </w:t>
      </w:r>
      <w:r>
        <w:rPr>
          <w:sz w:val="24"/>
        </w:rPr>
        <w:t xml:space="preserve">%, pour passer à 2 031 millions d'EUR. À 43 %, la part des ventes du groupe sur les marchés émergents était </w:t>
      </w:r>
      <w:r w:rsidR="008A3E7D">
        <w:rPr>
          <w:sz w:val="24"/>
        </w:rPr>
        <w:t>au niveau de</w:t>
      </w:r>
      <w:r>
        <w:rPr>
          <w:sz w:val="24"/>
        </w:rPr>
        <w:t xml:space="preserve"> celle du troisième trimestre 2015. Les ventes sur les </w:t>
      </w:r>
      <w:r>
        <w:rPr>
          <w:b/>
          <w:sz w:val="24"/>
        </w:rPr>
        <w:t>marchés matures</w:t>
      </w:r>
      <w:r>
        <w:rPr>
          <w:sz w:val="24"/>
        </w:rPr>
        <w:t xml:space="preserve"> ont organiquement progressé de 0,1 % et se sont élevées à 2 688 millions d'EUR.</w:t>
      </w:r>
    </w:p>
    <w:p w:rsidR="003B4629" w:rsidRPr="001A42FA" w:rsidRDefault="003B4629" w:rsidP="003B4629">
      <w:pPr>
        <w:spacing w:line="360" w:lineRule="auto"/>
        <w:jc w:val="both"/>
        <w:rPr>
          <w:sz w:val="24"/>
        </w:rPr>
      </w:pPr>
    </w:p>
    <w:p w:rsidR="004E5A5A" w:rsidRDefault="004E5A5A" w:rsidP="003B4629">
      <w:pPr>
        <w:autoSpaceDE w:val="0"/>
        <w:autoSpaceDN w:val="0"/>
        <w:adjustRightInd w:val="0"/>
        <w:spacing w:after="120" w:line="360" w:lineRule="auto"/>
        <w:jc w:val="both"/>
        <w:rPr>
          <w:b/>
          <w:bCs/>
          <w:sz w:val="24"/>
        </w:rPr>
      </w:pPr>
    </w:p>
    <w:p w:rsidR="003B4629" w:rsidRPr="001C5CA9" w:rsidRDefault="008A3E7D" w:rsidP="003B4629">
      <w:pPr>
        <w:autoSpaceDE w:val="0"/>
        <w:autoSpaceDN w:val="0"/>
        <w:adjustRightInd w:val="0"/>
        <w:spacing w:after="120" w:line="360" w:lineRule="auto"/>
        <w:jc w:val="both"/>
        <w:rPr>
          <w:b/>
          <w:sz w:val="24"/>
        </w:rPr>
      </w:pPr>
      <w:r>
        <w:rPr>
          <w:b/>
          <w:sz w:val="24"/>
        </w:rPr>
        <w:lastRenderedPageBreak/>
        <w:t>P</w:t>
      </w:r>
      <w:r w:rsidR="003B4629">
        <w:rPr>
          <w:b/>
          <w:sz w:val="24"/>
        </w:rPr>
        <w:t>erspectives du groupe Henkel pour 2016</w:t>
      </w:r>
      <w:r>
        <w:rPr>
          <w:b/>
          <w:sz w:val="24"/>
        </w:rPr>
        <w:t xml:space="preserve"> confirmées</w:t>
      </w:r>
    </w:p>
    <w:p w:rsidR="003B4629" w:rsidRPr="001A42FA" w:rsidRDefault="003B4629" w:rsidP="003B4629">
      <w:pPr>
        <w:autoSpaceDE w:val="0"/>
        <w:autoSpaceDN w:val="0"/>
        <w:adjustRightInd w:val="0"/>
        <w:spacing w:line="360" w:lineRule="auto"/>
        <w:jc w:val="both"/>
        <w:rPr>
          <w:rFonts w:cs="Arial"/>
          <w:sz w:val="24"/>
        </w:rPr>
      </w:pPr>
      <w:r>
        <w:rPr>
          <w:sz w:val="24"/>
        </w:rPr>
        <w:t xml:space="preserve">Henkel s'attend à une croissance des ventes organiques de 2 à 4 %, et chaque secteur d'activité devrait se situer dans cette tranche. Pour la part des ventes des marchés émergents, Henkel anticipe une légère diminution par rapport à l'année précédente </w:t>
      </w:r>
      <w:r w:rsidR="008A3E7D">
        <w:rPr>
          <w:sz w:val="24"/>
        </w:rPr>
        <w:t>en raison</w:t>
      </w:r>
      <w:r>
        <w:rPr>
          <w:sz w:val="24"/>
        </w:rPr>
        <w:t xml:space="preserve"> des effets négatifs liés aux opérations de change. En ce qui concerne la rentabilité des ventes ajustée (EBIT), Henkel s'attend à ce qu'elle augmente </w:t>
      </w:r>
      <w:r w:rsidR="008A3E7D">
        <w:rPr>
          <w:sz w:val="24"/>
        </w:rPr>
        <w:t>à</w:t>
      </w:r>
      <w:r>
        <w:rPr>
          <w:sz w:val="24"/>
        </w:rPr>
        <w:t xml:space="preserve"> plus de 16,5 %, et la rentabilité des ventes ajustée de chaque secteur d'activité devrait être supérieure à celle observée l'année précédente. Henkel s'attend à une augmentation des bénéfices ajustés par action préférentielle comprise entre 8 et 11 %.</w:t>
      </w:r>
    </w:p>
    <w:p w:rsidR="003B4629" w:rsidRPr="001A42FA" w:rsidRDefault="003B4629" w:rsidP="003B4629">
      <w:pPr>
        <w:pStyle w:val="Corpsdetexte"/>
        <w:spacing w:after="0" w:line="240" w:lineRule="auto"/>
        <w:jc w:val="both"/>
        <w:rPr>
          <w:bCs/>
          <w:sz w:val="16"/>
        </w:rPr>
      </w:pPr>
    </w:p>
    <w:p w:rsidR="003B4629" w:rsidRPr="001A42FA" w:rsidRDefault="003B4629" w:rsidP="003B4629">
      <w:pPr>
        <w:pStyle w:val="Corpsdetexte"/>
        <w:spacing w:after="0" w:line="240" w:lineRule="auto"/>
        <w:jc w:val="both"/>
        <w:rPr>
          <w:bCs/>
          <w:sz w:val="16"/>
        </w:rPr>
      </w:pPr>
    </w:p>
    <w:p w:rsidR="003B4629" w:rsidRPr="001A42FA" w:rsidRDefault="003B4629" w:rsidP="003B4629">
      <w:pPr>
        <w:pStyle w:val="Corpsdetexte"/>
        <w:spacing w:after="0" w:line="240" w:lineRule="auto"/>
        <w:jc w:val="both"/>
        <w:rPr>
          <w:bCs/>
          <w:sz w:val="16"/>
        </w:rPr>
      </w:pPr>
      <w:r>
        <w:rPr>
          <w:sz w:val="16"/>
        </w:rPr>
        <w:t>Ce document contient des prévisions fondées sur les estimations et suppositions établies par la direction d’entreprise de Henkel AG &amp; Co. KGaA. Les prévisions sont caractérisées par l’emploi de termes tels que attendre, avoir l’intention, planning, prédiction, supposer, croire, estimer, anticiper, prévoir, etc. De telles affirmations ne doivent pas être conçues comme une quelconque garantie que ces prévisions vont se réaliser. La performance et les résultats futurs effectivement réalisés par Henkel AG &amp; Co. KGaA et ses filiales comportent de nombreux risques et incertitudes et peuvent par conséquent diverger sensiblement des prévisions initiales. Nombre de ces facteurs échappent au contrôle direct de Henkel et ne peuvent être évalués avec précision à l’avance, à commencer par l’environnement économique futur, et les actions des concurrents et d’autres acteurs impliqués sur les marchés. Henkel n’a pas l’intention de mettre à jour les prévisions et ne le fera jamais.</w:t>
      </w:r>
    </w:p>
    <w:p w:rsidR="003B4629" w:rsidRDefault="003B4629" w:rsidP="003B4629">
      <w:pPr>
        <w:spacing w:line="360" w:lineRule="auto"/>
        <w:jc w:val="both"/>
        <w:rPr>
          <w:sz w:val="24"/>
        </w:rPr>
      </w:pPr>
    </w:p>
    <w:p w:rsidR="00A85AC2" w:rsidRDefault="00A85AC2" w:rsidP="00A85AC2">
      <w:pPr>
        <w:autoSpaceDE w:val="0"/>
        <w:autoSpaceDN w:val="0"/>
        <w:adjustRightInd w:val="0"/>
        <w:spacing w:line="360" w:lineRule="auto"/>
        <w:jc w:val="both"/>
        <w:rPr>
          <w:rFonts w:cs="Arial"/>
          <w:b/>
          <w:szCs w:val="20"/>
          <w:u w:val="single"/>
        </w:rPr>
      </w:pPr>
      <w:r w:rsidRPr="00C154A7">
        <w:rPr>
          <w:rFonts w:cs="Arial"/>
          <w:b/>
          <w:szCs w:val="20"/>
          <w:u w:val="single"/>
        </w:rPr>
        <w:t>Ce communiqué de presse en français est une traduction de la version originale.</w:t>
      </w:r>
    </w:p>
    <w:p w:rsidR="00A85AC2" w:rsidRPr="00A85AC2" w:rsidRDefault="00A85AC2" w:rsidP="00A85AC2">
      <w:pPr>
        <w:autoSpaceDE w:val="0"/>
        <w:autoSpaceDN w:val="0"/>
        <w:adjustRightInd w:val="0"/>
        <w:spacing w:line="360" w:lineRule="auto"/>
        <w:jc w:val="both"/>
        <w:rPr>
          <w:rFonts w:cs="Arial"/>
          <w:b/>
          <w:szCs w:val="20"/>
          <w:u w:val="single"/>
        </w:rPr>
      </w:pPr>
    </w:p>
    <w:p w:rsidR="00A85AC2" w:rsidRPr="00041794" w:rsidRDefault="00A85AC2" w:rsidP="00A85AC2">
      <w:pPr>
        <w:rPr>
          <w:rFonts w:cs="Arial"/>
          <w:b/>
          <w:szCs w:val="20"/>
          <w:u w:val="single"/>
        </w:rPr>
      </w:pPr>
      <w:r w:rsidRPr="00041794">
        <w:rPr>
          <w:rFonts w:cs="Arial"/>
          <w:b/>
          <w:szCs w:val="20"/>
          <w:u w:val="single"/>
        </w:rPr>
        <w:t>Contacts presse</w:t>
      </w:r>
    </w:p>
    <w:tbl>
      <w:tblPr>
        <w:tblW w:w="0" w:type="auto"/>
        <w:tblLook w:val="04A0" w:firstRow="1" w:lastRow="0" w:firstColumn="1" w:lastColumn="0" w:noHBand="0" w:noVBand="1"/>
      </w:tblPr>
      <w:tblGrid>
        <w:gridCol w:w="4606"/>
        <w:gridCol w:w="4606"/>
      </w:tblGrid>
      <w:tr w:rsidR="00A85AC2" w:rsidRPr="0049718E" w:rsidTr="00216339">
        <w:tc>
          <w:tcPr>
            <w:tcW w:w="4606" w:type="dxa"/>
          </w:tcPr>
          <w:p w:rsidR="00A85AC2" w:rsidRPr="0049718E" w:rsidRDefault="00A85AC2" w:rsidP="00216339">
            <w:pPr>
              <w:rPr>
                <w:rFonts w:cs="Arial"/>
                <w:szCs w:val="20"/>
              </w:rPr>
            </w:pPr>
            <w:r w:rsidRPr="0049718E">
              <w:rPr>
                <w:rFonts w:cs="Arial"/>
                <w:szCs w:val="20"/>
              </w:rPr>
              <w:t>Henkel</w:t>
            </w:r>
            <w:r w:rsidRPr="0049718E">
              <w:rPr>
                <w:rFonts w:cs="Arial"/>
                <w:szCs w:val="20"/>
              </w:rPr>
              <w:br/>
              <w:t>Stéphanie Coignard</w:t>
            </w:r>
            <w:r w:rsidRPr="0049718E">
              <w:rPr>
                <w:rFonts w:cs="Arial"/>
                <w:szCs w:val="20"/>
              </w:rPr>
              <w:br/>
              <w:t>Tél : 01 46 84 92 23</w:t>
            </w:r>
            <w:r w:rsidRPr="0049718E">
              <w:rPr>
                <w:rFonts w:cs="Arial"/>
                <w:szCs w:val="20"/>
              </w:rPr>
              <w:br/>
            </w:r>
            <w:hyperlink r:id="rId8" w:history="1">
              <w:r w:rsidRPr="0049718E">
                <w:rPr>
                  <w:rStyle w:val="Lienhypertexte"/>
                  <w:rFonts w:eastAsia="Calibri" w:cs="Arial"/>
                  <w:szCs w:val="20"/>
                </w:rPr>
                <w:t>stephanie.coignard@henkel.com</w:t>
              </w:r>
            </w:hyperlink>
          </w:p>
          <w:p w:rsidR="00A85AC2" w:rsidRPr="0049718E" w:rsidRDefault="00A85AC2" w:rsidP="00216339">
            <w:pPr>
              <w:rPr>
                <w:rFonts w:cs="Arial"/>
                <w:szCs w:val="20"/>
              </w:rPr>
            </w:pPr>
          </w:p>
        </w:tc>
        <w:tc>
          <w:tcPr>
            <w:tcW w:w="4606" w:type="dxa"/>
          </w:tcPr>
          <w:p w:rsidR="00A85AC2" w:rsidRPr="00DF3072" w:rsidRDefault="00A85AC2" w:rsidP="00216339">
            <w:pPr>
              <w:rPr>
                <w:rFonts w:eastAsia="Calibri" w:cs="Arial"/>
                <w:color w:val="0000FF"/>
                <w:szCs w:val="20"/>
                <w:u w:val="single"/>
              </w:rPr>
            </w:pPr>
            <w:r w:rsidRPr="0049718E">
              <w:rPr>
                <w:rFonts w:cs="Arial"/>
                <w:szCs w:val="20"/>
              </w:rPr>
              <w:t>Agence Burson Marsteller i&amp;e</w:t>
            </w:r>
            <w:r w:rsidRPr="0049718E">
              <w:rPr>
                <w:rFonts w:cs="Arial"/>
                <w:szCs w:val="20"/>
              </w:rPr>
              <w:br/>
            </w:r>
            <w:r w:rsidRPr="00423E71">
              <w:rPr>
                <w:rFonts w:cs="Arial"/>
                <w:szCs w:val="20"/>
              </w:rPr>
              <w:t>Paolo Ghilardi</w:t>
            </w:r>
            <w:r w:rsidRPr="00423E71">
              <w:rPr>
                <w:rFonts w:cs="Arial"/>
                <w:szCs w:val="20"/>
              </w:rPr>
              <w:br/>
              <w:t>Tél : 01 56 03 12 14</w:t>
            </w:r>
            <w:r w:rsidRPr="00423E71">
              <w:rPr>
                <w:rFonts w:cs="Arial"/>
                <w:szCs w:val="20"/>
              </w:rPr>
              <w:br/>
            </w:r>
            <w:hyperlink r:id="rId9" w:history="1">
              <w:r w:rsidRPr="00423E71">
                <w:rPr>
                  <w:rStyle w:val="Lienhypertexte"/>
                  <w:rFonts w:eastAsia="Calibri" w:cs="Arial"/>
                  <w:szCs w:val="20"/>
                </w:rPr>
                <w:t>paolo.ghilardi@bm.com</w:t>
              </w:r>
            </w:hyperlink>
          </w:p>
        </w:tc>
      </w:tr>
    </w:tbl>
    <w:p w:rsidR="003B4629" w:rsidRPr="001A42FA" w:rsidRDefault="003B4629" w:rsidP="003B4629">
      <w:pPr>
        <w:tabs>
          <w:tab w:val="left" w:pos="0"/>
          <w:tab w:val="left" w:pos="360"/>
          <w:tab w:val="left" w:pos="1080"/>
          <w:tab w:val="left" w:pos="1800"/>
          <w:tab w:val="left" w:pos="2520"/>
          <w:tab w:val="left" w:pos="3240"/>
          <w:tab w:val="left" w:pos="3960"/>
        </w:tabs>
        <w:autoSpaceDE w:val="0"/>
        <w:autoSpaceDN w:val="0"/>
        <w:adjustRightInd w:val="0"/>
        <w:spacing w:line="240" w:lineRule="auto"/>
        <w:jc w:val="both"/>
        <w:rPr>
          <w:rFonts w:cs="Arial"/>
          <w:szCs w:val="20"/>
        </w:rPr>
      </w:pPr>
    </w:p>
    <w:p w:rsidR="003B4629" w:rsidRPr="001A42FA" w:rsidRDefault="003B4629" w:rsidP="003B4629">
      <w:pPr>
        <w:tabs>
          <w:tab w:val="left" w:pos="0"/>
          <w:tab w:val="left" w:pos="360"/>
          <w:tab w:val="left" w:pos="1080"/>
          <w:tab w:val="left" w:pos="1800"/>
          <w:tab w:val="left" w:pos="2520"/>
          <w:tab w:val="left" w:pos="3240"/>
          <w:tab w:val="left" w:pos="3960"/>
        </w:tabs>
        <w:autoSpaceDE w:val="0"/>
        <w:autoSpaceDN w:val="0"/>
        <w:adjustRightInd w:val="0"/>
        <w:spacing w:line="240" w:lineRule="auto"/>
        <w:jc w:val="both"/>
        <w:rPr>
          <w:rFonts w:cs="Arial"/>
          <w:szCs w:val="20"/>
        </w:rPr>
      </w:pPr>
      <w:r>
        <w:t>Le rapport sur le troisième trimestre 2016, des informations complémentaires, des documents à télécharger et le lien vers l'enregistrement sont disponibles sur :</w:t>
      </w:r>
    </w:p>
    <w:p w:rsidR="003B4629" w:rsidRPr="001A42FA" w:rsidRDefault="003B4629" w:rsidP="003B4629">
      <w:pPr>
        <w:autoSpaceDE w:val="0"/>
        <w:autoSpaceDN w:val="0"/>
        <w:adjustRightInd w:val="0"/>
        <w:spacing w:line="240" w:lineRule="auto"/>
        <w:rPr>
          <w:rFonts w:ascii="Tms Rmn" w:hAnsi="Tms Rmn"/>
          <w:sz w:val="24"/>
        </w:rPr>
      </w:pPr>
    </w:p>
    <w:p w:rsidR="003B4629" w:rsidRPr="001A42FA" w:rsidRDefault="003B4629" w:rsidP="003B4629">
      <w:pPr>
        <w:autoSpaceDE w:val="0"/>
        <w:autoSpaceDN w:val="0"/>
      </w:pPr>
      <w:r>
        <w:rPr>
          <w:rStyle w:val="Lienhypertexte"/>
        </w:rPr>
        <w:t>www.henkel.com/ir</w:t>
      </w:r>
    </w:p>
    <w:p w:rsidR="003B4629" w:rsidRPr="00452BE7" w:rsidRDefault="003B4629" w:rsidP="003B4629">
      <w:pPr>
        <w:autoSpaceDE w:val="0"/>
        <w:autoSpaceDN w:val="0"/>
        <w:rPr>
          <w:rStyle w:val="Lienhypertexte"/>
        </w:rPr>
      </w:pPr>
      <w:r>
        <w:rPr>
          <w:rStyle w:val="Lienhypertexte"/>
        </w:rPr>
        <w:t>www.henkel.com/press</w:t>
      </w:r>
    </w:p>
    <w:p w:rsidR="003B4629" w:rsidRPr="003B4629" w:rsidRDefault="003B4629" w:rsidP="003B4629">
      <w:pPr>
        <w:autoSpaceDE w:val="0"/>
        <w:autoSpaceDN w:val="0"/>
        <w:adjustRightInd w:val="0"/>
        <w:spacing w:line="240" w:lineRule="auto"/>
        <w:rPr>
          <w:rFonts w:ascii="Helv" w:hAnsi="Helv" w:cs="Helv"/>
          <w:color w:val="0000FF"/>
          <w:szCs w:val="20"/>
          <w:u w:val="single"/>
        </w:rPr>
      </w:pPr>
    </w:p>
    <w:p w:rsidR="003B4629" w:rsidRPr="003B4629" w:rsidRDefault="003B4629" w:rsidP="003B4629">
      <w:pPr>
        <w:tabs>
          <w:tab w:val="left" w:pos="0"/>
          <w:tab w:val="left" w:pos="360"/>
          <w:tab w:val="left" w:pos="1080"/>
          <w:tab w:val="left" w:pos="1800"/>
          <w:tab w:val="left" w:pos="2520"/>
          <w:tab w:val="left" w:pos="3240"/>
          <w:tab w:val="left" w:pos="3960"/>
        </w:tabs>
        <w:autoSpaceDE w:val="0"/>
        <w:autoSpaceDN w:val="0"/>
        <w:adjustRightInd w:val="0"/>
        <w:spacing w:line="240" w:lineRule="auto"/>
        <w:jc w:val="both"/>
      </w:pPr>
    </w:p>
    <w:p w:rsidR="00027FA3" w:rsidRPr="003B4629" w:rsidRDefault="00A46DA1" w:rsidP="003B4629">
      <w:r>
        <w:rPr>
          <w:noProof/>
          <w:lang w:bidi="ar-SA"/>
        </w:rPr>
        <w:lastRenderedPageBreak/>
        <w:drawing>
          <wp:inline distT="0" distB="0" distL="0" distR="0">
            <wp:extent cx="5759450" cy="5513705"/>
            <wp:effectExtent l="19050" t="0" r="0" b="0"/>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srcRect/>
                    <a:stretch>
                      <a:fillRect/>
                    </a:stretch>
                  </pic:blipFill>
                  <pic:spPr bwMode="auto">
                    <a:xfrm>
                      <a:off x="0" y="0"/>
                      <a:ext cx="5759450" cy="5513705"/>
                    </a:xfrm>
                    <a:prstGeom prst="rect">
                      <a:avLst/>
                    </a:prstGeom>
                    <a:noFill/>
                    <a:ln w="9525">
                      <a:noFill/>
                      <a:miter lim="800000"/>
                      <a:headEnd/>
                      <a:tailEnd/>
                    </a:ln>
                  </pic:spPr>
                </pic:pic>
              </a:graphicData>
            </a:graphic>
          </wp:inline>
        </w:drawing>
      </w:r>
    </w:p>
    <w:sectPr w:rsidR="00027FA3" w:rsidRPr="003B4629" w:rsidSect="00233832">
      <w:headerReference w:type="default" r:id="rId11"/>
      <w:footerReference w:type="default" r:id="rId12"/>
      <w:headerReference w:type="first" r:id="rId13"/>
      <w:footerReference w:type="first" r:id="rId14"/>
      <w:pgSz w:w="11907" w:h="16840" w:code="9"/>
      <w:pgMar w:top="510" w:right="1275" w:bottom="1985" w:left="1418" w:header="720" w:footer="9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58F" w:rsidRDefault="007E458F">
      <w:pPr>
        <w:rPr>
          <w:lang w:val="en-GB"/>
        </w:rPr>
      </w:pPr>
      <w:r>
        <w:rPr>
          <w:lang w:val="en-GB"/>
        </w:rPr>
        <w:separator/>
      </w:r>
    </w:p>
  </w:endnote>
  <w:endnote w:type="continuationSeparator" w:id="0">
    <w:p w:rsidR="007E458F" w:rsidRDefault="007E458F">
      <w:pPr>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FA3" w:rsidRPr="00BA1B20" w:rsidRDefault="00027FA3">
    <w:pPr>
      <w:pStyle w:val="Pieddepage"/>
      <w:tabs>
        <w:tab w:val="clear" w:pos="7083"/>
        <w:tab w:val="clear" w:pos="8640"/>
        <w:tab w:val="right" w:pos="9057"/>
      </w:tabs>
      <w:rPr>
        <w:b w:val="0"/>
        <w:color w:val="auto"/>
        <w:sz w:val="14"/>
        <w:szCs w:val="14"/>
      </w:rPr>
    </w:pPr>
    <w:r>
      <w:rPr>
        <w:color w:val="auto"/>
        <w:sz w:val="14"/>
      </w:rPr>
      <w:t>Henkel AG &amp; Co.</w:t>
    </w:r>
    <w:r>
      <w:rPr>
        <w:b w:val="0"/>
        <w:color w:val="auto"/>
        <w:sz w:val="14"/>
      </w:rPr>
      <w:t xml:space="preserve"> </w:t>
    </w:r>
    <w:r>
      <w:rPr>
        <w:color w:val="auto"/>
        <w:sz w:val="14"/>
      </w:rPr>
      <w:t>KGaA</w:t>
    </w:r>
    <w:r>
      <w:tab/>
    </w:r>
    <w:r>
      <w:rPr>
        <w:b w:val="0"/>
        <w:color w:val="auto"/>
        <w:sz w:val="14"/>
      </w:rPr>
      <w:t xml:space="preserve">Page </w:t>
    </w:r>
    <w:r w:rsidR="00911161" w:rsidRPr="00BA1B20">
      <w:rPr>
        <w:b w:val="0"/>
        <w:color w:val="auto"/>
        <w:sz w:val="14"/>
        <w:szCs w:val="14"/>
      </w:rPr>
      <w:fldChar w:fldCharType="begin"/>
    </w:r>
    <w:r w:rsidR="00FE7968" w:rsidRPr="00BA1B20">
      <w:rPr>
        <w:b w:val="0"/>
        <w:color w:val="auto"/>
        <w:sz w:val="14"/>
        <w:szCs w:val="14"/>
      </w:rPr>
      <w:instrText xml:space="preserve"> PAGE  \* Arabic  \* MERGEFORMAT </w:instrText>
    </w:r>
    <w:r w:rsidR="00911161" w:rsidRPr="00BA1B20">
      <w:rPr>
        <w:b w:val="0"/>
        <w:color w:val="auto"/>
        <w:sz w:val="14"/>
        <w:szCs w:val="14"/>
      </w:rPr>
      <w:fldChar w:fldCharType="separate"/>
    </w:r>
    <w:r w:rsidR="00233832">
      <w:rPr>
        <w:b w:val="0"/>
        <w:noProof/>
        <w:color w:val="auto"/>
        <w:sz w:val="14"/>
        <w:szCs w:val="14"/>
      </w:rPr>
      <w:t>2</w:t>
    </w:r>
    <w:r w:rsidR="00911161" w:rsidRPr="00BA1B20">
      <w:rPr>
        <w:b w:val="0"/>
        <w:color w:val="auto"/>
        <w:sz w:val="14"/>
        <w:szCs w:val="14"/>
      </w:rPr>
      <w:fldChar w:fldCharType="end"/>
    </w:r>
    <w:r>
      <w:rPr>
        <w:b w:val="0"/>
        <w:color w:val="auto"/>
        <w:sz w:val="14"/>
      </w:rPr>
      <w:t>/</w:t>
    </w:r>
    <w:fldSimple w:instr=" NUMPAGES  \* Arabic  \* MERGEFORMAT ">
      <w:r w:rsidR="00233832" w:rsidRPr="00233832">
        <w:rPr>
          <w:b w:val="0"/>
          <w:noProof/>
          <w:color w:val="auto"/>
          <w:sz w:val="14"/>
          <w:szCs w:val="14"/>
        </w:rPr>
        <w:t>9</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125" w:rsidRPr="004A4699" w:rsidRDefault="00656125" w:rsidP="00656125">
    <w:pPr>
      <w:pStyle w:val="Pieddepage"/>
      <w:jc w:val="right"/>
      <w:rPr>
        <w:color w:val="auto"/>
      </w:rPr>
    </w:pPr>
    <w:r>
      <w:rPr>
        <w:b w:val="0"/>
        <w:noProof/>
        <w:color w:val="auto"/>
        <w:lang w:bidi="ar-SA"/>
      </w:rPr>
      <w:drawing>
        <wp:anchor distT="0" distB="0" distL="114300" distR="114300" simplePos="0" relativeHeight="251769856" behindDoc="0" locked="0" layoutInCell="1" allowOverlap="1" wp14:anchorId="00A9ABEF" wp14:editId="08359EBC">
          <wp:simplePos x="0" y="0"/>
          <wp:positionH relativeFrom="column">
            <wp:posOffset>4707890</wp:posOffset>
          </wp:positionH>
          <wp:positionV relativeFrom="paragraph">
            <wp:posOffset>-14605</wp:posOffset>
          </wp:positionV>
          <wp:extent cx="1226820" cy="137160"/>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13716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color w:val="auto"/>
        <w:lang w:bidi="ar-SA"/>
      </w:rPr>
      <w:drawing>
        <wp:anchor distT="0" distB="0" distL="114300" distR="114300" simplePos="0" relativeHeight="251807744" behindDoc="1" locked="0" layoutInCell="1" allowOverlap="1" wp14:anchorId="6F02A529" wp14:editId="538717D2">
          <wp:simplePos x="0" y="0"/>
          <wp:positionH relativeFrom="column">
            <wp:posOffset>4052570</wp:posOffset>
          </wp:positionH>
          <wp:positionV relativeFrom="paragraph">
            <wp:posOffset>-114935</wp:posOffset>
          </wp:positionV>
          <wp:extent cx="500380" cy="30035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038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color w:val="auto"/>
        <w:lang w:bidi="ar-SA"/>
      </w:rPr>
      <w:drawing>
        <wp:anchor distT="0" distB="0" distL="114300" distR="114300" simplePos="0" relativeHeight="251694080" behindDoc="0" locked="0" layoutInCell="1" allowOverlap="1" wp14:anchorId="57EA0F30" wp14:editId="495578A8">
          <wp:simplePos x="0" y="0"/>
          <wp:positionH relativeFrom="column">
            <wp:posOffset>2854960</wp:posOffset>
          </wp:positionH>
          <wp:positionV relativeFrom="paragraph">
            <wp:posOffset>-80010</wp:posOffset>
          </wp:positionV>
          <wp:extent cx="273685" cy="298450"/>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3685" cy="298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color w:val="auto"/>
        <w:lang w:bidi="ar-SA"/>
      </w:rPr>
      <w:drawing>
        <wp:anchor distT="0" distB="0" distL="114300" distR="114300" simplePos="0" relativeHeight="251618304" behindDoc="0" locked="0" layoutInCell="1" allowOverlap="1" wp14:anchorId="5B888CC2" wp14:editId="208CE2EB">
          <wp:simplePos x="0" y="0"/>
          <wp:positionH relativeFrom="column">
            <wp:posOffset>2056130</wp:posOffset>
          </wp:positionH>
          <wp:positionV relativeFrom="paragraph">
            <wp:posOffset>-165735</wp:posOffset>
          </wp:positionV>
          <wp:extent cx="690880" cy="351155"/>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0880" cy="35115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color w:val="auto"/>
        <w:lang w:bidi="ar-SA"/>
      </w:rPr>
      <w:drawing>
        <wp:anchor distT="0" distB="0" distL="114300" distR="114300" simplePos="0" relativeHeight="251542528" behindDoc="1" locked="0" layoutInCell="1" allowOverlap="1" wp14:anchorId="63401B5E" wp14:editId="2D66CB0D">
          <wp:simplePos x="0" y="0"/>
          <wp:positionH relativeFrom="column">
            <wp:posOffset>-33020</wp:posOffset>
          </wp:positionH>
          <wp:positionV relativeFrom="paragraph">
            <wp:posOffset>-206375</wp:posOffset>
          </wp:positionV>
          <wp:extent cx="542290" cy="436245"/>
          <wp:effectExtent l="0" t="0" r="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43624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color w:val="auto"/>
        <w:lang w:bidi="ar-SA"/>
      </w:rPr>
      <w:drawing>
        <wp:anchor distT="0" distB="0" distL="114300" distR="114300" simplePos="0" relativeHeight="251731968" behindDoc="0" locked="0" layoutInCell="1" allowOverlap="1" wp14:anchorId="04E11F81" wp14:editId="4B825D3F">
          <wp:simplePos x="0" y="0"/>
          <wp:positionH relativeFrom="column">
            <wp:posOffset>3226435</wp:posOffset>
          </wp:positionH>
          <wp:positionV relativeFrom="paragraph">
            <wp:posOffset>-273050</wp:posOffset>
          </wp:positionV>
          <wp:extent cx="638810" cy="638810"/>
          <wp:effectExtent l="0" t="0" r="0" b="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810" cy="63881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color w:val="auto"/>
        <w:lang w:bidi="ar-SA"/>
      </w:rPr>
      <w:drawing>
        <wp:anchor distT="0" distB="0" distL="114300" distR="114300" simplePos="0" relativeHeight="251656192" behindDoc="0" locked="0" layoutInCell="1" allowOverlap="1" wp14:anchorId="7E6A94A9" wp14:editId="59D61499">
          <wp:simplePos x="0" y="0"/>
          <wp:positionH relativeFrom="column">
            <wp:posOffset>1207770</wp:posOffset>
          </wp:positionH>
          <wp:positionV relativeFrom="paragraph">
            <wp:posOffset>-134620</wp:posOffset>
          </wp:positionV>
          <wp:extent cx="768350" cy="329565"/>
          <wp:effectExtent l="0" t="0" r="0"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32956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color w:val="auto"/>
        <w:lang w:bidi="ar-SA"/>
      </w:rPr>
      <w:drawing>
        <wp:anchor distT="0" distB="0" distL="114300" distR="114300" simplePos="0" relativeHeight="251580416" behindDoc="0" locked="0" layoutInCell="1" allowOverlap="1" wp14:anchorId="2AF0E521" wp14:editId="7692F269">
          <wp:simplePos x="0" y="0"/>
          <wp:positionH relativeFrom="column">
            <wp:posOffset>537210</wp:posOffset>
          </wp:positionH>
          <wp:positionV relativeFrom="paragraph">
            <wp:posOffset>-167640</wp:posOffset>
          </wp:positionV>
          <wp:extent cx="574040" cy="340360"/>
          <wp:effectExtent l="0" t="0" r="0" b="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7FA3" w:rsidRPr="0057641E" w:rsidRDefault="00930F81">
    <w:pPr>
      <w:pStyle w:val="Pieddepage"/>
      <w:jc w:val="right"/>
      <w:rPr>
        <w:b w:val="0"/>
        <w:color w:val="auto"/>
        <w:sz w:val="14"/>
        <w:szCs w:val="14"/>
      </w:rPr>
    </w:pPr>
    <w:r>
      <w:rPr>
        <w:b w:val="0"/>
        <w:color w:val="auto"/>
        <w:sz w:val="14"/>
      </w:rPr>
      <w:t xml:space="preserve">Page </w:t>
    </w:r>
    <w:r w:rsidR="00911161" w:rsidRPr="0057641E">
      <w:rPr>
        <w:b w:val="0"/>
        <w:color w:val="auto"/>
        <w:sz w:val="14"/>
        <w:szCs w:val="14"/>
      </w:rPr>
      <w:fldChar w:fldCharType="begin"/>
    </w:r>
    <w:r w:rsidR="003B70E3" w:rsidRPr="0057641E">
      <w:rPr>
        <w:b w:val="0"/>
        <w:color w:val="auto"/>
        <w:sz w:val="14"/>
        <w:szCs w:val="14"/>
      </w:rPr>
      <w:instrText xml:space="preserve"> PAGE  \* Arabic  \* MERGEFORMAT </w:instrText>
    </w:r>
    <w:r w:rsidR="00911161" w:rsidRPr="0057641E">
      <w:rPr>
        <w:b w:val="0"/>
        <w:color w:val="auto"/>
        <w:sz w:val="14"/>
        <w:szCs w:val="14"/>
      </w:rPr>
      <w:fldChar w:fldCharType="separate"/>
    </w:r>
    <w:r w:rsidR="00233832">
      <w:rPr>
        <w:b w:val="0"/>
        <w:noProof/>
        <w:color w:val="auto"/>
        <w:sz w:val="14"/>
        <w:szCs w:val="14"/>
      </w:rPr>
      <w:t>1</w:t>
    </w:r>
    <w:r w:rsidR="00911161" w:rsidRPr="0057641E">
      <w:rPr>
        <w:b w:val="0"/>
        <w:color w:val="auto"/>
        <w:sz w:val="14"/>
        <w:szCs w:val="14"/>
      </w:rPr>
      <w:fldChar w:fldCharType="end"/>
    </w:r>
    <w:r>
      <w:rPr>
        <w:b w:val="0"/>
        <w:color w:val="auto"/>
        <w:sz w:val="14"/>
      </w:rPr>
      <w:t>/</w:t>
    </w:r>
    <w:fldSimple w:instr=" NUMPAGES  \* Arabic  \* MERGEFORMAT ">
      <w:r w:rsidR="00233832" w:rsidRPr="00233832">
        <w:rPr>
          <w:b w:val="0"/>
          <w:noProof/>
          <w:color w:val="auto"/>
          <w:sz w:val="14"/>
          <w:szCs w:val="14"/>
        </w:rPr>
        <w:t>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58F" w:rsidRDefault="007E458F">
      <w:pPr>
        <w:rPr>
          <w:lang w:val="en-GB"/>
        </w:rPr>
      </w:pPr>
      <w:r>
        <w:rPr>
          <w:lang w:val="en-GB"/>
        </w:rPr>
        <w:separator/>
      </w:r>
    </w:p>
  </w:footnote>
  <w:footnote w:type="continuationSeparator" w:id="0">
    <w:p w:rsidR="007E458F" w:rsidRDefault="007E458F">
      <w:pPr>
        <w:rPr>
          <w:lang w:val="en-GB"/>
        </w:rPr>
      </w:pPr>
      <w:r>
        <w:rPr>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FA3" w:rsidRDefault="00233832">
    <w:pPr>
      <w:pStyle w:val="En-tte"/>
      <w:spacing w:after="567" w:line="280" w:lineRule="exact"/>
      <w:jc w:val="right"/>
    </w:pPr>
    <w:r>
      <w:rPr>
        <w:noProof/>
      </w:rPr>
      <w:pict>
        <v:group id="_x0000_s2049" style="position:absolute;left:0;text-align:left;margin-left:14.2pt;margin-top:297.7pt;width:14.45pt;height:298.9pt;z-index:251658752;mso-position-horizontal-relative:page;mso-position-vertical-relative:page" coordorigin=",5954" coordsize="283,5953">
          <v:line id="_x0000_s2050" style="position:absolute;mso-position-horizontal-relative:page;mso-position-vertical-relative:page" from="0,5954" to="283,5954" strokecolor="#e1000f" strokeweight=".5pt"/>
          <v:line id="_x0000_s2051" style="position:absolute;mso-position-horizontal-relative:page;mso-position-vertical-relative:page" from="0,8420" to="283,8420" strokecolor="#e1000f" strokeweight=".5pt"/>
          <v:line id="_x0000_s2052" style="position:absolute;mso-position-horizontal-relative:page;mso-position-vertical-relative:page" from="0,11907" to="283,11907" strokecolor="#e1000f" strokeweight=".5pt"/>
          <w10:wrap anchorx="page" anchory="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FA3" w:rsidRDefault="00027FA3" w:rsidP="00233832">
    <w:pPr>
      <w:pStyle w:val="En-tte"/>
      <w:tabs>
        <w:tab w:val="clear" w:pos="8640"/>
      </w:tabs>
      <w:spacing w:line="2155" w:lineRule="exact"/>
      <w:rPr>
        <w:b/>
        <w:bCs/>
        <w:sz w:val="36"/>
        <w:szCs w:val="36"/>
      </w:rPr>
    </w:pPr>
  </w:p>
  <w:p w:rsidR="00027FA3" w:rsidRDefault="00233832">
    <w:pPr>
      <w:pStyle w:val="En-tte"/>
      <w:tabs>
        <w:tab w:val="clear" w:pos="8640"/>
      </w:tabs>
      <w:spacing w:line="420" w:lineRule="atLeast"/>
      <w:jc w:val="right"/>
      <w:rPr>
        <w:b/>
        <w:bCs/>
        <w:sz w:val="36"/>
        <w:szCs w:val="36"/>
      </w:rPr>
    </w:pPr>
    <w:r>
      <w:rPr>
        <w:noProof/>
      </w:rPr>
      <w:pict>
        <v:group id="_x0000_s2053" style="position:absolute;left:0;text-align:left;margin-left:14.2pt;margin-top:297.7pt;width:14.15pt;height:297.65pt;z-index:251657728;mso-position-horizontal-relative:page;mso-position-vertical-relative:page" coordorigin=",5954" coordsize="283,5953">
          <v:line id="_x0000_s2054" style="position:absolute;mso-position-horizontal-relative:page;mso-position-vertical-relative:page" from="0,5954" to="283,5954" strokecolor="#e1000f" strokeweight=".5pt"/>
          <v:line id="_x0000_s2055" style="position:absolute;mso-position-horizontal-relative:page;mso-position-vertical-relative:page" from="0,8420" to="283,8420" strokecolor="#e1000f" strokeweight=".5pt"/>
          <v:line id="_x0000_s2056" style="position:absolute;mso-position-horizontal-relative:page;mso-position-vertical-relative:page" from="0,11907" to="283,11907" strokecolor="#e1000f" strokeweight=".5pt"/>
          <w10:wrap anchorx="page" anchory="page"/>
        </v:group>
      </w:pict>
    </w:r>
    <w:r w:rsidR="00A556D9">
      <w:rPr>
        <w:b/>
        <w:sz w:val="36"/>
      </w:rPr>
      <w:t>Communiqué de presse</w:t>
    </w:r>
    <w:r w:rsidR="00A556D9">
      <w:rPr>
        <w:noProof/>
        <w:lang w:bidi="ar-SA"/>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4029075" cy="1152525"/>
          <wp:effectExtent l="19050" t="0" r="9525" b="0"/>
          <wp:wrapNone/>
          <wp:docPr id="1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4029075" cy="11525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70FC8"/>
    <w:multiLevelType w:val="hybridMultilevel"/>
    <w:tmpl w:val="453ECC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65890"/>
    <w:multiLevelType w:val="hybridMultilevel"/>
    <w:tmpl w:val="BA1428CA"/>
    <w:lvl w:ilvl="0" w:tplc="B824E5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1E663F"/>
    <w:multiLevelType w:val="hybridMultilevel"/>
    <w:tmpl w:val="B5D8AE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FC84CC7"/>
    <w:multiLevelType w:val="hybridMultilevel"/>
    <w:tmpl w:val="B252A308"/>
    <w:lvl w:ilvl="0" w:tplc="022C89AA">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E6488"/>
    <w:rsid w:val="00000EFA"/>
    <w:rsid w:val="00002BD2"/>
    <w:rsid w:val="00014371"/>
    <w:rsid w:val="000235C2"/>
    <w:rsid w:val="0002420E"/>
    <w:rsid w:val="00027FA3"/>
    <w:rsid w:val="0003078D"/>
    <w:rsid w:val="00041446"/>
    <w:rsid w:val="000417ED"/>
    <w:rsid w:val="0004629B"/>
    <w:rsid w:val="00047D60"/>
    <w:rsid w:val="00050E1B"/>
    <w:rsid w:val="000538ED"/>
    <w:rsid w:val="0005634B"/>
    <w:rsid w:val="00057B7F"/>
    <w:rsid w:val="00061440"/>
    <w:rsid w:val="00061565"/>
    <w:rsid w:val="0006369B"/>
    <w:rsid w:val="000653E1"/>
    <w:rsid w:val="0006688F"/>
    <w:rsid w:val="000670CE"/>
    <w:rsid w:val="00067188"/>
    <w:rsid w:val="0007176F"/>
    <w:rsid w:val="00071AA9"/>
    <w:rsid w:val="000724A9"/>
    <w:rsid w:val="00081234"/>
    <w:rsid w:val="00083C8C"/>
    <w:rsid w:val="00083E02"/>
    <w:rsid w:val="00084943"/>
    <w:rsid w:val="00084BBE"/>
    <w:rsid w:val="000859C7"/>
    <w:rsid w:val="0009653F"/>
    <w:rsid w:val="000A2C5D"/>
    <w:rsid w:val="000A6AB8"/>
    <w:rsid w:val="000A7046"/>
    <w:rsid w:val="000B0CEA"/>
    <w:rsid w:val="000B5243"/>
    <w:rsid w:val="000C5D4A"/>
    <w:rsid w:val="000D167B"/>
    <w:rsid w:val="000D5D7F"/>
    <w:rsid w:val="000D6CA8"/>
    <w:rsid w:val="00102B47"/>
    <w:rsid w:val="00110808"/>
    <w:rsid w:val="001121C5"/>
    <w:rsid w:val="001168EE"/>
    <w:rsid w:val="00124CC0"/>
    <w:rsid w:val="00130FF0"/>
    <w:rsid w:val="00132C95"/>
    <w:rsid w:val="001443E8"/>
    <w:rsid w:val="0014548D"/>
    <w:rsid w:val="001529DC"/>
    <w:rsid w:val="00153618"/>
    <w:rsid w:val="00193774"/>
    <w:rsid w:val="00194CBC"/>
    <w:rsid w:val="00196E76"/>
    <w:rsid w:val="001A42FA"/>
    <w:rsid w:val="001A57BA"/>
    <w:rsid w:val="001B148F"/>
    <w:rsid w:val="001B4DF6"/>
    <w:rsid w:val="001C154A"/>
    <w:rsid w:val="001C2ABF"/>
    <w:rsid w:val="001C4451"/>
    <w:rsid w:val="001C5CA9"/>
    <w:rsid w:val="001D0BEB"/>
    <w:rsid w:val="001D20DF"/>
    <w:rsid w:val="001E6488"/>
    <w:rsid w:val="001F7520"/>
    <w:rsid w:val="002033EB"/>
    <w:rsid w:val="00204BFE"/>
    <w:rsid w:val="002145C0"/>
    <w:rsid w:val="00215747"/>
    <w:rsid w:val="00215CEE"/>
    <w:rsid w:val="0022385A"/>
    <w:rsid w:val="002264B3"/>
    <w:rsid w:val="00230E92"/>
    <w:rsid w:val="00233832"/>
    <w:rsid w:val="002347D7"/>
    <w:rsid w:val="00240709"/>
    <w:rsid w:val="00250809"/>
    <w:rsid w:val="00250901"/>
    <w:rsid w:val="00261454"/>
    <w:rsid w:val="00262317"/>
    <w:rsid w:val="00264F56"/>
    <w:rsid w:val="00274A6F"/>
    <w:rsid w:val="00277707"/>
    <w:rsid w:val="00285852"/>
    <w:rsid w:val="00286CAB"/>
    <w:rsid w:val="00290597"/>
    <w:rsid w:val="00290795"/>
    <w:rsid w:val="002921BA"/>
    <w:rsid w:val="002A1B5C"/>
    <w:rsid w:val="002A55FF"/>
    <w:rsid w:val="002B5994"/>
    <w:rsid w:val="002B7376"/>
    <w:rsid w:val="002C5CED"/>
    <w:rsid w:val="002D3381"/>
    <w:rsid w:val="002E5BE3"/>
    <w:rsid w:val="003030B0"/>
    <w:rsid w:val="00312FB9"/>
    <w:rsid w:val="0031435C"/>
    <w:rsid w:val="0032035C"/>
    <w:rsid w:val="00322D37"/>
    <w:rsid w:val="0032555B"/>
    <w:rsid w:val="0032670D"/>
    <w:rsid w:val="0033370A"/>
    <w:rsid w:val="003404CF"/>
    <w:rsid w:val="0034536C"/>
    <w:rsid w:val="00347B74"/>
    <w:rsid w:val="00354624"/>
    <w:rsid w:val="00355BC7"/>
    <w:rsid w:val="00360755"/>
    <w:rsid w:val="0036277B"/>
    <w:rsid w:val="00373C04"/>
    <w:rsid w:val="0038390B"/>
    <w:rsid w:val="00395CC3"/>
    <w:rsid w:val="003A7E1A"/>
    <w:rsid w:val="003B4074"/>
    <w:rsid w:val="003B4629"/>
    <w:rsid w:val="003B62F1"/>
    <w:rsid w:val="003B70E3"/>
    <w:rsid w:val="003C2CCD"/>
    <w:rsid w:val="003C664B"/>
    <w:rsid w:val="003D03D2"/>
    <w:rsid w:val="003D11DB"/>
    <w:rsid w:val="003E174F"/>
    <w:rsid w:val="003E3CC2"/>
    <w:rsid w:val="004046C4"/>
    <w:rsid w:val="004046D4"/>
    <w:rsid w:val="004114DF"/>
    <w:rsid w:val="004116DF"/>
    <w:rsid w:val="004240C0"/>
    <w:rsid w:val="00431B2A"/>
    <w:rsid w:val="004452B0"/>
    <w:rsid w:val="00445C07"/>
    <w:rsid w:val="004476B4"/>
    <w:rsid w:val="00452A52"/>
    <w:rsid w:val="00452BE7"/>
    <w:rsid w:val="004550E6"/>
    <w:rsid w:val="004552CC"/>
    <w:rsid w:val="00461C2C"/>
    <w:rsid w:val="00463528"/>
    <w:rsid w:val="00464B46"/>
    <w:rsid w:val="0046720F"/>
    <w:rsid w:val="00475336"/>
    <w:rsid w:val="00476F36"/>
    <w:rsid w:val="00481799"/>
    <w:rsid w:val="00481913"/>
    <w:rsid w:val="004820AF"/>
    <w:rsid w:val="004853F4"/>
    <w:rsid w:val="00485EEC"/>
    <w:rsid w:val="00487DB8"/>
    <w:rsid w:val="00487FE8"/>
    <w:rsid w:val="004B45C8"/>
    <w:rsid w:val="004B45DD"/>
    <w:rsid w:val="004B478D"/>
    <w:rsid w:val="004B5C93"/>
    <w:rsid w:val="004B72A5"/>
    <w:rsid w:val="004C1AF2"/>
    <w:rsid w:val="004C2589"/>
    <w:rsid w:val="004C3EE9"/>
    <w:rsid w:val="004C46BB"/>
    <w:rsid w:val="004D0A37"/>
    <w:rsid w:val="004D3CC7"/>
    <w:rsid w:val="004D6D8A"/>
    <w:rsid w:val="004E064E"/>
    <w:rsid w:val="004E17BF"/>
    <w:rsid w:val="004E5A5A"/>
    <w:rsid w:val="004F39C9"/>
    <w:rsid w:val="00506C97"/>
    <w:rsid w:val="00510CC2"/>
    <w:rsid w:val="0052405E"/>
    <w:rsid w:val="005405EA"/>
    <w:rsid w:val="00540EC5"/>
    <w:rsid w:val="005453DE"/>
    <w:rsid w:val="005503DE"/>
    <w:rsid w:val="005607C2"/>
    <w:rsid w:val="00567A9C"/>
    <w:rsid w:val="00572B06"/>
    <w:rsid w:val="00574F17"/>
    <w:rsid w:val="0057641E"/>
    <w:rsid w:val="00577938"/>
    <w:rsid w:val="005855AC"/>
    <w:rsid w:val="00585A25"/>
    <w:rsid w:val="00593822"/>
    <w:rsid w:val="005A7FB8"/>
    <w:rsid w:val="005B0104"/>
    <w:rsid w:val="005B3B5B"/>
    <w:rsid w:val="005B4145"/>
    <w:rsid w:val="005B5345"/>
    <w:rsid w:val="005B62F4"/>
    <w:rsid w:val="005B7366"/>
    <w:rsid w:val="005C1BC3"/>
    <w:rsid w:val="005C64FB"/>
    <w:rsid w:val="005D32FB"/>
    <w:rsid w:val="005E11D6"/>
    <w:rsid w:val="005E5978"/>
    <w:rsid w:val="005F6A41"/>
    <w:rsid w:val="005F6D74"/>
    <w:rsid w:val="0060376E"/>
    <w:rsid w:val="00605904"/>
    <w:rsid w:val="00611A14"/>
    <w:rsid w:val="00612935"/>
    <w:rsid w:val="00612F7E"/>
    <w:rsid w:val="00632F23"/>
    <w:rsid w:val="00636D43"/>
    <w:rsid w:val="006400C4"/>
    <w:rsid w:val="00641CD6"/>
    <w:rsid w:val="00641FD5"/>
    <w:rsid w:val="00656125"/>
    <w:rsid w:val="00674A56"/>
    <w:rsid w:val="00676C50"/>
    <w:rsid w:val="006807A2"/>
    <w:rsid w:val="00682A1A"/>
    <w:rsid w:val="0068603A"/>
    <w:rsid w:val="00686F97"/>
    <w:rsid w:val="00690F5E"/>
    <w:rsid w:val="0069269B"/>
    <w:rsid w:val="00695DDC"/>
    <w:rsid w:val="006A0B7B"/>
    <w:rsid w:val="006A0BFB"/>
    <w:rsid w:val="006A1280"/>
    <w:rsid w:val="006A4206"/>
    <w:rsid w:val="006A5886"/>
    <w:rsid w:val="006B184B"/>
    <w:rsid w:val="006B1BF6"/>
    <w:rsid w:val="006C1B5D"/>
    <w:rsid w:val="006C623C"/>
    <w:rsid w:val="006C7767"/>
    <w:rsid w:val="006D0373"/>
    <w:rsid w:val="006E0768"/>
    <w:rsid w:val="006E2CA4"/>
    <w:rsid w:val="006E44D2"/>
    <w:rsid w:val="006E4B54"/>
    <w:rsid w:val="006E5F4D"/>
    <w:rsid w:val="006F2ECD"/>
    <w:rsid w:val="006F311D"/>
    <w:rsid w:val="006F6EE2"/>
    <w:rsid w:val="00703AF6"/>
    <w:rsid w:val="00706CEC"/>
    <w:rsid w:val="007106CA"/>
    <w:rsid w:val="00712DAB"/>
    <w:rsid w:val="00716335"/>
    <w:rsid w:val="0071639A"/>
    <w:rsid w:val="00717040"/>
    <w:rsid w:val="00717BAB"/>
    <w:rsid w:val="00721354"/>
    <w:rsid w:val="007271DF"/>
    <w:rsid w:val="00727501"/>
    <w:rsid w:val="007426E0"/>
    <w:rsid w:val="00756BA7"/>
    <w:rsid w:val="00761393"/>
    <w:rsid w:val="007617BF"/>
    <w:rsid w:val="007645AC"/>
    <w:rsid w:val="0076475F"/>
    <w:rsid w:val="00765B67"/>
    <w:rsid w:val="0077066D"/>
    <w:rsid w:val="00771B22"/>
    <w:rsid w:val="00772CB9"/>
    <w:rsid w:val="00773A95"/>
    <w:rsid w:val="0077477D"/>
    <w:rsid w:val="00783047"/>
    <w:rsid w:val="0078337E"/>
    <w:rsid w:val="00784466"/>
    <w:rsid w:val="00791566"/>
    <w:rsid w:val="00792B12"/>
    <w:rsid w:val="0079409D"/>
    <w:rsid w:val="0079482B"/>
    <w:rsid w:val="0079738A"/>
    <w:rsid w:val="007A4105"/>
    <w:rsid w:val="007A49E9"/>
    <w:rsid w:val="007A61D2"/>
    <w:rsid w:val="007A7206"/>
    <w:rsid w:val="007B124C"/>
    <w:rsid w:val="007B1FC2"/>
    <w:rsid w:val="007B255D"/>
    <w:rsid w:val="007C5748"/>
    <w:rsid w:val="007D3D38"/>
    <w:rsid w:val="007E2FF7"/>
    <w:rsid w:val="007E37D9"/>
    <w:rsid w:val="007E3920"/>
    <w:rsid w:val="007E458F"/>
    <w:rsid w:val="007F611E"/>
    <w:rsid w:val="00801F73"/>
    <w:rsid w:val="0080230E"/>
    <w:rsid w:val="00805292"/>
    <w:rsid w:val="008065BF"/>
    <w:rsid w:val="008133A0"/>
    <w:rsid w:val="00814EB7"/>
    <w:rsid w:val="008232A0"/>
    <w:rsid w:val="00827BF6"/>
    <w:rsid w:val="0083174A"/>
    <w:rsid w:val="008326FB"/>
    <w:rsid w:val="00833918"/>
    <w:rsid w:val="00836639"/>
    <w:rsid w:val="00836AC5"/>
    <w:rsid w:val="00841032"/>
    <w:rsid w:val="00841417"/>
    <w:rsid w:val="00852F3E"/>
    <w:rsid w:val="00860E14"/>
    <w:rsid w:val="008662DE"/>
    <w:rsid w:val="00871C5A"/>
    <w:rsid w:val="0087783C"/>
    <w:rsid w:val="00885A69"/>
    <w:rsid w:val="00885ECD"/>
    <w:rsid w:val="008864E3"/>
    <w:rsid w:val="00886660"/>
    <w:rsid w:val="00890974"/>
    <w:rsid w:val="00892261"/>
    <w:rsid w:val="008A3E34"/>
    <w:rsid w:val="008A3E7D"/>
    <w:rsid w:val="008A420B"/>
    <w:rsid w:val="008A6E25"/>
    <w:rsid w:val="008B3D00"/>
    <w:rsid w:val="008B3FC8"/>
    <w:rsid w:val="008B5BEB"/>
    <w:rsid w:val="008B6AF6"/>
    <w:rsid w:val="008C0125"/>
    <w:rsid w:val="008C154C"/>
    <w:rsid w:val="008C481C"/>
    <w:rsid w:val="008C7618"/>
    <w:rsid w:val="008D1E83"/>
    <w:rsid w:val="008E39DC"/>
    <w:rsid w:val="008F3280"/>
    <w:rsid w:val="008F6E35"/>
    <w:rsid w:val="009005EC"/>
    <w:rsid w:val="00911161"/>
    <w:rsid w:val="00912C1D"/>
    <w:rsid w:val="0091370F"/>
    <w:rsid w:val="009139DE"/>
    <w:rsid w:val="00914123"/>
    <w:rsid w:val="00920DE3"/>
    <w:rsid w:val="0092266D"/>
    <w:rsid w:val="00927BF4"/>
    <w:rsid w:val="00930F81"/>
    <w:rsid w:val="00931374"/>
    <w:rsid w:val="009358AB"/>
    <w:rsid w:val="009358F3"/>
    <w:rsid w:val="0093728F"/>
    <w:rsid w:val="009403BE"/>
    <w:rsid w:val="0094460D"/>
    <w:rsid w:val="00946443"/>
    <w:rsid w:val="00962B1D"/>
    <w:rsid w:val="00963FAC"/>
    <w:rsid w:val="009667E5"/>
    <w:rsid w:val="00966D88"/>
    <w:rsid w:val="00966EA7"/>
    <w:rsid w:val="00972B51"/>
    <w:rsid w:val="0098123C"/>
    <w:rsid w:val="0098532E"/>
    <w:rsid w:val="0098574A"/>
    <w:rsid w:val="00990242"/>
    <w:rsid w:val="00995D77"/>
    <w:rsid w:val="009A1074"/>
    <w:rsid w:val="009C1C99"/>
    <w:rsid w:val="009C26C1"/>
    <w:rsid w:val="009D73DA"/>
    <w:rsid w:val="009D7E96"/>
    <w:rsid w:val="009E2AF3"/>
    <w:rsid w:val="00A0674E"/>
    <w:rsid w:val="00A07AB5"/>
    <w:rsid w:val="00A11CC9"/>
    <w:rsid w:val="00A14F03"/>
    <w:rsid w:val="00A247AC"/>
    <w:rsid w:val="00A268B0"/>
    <w:rsid w:val="00A268C4"/>
    <w:rsid w:val="00A27298"/>
    <w:rsid w:val="00A27B16"/>
    <w:rsid w:val="00A3463A"/>
    <w:rsid w:val="00A405F5"/>
    <w:rsid w:val="00A43AD7"/>
    <w:rsid w:val="00A45F3A"/>
    <w:rsid w:val="00A46815"/>
    <w:rsid w:val="00A46DA1"/>
    <w:rsid w:val="00A53C44"/>
    <w:rsid w:val="00A556D9"/>
    <w:rsid w:val="00A56E40"/>
    <w:rsid w:val="00A66A87"/>
    <w:rsid w:val="00A752FF"/>
    <w:rsid w:val="00A8552A"/>
    <w:rsid w:val="00A855B8"/>
    <w:rsid w:val="00A85724"/>
    <w:rsid w:val="00A85AC2"/>
    <w:rsid w:val="00A86FBB"/>
    <w:rsid w:val="00A904C9"/>
    <w:rsid w:val="00A92BAA"/>
    <w:rsid w:val="00A93FF9"/>
    <w:rsid w:val="00A97D2B"/>
    <w:rsid w:val="00AB2015"/>
    <w:rsid w:val="00AB690B"/>
    <w:rsid w:val="00AB6D6A"/>
    <w:rsid w:val="00AC4608"/>
    <w:rsid w:val="00AC493A"/>
    <w:rsid w:val="00AC6ACD"/>
    <w:rsid w:val="00AD0911"/>
    <w:rsid w:val="00AD2785"/>
    <w:rsid w:val="00AD2786"/>
    <w:rsid w:val="00AD3BAB"/>
    <w:rsid w:val="00AE2ECF"/>
    <w:rsid w:val="00AE63BF"/>
    <w:rsid w:val="00AF1662"/>
    <w:rsid w:val="00AF2561"/>
    <w:rsid w:val="00AF6D21"/>
    <w:rsid w:val="00B05A01"/>
    <w:rsid w:val="00B05D6E"/>
    <w:rsid w:val="00B15A6A"/>
    <w:rsid w:val="00B16806"/>
    <w:rsid w:val="00B21F43"/>
    <w:rsid w:val="00B22CC4"/>
    <w:rsid w:val="00B273EC"/>
    <w:rsid w:val="00B30AF3"/>
    <w:rsid w:val="00B313DE"/>
    <w:rsid w:val="00B32D55"/>
    <w:rsid w:val="00B35D24"/>
    <w:rsid w:val="00B363AE"/>
    <w:rsid w:val="00B523CC"/>
    <w:rsid w:val="00B52B6E"/>
    <w:rsid w:val="00B53D9F"/>
    <w:rsid w:val="00B55DB8"/>
    <w:rsid w:val="00B604E3"/>
    <w:rsid w:val="00B6540D"/>
    <w:rsid w:val="00B67B16"/>
    <w:rsid w:val="00B7374C"/>
    <w:rsid w:val="00B74B22"/>
    <w:rsid w:val="00B81094"/>
    <w:rsid w:val="00B86C9F"/>
    <w:rsid w:val="00B903D0"/>
    <w:rsid w:val="00B946E8"/>
    <w:rsid w:val="00B94B1E"/>
    <w:rsid w:val="00BA1B20"/>
    <w:rsid w:val="00BA7BB3"/>
    <w:rsid w:val="00BB16AB"/>
    <w:rsid w:val="00BB2ECB"/>
    <w:rsid w:val="00BB312D"/>
    <w:rsid w:val="00BB547C"/>
    <w:rsid w:val="00BB6A5C"/>
    <w:rsid w:val="00BB7908"/>
    <w:rsid w:val="00BC36E6"/>
    <w:rsid w:val="00BC3989"/>
    <w:rsid w:val="00BE0090"/>
    <w:rsid w:val="00BE138E"/>
    <w:rsid w:val="00BE634C"/>
    <w:rsid w:val="00BF2378"/>
    <w:rsid w:val="00BF3E2C"/>
    <w:rsid w:val="00BF475B"/>
    <w:rsid w:val="00C02577"/>
    <w:rsid w:val="00C03AC1"/>
    <w:rsid w:val="00C04539"/>
    <w:rsid w:val="00C105C4"/>
    <w:rsid w:val="00C206A2"/>
    <w:rsid w:val="00C27E11"/>
    <w:rsid w:val="00C3552B"/>
    <w:rsid w:val="00C36998"/>
    <w:rsid w:val="00C41115"/>
    <w:rsid w:val="00C41A40"/>
    <w:rsid w:val="00C531AC"/>
    <w:rsid w:val="00C57E74"/>
    <w:rsid w:val="00C57F7C"/>
    <w:rsid w:val="00C67BDB"/>
    <w:rsid w:val="00C7000E"/>
    <w:rsid w:val="00C70971"/>
    <w:rsid w:val="00C72702"/>
    <w:rsid w:val="00C8312C"/>
    <w:rsid w:val="00C862BE"/>
    <w:rsid w:val="00C941EF"/>
    <w:rsid w:val="00CA033C"/>
    <w:rsid w:val="00CB25E9"/>
    <w:rsid w:val="00CB5202"/>
    <w:rsid w:val="00CB6C4A"/>
    <w:rsid w:val="00CB78C2"/>
    <w:rsid w:val="00CC4AF1"/>
    <w:rsid w:val="00CC78B2"/>
    <w:rsid w:val="00CD035C"/>
    <w:rsid w:val="00CD151F"/>
    <w:rsid w:val="00CD2FE1"/>
    <w:rsid w:val="00CD3169"/>
    <w:rsid w:val="00CD7E79"/>
    <w:rsid w:val="00CE1E83"/>
    <w:rsid w:val="00CF3C87"/>
    <w:rsid w:val="00CF70EF"/>
    <w:rsid w:val="00D15364"/>
    <w:rsid w:val="00D23589"/>
    <w:rsid w:val="00D246ED"/>
    <w:rsid w:val="00D24C0C"/>
    <w:rsid w:val="00D24F30"/>
    <w:rsid w:val="00D2615B"/>
    <w:rsid w:val="00D455CD"/>
    <w:rsid w:val="00D51C86"/>
    <w:rsid w:val="00D55F47"/>
    <w:rsid w:val="00D56CAA"/>
    <w:rsid w:val="00D74D5E"/>
    <w:rsid w:val="00D7602E"/>
    <w:rsid w:val="00D8096A"/>
    <w:rsid w:val="00D97974"/>
    <w:rsid w:val="00DA0DFA"/>
    <w:rsid w:val="00DB6B99"/>
    <w:rsid w:val="00DC4DD2"/>
    <w:rsid w:val="00DC514E"/>
    <w:rsid w:val="00DD00FF"/>
    <w:rsid w:val="00DD073C"/>
    <w:rsid w:val="00DD2F3B"/>
    <w:rsid w:val="00DE3288"/>
    <w:rsid w:val="00DE76F3"/>
    <w:rsid w:val="00DF495D"/>
    <w:rsid w:val="00E045AC"/>
    <w:rsid w:val="00E04B8B"/>
    <w:rsid w:val="00E11379"/>
    <w:rsid w:val="00E2547E"/>
    <w:rsid w:val="00E25783"/>
    <w:rsid w:val="00E31A04"/>
    <w:rsid w:val="00E32285"/>
    <w:rsid w:val="00E42800"/>
    <w:rsid w:val="00E470A8"/>
    <w:rsid w:val="00E47C74"/>
    <w:rsid w:val="00E52B2F"/>
    <w:rsid w:val="00E52EDD"/>
    <w:rsid w:val="00E67D83"/>
    <w:rsid w:val="00E71B4C"/>
    <w:rsid w:val="00E77DB6"/>
    <w:rsid w:val="00E83943"/>
    <w:rsid w:val="00E9361B"/>
    <w:rsid w:val="00E943AA"/>
    <w:rsid w:val="00E9478C"/>
    <w:rsid w:val="00E96DA2"/>
    <w:rsid w:val="00EA48A3"/>
    <w:rsid w:val="00EA5A49"/>
    <w:rsid w:val="00EB13C9"/>
    <w:rsid w:val="00EB287A"/>
    <w:rsid w:val="00EB479B"/>
    <w:rsid w:val="00EB51FA"/>
    <w:rsid w:val="00EC07EB"/>
    <w:rsid w:val="00EC2FAF"/>
    <w:rsid w:val="00ED0E27"/>
    <w:rsid w:val="00ED2B3E"/>
    <w:rsid w:val="00ED319B"/>
    <w:rsid w:val="00ED55DF"/>
    <w:rsid w:val="00ED6D77"/>
    <w:rsid w:val="00EF22B8"/>
    <w:rsid w:val="00EF414F"/>
    <w:rsid w:val="00EF4ACF"/>
    <w:rsid w:val="00EF54D7"/>
    <w:rsid w:val="00EF5FE7"/>
    <w:rsid w:val="00F00F30"/>
    <w:rsid w:val="00F23AB7"/>
    <w:rsid w:val="00F40BB6"/>
    <w:rsid w:val="00F44651"/>
    <w:rsid w:val="00F47F2B"/>
    <w:rsid w:val="00F57BF7"/>
    <w:rsid w:val="00F67B11"/>
    <w:rsid w:val="00F74C8E"/>
    <w:rsid w:val="00F74F16"/>
    <w:rsid w:val="00F854E1"/>
    <w:rsid w:val="00F87F83"/>
    <w:rsid w:val="00F90815"/>
    <w:rsid w:val="00F937C6"/>
    <w:rsid w:val="00FA2273"/>
    <w:rsid w:val="00FB1A53"/>
    <w:rsid w:val="00FB2F58"/>
    <w:rsid w:val="00FB3BF3"/>
    <w:rsid w:val="00FB44E9"/>
    <w:rsid w:val="00FD1860"/>
    <w:rsid w:val="00FD55A5"/>
    <w:rsid w:val="00FD7B34"/>
    <w:rsid w:val="00FE1D0E"/>
    <w:rsid w:val="00FE340F"/>
    <w:rsid w:val="00FE52D0"/>
    <w:rsid w:val="00FE7968"/>
    <w:rsid w:val="00FF1478"/>
    <w:rsid w:val="00FF61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5:docId w15:val="{69E5148B-BE01-443F-9063-506FFBD3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161"/>
    <w:pPr>
      <w:spacing w:line="260" w:lineRule="atLeast"/>
    </w:pPr>
    <w:rPr>
      <w:rFonts w:ascii="Arial" w:hAnsi="Arial"/>
      <w:szCs w:val="24"/>
    </w:rPr>
  </w:style>
  <w:style w:type="paragraph" w:styleId="Titre1">
    <w:name w:val="heading 1"/>
    <w:basedOn w:val="Normal"/>
    <w:next w:val="Normal"/>
    <w:link w:val="Titre1Car"/>
    <w:uiPriority w:val="99"/>
    <w:qFormat/>
    <w:rsid w:val="00911161"/>
    <w:pPr>
      <w:keepNext/>
      <w:spacing w:line="420" w:lineRule="atLeast"/>
      <w:outlineLvl w:val="0"/>
    </w:pPr>
    <w:rPr>
      <w:b/>
      <w:kern w:val="32"/>
      <w:sz w:val="32"/>
      <w:szCs w:val="20"/>
    </w:rPr>
  </w:style>
  <w:style w:type="paragraph" w:styleId="Titre2">
    <w:name w:val="heading 2"/>
    <w:basedOn w:val="Normal"/>
    <w:next w:val="Normal"/>
    <w:link w:val="Titre2Car"/>
    <w:uiPriority w:val="9"/>
    <w:qFormat/>
    <w:rsid w:val="00911161"/>
    <w:pPr>
      <w:keepNext/>
      <w:outlineLvl w:val="1"/>
    </w:pPr>
    <w:rPr>
      <w:rFonts w:ascii="Cambria" w:hAnsi="Cambria"/>
      <w:b/>
      <w:bCs/>
      <w:i/>
      <w:iCs/>
      <w:sz w:val="28"/>
      <w:szCs w:val="28"/>
    </w:rPr>
  </w:style>
  <w:style w:type="paragraph" w:styleId="Titre3">
    <w:name w:val="heading 3"/>
    <w:basedOn w:val="Titre2"/>
    <w:next w:val="Normal"/>
    <w:link w:val="Titre3Car"/>
    <w:uiPriority w:val="9"/>
    <w:qFormat/>
    <w:rsid w:val="00911161"/>
    <w:pPr>
      <w:outlineLvl w:val="2"/>
    </w:pPr>
    <w:rPr>
      <w:i w:val="0"/>
      <w:iCs w:val="0"/>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911161"/>
    <w:rPr>
      <w:rFonts w:ascii="Arial" w:hAnsi="Arial"/>
      <w:b/>
      <w:kern w:val="32"/>
      <w:sz w:val="32"/>
      <w:lang w:eastAsia="fr-FR"/>
    </w:rPr>
  </w:style>
  <w:style w:type="character" w:customStyle="1" w:styleId="Titre2Car">
    <w:name w:val="Titre 2 Car"/>
    <w:link w:val="Titre2"/>
    <w:uiPriority w:val="9"/>
    <w:semiHidden/>
    <w:rsid w:val="00911161"/>
    <w:rPr>
      <w:rFonts w:ascii="Cambria" w:eastAsia="Times New Roman" w:hAnsi="Cambria" w:cs="Times New Roman"/>
      <w:b/>
      <w:bCs/>
      <w:i/>
      <w:iCs/>
      <w:sz w:val="28"/>
      <w:szCs w:val="28"/>
      <w:lang w:val="fr-FR" w:eastAsia="fr-FR"/>
    </w:rPr>
  </w:style>
  <w:style w:type="character" w:customStyle="1" w:styleId="Titre3Car">
    <w:name w:val="Titre 3 Car"/>
    <w:link w:val="Titre3"/>
    <w:uiPriority w:val="9"/>
    <w:semiHidden/>
    <w:rsid w:val="00911161"/>
    <w:rPr>
      <w:rFonts w:ascii="Cambria" w:eastAsia="Times New Roman" w:hAnsi="Cambria" w:cs="Times New Roman"/>
      <w:b/>
      <w:bCs/>
      <w:sz w:val="26"/>
      <w:szCs w:val="26"/>
      <w:lang w:val="fr-FR" w:eastAsia="fr-FR"/>
    </w:rPr>
  </w:style>
  <w:style w:type="paragraph" w:styleId="En-tte">
    <w:name w:val="header"/>
    <w:basedOn w:val="Normal"/>
    <w:link w:val="En-tteCar"/>
    <w:uiPriority w:val="99"/>
    <w:rsid w:val="00911161"/>
    <w:pPr>
      <w:tabs>
        <w:tab w:val="center" w:pos="4320"/>
        <w:tab w:val="right" w:pos="8640"/>
      </w:tabs>
    </w:pPr>
  </w:style>
  <w:style w:type="character" w:customStyle="1" w:styleId="En-tteCar">
    <w:name w:val="En-tête Car"/>
    <w:link w:val="En-tte"/>
    <w:uiPriority w:val="99"/>
    <w:semiHidden/>
    <w:rsid w:val="00911161"/>
    <w:rPr>
      <w:rFonts w:ascii="Arial" w:hAnsi="Arial"/>
      <w:szCs w:val="24"/>
      <w:lang w:val="fr-FR" w:eastAsia="fr-FR"/>
    </w:rPr>
  </w:style>
  <w:style w:type="paragraph" w:styleId="Pieddepage">
    <w:name w:val="footer"/>
    <w:basedOn w:val="Normal"/>
    <w:link w:val="PieddepageCar"/>
    <w:rsid w:val="00911161"/>
    <w:pPr>
      <w:tabs>
        <w:tab w:val="right" w:pos="7083"/>
        <w:tab w:val="right" w:pos="8640"/>
      </w:tabs>
      <w:spacing w:line="180" w:lineRule="atLeast"/>
    </w:pPr>
    <w:rPr>
      <w:b/>
      <w:color w:val="E1000F"/>
      <w:sz w:val="24"/>
      <w:szCs w:val="20"/>
    </w:rPr>
  </w:style>
  <w:style w:type="character" w:customStyle="1" w:styleId="PieddepageCar">
    <w:name w:val="Pied de page Car"/>
    <w:link w:val="Pieddepage"/>
    <w:uiPriority w:val="99"/>
    <w:locked/>
    <w:rsid w:val="00911161"/>
    <w:rPr>
      <w:rFonts w:ascii="Arial" w:hAnsi="Arial"/>
      <w:b/>
      <w:color w:val="E1000F"/>
      <w:sz w:val="24"/>
    </w:rPr>
  </w:style>
  <w:style w:type="paragraph" w:customStyle="1" w:styleId="Intro">
    <w:name w:val="Intro"/>
    <w:basedOn w:val="Normal"/>
    <w:rsid w:val="00911161"/>
    <w:pPr>
      <w:spacing w:after="300"/>
    </w:pPr>
    <w:rPr>
      <w:color w:val="415055"/>
      <w:sz w:val="24"/>
    </w:rPr>
  </w:style>
  <w:style w:type="paragraph" w:customStyle="1" w:styleId="NumBullet">
    <w:name w:val="Num_Bullet"/>
    <w:basedOn w:val="Normal"/>
    <w:rsid w:val="00911161"/>
    <w:pPr>
      <w:numPr>
        <w:numId w:val="1"/>
      </w:numPr>
      <w:tabs>
        <w:tab w:val="left" w:pos="357"/>
      </w:tabs>
      <w:ind w:left="357" w:hanging="357"/>
    </w:pPr>
  </w:style>
  <w:style w:type="paragraph" w:customStyle="1" w:styleId="Page1Name">
    <w:name w:val="Page1_Name"/>
    <w:basedOn w:val="Normal"/>
    <w:rsid w:val="00911161"/>
    <w:pPr>
      <w:spacing w:after="420" w:line="360" w:lineRule="atLeast"/>
    </w:pPr>
    <w:rPr>
      <w:b/>
      <w:sz w:val="30"/>
    </w:rPr>
  </w:style>
  <w:style w:type="paragraph" w:customStyle="1" w:styleId="Page1Title">
    <w:name w:val="Page1_Title"/>
    <w:basedOn w:val="Normal"/>
    <w:rsid w:val="00911161"/>
    <w:pPr>
      <w:spacing w:line="228" w:lineRule="auto"/>
    </w:pPr>
    <w:rPr>
      <w:color w:val="E1000F"/>
      <w:sz w:val="90"/>
    </w:rPr>
  </w:style>
  <w:style w:type="paragraph" w:customStyle="1" w:styleId="Page1Author">
    <w:name w:val="Page1_Author"/>
    <w:basedOn w:val="Page1Name"/>
    <w:rsid w:val="00911161"/>
    <w:pPr>
      <w:spacing w:before="240" w:after="0"/>
    </w:pPr>
    <w:rPr>
      <w:b w:val="0"/>
      <w:bCs/>
    </w:rPr>
  </w:style>
  <w:style w:type="paragraph" w:styleId="Corpsdetexte">
    <w:name w:val="Body Text"/>
    <w:basedOn w:val="Normal"/>
    <w:link w:val="CorpsdetexteCar"/>
    <w:rsid w:val="00911161"/>
    <w:pPr>
      <w:spacing w:after="120" w:line="280" w:lineRule="exact"/>
    </w:pPr>
    <w:rPr>
      <w:sz w:val="24"/>
      <w:szCs w:val="20"/>
    </w:rPr>
  </w:style>
  <w:style w:type="character" w:customStyle="1" w:styleId="CorpsdetexteCar">
    <w:name w:val="Corps de texte Car"/>
    <w:link w:val="Corpsdetexte"/>
    <w:locked/>
    <w:rsid w:val="00911161"/>
    <w:rPr>
      <w:rFonts w:ascii="Arial" w:hAnsi="Arial"/>
      <w:sz w:val="24"/>
      <w:lang w:eastAsia="fr-FR"/>
    </w:rPr>
  </w:style>
  <w:style w:type="paragraph" w:customStyle="1" w:styleId="Info">
    <w:name w:val="Info"/>
    <w:basedOn w:val="Normal"/>
    <w:rsid w:val="00911161"/>
    <w:pPr>
      <w:spacing w:line="240" w:lineRule="atLeast"/>
    </w:pPr>
    <w:rPr>
      <w:sz w:val="13"/>
    </w:rPr>
  </w:style>
  <w:style w:type="character" w:customStyle="1" w:styleId="InfoZchn">
    <w:name w:val="Info Zchn"/>
    <w:rsid w:val="00911161"/>
    <w:rPr>
      <w:rFonts w:ascii="Arial" w:hAnsi="Arial"/>
      <w:sz w:val="24"/>
      <w:lang w:eastAsia="fr-FR"/>
    </w:rPr>
  </w:style>
  <w:style w:type="paragraph" w:customStyle="1" w:styleId="Standard12pt">
    <w:name w:val="Standard_12pt"/>
    <w:basedOn w:val="Normal"/>
    <w:rsid w:val="00911161"/>
    <w:pPr>
      <w:spacing w:line="300" w:lineRule="atLeast"/>
    </w:pPr>
    <w:rPr>
      <w:sz w:val="24"/>
    </w:rPr>
  </w:style>
  <w:style w:type="paragraph" w:customStyle="1" w:styleId="BodyText31">
    <w:name w:val="Body Text 31"/>
    <w:basedOn w:val="Normal"/>
    <w:rsid w:val="00911161"/>
    <w:pPr>
      <w:keepLines/>
      <w:overflowPunct w:val="0"/>
      <w:autoSpaceDE w:val="0"/>
      <w:autoSpaceDN w:val="0"/>
      <w:adjustRightInd w:val="0"/>
      <w:spacing w:line="360" w:lineRule="auto"/>
      <w:jc w:val="both"/>
      <w:textAlignment w:val="baseline"/>
    </w:pPr>
    <w:rPr>
      <w:color w:val="000000"/>
      <w:sz w:val="24"/>
      <w:szCs w:val="20"/>
    </w:rPr>
  </w:style>
  <w:style w:type="paragraph" w:customStyle="1" w:styleId="PRContact">
    <w:name w:val="_PR_Contact"/>
    <w:basedOn w:val="Normal"/>
    <w:rsid w:val="00911161"/>
    <w:pPr>
      <w:keepNext/>
      <w:keepLines/>
      <w:tabs>
        <w:tab w:val="left" w:pos="284"/>
        <w:tab w:val="left" w:pos="567"/>
        <w:tab w:val="left" w:pos="4451"/>
        <w:tab w:val="left" w:pos="4734"/>
        <w:tab w:val="left" w:pos="5018"/>
      </w:tabs>
      <w:spacing w:line="280" w:lineRule="exact"/>
    </w:pPr>
    <w:rPr>
      <w:rFonts w:cs="Arial"/>
      <w:szCs w:val="20"/>
    </w:rPr>
  </w:style>
  <w:style w:type="paragraph" w:customStyle="1" w:styleId="PRBoilerplate">
    <w:name w:val="_PR_Boilerplate"/>
    <w:basedOn w:val="Normal"/>
    <w:next w:val="PRContact"/>
    <w:rsid w:val="00911161"/>
    <w:pPr>
      <w:keepLines/>
      <w:spacing w:after="280" w:line="280" w:lineRule="exact"/>
      <w:jc w:val="both"/>
    </w:pPr>
    <w:rPr>
      <w:rFonts w:cs="Arial"/>
      <w:szCs w:val="20"/>
    </w:rPr>
  </w:style>
  <w:style w:type="character" w:styleId="Lienhypertexte">
    <w:name w:val="Hyperlink"/>
    <w:rsid w:val="00911161"/>
    <w:rPr>
      <w:color w:val="0000FF"/>
      <w:u w:val="single"/>
    </w:rPr>
  </w:style>
  <w:style w:type="character" w:customStyle="1" w:styleId="PRHalfblank">
    <w:name w:val="_PR_Halfblank"/>
    <w:rsid w:val="00911161"/>
    <w:rPr>
      <w:w w:val="50"/>
    </w:rPr>
  </w:style>
  <w:style w:type="character" w:styleId="Lienhypertextesuivivisit">
    <w:name w:val="FollowedHyperlink"/>
    <w:uiPriority w:val="99"/>
    <w:rsid w:val="00911161"/>
    <w:rPr>
      <w:color w:val="800080"/>
      <w:u w:val="single"/>
    </w:rPr>
  </w:style>
  <w:style w:type="paragraph" w:styleId="Corpsdetexte3">
    <w:name w:val="Body Text 3"/>
    <w:basedOn w:val="Normal"/>
    <w:link w:val="Corpsdetexte3Car"/>
    <w:uiPriority w:val="99"/>
    <w:rsid w:val="00911161"/>
    <w:pPr>
      <w:spacing w:after="120" w:line="280" w:lineRule="exact"/>
    </w:pPr>
    <w:rPr>
      <w:sz w:val="16"/>
      <w:szCs w:val="16"/>
    </w:rPr>
  </w:style>
  <w:style w:type="character" w:customStyle="1" w:styleId="Corpsdetexte3Car">
    <w:name w:val="Corps de texte 3 Car"/>
    <w:link w:val="Corpsdetexte3"/>
    <w:uiPriority w:val="99"/>
    <w:semiHidden/>
    <w:rsid w:val="00911161"/>
    <w:rPr>
      <w:rFonts w:ascii="Arial" w:hAnsi="Arial"/>
      <w:sz w:val="16"/>
      <w:szCs w:val="16"/>
      <w:lang w:val="fr-FR" w:eastAsia="fr-FR"/>
    </w:rPr>
  </w:style>
  <w:style w:type="paragraph" w:styleId="Textedebulles">
    <w:name w:val="Balloon Text"/>
    <w:basedOn w:val="Normal"/>
    <w:link w:val="TextedebullesCar"/>
    <w:uiPriority w:val="99"/>
    <w:rsid w:val="00911161"/>
    <w:pPr>
      <w:spacing w:line="240" w:lineRule="auto"/>
    </w:pPr>
    <w:rPr>
      <w:rFonts w:ascii="Tahoma" w:hAnsi="Tahoma"/>
      <w:sz w:val="16"/>
      <w:szCs w:val="20"/>
    </w:rPr>
  </w:style>
  <w:style w:type="character" w:customStyle="1" w:styleId="TextedebullesCar">
    <w:name w:val="Texte de bulles Car"/>
    <w:link w:val="Textedebulles"/>
    <w:uiPriority w:val="99"/>
    <w:locked/>
    <w:rsid w:val="00911161"/>
    <w:rPr>
      <w:rFonts w:ascii="Tahoma" w:hAnsi="Tahoma"/>
      <w:sz w:val="16"/>
      <w:lang w:eastAsia="fr-FR"/>
    </w:rPr>
  </w:style>
  <w:style w:type="paragraph" w:styleId="Notedebasdepage">
    <w:name w:val="footnote text"/>
    <w:basedOn w:val="Normal"/>
    <w:link w:val="NotedebasdepageCar"/>
    <w:uiPriority w:val="99"/>
    <w:semiHidden/>
    <w:rsid w:val="00911161"/>
    <w:rPr>
      <w:szCs w:val="20"/>
    </w:rPr>
  </w:style>
  <w:style w:type="character" w:customStyle="1" w:styleId="NotedebasdepageCar">
    <w:name w:val="Note de bas de page Car"/>
    <w:link w:val="Notedebasdepage"/>
    <w:uiPriority w:val="99"/>
    <w:semiHidden/>
    <w:rsid w:val="00911161"/>
    <w:rPr>
      <w:rFonts w:ascii="Arial" w:hAnsi="Arial"/>
      <w:lang w:val="fr-FR" w:eastAsia="fr-FR"/>
    </w:rPr>
  </w:style>
  <w:style w:type="character" w:styleId="Appelnotedebasdep">
    <w:name w:val="footnote reference"/>
    <w:uiPriority w:val="99"/>
    <w:semiHidden/>
    <w:rsid w:val="00911161"/>
    <w:rPr>
      <w:vertAlign w:val="superscript"/>
    </w:rPr>
  </w:style>
  <w:style w:type="character" w:styleId="Marquedecommentaire">
    <w:name w:val="annotation reference"/>
    <w:uiPriority w:val="99"/>
    <w:rsid w:val="00911161"/>
    <w:rPr>
      <w:sz w:val="16"/>
    </w:rPr>
  </w:style>
  <w:style w:type="paragraph" w:styleId="Commentaire">
    <w:name w:val="annotation text"/>
    <w:basedOn w:val="Normal"/>
    <w:link w:val="CommentaireCar"/>
    <w:uiPriority w:val="99"/>
    <w:rsid w:val="00911161"/>
    <w:rPr>
      <w:szCs w:val="20"/>
    </w:rPr>
  </w:style>
  <w:style w:type="character" w:customStyle="1" w:styleId="CommentaireCar">
    <w:name w:val="Commentaire Car"/>
    <w:link w:val="Commentaire"/>
    <w:uiPriority w:val="99"/>
    <w:locked/>
    <w:rsid w:val="00911161"/>
    <w:rPr>
      <w:rFonts w:ascii="Arial" w:hAnsi="Arial"/>
      <w:lang w:eastAsia="fr-FR"/>
    </w:rPr>
  </w:style>
  <w:style w:type="paragraph" w:styleId="Objetducommentaire">
    <w:name w:val="annotation subject"/>
    <w:basedOn w:val="Commentaire"/>
    <w:next w:val="Commentaire"/>
    <w:link w:val="ObjetducommentaireCar"/>
    <w:uiPriority w:val="99"/>
    <w:rsid w:val="00911161"/>
    <w:rPr>
      <w:b/>
    </w:rPr>
  </w:style>
  <w:style w:type="character" w:customStyle="1" w:styleId="ObjetducommentaireCar">
    <w:name w:val="Objet du commentaire Car"/>
    <w:link w:val="Objetducommentaire"/>
    <w:uiPriority w:val="99"/>
    <w:locked/>
    <w:rsid w:val="00911161"/>
    <w:rPr>
      <w:rFonts w:ascii="Arial" w:hAnsi="Arial"/>
      <w:b/>
      <w:lang w:eastAsia="fr-FR"/>
    </w:rPr>
  </w:style>
  <w:style w:type="paragraph" w:styleId="Rvision">
    <w:name w:val="Revision"/>
    <w:hidden/>
    <w:uiPriority w:val="99"/>
    <w:semiHidden/>
    <w:rsid w:val="00841005"/>
    <w:rPr>
      <w:rFonts w:ascii="Arial" w:hAnsi="Arial"/>
      <w:szCs w:val="24"/>
    </w:rPr>
  </w:style>
  <w:style w:type="paragraph" w:styleId="Paragraphedeliste">
    <w:name w:val="List Paragraph"/>
    <w:basedOn w:val="Normal"/>
    <w:uiPriority w:val="34"/>
    <w:qFormat/>
    <w:rsid w:val="00196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0776">
      <w:marLeft w:val="0"/>
      <w:marRight w:val="0"/>
      <w:marTop w:val="0"/>
      <w:marBottom w:val="0"/>
      <w:divBdr>
        <w:top w:val="none" w:sz="0" w:space="0" w:color="auto"/>
        <w:left w:val="none" w:sz="0" w:space="0" w:color="auto"/>
        <w:bottom w:val="none" w:sz="0" w:space="0" w:color="auto"/>
        <w:right w:val="none" w:sz="0" w:space="0" w:color="auto"/>
      </w:divBdr>
    </w:div>
    <w:div w:id="17893507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hanie.coignard@henke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aolo.ghilardi@bm.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0203.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438FD-1308-4E9D-8CCE-AC5283B8D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HENKEL_DE_Pressemitteilung_110203.dot</Template>
  <TotalTime>0</TotalTime>
  <Pages>9</Pages>
  <Words>2319</Words>
  <Characters>12758</Characters>
  <Application>Microsoft Office Word</Application>
  <DocSecurity>0</DocSecurity>
  <Lines>106</Lines>
  <Paragraphs>30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15047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Klueppelholz</dc:creator>
  <dc:description>Henkel Q2/2011</dc:description>
  <cp:lastModifiedBy>Emilie Vautier</cp:lastModifiedBy>
  <cp:revision>11</cp:revision>
  <cp:lastPrinted>2016-11-02T11:13:00Z</cp:lastPrinted>
  <dcterms:created xsi:type="dcterms:W3CDTF">2016-11-08T08:26:00Z</dcterms:created>
  <dcterms:modified xsi:type="dcterms:W3CDTF">2016-11-08T15:22:00Z</dcterms:modified>
</cp:coreProperties>
</file>