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983D5C" w14:textId="670168DD" w:rsidR="00E8565B" w:rsidRPr="003D2301" w:rsidRDefault="00E8565B" w:rsidP="00783BDD">
      <w:pPr>
        <w:pStyle w:val="Standard12pt"/>
        <w:spacing w:before="120"/>
        <w:jc w:val="right"/>
        <w:rPr>
          <w:rFonts w:eastAsia="宋体"/>
          <w:lang w:val="en-US" w:eastAsia="zh-CN"/>
        </w:rPr>
      </w:pPr>
      <w:r w:rsidRPr="003D2301">
        <w:rPr>
          <w:rFonts w:eastAsia="宋体" w:hint="eastAsia"/>
          <w:lang w:val="en-US" w:eastAsia="zh-CN"/>
        </w:rPr>
        <w:t>2017</w:t>
      </w:r>
      <w:r w:rsidRPr="003D2301">
        <w:rPr>
          <w:rFonts w:eastAsia="宋体" w:hint="eastAsia"/>
          <w:lang w:val="en-US" w:eastAsia="zh-CN"/>
        </w:rPr>
        <w:t>年</w:t>
      </w:r>
      <w:r w:rsidR="009413FF">
        <w:rPr>
          <w:rFonts w:eastAsia="宋体" w:hint="eastAsia"/>
          <w:lang w:val="en-US" w:eastAsia="zh-CN"/>
        </w:rPr>
        <w:t>8</w:t>
      </w:r>
      <w:r w:rsidRPr="003D2301">
        <w:rPr>
          <w:rFonts w:eastAsia="宋体" w:hint="eastAsia"/>
          <w:lang w:val="en-US" w:eastAsia="zh-CN"/>
        </w:rPr>
        <w:t>月</w:t>
      </w:r>
      <w:r w:rsidR="009413FF">
        <w:rPr>
          <w:rFonts w:eastAsia="宋体" w:hint="eastAsia"/>
          <w:lang w:val="en-US" w:eastAsia="zh-CN"/>
        </w:rPr>
        <w:t>10</w:t>
      </w:r>
      <w:r w:rsidRPr="003D2301">
        <w:rPr>
          <w:rFonts w:eastAsia="宋体" w:hint="eastAsia"/>
          <w:lang w:val="en-US" w:eastAsia="zh-CN"/>
        </w:rPr>
        <w:t>日</w:t>
      </w:r>
    </w:p>
    <w:p w14:paraId="725D8348" w14:textId="77777777" w:rsidR="0074292F" w:rsidRDefault="0074292F" w:rsidP="0074292F">
      <w:pPr>
        <w:autoSpaceDE w:val="0"/>
        <w:autoSpaceDN w:val="0"/>
        <w:adjustRightInd w:val="0"/>
        <w:snapToGrid w:val="0"/>
        <w:spacing w:line="300" w:lineRule="atLeast"/>
        <w:rPr>
          <w:sz w:val="24"/>
          <w:lang w:val="en-US" w:eastAsia="zh-CN"/>
        </w:rPr>
      </w:pPr>
      <w:r w:rsidRPr="009A0118">
        <w:rPr>
          <w:sz w:val="24"/>
          <w:lang w:val="en-US" w:eastAsia="zh-CN"/>
        </w:rPr>
        <w:t>2017</w:t>
      </w:r>
      <w:r w:rsidRPr="009A0118">
        <w:rPr>
          <w:sz w:val="24"/>
          <w:lang w:val="en-US" w:eastAsia="zh-CN"/>
        </w:rPr>
        <w:t>财年目标确认</w:t>
      </w:r>
    </w:p>
    <w:p w14:paraId="08826111" w14:textId="77777777" w:rsidR="0074292F" w:rsidRDefault="0074292F" w:rsidP="0074292F">
      <w:pPr>
        <w:autoSpaceDE w:val="0"/>
        <w:autoSpaceDN w:val="0"/>
        <w:adjustRightInd w:val="0"/>
        <w:snapToGrid w:val="0"/>
        <w:spacing w:line="300" w:lineRule="atLeast"/>
        <w:rPr>
          <w:rFonts w:hAnsi="宋体" w:cs="Arial"/>
          <w:b/>
          <w:bCs/>
          <w:w w:val="98"/>
          <w:kern w:val="32"/>
          <w:sz w:val="36"/>
          <w:szCs w:val="32"/>
          <w:lang w:val="en-US" w:eastAsia="zh-CN"/>
        </w:rPr>
      </w:pPr>
      <w:r w:rsidRPr="000D7F4C">
        <w:rPr>
          <w:rFonts w:cs="Arial"/>
          <w:b/>
          <w:bCs/>
          <w:w w:val="98"/>
          <w:kern w:val="32"/>
          <w:sz w:val="36"/>
          <w:szCs w:val="32"/>
          <w:lang w:val="en-US" w:eastAsia="zh-CN"/>
        </w:rPr>
        <w:br/>
      </w:r>
      <w:bookmarkStart w:id="0" w:name="OLE_LINK1"/>
      <w:bookmarkStart w:id="1" w:name="OLE_LINK2"/>
      <w:r w:rsidRPr="000D7F4C">
        <w:rPr>
          <w:rFonts w:hAnsi="宋体" w:cs="Arial"/>
          <w:b/>
          <w:bCs/>
          <w:w w:val="98"/>
          <w:kern w:val="32"/>
          <w:sz w:val="36"/>
          <w:szCs w:val="32"/>
          <w:lang w:val="en-US" w:eastAsia="zh-CN"/>
        </w:rPr>
        <w:t>汉高</w:t>
      </w:r>
      <w:bookmarkStart w:id="2" w:name="OLE_LINK30"/>
      <w:bookmarkStart w:id="3" w:name="OLE_LINK29"/>
      <w:r>
        <w:rPr>
          <w:rFonts w:hAnsi="宋体" w:cs="Arial"/>
          <w:b/>
          <w:bCs/>
          <w:w w:val="98"/>
          <w:kern w:val="32"/>
          <w:sz w:val="36"/>
          <w:szCs w:val="32"/>
          <w:lang w:val="en-US" w:eastAsia="zh-CN"/>
        </w:rPr>
        <w:t>第</w:t>
      </w:r>
      <w:r>
        <w:rPr>
          <w:rFonts w:hAnsi="宋体" w:cs="Arial" w:hint="eastAsia"/>
          <w:b/>
          <w:bCs/>
          <w:w w:val="98"/>
          <w:kern w:val="32"/>
          <w:sz w:val="36"/>
          <w:szCs w:val="32"/>
          <w:lang w:val="en-US" w:eastAsia="zh-CN"/>
        </w:rPr>
        <w:t>二</w:t>
      </w:r>
      <w:r>
        <w:rPr>
          <w:rFonts w:hAnsi="宋体" w:cs="Arial"/>
          <w:b/>
          <w:bCs/>
          <w:w w:val="98"/>
          <w:kern w:val="32"/>
          <w:sz w:val="36"/>
          <w:szCs w:val="32"/>
          <w:lang w:val="en-US" w:eastAsia="zh-CN"/>
        </w:rPr>
        <w:t>季度</w:t>
      </w:r>
      <w:r w:rsidRPr="000D7F4C">
        <w:rPr>
          <w:rFonts w:hAnsi="宋体" w:cs="Arial"/>
          <w:b/>
          <w:bCs/>
          <w:w w:val="98"/>
          <w:kern w:val="32"/>
          <w:sz w:val="36"/>
          <w:szCs w:val="32"/>
          <w:lang w:val="en-US" w:eastAsia="zh-CN"/>
        </w:rPr>
        <w:t>业绩表现强劲</w:t>
      </w:r>
      <w:bookmarkEnd w:id="0"/>
      <w:bookmarkEnd w:id="1"/>
      <w:bookmarkEnd w:id="2"/>
      <w:bookmarkEnd w:id="3"/>
    </w:p>
    <w:p w14:paraId="0CD26F9E" w14:textId="77777777" w:rsidR="0074292F" w:rsidRPr="009A0118" w:rsidRDefault="0074292F" w:rsidP="0074292F">
      <w:pPr>
        <w:autoSpaceDE w:val="0"/>
        <w:autoSpaceDN w:val="0"/>
        <w:adjustRightInd w:val="0"/>
        <w:snapToGrid w:val="0"/>
        <w:spacing w:line="300" w:lineRule="atLeast"/>
        <w:rPr>
          <w:rFonts w:hAnsi="宋体" w:cs="Arial"/>
          <w:sz w:val="24"/>
          <w:lang w:val="en-US" w:eastAsia="zh-CN"/>
        </w:rPr>
      </w:pPr>
    </w:p>
    <w:p w14:paraId="0010BAD9" w14:textId="77777777" w:rsidR="0074292F" w:rsidRPr="000563B5" w:rsidRDefault="0074292F" w:rsidP="0074292F">
      <w:pPr>
        <w:pStyle w:val="af2"/>
        <w:numPr>
          <w:ilvl w:val="0"/>
          <w:numId w:val="7"/>
        </w:numPr>
        <w:tabs>
          <w:tab w:val="num" w:pos="720"/>
        </w:tabs>
        <w:spacing w:line="360" w:lineRule="auto"/>
        <w:ind w:firstLineChars="0"/>
        <w:rPr>
          <w:b/>
          <w:sz w:val="24"/>
          <w:lang w:val="en-US" w:eastAsia="de-DE"/>
        </w:rPr>
      </w:pPr>
      <w:proofErr w:type="spellStart"/>
      <w:r w:rsidRPr="000563B5">
        <w:rPr>
          <w:rFonts w:hint="eastAsia"/>
          <w:b/>
          <w:sz w:val="24"/>
          <w:lang w:val="en-US" w:eastAsia="de-DE"/>
        </w:rPr>
        <w:t>名义销售额大幅增长：增长</w:t>
      </w:r>
      <w:proofErr w:type="spellEnd"/>
      <w:r w:rsidRPr="000563B5">
        <w:rPr>
          <w:rFonts w:hint="eastAsia"/>
          <w:b/>
          <w:sz w:val="24"/>
          <w:lang w:val="en-US" w:eastAsia="de-DE"/>
        </w:rPr>
        <w:t>9.6%</w:t>
      </w:r>
      <w:r w:rsidRPr="000563B5">
        <w:rPr>
          <w:rFonts w:hint="eastAsia"/>
          <w:b/>
          <w:sz w:val="24"/>
          <w:lang w:val="en-US" w:eastAsia="de-DE"/>
        </w:rPr>
        <w:t>，达</w:t>
      </w:r>
      <w:r w:rsidRPr="000563B5">
        <w:rPr>
          <w:rFonts w:hint="eastAsia"/>
          <w:b/>
          <w:sz w:val="24"/>
          <w:lang w:val="en-US" w:eastAsia="de-DE"/>
        </w:rPr>
        <w:t>50.98</w:t>
      </w:r>
      <w:proofErr w:type="spellStart"/>
      <w:r w:rsidRPr="000563B5">
        <w:rPr>
          <w:rFonts w:hint="eastAsia"/>
          <w:b/>
          <w:sz w:val="24"/>
          <w:lang w:val="en-US" w:eastAsia="de-DE"/>
        </w:rPr>
        <w:t>亿欧元，有机增长</w:t>
      </w:r>
      <w:proofErr w:type="spellEnd"/>
      <w:r w:rsidRPr="000563B5">
        <w:rPr>
          <w:rFonts w:hint="eastAsia"/>
          <w:b/>
          <w:sz w:val="24"/>
          <w:lang w:val="en-US" w:eastAsia="de-DE"/>
        </w:rPr>
        <w:t>2.2%</w:t>
      </w:r>
    </w:p>
    <w:p w14:paraId="1CDCBE06" w14:textId="77777777" w:rsidR="0074292F" w:rsidRPr="000563B5" w:rsidRDefault="0074292F" w:rsidP="0074292F">
      <w:pPr>
        <w:pStyle w:val="af2"/>
        <w:numPr>
          <w:ilvl w:val="0"/>
          <w:numId w:val="7"/>
        </w:numPr>
        <w:tabs>
          <w:tab w:val="num" w:pos="720"/>
        </w:tabs>
        <w:spacing w:line="360" w:lineRule="auto"/>
        <w:ind w:firstLineChars="0"/>
        <w:rPr>
          <w:b/>
          <w:sz w:val="24"/>
          <w:lang w:val="en-US" w:eastAsia="de-DE"/>
        </w:rPr>
      </w:pPr>
      <w:proofErr w:type="spellStart"/>
      <w:r w:rsidRPr="000563B5">
        <w:rPr>
          <w:rFonts w:hint="eastAsia"/>
          <w:b/>
          <w:sz w:val="24"/>
          <w:lang w:val="en-US" w:eastAsia="de-DE"/>
        </w:rPr>
        <w:t>营业利润</w:t>
      </w:r>
      <w:proofErr w:type="spellEnd"/>
      <w:r w:rsidRPr="000563B5">
        <w:rPr>
          <w:rFonts w:hint="eastAsia"/>
          <w:b/>
          <w:sz w:val="24"/>
          <w:lang w:val="en-US" w:eastAsia="de-DE"/>
        </w:rPr>
        <w:t>*</w:t>
      </w:r>
      <w:proofErr w:type="spellStart"/>
      <w:r w:rsidRPr="000563B5">
        <w:rPr>
          <w:rFonts w:hint="eastAsia"/>
          <w:b/>
          <w:sz w:val="24"/>
          <w:lang w:val="en-US" w:eastAsia="de-DE"/>
        </w:rPr>
        <w:t>取得两位数增长：增长</w:t>
      </w:r>
      <w:proofErr w:type="spellEnd"/>
      <w:r w:rsidRPr="000563B5">
        <w:rPr>
          <w:rFonts w:hint="eastAsia"/>
          <w:b/>
          <w:sz w:val="24"/>
          <w:lang w:val="en-US" w:eastAsia="de-DE"/>
        </w:rPr>
        <w:t>11.0%</w:t>
      </w:r>
      <w:r w:rsidRPr="000563B5">
        <w:rPr>
          <w:rFonts w:hint="eastAsia"/>
          <w:b/>
          <w:sz w:val="24"/>
          <w:lang w:val="en-US" w:eastAsia="de-DE"/>
        </w:rPr>
        <w:t>，达</w:t>
      </w:r>
      <w:r w:rsidRPr="000563B5">
        <w:rPr>
          <w:rFonts w:hint="eastAsia"/>
          <w:b/>
          <w:sz w:val="24"/>
          <w:lang w:val="en-US" w:eastAsia="de-DE"/>
        </w:rPr>
        <w:t>9.09</w:t>
      </w:r>
      <w:proofErr w:type="spellStart"/>
      <w:r w:rsidRPr="000563B5">
        <w:rPr>
          <w:rFonts w:hint="eastAsia"/>
          <w:b/>
          <w:sz w:val="24"/>
          <w:lang w:val="en-US" w:eastAsia="de-DE"/>
        </w:rPr>
        <w:t>亿欧元</w:t>
      </w:r>
      <w:proofErr w:type="spellEnd"/>
    </w:p>
    <w:p w14:paraId="5B729F95" w14:textId="77777777" w:rsidR="0074292F" w:rsidRPr="000563B5" w:rsidRDefault="0074292F" w:rsidP="0074292F">
      <w:pPr>
        <w:pStyle w:val="af2"/>
        <w:numPr>
          <w:ilvl w:val="0"/>
          <w:numId w:val="7"/>
        </w:numPr>
        <w:tabs>
          <w:tab w:val="num" w:pos="720"/>
        </w:tabs>
        <w:spacing w:line="360" w:lineRule="auto"/>
        <w:ind w:firstLineChars="0"/>
        <w:rPr>
          <w:b/>
          <w:sz w:val="24"/>
          <w:lang w:val="en-US" w:eastAsia="de-DE"/>
        </w:rPr>
      </w:pPr>
      <w:proofErr w:type="spellStart"/>
      <w:r w:rsidRPr="000563B5">
        <w:rPr>
          <w:rFonts w:hint="eastAsia"/>
          <w:b/>
          <w:sz w:val="24"/>
          <w:lang w:val="en-US" w:eastAsia="de-DE"/>
        </w:rPr>
        <w:t>息税前利润</w:t>
      </w:r>
      <w:proofErr w:type="spellEnd"/>
      <w:r w:rsidRPr="000563B5">
        <w:rPr>
          <w:rFonts w:hint="eastAsia"/>
          <w:b/>
          <w:sz w:val="24"/>
          <w:lang w:val="en-US" w:eastAsia="de-DE"/>
        </w:rPr>
        <w:t>（</w:t>
      </w:r>
      <w:r w:rsidRPr="000563B5">
        <w:rPr>
          <w:rFonts w:hint="eastAsia"/>
          <w:b/>
          <w:sz w:val="24"/>
          <w:lang w:val="en-US" w:eastAsia="de-DE"/>
        </w:rPr>
        <w:t>EBIT</w:t>
      </w:r>
      <w:r w:rsidRPr="000563B5">
        <w:rPr>
          <w:rFonts w:hint="eastAsia"/>
          <w:b/>
          <w:sz w:val="24"/>
          <w:lang w:val="en-US" w:eastAsia="de-DE"/>
        </w:rPr>
        <w:t>）率</w:t>
      </w:r>
      <w:r w:rsidRPr="000563B5">
        <w:rPr>
          <w:rFonts w:hint="eastAsia"/>
          <w:b/>
          <w:sz w:val="24"/>
          <w:lang w:val="en-US" w:eastAsia="de-DE"/>
        </w:rPr>
        <w:t>*</w:t>
      </w:r>
      <w:proofErr w:type="spellStart"/>
      <w:r w:rsidRPr="000563B5">
        <w:rPr>
          <w:rFonts w:hint="eastAsia"/>
          <w:b/>
          <w:sz w:val="24"/>
          <w:lang w:val="en-US" w:eastAsia="de-DE"/>
        </w:rPr>
        <w:t>进一步提升：增长</w:t>
      </w:r>
      <w:proofErr w:type="spellEnd"/>
      <w:r w:rsidRPr="000563B5">
        <w:rPr>
          <w:rFonts w:hint="eastAsia"/>
          <w:b/>
          <w:sz w:val="24"/>
          <w:lang w:val="en-US" w:eastAsia="de-DE"/>
        </w:rPr>
        <w:t>20</w:t>
      </w:r>
      <w:proofErr w:type="spellStart"/>
      <w:r w:rsidRPr="000563B5">
        <w:rPr>
          <w:rFonts w:hint="eastAsia"/>
          <w:b/>
          <w:sz w:val="24"/>
          <w:lang w:val="en-US" w:eastAsia="de-DE"/>
        </w:rPr>
        <w:t>个基点，达</w:t>
      </w:r>
      <w:proofErr w:type="spellEnd"/>
      <w:r w:rsidRPr="000563B5">
        <w:rPr>
          <w:rFonts w:hint="eastAsia"/>
          <w:b/>
          <w:sz w:val="24"/>
          <w:lang w:val="en-US" w:eastAsia="de-DE"/>
        </w:rPr>
        <w:t>17.8%</w:t>
      </w:r>
    </w:p>
    <w:p w14:paraId="5760EF78" w14:textId="77777777" w:rsidR="0074292F" w:rsidRPr="00A21406" w:rsidRDefault="0074292F" w:rsidP="0074292F">
      <w:pPr>
        <w:pStyle w:val="af2"/>
        <w:numPr>
          <w:ilvl w:val="0"/>
          <w:numId w:val="7"/>
        </w:numPr>
        <w:spacing w:line="360" w:lineRule="auto"/>
        <w:ind w:firstLineChars="0"/>
        <w:rPr>
          <w:b/>
          <w:sz w:val="24"/>
          <w:lang w:val="en-US" w:eastAsia="de-DE"/>
        </w:rPr>
      </w:pPr>
      <w:proofErr w:type="spellStart"/>
      <w:r w:rsidRPr="000563B5">
        <w:rPr>
          <w:rFonts w:hint="eastAsia"/>
          <w:b/>
          <w:sz w:val="24"/>
          <w:lang w:val="en-US" w:eastAsia="de-DE"/>
        </w:rPr>
        <w:t>优先股每股收益</w:t>
      </w:r>
      <w:proofErr w:type="spellEnd"/>
      <w:r w:rsidRPr="000563B5">
        <w:rPr>
          <w:rFonts w:hint="eastAsia"/>
          <w:b/>
          <w:sz w:val="24"/>
          <w:lang w:val="en-US" w:eastAsia="de-DE"/>
        </w:rPr>
        <w:t>（</w:t>
      </w:r>
      <w:r w:rsidRPr="000563B5">
        <w:rPr>
          <w:rFonts w:hint="eastAsia"/>
          <w:b/>
          <w:sz w:val="24"/>
          <w:lang w:val="en-US" w:eastAsia="de-DE"/>
        </w:rPr>
        <w:t>EPS</w:t>
      </w:r>
      <w:r w:rsidRPr="000563B5">
        <w:rPr>
          <w:rFonts w:hint="eastAsia"/>
          <w:b/>
          <w:sz w:val="24"/>
          <w:lang w:val="en-US" w:eastAsia="de-DE"/>
        </w:rPr>
        <w:t>）</w:t>
      </w:r>
      <w:r w:rsidRPr="000563B5">
        <w:rPr>
          <w:rFonts w:hint="eastAsia"/>
          <w:b/>
          <w:sz w:val="24"/>
          <w:lang w:val="en-US" w:eastAsia="de-DE"/>
        </w:rPr>
        <w:t>*</w:t>
      </w:r>
      <w:proofErr w:type="spellStart"/>
      <w:r w:rsidRPr="000563B5">
        <w:rPr>
          <w:rFonts w:hint="eastAsia"/>
          <w:b/>
          <w:sz w:val="24"/>
          <w:lang w:val="en-US" w:eastAsia="de-DE"/>
        </w:rPr>
        <w:t>大幅增长：增长</w:t>
      </w:r>
      <w:proofErr w:type="spellEnd"/>
      <w:r w:rsidRPr="000563B5">
        <w:rPr>
          <w:rFonts w:hint="eastAsia"/>
          <w:b/>
          <w:sz w:val="24"/>
          <w:lang w:val="en-US" w:eastAsia="de-DE"/>
        </w:rPr>
        <w:t>10.7%</w:t>
      </w:r>
      <w:r w:rsidRPr="000563B5">
        <w:rPr>
          <w:rFonts w:hint="eastAsia"/>
          <w:b/>
          <w:sz w:val="24"/>
          <w:lang w:val="en-US" w:eastAsia="de-DE"/>
        </w:rPr>
        <w:t>，达</w:t>
      </w:r>
      <w:r w:rsidRPr="000563B5">
        <w:rPr>
          <w:rFonts w:hint="eastAsia"/>
          <w:b/>
          <w:sz w:val="24"/>
          <w:lang w:val="en-US" w:eastAsia="de-DE"/>
        </w:rPr>
        <w:t>1.55</w:t>
      </w:r>
      <w:proofErr w:type="spellStart"/>
      <w:r w:rsidRPr="000563B5">
        <w:rPr>
          <w:rFonts w:hint="eastAsia"/>
          <w:b/>
          <w:sz w:val="24"/>
          <w:lang w:val="en-US" w:eastAsia="de-DE"/>
        </w:rPr>
        <w:t>欧元</w:t>
      </w:r>
      <w:proofErr w:type="spellEnd"/>
    </w:p>
    <w:p w14:paraId="3CCFAE5A" w14:textId="77777777" w:rsidR="0074292F" w:rsidRDefault="0074292F" w:rsidP="0074292F">
      <w:pPr>
        <w:autoSpaceDE w:val="0"/>
        <w:autoSpaceDN w:val="0"/>
        <w:adjustRightInd w:val="0"/>
        <w:snapToGrid w:val="0"/>
        <w:spacing w:line="360" w:lineRule="auto"/>
        <w:rPr>
          <w:rFonts w:hAnsi="宋体" w:cs="Arial"/>
          <w:b/>
          <w:sz w:val="24"/>
          <w:lang w:val="en-US" w:eastAsia="zh-CN"/>
        </w:rPr>
      </w:pPr>
      <w:r w:rsidRPr="000D7F4C">
        <w:rPr>
          <w:rFonts w:cs="Arial"/>
          <w:b/>
          <w:sz w:val="24"/>
          <w:lang w:val="en-US" w:eastAsia="zh-CN"/>
        </w:rPr>
        <w:br/>
      </w:r>
      <w:r w:rsidRPr="000D7F4C">
        <w:rPr>
          <w:rFonts w:hAnsi="宋体" w:cs="Arial"/>
          <w:b/>
          <w:sz w:val="24"/>
          <w:lang w:val="en-US" w:eastAsia="zh-CN"/>
        </w:rPr>
        <w:t>杜塞尔多夫</w:t>
      </w:r>
      <w:r w:rsidRPr="000D7F4C">
        <w:rPr>
          <w:rFonts w:cs="Arial"/>
          <w:b/>
          <w:bCs/>
          <w:snapToGrid w:val="0"/>
          <w:lang w:eastAsia="zh-CN"/>
        </w:rPr>
        <w:t>——</w:t>
      </w:r>
      <w:r w:rsidRPr="000563B5">
        <w:rPr>
          <w:rFonts w:hAnsi="宋体" w:cs="Arial" w:hint="eastAsia"/>
          <w:b/>
          <w:sz w:val="24"/>
          <w:lang w:val="en-US" w:eastAsia="zh-CN"/>
        </w:rPr>
        <w:t>“汉高第二季度表现强劲，季度销售额、调整后营业利润和息税前利润（</w:t>
      </w:r>
      <w:r w:rsidRPr="000563B5">
        <w:rPr>
          <w:rFonts w:hAnsi="宋体" w:cs="Arial" w:hint="eastAsia"/>
          <w:b/>
          <w:sz w:val="24"/>
          <w:lang w:val="en-US" w:eastAsia="zh-CN"/>
        </w:rPr>
        <w:t>EBIT</w:t>
      </w:r>
      <w:r w:rsidRPr="000563B5">
        <w:rPr>
          <w:rFonts w:hAnsi="宋体" w:cs="Arial" w:hint="eastAsia"/>
          <w:b/>
          <w:sz w:val="24"/>
          <w:lang w:val="en-US" w:eastAsia="zh-CN"/>
        </w:rPr>
        <w:t>）率以及优先股每股收益同时创下新高，三大业务部门对此均作出积极贡献，”汉高首席执行官汉斯·范·比伦（</w:t>
      </w:r>
      <w:r w:rsidRPr="000563B5">
        <w:rPr>
          <w:rFonts w:hAnsi="宋体" w:cs="Arial" w:hint="eastAsia"/>
          <w:b/>
          <w:sz w:val="24"/>
          <w:lang w:val="en-US" w:eastAsia="zh-CN"/>
        </w:rPr>
        <w:t xml:space="preserve">Hans Van </w:t>
      </w:r>
      <w:proofErr w:type="spellStart"/>
      <w:r w:rsidRPr="000563B5">
        <w:rPr>
          <w:rFonts w:hAnsi="宋体" w:cs="Arial" w:hint="eastAsia"/>
          <w:b/>
          <w:sz w:val="24"/>
          <w:lang w:val="en-US" w:eastAsia="zh-CN"/>
        </w:rPr>
        <w:t>Bylen</w:t>
      </w:r>
      <w:proofErr w:type="spellEnd"/>
      <w:r w:rsidRPr="000563B5">
        <w:rPr>
          <w:rFonts w:hAnsi="宋体" w:cs="Arial" w:hint="eastAsia"/>
          <w:b/>
          <w:sz w:val="24"/>
          <w:lang w:val="en-US" w:eastAsia="zh-CN"/>
        </w:rPr>
        <w:t>）先生表示，“销售额大幅增长，达</w:t>
      </w:r>
      <w:r w:rsidRPr="000563B5">
        <w:rPr>
          <w:rFonts w:hAnsi="宋体" w:cs="Arial" w:hint="eastAsia"/>
          <w:b/>
          <w:sz w:val="24"/>
          <w:lang w:val="en-US" w:eastAsia="zh-CN"/>
        </w:rPr>
        <w:t>51</w:t>
      </w:r>
      <w:r w:rsidRPr="000563B5">
        <w:rPr>
          <w:rFonts w:hAnsi="宋体" w:cs="Arial" w:hint="eastAsia"/>
          <w:b/>
          <w:sz w:val="24"/>
          <w:lang w:val="en-US" w:eastAsia="zh-CN"/>
        </w:rPr>
        <w:t>亿欧元左右。调整后营业利润和调整后息税前利润率进一步提高。调整后优先股每股收益取得两位数增长。在充满挑战的市场环境下，汉高业绩表现强劲。”</w:t>
      </w:r>
    </w:p>
    <w:p w14:paraId="066091C8" w14:textId="77777777" w:rsidR="0074292F" w:rsidRDefault="0074292F" w:rsidP="0074292F">
      <w:pPr>
        <w:autoSpaceDE w:val="0"/>
        <w:autoSpaceDN w:val="0"/>
        <w:adjustRightInd w:val="0"/>
        <w:snapToGrid w:val="0"/>
        <w:spacing w:line="360" w:lineRule="auto"/>
        <w:rPr>
          <w:rFonts w:cs="Arial"/>
          <w:b/>
          <w:sz w:val="24"/>
          <w:lang w:val="en-US" w:eastAsia="zh-CN"/>
        </w:rPr>
      </w:pPr>
      <w:r w:rsidRPr="000D7F4C">
        <w:rPr>
          <w:rFonts w:cs="Arial"/>
          <w:b/>
          <w:sz w:val="24"/>
          <w:lang w:val="en-US" w:eastAsia="zh-CN"/>
        </w:rPr>
        <w:br/>
      </w:r>
      <w:r w:rsidRPr="000563B5">
        <w:rPr>
          <w:rFonts w:cs="Arial" w:hint="eastAsia"/>
          <w:b/>
          <w:sz w:val="24"/>
          <w:lang w:val="en-US" w:eastAsia="zh-CN"/>
        </w:rPr>
        <w:t>“我们预计全年市场环境的整体波动和不确定性将延续。</w:t>
      </w:r>
      <w:r>
        <w:rPr>
          <w:rFonts w:cs="Arial" w:hint="eastAsia"/>
          <w:b/>
          <w:sz w:val="24"/>
          <w:lang w:val="en-US" w:eastAsia="zh-CN"/>
        </w:rPr>
        <w:t>汇率波动可能会继续，预计消费品市场的困难状况将持续下去。我们全面</w:t>
      </w:r>
      <w:r w:rsidRPr="000563B5">
        <w:rPr>
          <w:rFonts w:cs="Arial" w:hint="eastAsia"/>
          <w:b/>
          <w:sz w:val="24"/>
          <w:lang w:val="en-US" w:eastAsia="zh-CN"/>
        </w:rPr>
        <w:t>致力于保持业务的成功发展并实施我们的战略重点。”</w:t>
      </w:r>
      <w:r w:rsidRPr="000563B5">
        <w:rPr>
          <w:rFonts w:cs="Arial" w:hint="eastAsia"/>
          <w:b/>
          <w:sz w:val="24"/>
          <w:lang w:val="en-US" w:eastAsia="zh-CN"/>
        </w:rPr>
        <w:t xml:space="preserve"> </w:t>
      </w:r>
      <w:r w:rsidRPr="000563B5">
        <w:rPr>
          <w:rFonts w:cs="Arial" w:hint="eastAsia"/>
          <w:b/>
          <w:sz w:val="24"/>
          <w:lang w:val="en-US" w:eastAsia="zh-CN"/>
        </w:rPr>
        <w:t>汉斯·范·比伦先生表示。</w:t>
      </w:r>
    </w:p>
    <w:p w14:paraId="41C56C64" w14:textId="34052E92" w:rsidR="0074292F" w:rsidRDefault="0074292F" w:rsidP="0074292F">
      <w:pPr>
        <w:autoSpaceDE w:val="0"/>
        <w:autoSpaceDN w:val="0"/>
        <w:adjustRightInd w:val="0"/>
        <w:snapToGrid w:val="0"/>
        <w:spacing w:line="360" w:lineRule="auto"/>
        <w:rPr>
          <w:rFonts w:cs="Arial"/>
          <w:b/>
          <w:sz w:val="24"/>
          <w:lang w:val="en-US" w:eastAsia="zh-CN"/>
        </w:rPr>
      </w:pPr>
      <w:r w:rsidRPr="000D7F4C">
        <w:rPr>
          <w:rFonts w:cs="Arial"/>
          <w:b/>
          <w:bCs/>
          <w:sz w:val="24"/>
          <w:lang w:val="en-US" w:eastAsia="zh-CN"/>
        </w:rPr>
        <w:br/>
      </w:r>
      <w:r w:rsidRPr="000563B5">
        <w:rPr>
          <w:rFonts w:hAnsi="宋体" w:cs="Arial" w:hint="eastAsia"/>
          <w:b/>
          <w:sz w:val="24"/>
          <w:lang w:val="en-US" w:eastAsia="zh-CN"/>
        </w:rPr>
        <w:t>“汉高确认了本财年的财务目标。我们预计有机销售额增长率将在</w:t>
      </w:r>
      <w:r w:rsidRPr="000563B5">
        <w:rPr>
          <w:rFonts w:hAnsi="宋体" w:cs="Arial" w:hint="eastAsia"/>
          <w:b/>
          <w:sz w:val="24"/>
          <w:lang w:val="en-US" w:eastAsia="zh-CN"/>
        </w:rPr>
        <w:t>2%</w:t>
      </w:r>
      <w:r w:rsidRPr="000563B5">
        <w:rPr>
          <w:rFonts w:hAnsi="宋体" w:cs="Arial" w:hint="eastAsia"/>
          <w:b/>
          <w:sz w:val="24"/>
          <w:lang w:val="en-US" w:eastAsia="zh-CN"/>
        </w:rPr>
        <w:t>至</w:t>
      </w:r>
      <w:r w:rsidRPr="000563B5">
        <w:rPr>
          <w:rFonts w:hAnsi="宋体" w:cs="Arial" w:hint="eastAsia"/>
          <w:b/>
          <w:sz w:val="24"/>
          <w:lang w:val="en-US" w:eastAsia="zh-CN"/>
        </w:rPr>
        <w:t>4%</w:t>
      </w:r>
      <w:r w:rsidRPr="000563B5">
        <w:rPr>
          <w:rFonts w:hAnsi="宋体" w:cs="Arial" w:hint="eastAsia"/>
          <w:b/>
          <w:sz w:val="24"/>
          <w:lang w:val="en-US" w:eastAsia="zh-CN"/>
        </w:rPr>
        <w:t>之间。我们预计调整后息税前利润（</w:t>
      </w:r>
      <w:r w:rsidRPr="000563B5">
        <w:rPr>
          <w:rFonts w:hAnsi="宋体" w:cs="Arial" w:hint="eastAsia"/>
          <w:b/>
          <w:sz w:val="24"/>
          <w:lang w:val="en-US" w:eastAsia="zh-CN"/>
        </w:rPr>
        <w:t>EBIT</w:t>
      </w:r>
      <w:r w:rsidRPr="000563B5">
        <w:rPr>
          <w:rFonts w:hAnsi="宋体" w:cs="Arial" w:hint="eastAsia"/>
          <w:b/>
          <w:sz w:val="24"/>
          <w:lang w:val="en-US" w:eastAsia="zh-CN"/>
        </w:rPr>
        <w:t>）率将提高至</w:t>
      </w:r>
      <w:r w:rsidRPr="000563B5">
        <w:rPr>
          <w:rFonts w:hAnsi="宋体" w:cs="Arial" w:hint="eastAsia"/>
          <w:b/>
          <w:sz w:val="24"/>
          <w:lang w:val="en-US" w:eastAsia="zh-CN"/>
        </w:rPr>
        <w:t>17.0%</w:t>
      </w:r>
      <w:r w:rsidRPr="000563B5">
        <w:rPr>
          <w:rFonts w:hAnsi="宋体" w:cs="Arial" w:hint="eastAsia"/>
          <w:b/>
          <w:sz w:val="24"/>
          <w:lang w:val="en-US" w:eastAsia="zh-CN"/>
        </w:rPr>
        <w:t>以上，调整后的优先股每股收益将增长</w:t>
      </w:r>
      <w:r w:rsidRPr="000563B5">
        <w:rPr>
          <w:rFonts w:hAnsi="宋体" w:cs="Arial" w:hint="eastAsia"/>
          <w:b/>
          <w:sz w:val="24"/>
          <w:lang w:val="en-US" w:eastAsia="zh-CN"/>
        </w:rPr>
        <w:t>7%</w:t>
      </w:r>
      <w:r w:rsidRPr="000563B5">
        <w:rPr>
          <w:rFonts w:hAnsi="宋体" w:cs="Arial" w:hint="eastAsia"/>
          <w:b/>
          <w:sz w:val="24"/>
          <w:lang w:val="en-US" w:eastAsia="zh-CN"/>
        </w:rPr>
        <w:t>至</w:t>
      </w:r>
      <w:r w:rsidRPr="000563B5">
        <w:rPr>
          <w:rFonts w:hAnsi="宋体" w:cs="Arial" w:hint="eastAsia"/>
          <w:b/>
          <w:sz w:val="24"/>
          <w:lang w:val="en-US" w:eastAsia="zh-CN"/>
        </w:rPr>
        <w:t>9%</w:t>
      </w:r>
      <w:r w:rsidRPr="000563B5">
        <w:rPr>
          <w:rFonts w:hAnsi="宋体" w:cs="Arial" w:hint="eastAsia"/>
          <w:b/>
          <w:sz w:val="24"/>
          <w:lang w:val="en-US" w:eastAsia="zh-CN"/>
        </w:rPr>
        <w:t>。”</w:t>
      </w:r>
    </w:p>
    <w:p w14:paraId="4DDBFDC9" w14:textId="20DF3011" w:rsidR="0074292F" w:rsidRPr="003A5D8C" w:rsidRDefault="0074292F" w:rsidP="0074292F">
      <w:pPr>
        <w:autoSpaceDE w:val="0"/>
        <w:autoSpaceDN w:val="0"/>
        <w:adjustRightInd w:val="0"/>
        <w:snapToGrid w:val="0"/>
        <w:spacing w:line="360" w:lineRule="auto"/>
        <w:rPr>
          <w:rFonts w:hAnsi="宋体" w:cs="Arial"/>
          <w:sz w:val="16"/>
          <w:szCs w:val="16"/>
          <w:lang w:val="en-US" w:eastAsia="zh-CN"/>
        </w:rPr>
      </w:pPr>
      <w:r w:rsidRPr="000D7F4C">
        <w:rPr>
          <w:rFonts w:cs="Arial"/>
          <w:sz w:val="16"/>
          <w:szCs w:val="16"/>
          <w:lang w:val="en-US" w:eastAsia="zh-CN"/>
        </w:rPr>
        <w:br/>
      </w:r>
      <w:bookmarkStart w:id="4" w:name="_GoBack"/>
      <w:bookmarkEnd w:id="4"/>
    </w:p>
    <w:p w14:paraId="3996D1E7" w14:textId="42CC1C45" w:rsidR="005473A3" w:rsidRDefault="005473A3" w:rsidP="0074292F">
      <w:pPr>
        <w:autoSpaceDE w:val="0"/>
        <w:autoSpaceDN w:val="0"/>
        <w:adjustRightInd w:val="0"/>
        <w:snapToGrid w:val="0"/>
        <w:spacing w:line="360" w:lineRule="auto"/>
        <w:rPr>
          <w:rFonts w:hAnsi="宋体" w:cs="Arial" w:hint="eastAsia"/>
          <w:b/>
          <w:bCs/>
          <w:sz w:val="24"/>
          <w:lang w:val="en-US" w:eastAsia="zh-CN"/>
        </w:rPr>
      </w:pPr>
    </w:p>
    <w:p w14:paraId="02344168" w14:textId="2B656C44" w:rsidR="005473A3" w:rsidRDefault="005473A3" w:rsidP="0074292F">
      <w:pPr>
        <w:autoSpaceDE w:val="0"/>
        <w:autoSpaceDN w:val="0"/>
        <w:adjustRightInd w:val="0"/>
        <w:snapToGrid w:val="0"/>
        <w:spacing w:line="360" w:lineRule="auto"/>
        <w:rPr>
          <w:rFonts w:hAnsi="宋体" w:cs="Arial" w:hint="eastAsia"/>
          <w:b/>
          <w:bCs/>
          <w:sz w:val="24"/>
          <w:lang w:val="en-US" w:eastAsia="zh-CN"/>
        </w:rPr>
      </w:pPr>
      <w:r>
        <w:rPr>
          <w:rFonts w:hAnsi="宋体" w:cs="Arial"/>
          <w:b/>
          <w:noProof/>
          <w:sz w:val="24"/>
          <w:lang w:val="en-US" w:eastAsia="zh-CN"/>
        </w:rPr>
        <mc:AlternateContent>
          <mc:Choice Requires="wps">
            <w:drawing>
              <wp:anchor distT="0" distB="0" distL="114300" distR="114300" simplePos="0" relativeHeight="251659264" behindDoc="0" locked="0" layoutInCell="1" allowOverlap="1" wp14:anchorId="4FE64023" wp14:editId="229B3642">
                <wp:simplePos x="0" y="0"/>
                <wp:positionH relativeFrom="column">
                  <wp:posOffset>65405</wp:posOffset>
                </wp:positionH>
                <wp:positionV relativeFrom="paragraph">
                  <wp:posOffset>23495</wp:posOffset>
                </wp:positionV>
                <wp:extent cx="5468620" cy="40259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46862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EDB54" w14:textId="77777777" w:rsidR="005473A3" w:rsidRDefault="005473A3" w:rsidP="005473A3">
                            <w:pPr>
                              <w:rPr>
                                <w:lang w:eastAsia="zh-CN"/>
                              </w:rPr>
                            </w:pPr>
                            <w:r w:rsidRPr="000D7F4C">
                              <w:rPr>
                                <w:rFonts w:cs="Arial"/>
                                <w:sz w:val="16"/>
                                <w:szCs w:val="16"/>
                                <w:lang w:val="en-US" w:eastAsia="zh-CN"/>
                              </w:rPr>
                              <w:t xml:space="preserve">* </w:t>
                            </w:r>
                            <w:r w:rsidRPr="000D7F4C">
                              <w:rPr>
                                <w:rFonts w:hAnsi="宋体" w:cs="Arial"/>
                                <w:sz w:val="16"/>
                                <w:szCs w:val="16"/>
                                <w:lang w:val="en-US" w:eastAsia="zh-CN"/>
                              </w:rPr>
                              <w:t>已对一次性费用</w:t>
                            </w:r>
                            <w:r w:rsidRPr="000D7F4C">
                              <w:rPr>
                                <w:rFonts w:cs="Arial"/>
                                <w:sz w:val="16"/>
                                <w:szCs w:val="16"/>
                                <w:lang w:val="en-US" w:eastAsia="zh-CN"/>
                              </w:rPr>
                              <w:t>/</w:t>
                            </w:r>
                            <w:r w:rsidRPr="000D7F4C">
                              <w:rPr>
                                <w:rFonts w:hAnsi="宋体" w:cs="Arial"/>
                                <w:sz w:val="16"/>
                                <w:szCs w:val="16"/>
                                <w:lang w:val="en-US" w:eastAsia="zh-CN"/>
                              </w:rPr>
                              <w:t>收益和重组费用予以调整。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E64023" id="_x0000_t202" coordsize="21600,21600" o:spt="202" path="m0,0l0,21600,21600,21600,21600,0xe">
                <v:stroke joinstyle="miter"/>
                <v:path gradientshapeok="t" o:connecttype="rect"/>
              </v:shapetype>
              <v:shape id="文本框 19" o:spid="_x0000_s1026" type="#_x0000_t202" style="position:absolute;margin-left:5.15pt;margin-top:1.85pt;width:430.6pt;height:3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" filled="f" stroked="f" strokeweight=".5pt">
                <v:textbox>
                  <w:txbxContent>
                    <w:p w14:paraId="23DEDB54" w14:textId="77777777" w:rsidR="005473A3" w:rsidRDefault="005473A3" w:rsidP="005473A3">
                      <w:pPr>
                        <w:rPr>
                          <w:lang w:eastAsia="zh-CN"/>
                        </w:rPr>
                      </w:pPr>
                      <w:r w:rsidRPr="000D7F4C">
                        <w:rPr>
                          <w:rFonts w:cs="Arial"/>
                          <w:sz w:val="16"/>
                          <w:szCs w:val="16"/>
                          <w:lang w:val="en-US" w:eastAsia="zh-CN"/>
                        </w:rPr>
                        <w:t xml:space="preserve">* </w:t>
                      </w:r>
                      <w:r w:rsidRPr="000D7F4C">
                        <w:rPr>
                          <w:rFonts w:hAnsi="宋体" w:cs="Arial"/>
                          <w:sz w:val="16"/>
                          <w:szCs w:val="16"/>
                          <w:lang w:val="en-US" w:eastAsia="zh-CN"/>
                        </w:rPr>
                        <w:t>已对一次性费用</w:t>
                      </w:r>
                      <w:r w:rsidRPr="000D7F4C">
                        <w:rPr>
                          <w:rFonts w:cs="Arial"/>
                          <w:sz w:val="16"/>
                          <w:szCs w:val="16"/>
                          <w:lang w:val="en-US" w:eastAsia="zh-CN"/>
                        </w:rPr>
                        <w:t>/</w:t>
                      </w:r>
                      <w:r w:rsidRPr="000D7F4C">
                        <w:rPr>
                          <w:rFonts w:hAnsi="宋体" w:cs="Arial"/>
                          <w:sz w:val="16"/>
                          <w:szCs w:val="16"/>
                          <w:lang w:val="en-US" w:eastAsia="zh-CN"/>
                        </w:rPr>
                        <w:t>收益和重组费用予以调整。</w:t>
                      </w:r>
                    </w:p>
                  </w:txbxContent>
                </v:textbox>
              </v:shape>
            </w:pict>
          </mc:Fallback>
        </mc:AlternateContent>
      </w:r>
    </w:p>
    <w:p w14:paraId="0BA3F079" w14:textId="007DCEC4" w:rsidR="0074292F" w:rsidRDefault="0074292F" w:rsidP="0074292F">
      <w:pPr>
        <w:autoSpaceDE w:val="0"/>
        <w:autoSpaceDN w:val="0"/>
        <w:adjustRightInd w:val="0"/>
        <w:snapToGrid w:val="0"/>
        <w:spacing w:line="360" w:lineRule="auto"/>
        <w:rPr>
          <w:rFonts w:hAnsi="宋体" w:cs="Arial"/>
          <w:b/>
          <w:bCs/>
          <w:sz w:val="24"/>
          <w:lang w:val="en-US" w:eastAsia="zh-CN"/>
        </w:rPr>
      </w:pPr>
      <w:r w:rsidRPr="000D7F4C">
        <w:rPr>
          <w:rFonts w:hAnsi="宋体" w:cs="Arial"/>
          <w:b/>
          <w:bCs/>
          <w:sz w:val="24"/>
          <w:lang w:val="en-US" w:eastAsia="zh-CN"/>
        </w:rPr>
        <w:lastRenderedPageBreak/>
        <w:t>汉高</w:t>
      </w:r>
      <w:r w:rsidRPr="000D7F4C">
        <w:rPr>
          <w:rFonts w:cs="Arial"/>
          <w:b/>
          <w:bCs/>
          <w:sz w:val="24"/>
          <w:lang w:val="en-US" w:eastAsia="zh-CN"/>
        </w:rPr>
        <w:t>2017</w:t>
      </w:r>
      <w:r w:rsidRPr="000D7F4C">
        <w:rPr>
          <w:rFonts w:hAnsi="宋体" w:cs="Arial"/>
          <w:b/>
          <w:bCs/>
          <w:sz w:val="24"/>
          <w:lang w:val="en-US" w:eastAsia="zh-CN"/>
        </w:rPr>
        <w:t>财年第</w:t>
      </w:r>
      <w:r>
        <w:rPr>
          <w:rFonts w:cs="Arial" w:hint="eastAsia"/>
          <w:b/>
          <w:bCs/>
          <w:sz w:val="24"/>
          <w:lang w:val="en-US" w:eastAsia="zh-CN"/>
        </w:rPr>
        <w:t>二</w:t>
      </w:r>
      <w:r w:rsidRPr="000D7F4C">
        <w:rPr>
          <w:rFonts w:hAnsi="宋体" w:cs="Arial"/>
          <w:b/>
          <w:bCs/>
          <w:sz w:val="24"/>
          <w:lang w:val="en-US" w:eastAsia="zh-CN"/>
        </w:rPr>
        <w:t>季度销售及盈利表现</w:t>
      </w:r>
    </w:p>
    <w:p w14:paraId="2B4D0D60"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r>
        <w:rPr>
          <w:rFonts w:cs="Arial" w:hint="eastAsia"/>
          <w:sz w:val="24"/>
          <w:lang w:val="en-US" w:eastAsia="zh-CN"/>
        </w:rPr>
        <w:br/>
      </w:r>
      <w:bookmarkStart w:id="5" w:name="_Hlk490231832"/>
      <w:r w:rsidRPr="00466C72">
        <w:rPr>
          <w:rFonts w:cs="Arial"/>
          <w:snapToGrid w:val="0"/>
          <w:sz w:val="24"/>
          <w:lang w:val="en-US" w:eastAsia="zh-CN"/>
        </w:rPr>
        <w:t>2017</w:t>
      </w:r>
      <w:r w:rsidRPr="00466C72">
        <w:rPr>
          <w:rFonts w:cs="Arial"/>
          <w:snapToGrid w:val="0"/>
          <w:sz w:val="24"/>
          <w:lang w:val="en-US" w:eastAsia="zh-CN"/>
        </w:rPr>
        <w:t>财年第</w:t>
      </w:r>
      <w:r w:rsidRPr="00466C72">
        <w:rPr>
          <w:rFonts w:cs="Arial"/>
          <w:b/>
          <w:bCs/>
          <w:snapToGrid w:val="0"/>
          <w:sz w:val="24"/>
          <w:lang w:val="en-US" w:eastAsia="zh-CN"/>
        </w:rPr>
        <w:t>二</w:t>
      </w:r>
      <w:r w:rsidRPr="00466C72">
        <w:rPr>
          <w:rFonts w:cs="Arial"/>
          <w:snapToGrid w:val="0"/>
          <w:sz w:val="24"/>
          <w:lang w:val="en-US" w:eastAsia="zh-CN"/>
        </w:rPr>
        <w:t>季度，汉高</w:t>
      </w:r>
      <w:r w:rsidRPr="00466C72">
        <w:rPr>
          <w:rFonts w:cs="Arial"/>
          <w:b/>
          <w:snapToGrid w:val="0"/>
          <w:sz w:val="24"/>
          <w:lang w:val="en-US" w:eastAsia="zh-CN"/>
        </w:rPr>
        <w:t>销售额</w:t>
      </w:r>
      <w:r w:rsidRPr="00466C72">
        <w:rPr>
          <w:rFonts w:cs="Arial"/>
          <w:snapToGrid w:val="0"/>
          <w:sz w:val="24"/>
          <w:lang w:val="en-US" w:eastAsia="zh-CN"/>
        </w:rPr>
        <w:t>达到</w:t>
      </w:r>
      <w:r w:rsidRPr="00466C72">
        <w:rPr>
          <w:rFonts w:cs="Arial"/>
          <w:snapToGrid w:val="0"/>
          <w:sz w:val="24"/>
          <w:lang w:val="en-US" w:eastAsia="zh-CN"/>
        </w:rPr>
        <w:t>50.98</w:t>
      </w:r>
      <w:r w:rsidRPr="00466C72">
        <w:rPr>
          <w:rFonts w:cs="Arial"/>
          <w:snapToGrid w:val="0"/>
          <w:sz w:val="24"/>
          <w:lang w:val="en-US" w:eastAsia="zh-CN"/>
        </w:rPr>
        <w:t>亿欧元，创下历史新高，与去年同期相比增长</w:t>
      </w:r>
      <w:r w:rsidRPr="00466C72">
        <w:rPr>
          <w:rFonts w:cs="Arial"/>
          <w:snapToGrid w:val="0"/>
          <w:sz w:val="24"/>
          <w:lang w:val="en-US" w:eastAsia="zh-CN"/>
        </w:rPr>
        <w:t>9.6%</w:t>
      </w:r>
      <w:r w:rsidRPr="00466C72">
        <w:rPr>
          <w:rFonts w:cs="Arial"/>
          <w:snapToGrid w:val="0"/>
          <w:sz w:val="24"/>
          <w:lang w:val="en-US" w:eastAsia="zh-CN"/>
        </w:rPr>
        <w:t>。收购</w:t>
      </w:r>
      <w:r w:rsidRPr="00466C72">
        <w:rPr>
          <w:rFonts w:cs="Arial"/>
          <w:snapToGrid w:val="0"/>
          <w:sz w:val="24"/>
          <w:lang w:val="en-US" w:eastAsia="zh-CN"/>
        </w:rPr>
        <w:t>/</w:t>
      </w:r>
      <w:r w:rsidRPr="00466C72">
        <w:rPr>
          <w:rFonts w:cs="Arial"/>
          <w:snapToGrid w:val="0"/>
          <w:sz w:val="24"/>
          <w:lang w:val="en-US" w:eastAsia="zh-CN"/>
        </w:rPr>
        <w:t>退出所持业务</w:t>
      </w:r>
      <w:r w:rsidRPr="00466C72">
        <w:rPr>
          <w:rFonts w:cs="Arial" w:hint="eastAsia"/>
          <w:sz w:val="24"/>
          <w:lang w:val="en-US" w:eastAsia="zh-CN"/>
        </w:rPr>
        <w:t>（项目）</w:t>
      </w:r>
      <w:r w:rsidRPr="00466C72">
        <w:rPr>
          <w:rFonts w:cs="Arial"/>
          <w:snapToGrid w:val="0"/>
          <w:sz w:val="24"/>
          <w:lang w:val="en-US" w:eastAsia="zh-CN"/>
        </w:rPr>
        <w:t>的贡献达到</w:t>
      </w:r>
      <w:r w:rsidRPr="00466C72">
        <w:rPr>
          <w:rFonts w:cs="Arial"/>
          <w:snapToGrid w:val="0"/>
          <w:sz w:val="24"/>
          <w:lang w:val="en-US" w:eastAsia="zh-CN"/>
        </w:rPr>
        <w:t>7.4%</w:t>
      </w:r>
      <w:r w:rsidRPr="00466C72">
        <w:rPr>
          <w:rFonts w:cs="Arial"/>
          <w:snapToGrid w:val="0"/>
          <w:sz w:val="24"/>
          <w:lang w:val="en-US" w:eastAsia="zh-CN"/>
        </w:rPr>
        <w:t>，主要得益于对</w:t>
      </w:r>
      <w:r w:rsidRPr="00466C72">
        <w:rPr>
          <w:rFonts w:cs="Arial"/>
          <w:snapToGrid w:val="0"/>
          <w:sz w:val="24"/>
          <w:lang w:val="en-US" w:eastAsia="zh-CN"/>
        </w:rPr>
        <w:t>Sun Products</w:t>
      </w:r>
      <w:r w:rsidRPr="00466C72">
        <w:rPr>
          <w:rFonts w:cs="Arial"/>
          <w:snapToGrid w:val="0"/>
          <w:sz w:val="24"/>
          <w:lang w:val="en-US" w:eastAsia="zh-CN"/>
        </w:rPr>
        <w:t>公司的收购。外汇影响总体呈现中立态势。扣除汇率波动和收购</w:t>
      </w:r>
      <w:r w:rsidRPr="00466C72">
        <w:rPr>
          <w:rFonts w:cs="Arial"/>
          <w:snapToGrid w:val="0"/>
          <w:sz w:val="24"/>
          <w:lang w:val="en-US" w:eastAsia="zh-CN"/>
        </w:rPr>
        <w:t>/</w:t>
      </w:r>
      <w:r w:rsidRPr="00466C72">
        <w:rPr>
          <w:rFonts w:cs="Arial"/>
          <w:snapToGrid w:val="0"/>
          <w:sz w:val="24"/>
          <w:lang w:val="en-US" w:eastAsia="zh-CN"/>
        </w:rPr>
        <w:t>退出所持业务</w:t>
      </w:r>
      <w:r w:rsidRPr="00466C72">
        <w:rPr>
          <w:rFonts w:cs="Arial" w:hint="eastAsia"/>
          <w:sz w:val="24"/>
          <w:lang w:val="en-US" w:eastAsia="zh-CN"/>
        </w:rPr>
        <w:t>（项目）</w:t>
      </w:r>
      <w:r w:rsidRPr="00466C72">
        <w:rPr>
          <w:rFonts w:cs="Arial"/>
          <w:snapToGrid w:val="0"/>
          <w:sz w:val="24"/>
          <w:lang w:val="en-US" w:eastAsia="zh-CN"/>
        </w:rPr>
        <w:t>影响后，汉高的</w:t>
      </w:r>
      <w:r w:rsidRPr="00466C72">
        <w:rPr>
          <w:rFonts w:cs="Arial"/>
          <w:b/>
          <w:snapToGrid w:val="0"/>
          <w:sz w:val="24"/>
          <w:lang w:val="en-US" w:eastAsia="zh-CN"/>
        </w:rPr>
        <w:t>有机</w:t>
      </w:r>
      <w:r w:rsidRPr="00466C72">
        <w:rPr>
          <w:rFonts w:cs="Arial"/>
          <w:snapToGrid w:val="0"/>
          <w:sz w:val="24"/>
          <w:lang w:val="en-US" w:eastAsia="zh-CN"/>
        </w:rPr>
        <w:t>销售额实现了</w:t>
      </w:r>
      <w:r w:rsidRPr="00466C72">
        <w:rPr>
          <w:rFonts w:cs="Arial"/>
          <w:snapToGrid w:val="0"/>
          <w:sz w:val="24"/>
          <w:lang w:val="en-US" w:eastAsia="zh-CN"/>
        </w:rPr>
        <w:t>2.2%</w:t>
      </w:r>
      <w:r w:rsidRPr="00466C72">
        <w:rPr>
          <w:rFonts w:cs="Arial"/>
          <w:snapToGrid w:val="0"/>
          <w:sz w:val="24"/>
          <w:lang w:val="en-US" w:eastAsia="zh-CN"/>
        </w:rPr>
        <w:t>的稳步增长。</w:t>
      </w:r>
    </w:p>
    <w:bookmarkEnd w:id="5"/>
    <w:p w14:paraId="4606F74A"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p>
    <w:p w14:paraId="14499C71"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bookmarkStart w:id="6" w:name="_Hlk490231846"/>
      <w:r w:rsidRPr="00466C72">
        <w:rPr>
          <w:rFonts w:cs="Arial"/>
          <w:b/>
          <w:snapToGrid w:val="0"/>
          <w:sz w:val="24"/>
          <w:lang w:val="en-US" w:eastAsia="zh-CN"/>
        </w:rPr>
        <w:t>粘合剂技术</w:t>
      </w:r>
      <w:r w:rsidRPr="00466C72">
        <w:rPr>
          <w:rFonts w:cs="Arial"/>
          <w:snapToGrid w:val="0"/>
          <w:sz w:val="24"/>
          <w:lang w:val="en-US" w:eastAsia="zh-CN"/>
        </w:rPr>
        <w:t>业务部实现非常强劲的有机销售额增长，增幅达</w:t>
      </w:r>
      <w:r w:rsidRPr="00466C72">
        <w:rPr>
          <w:rFonts w:cs="Arial"/>
          <w:snapToGrid w:val="0"/>
          <w:sz w:val="24"/>
          <w:lang w:val="en-US" w:eastAsia="zh-CN"/>
        </w:rPr>
        <w:t>3.4%</w:t>
      </w:r>
      <w:r w:rsidRPr="00466C72">
        <w:rPr>
          <w:rFonts w:cs="Arial"/>
          <w:snapToGrid w:val="0"/>
          <w:sz w:val="24"/>
          <w:lang w:val="en-US" w:eastAsia="zh-CN"/>
        </w:rPr>
        <w:t>。</w:t>
      </w:r>
      <w:r w:rsidRPr="00466C72">
        <w:rPr>
          <w:rFonts w:cs="Arial"/>
          <w:b/>
          <w:snapToGrid w:val="0"/>
          <w:sz w:val="24"/>
          <w:lang w:val="en-US" w:eastAsia="zh-CN"/>
        </w:rPr>
        <w:t>化妆品</w:t>
      </w:r>
      <w:r w:rsidRPr="00466C72">
        <w:rPr>
          <w:rFonts w:cs="Arial"/>
          <w:b/>
          <w:snapToGrid w:val="0"/>
          <w:sz w:val="24"/>
          <w:lang w:val="en-US" w:eastAsia="zh-CN"/>
        </w:rPr>
        <w:t>/</w:t>
      </w:r>
      <w:r w:rsidRPr="00466C72">
        <w:rPr>
          <w:rFonts w:cs="Arial"/>
          <w:b/>
          <w:snapToGrid w:val="0"/>
          <w:sz w:val="24"/>
          <w:lang w:val="en-US" w:eastAsia="zh-CN"/>
        </w:rPr>
        <w:t>美容用品</w:t>
      </w:r>
      <w:r w:rsidRPr="00466C72">
        <w:rPr>
          <w:rFonts w:cs="Arial"/>
          <w:snapToGrid w:val="0"/>
          <w:sz w:val="24"/>
          <w:lang w:val="en-US" w:eastAsia="zh-CN"/>
        </w:rPr>
        <w:t>业务部有机销售额与上年同期持平，同时</w:t>
      </w:r>
      <w:r w:rsidRPr="00466C72">
        <w:rPr>
          <w:rFonts w:cs="Arial"/>
          <w:b/>
          <w:snapToGrid w:val="0"/>
          <w:sz w:val="24"/>
          <w:lang w:val="en-US" w:eastAsia="zh-CN"/>
        </w:rPr>
        <w:t>洗涤剂与家用护理</w:t>
      </w:r>
      <w:r w:rsidRPr="00466C72">
        <w:rPr>
          <w:rFonts w:cs="Arial"/>
          <w:snapToGrid w:val="0"/>
          <w:sz w:val="24"/>
          <w:lang w:val="en-US" w:eastAsia="zh-CN"/>
        </w:rPr>
        <w:t>业务部实现</w:t>
      </w:r>
      <w:r w:rsidRPr="00466C72">
        <w:rPr>
          <w:rFonts w:cs="Arial"/>
          <w:snapToGrid w:val="0"/>
          <w:sz w:val="24"/>
          <w:lang w:val="en-US" w:eastAsia="zh-CN"/>
        </w:rPr>
        <w:t>2.1%</w:t>
      </w:r>
      <w:r w:rsidRPr="00466C72">
        <w:rPr>
          <w:rFonts w:cs="Arial"/>
          <w:snapToGrid w:val="0"/>
          <w:sz w:val="24"/>
          <w:lang w:val="en-US" w:eastAsia="zh-CN"/>
        </w:rPr>
        <w:t>的有机销售额稳步增长。</w:t>
      </w:r>
    </w:p>
    <w:bookmarkEnd w:id="6"/>
    <w:p w14:paraId="67034442"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p>
    <w:p w14:paraId="035E9470"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bookmarkStart w:id="7" w:name="_Hlk490231864"/>
      <w:r w:rsidRPr="00466C72">
        <w:rPr>
          <w:rFonts w:cs="Arial"/>
          <w:b/>
          <w:snapToGrid w:val="0"/>
          <w:sz w:val="24"/>
          <w:lang w:val="en-US" w:eastAsia="zh-CN"/>
        </w:rPr>
        <w:t>新兴市场</w:t>
      </w:r>
      <w:r w:rsidRPr="00466C72">
        <w:rPr>
          <w:rFonts w:cs="Arial"/>
          <w:snapToGrid w:val="0"/>
          <w:sz w:val="24"/>
          <w:lang w:val="en-US" w:eastAsia="zh-CN"/>
        </w:rPr>
        <w:t>对汉高集团有机增长的贡献再次高于平均水平，有机销售额强劲增长</w:t>
      </w:r>
      <w:r w:rsidRPr="00466C72">
        <w:rPr>
          <w:rFonts w:cs="Arial"/>
          <w:snapToGrid w:val="0"/>
          <w:sz w:val="24"/>
          <w:lang w:val="en-US" w:eastAsia="zh-CN"/>
        </w:rPr>
        <w:t>4.7%</w:t>
      </w:r>
      <w:r w:rsidRPr="00466C72">
        <w:rPr>
          <w:rFonts w:cs="Arial"/>
          <w:snapToGrid w:val="0"/>
          <w:sz w:val="24"/>
          <w:lang w:val="en-US" w:eastAsia="zh-CN"/>
        </w:rPr>
        <w:t>，</w:t>
      </w:r>
      <w:r w:rsidRPr="00466C72">
        <w:rPr>
          <w:rFonts w:cs="Arial"/>
          <w:b/>
          <w:snapToGrid w:val="0"/>
          <w:sz w:val="24"/>
          <w:lang w:val="en-US" w:eastAsia="zh-CN"/>
        </w:rPr>
        <w:t>成熟市场</w:t>
      </w:r>
      <w:r w:rsidRPr="00466C72">
        <w:rPr>
          <w:rFonts w:cs="Arial"/>
          <w:snapToGrid w:val="0"/>
          <w:sz w:val="24"/>
          <w:lang w:val="en-US" w:eastAsia="zh-CN"/>
        </w:rPr>
        <w:t>有机销售额增长良好，增幅为</w:t>
      </w:r>
      <w:r w:rsidRPr="00466C72">
        <w:rPr>
          <w:rFonts w:cs="Arial"/>
          <w:snapToGrid w:val="0"/>
          <w:sz w:val="24"/>
          <w:lang w:val="en-US" w:eastAsia="zh-CN"/>
        </w:rPr>
        <w:t>0.5%</w:t>
      </w:r>
      <w:r w:rsidRPr="00466C72">
        <w:rPr>
          <w:rFonts w:cs="Arial"/>
          <w:snapToGrid w:val="0"/>
          <w:sz w:val="24"/>
          <w:lang w:val="en-US" w:eastAsia="zh-CN"/>
        </w:rPr>
        <w:t>。</w:t>
      </w:r>
    </w:p>
    <w:bookmarkEnd w:id="7"/>
    <w:p w14:paraId="5E7134D9"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p>
    <w:p w14:paraId="38055075"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r w:rsidRPr="00466C72">
        <w:rPr>
          <w:rFonts w:cs="Arial"/>
          <w:snapToGrid w:val="0"/>
          <w:sz w:val="24"/>
          <w:lang w:val="en-US" w:eastAsia="zh-CN"/>
        </w:rPr>
        <w:t>在促销和定价</w:t>
      </w:r>
      <w:r w:rsidRPr="00466C72">
        <w:rPr>
          <w:rFonts w:cs="Arial" w:hint="eastAsia"/>
          <w:snapToGrid w:val="0"/>
          <w:sz w:val="24"/>
          <w:lang w:val="en-US" w:eastAsia="zh-CN"/>
        </w:rPr>
        <w:t>压力</w:t>
      </w:r>
      <w:r w:rsidRPr="00466C72">
        <w:rPr>
          <w:rFonts w:cs="Arial"/>
          <w:snapToGrid w:val="0"/>
          <w:sz w:val="24"/>
          <w:lang w:val="en-US" w:eastAsia="zh-CN"/>
        </w:rPr>
        <w:t>加剧的情况下，面对</w:t>
      </w:r>
      <w:r w:rsidRPr="00466C72">
        <w:rPr>
          <w:rFonts w:cs="Arial" w:hint="eastAsia"/>
          <w:snapToGrid w:val="0"/>
          <w:sz w:val="24"/>
          <w:lang w:val="en-US" w:eastAsia="zh-CN"/>
        </w:rPr>
        <w:t>持续充满挑战</w:t>
      </w:r>
      <w:r w:rsidRPr="00466C72">
        <w:rPr>
          <w:rFonts w:cs="Arial"/>
          <w:snapToGrid w:val="0"/>
          <w:sz w:val="24"/>
          <w:lang w:val="en-US" w:eastAsia="zh-CN"/>
        </w:rPr>
        <w:t>的市场环境，</w:t>
      </w:r>
      <w:r w:rsidRPr="00466C72">
        <w:rPr>
          <w:rFonts w:cs="Arial"/>
          <w:b/>
          <w:snapToGrid w:val="0"/>
          <w:sz w:val="24"/>
          <w:lang w:val="en-US" w:eastAsia="zh-CN"/>
        </w:rPr>
        <w:t>西欧地区</w:t>
      </w:r>
      <w:r w:rsidRPr="00466C72">
        <w:rPr>
          <w:rFonts w:cs="Arial" w:hint="eastAsia"/>
          <w:snapToGrid w:val="0"/>
          <w:sz w:val="24"/>
          <w:lang w:val="en-US" w:eastAsia="zh-CN"/>
        </w:rPr>
        <w:t>的有机</w:t>
      </w:r>
      <w:r w:rsidRPr="00466C72">
        <w:rPr>
          <w:rFonts w:cs="Arial"/>
          <w:snapToGrid w:val="0"/>
          <w:sz w:val="24"/>
          <w:lang w:val="en-US" w:eastAsia="zh-CN"/>
        </w:rPr>
        <w:t>销售额出现</w:t>
      </w:r>
      <w:r w:rsidRPr="00466C72">
        <w:rPr>
          <w:rFonts w:cs="Arial"/>
          <w:snapToGrid w:val="0"/>
          <w:sz w:val="24"/>
          <w:lang w:val="en-US" w:eastAsia="zh-CN"/>
        </w:rPr>
        <w:t>-1.2%</w:t>
      </w:r>
      <w:r w:rsidRPr="00466C72">
        <w:rPr>
          <w:rFonts w:cs="Arial" w:hint="eastAsia"/>
          <w:snapToGrid w:val="0"/>
          <w:sz w:val="24"/>
          <w:lang w:val="en-US" w:eastAsia="zh-CN"/>
        </w:rPr>
        <w:t>的</w:t>
      </w:r>
      <w:r w:rsidRPr="00466C72">
        <w:rPr>
          <w:rFonts w:cs="Arial"/>
          <w:snapToGrid w:val="0"/>
          <w:sz w:val="24"/>
          <w:lang w:val="en-US" w:eastAsia="zh-CN"/>
        </w:rPr>
        <w:t>轻微负增长。所有其他地区有机销售额均有增长：</w:t>
      </w:r>
      <w:r w:rsidRPr="00466C72">
        <w:rPr>
          <w:rFonts w:cs="Arial"/>
          <w:b/>
          <w:snapToGrid w:val="0"/>
          <w:sz w:val="24"/>
          <w:lang w:val="en-US" w:eastAsia="zh-CN"/>
        </w:rPr>
        <w:t>东欧地区</w:t>
      </w:r>
      <w:r w:rsidRPr="00466C72">
        <w:rPr>
          <w:rFonts w:cs="Arial"/>
          <w:snapToGrid w:val="0"/>
          <w:sz w:val="24"/>
          <w:lang w:val="en-US" w:eastAsia="zh-CN"/>
        </w:rPr>
        <w:t>实现</w:t>
      </w:r>
      <w:r w:rsidRPr="00466C72">
        <w:rPr>
          <w:rFonts w:cs="Arial"/>
          <w:snapToGrid w:val="0"/>
          <w:sz w:val="24"/>
          <w:lang w:val="en-US" w:eastAsia="zh-CN"/>
        </w:rPr>
        <w:t>5.2%</w:t>
      </w:r>
      <w:r w:rsidRPr="00466C72">
        <w:rPr>
          <w:rFonts w:cs="Arial"/>
          <w:snapToGrid w:val="0"/>
          <w:sz w:val="24"/>
          <w:lang w:val="en-US" w:eastAsia="zh-CN"/>
        </w:rPr>
        <w:t>的销售额增长。</w:t>
      </w:r>
      <w:r w:rsidRPr="00466C72">
        <w:rPr>
          <w:rFonts w:cs="Arial"/>
          <w:b/>
          <w:snapToGrid w:val="0"/>
          <w:sz w:val="24"/>
          <w:lang w:val="en-US" w:eastAsia="zh-CN"/>
        </w:rPr>
        <w:t>非洲</w:t>
      </w:r>
      <w:r w:rsidRPr="00466C72">
        <w:rPr>
          <w:rFonts w:cs="Arial"/>
          <w:b/>
          <w:snapToGrid w:val="0"/>
          <w:sz w:val="24"/>
          <w:lang w:val="en-US" w:eastAsia="zh-CN"/>
        </w:rPr>
        <w:t>/</w:t>
      </w:r>
      <w:r w:rsidRPr="00466C72">
        <w:rPr>
          <w:rFonts w:cs="Arial"/>
          <w:b/>
          <w:snapToGrid w:val="0"/>
          <w:sz w:val="24"/>
          <w:lang w:val="en-US" w:eastAsia="zh-CN"/>
        </w:rPr>
        <w:t>中东地区</w:t>
      </w:r>
      <w:r w:rsidRPr="00466C72">
        <w:rPr>
          <w:rFonts w:cs="Arial"/>
          <w:snapToGrid w:val="0"/>
          <w:sz w:val="24"/>
          <w:lang w:val="en-US" w:eastAsia="zh-CN"/>
        </w:rPr>
        <w:t>销售额增长</w:t>
      </w:r>
      <w:r w:rsidRPr="00466C72">
        <w:rPr>
          <w:rFonts w:cs="Arial"/>
          <w:snapToGrid w:val="0"/>
          <w:sz w:val="24"/>
          <w:lang w:val="en-US" w:eastAsia="zh-CN"/>
        </w:rPr>
        <w:t>1.1%</w:t>
      </w:r>
      <w:r w:rsidRPr="00466C72">
        <w:rPr>
          <w:rFonts w:cs="Arial"/>
          <w:snapToGrid w:val="0"/>
          <w:sz w:val="24"/>
          <w:lang w:val="en-US" w:eastAsia="zh-CN"/>
        </w:rPr>
        <w:t>。</w:t>
      </w:r>
      <w:r w:rsidRPr="00466C72">
        <w:rPr>
          <w:rFonts w:cs="Arial"/>
          <w:b/>
          <w:snapToGrid w:val="0"/>
          <w:sz w:val="24"/>
          <w:lang w:val="en-US" w:eastAsia="zh-CN"/>
        </w:rPr>
        <w:t>北美地区</w:t>
      </w:r>
      <w:r w:rsidRPr="00466C72">
        <w:rPr>
          <w:rFonts w:cs="Arial"/>
          <w:snapToGrid w:val="0"/>
          <w:sz w:val="24"/>
          <w:lang w:val="en-US" w:eastAsia="zh-CN"/>
        </w:rPr>
        <w:t>销售额增长</w:t>
      </w:r>
      <w:r w:rsidRPr="00466C72">
        <w:rPr>
          <w:rFonts w:cs="Arial"/>
          <w:snapToGrid w:val="0"/>
          <w:sz w:val="24"/>
          <w:lang w:val="en-US" w:eastAsia="zh-CN"/>
        </w:rPr>
        <w:t>3.2%</w:t>
      </w:r>
      <w:r w:rsidRPr="00466C72">
        <w:rPr>
          <w:rFonts w:cs="Arial"/>
          <w:snapToGrid w:val="0"/>
          <w:sz w:val="24"/>
          <w:lang w:val="en-US" w:eastAsia="zh-CN"/>
        </w:rPr>
        <w:t>。</w:t>
      </w:r>
      <w:r w:rsidRPr="00466C72">
        <w:rPr>
          <w:rFonts w:cs="Arial"/>
          <w:b/>
          <w:snapToGrid w:val="0"/>
          <w:sz w:val="24"/>
          <w:lang w:val="en-US" w:eastAsia="zh-CN"/>
        </w:rPr>
        <w:t>拉美地区</w:t>
      </w:r>
      <w:r w:rsidRPr="00466C72">
        <w:rPr>
          <w:rFonts w:cs="Arial"/>
          <w:snapToGrid w:val="0"/>
          <w:sz w:val="24"/>
          <w:lang w:val="en-US" w:eastAsia="zh-CN"/>
        </w:rPr>
        <w:t>销售额</w:t>
      </w:r>
      <w:r w:rsidRPr="00466C72">
        <w:rPr>
          <w:rFonts w:cs="Arial" w:hint="eastAsia"/>
          <w:snapToGrid w:val="0"/>
          <w:sz w:val="24"/>
          <w:lang w:val="en-US" w:eastAsia="zh-CN"/>
        </w:rPr>
        <w:t>和</w:t>
      </w:r>
      <w:r w:rsidRPr="00466C72">
        <w:rPr>
          <w:rFonts w:cs="Arial"/>
          <w:b/>
          <w:snapToGrid w:val="0"/>
          <w:sz w:val="24"/>
          <w:lang w:val="en-US" w:eastAsia="zh-CN"/>
        </w:rPr>
        <w:t>亚太地区</w:t>
      </w:r>
      <w:r w:rsidRPr="00466C72">
        <w:rPr>
          <w:rFonts w:cs="Arial"/>
          <w:snapToGrid w:val="0"/>
          <w:sz w:val="24"/>
          <w:lang w:val="en-US" w:eastAsia="zh-CN"/>
        </w:rPr>
        <w:t>销售额</w:t>
      </w:r>
      <w:r w:rsidRPr="00466C72">
        <w:rPr>
          <w:rFonts w:cs="Arial" w:hint="eastAsia"/>
          <w:snapToGrid w:val="0"/>
          <w:sz w:val="24"/>
          <w:lang w:val="en-US" w:eastAsia="zh-CN"/>
        </w:rPr>
        <w:t>分别</w:t>
      </w:r>
      <w:r w:rsidRPr="00466C72">
        <w:rPr>
          <w:rFonts w:cs="Arial"/>
          <w:snapToGrid w:val="0"/>
          <w:sz w:val="24"/>
          <w:lang w:val="en-US" w:eastAsia="zh-CN"/>
        </w:rPr>
        <w:t>增长</w:t>
      </w:r>
      <w:r w:rsidRPr="00466C72">
        <w:rPr>
          <w:rFonts w:cs="Arial" w:hint="eastAsia"/>
          <w:snapToGrid w:val="0"/>
          <w:sz w:val="24"/>
          <w:lang w:val="en-US" w:eastAsia="zh-CN"/>
        </w:rPr>
        <w:t>了</w:t>
      </w:r>
      <w:r w:rsidRPr="00466C72">
        <w:rPr>
          <w:rFonts w:cs="Arial" w:hint="eastAsia"/>
          <w:snapToGrid w:val="0"/>
          <w:sz w:val="24"/>
          <w:lang w:val="en-US" w:eastAsia="zh-CN"/>
        </w:rPr>
        <w:t>6.1</w:t>
      </w:r>
      <w:r w:rsidRPr="00466C72">
        <w:rPr>
          <w:rFonts w:cs="Arial"/>
          <w:snapToGrid w:val="0"/>
          <w:sz w:val="24"/>
          <w:lang w:val="en-US" w:eastAsia="zh-CN"/>
        </w:rPr>
        <w:t>%</w:t>
      </w:r>
      <w:r w:rsidRPr="00466C72">
        <w:rPr>
          <w:rFonts w:cs="Arial"/>
          <w:snapToGrid w:val="0"/>
          <w:sz w:val="24"/>
          <w:lang w:val="en-US" w:eastAsia="zh-CN"/>
        </w:rPr>
        <w:t>和</w:t>
      </w:r>
      <w:r w:rsidRPr="00466C72">
        <w:rPr>
          <w:rFonts w:cs="Arial"/>
          <w:snapToGrid w:val="0"/>
          <w:sz w:val="24"/>
          <w:lang w:val="en-US" w:eastAsia="zh-CN"/>
        </w:rPr>
        <w:t>4.8%</w:t>
      </w:r>
      <w:r w:rsidRPr="00466C72">
        <w:rPr>
          <w:rFonts w:cs="Arial"/>
          <w:snapToGrid w:val="0"/>
          <w:sz w:val="24"/>
          <w:lang w:val="en-US" w:eastAsia="zh-CN"/>
        </w:rPr>
        <w:t>。</w:t>
      </w:r>
    </w:p>
    <w:p w14:paraId="3EEC7A5C" w14:textId="77777777" w:rsidR="0074292F" w:rsidRPr="00466C72" w:rsidRDefault="0074292F" w:rsidP="0074292F">
      <w:pPr>
        <w:autoSpaceDE w:val="0"/>
        <w:autoSpaceDN w:val="0"/>
        <w:adjustRightInd w:val="0"/>
        <w:spacing w:line="360" w:lineRule="auto"/>
        <w:jc w:val="both"/>
        <w:rPr>
          <w:rFonts w:cs="Arial"/>
          <w:b/>
          <w:snapToGrid w:val="0"/>
          <w:sz w:val="24"/>
          <w:lang w:val="en-US" w:eastAsia="zh-CN"/>
        </w:rPr>
      </w:pPr>
    </w:p>
    <w:p w14:paraId="111EFDCE" w14:textId="77777777" w:rsidR="0074292F" w:rsidRPr="00466C72" w:rsidRDefault="0074292F" w:rsidP="0074292F">
      <w:pPr>
        <w:autoSpaceDE w:val="0"/>
        <w:autoSpaceDN w:val="0"/>
        <w:adjustRightInd w:val="0"/>
        <w:snapToGrid w:val="0"/>
        <w:spacing w:line="360" w:lineRule="auto"/>
        <w:rPr>
          <w:rFonts w:cs="Arial"/>
          <w:snapToGrid w:val="0"/>
          <w:sz w:val="24"/>
          <w:lang w:val="en-US" w:eastAsia="zh-CN"/>
        </w:rPr>
      </w:pPr>
      <w:r w:rsidRPr="00466C72">
        <w:rPr>
          <w:rFonts w:cs="Arial"/>
          <w:b/>
          <w:snapToGrid w:val="0"/>
          <w:sz w:val="24"/>
          <w:lang w:val="en-US" w:eastAsia="zh-CN"/>
        </w:rPr>
        <w:t>调整后营业利润</w:t>
      </w:r>
      <w:r w:rsidRPr="00203D14">
        <w:rPr>
          <w:rFonts w:hAnsi="宋体" w:cs="Arial"/>
          <w:sz w:val="24"/>
          <w:lang w:val="en-US" w:eastAsia="zh-CN"/>
        </w:rPr>
        <w:t>（息税前利润）</w:t>
      </w:r>
      <w:r w:rsidRPr="00466C72">
        <w:rPr>
          <w:rFonts w:cs="Arial"/>
          <w:snapToGrid w:val="0"/>
          <w:sz w:val="24"/>
          <w:lang w:val="en-US" w:eastAsia="zh-CN"/>
        </w:rPr>
        <w:t>增长</w:t>
      </w:r>
      <w:r w:rsidRPr="00466C72">
        <w:rPr>
          <w:rFonts w:cs="Arial"/>
          <w:snapToGrid w:val="0"/>
          <w:sz w:val="24"/>
          <w:lang w:val="en-US" w:eastAsia="zh-CN"/>
        </w:rPr>
        <w:t>11.0%</w:t>
      </w:r>
      <w:r w:rsidRPr="00466C72">
        <w:rPr>
          <w:rFonts w:cs="Arial"/>
          <w:snapToGrid w:val="0"/>
          <w:sz w:val="24"/>
          <w:lang w:val="en-US" w:eastAsia="zh-CN"/>
        </w:rPr>
        <w:t>，达到</w:t>
      </w:r>
      <w:r w:rsidRPr="00466C72">
        <w:rPr>
          <w:rFonts w:cs="Arial"/>
          <w:snapToGrid w:val="0"/>
          <w:sz w:val="24"/>
          <w:lang w:val="en-US" w:eastAsia="zh-CN"/>
        </w:rPr>
        <w:t>9.09</w:t>
      </w:r>
      <w:r w:rsidRPr="00466C72">
        <w:rPr>
          <w:rFonts w:cs="Arial"/>
          <w:snapToGrid w:val="0"/>
          <w:sz w:val="24"/>
          <w:lang w:val="en-US" w:eastAsia="zh-CN"/>
        </w:rPr>
        <w:t>亿欧元。三大业务部门对此均有所贡献。</w:t>
      </w:r>
    </w:p>
    <w:p w14:paraId="6CFB8E44"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p>
    <w:p w14:paraId="098DBD05"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r w:rsidRPr="00466C72">
        <w:rPr>
          <w:rFonts w:cs="Arial"/>
          <w:b/>
          <w:snapToGrid w:val="0"/>
          <w:sz w:val="24"/>
          <w:lang w:val="en-US" w:eastAsia="zh-CN"/>
        </w:rPr>
        <w:t>调整后的销售回报率</w:t>
      </w:r>
      <w:r w:rsidRPr="00466C72">
        <w:rPr>
          <w:rFonts w:hAnsi="宋体" w:cs="Arial"/>
          <w:sz w:val="24"/>
          <w:lang w:val="en-US" w:eastAsia="zh-CN"/>
        </w:rPr>
        <w:t>（息税前利润）</w:t>
      </w:r>
      <w:r w:rsidRPr="00466C72">
        <w:rPr>
          <w:rFonts w:cs="Arial"/>
          <w:snapToGrid w:val="0"/>
          <w:sz w:val="24"/>
          <w:lang w:val="en-US" w:eastAsia="zh-CN"/>
        </w:rPr>
        <w:t>增至</w:t>
      </w:r>
      <w:r w:rsidRPr="00466C72">
        <w:rPr>
          <w:rFonts w:cs="Arial"/>
          <w:snapToGrid w:val="0"/>
          <w:sz w:val="24"/>
          <w:lang w:val="en-US" w:eastAsia="zh-CN"/>
        </w:rPr>
        <w:t>17.8%</w:t>
      </w:r>
      <w:r w:rsidRPr="00466C72">
        <w:rPr>
          <w:rFonts w:cs="Arial"/>
          <w:snapToGrid w:val="0"/>
          <w:sz w:val="24"/>
          <w:lang w:val="en-US" w:eastAsia="zh-CN"/>
        </w:rPr>
        <w:t>，上升</w:t>
      </w:r>
      <w:r w:rsidRPr="00466C72">
        <w:rPr>
          <w:rFonts w:cs="Arial"/>
          <w:snapToGrid w:val="0"/>
          <w:sz w:val="24"/>
          <w:lang w:val="en-US" w:eastAsia="zh-CN"/>
        </w:rPr>
        <w:t>0.2</w:t>
      </w:r>
      <w:r w:rsidRPr="00466C72">
        <w:rPr>
          <w:rFonts w:cs="Arial"/>
          <w:snapToGrid w:val="0"/>
          <w:sz w:val="24"/>
          <w:lang w:val="en-US" w:eastAsia="zh-CN"/>
        </w:rPr>
        <w:t>个百分点。</w:t>
      </w:r>
    </w:p>
    <w:p w14:paraId="1D99151A"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p>
    <w:p w14:paraId="14CB4756"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r w:rsidRPr="00466C72">
        <w:rPr>
          <w:rFonts w:cs="Arial"/>
          <w:b/>
          <w:snapToGrid w:val="0"/>
          <w:sz w:val="24"/>
          <w:lang w:val="en-US" w:eastAsia="zh-CN"/>
        </w:rPr>
        <w:t>调整后优先股每股收益</w:t>
      </w:r>
      <w:r w:rsidRPr="00466C72">
        <w:rPr>
          <w:rFonts w:cs="Arial"/>
          <w:snapToGrid w:val="0"/>
          <w:sz w:val="24"/>
          <w:lang w:val="en-US" w:eastAsia="zh-CN"/>
        </w:rPr>
        <w:t>从</w:t>
      </w:r>
      <w:r w:rsidRPr="00466C72">
        <w:rPr>
          <w:rFonts w:cs="Arial"/>
          <w:snapToGrid w:val="0"/>
          <w:sz w:val="24"/>
          <w:lang w:val="en-US" w:eastAsia="zh-CN"/>
        </w:rPr>
        <w:t>1.40</w:t>
      </w:r>
      <w:r w:rsidRPr="00466C72">
        <w:rPr>
          <w:rFonts w:cs="Arial"/>
          <w:snapToGrid w:val="0"/>
          <w:sz w:val="24"/>
          <w:lang w:val="en-US" w:eastAsia="zh-CN"/>
        </w:rPr>
        <w:t>欧元增至</w:t>
      </w:r>
      <w:r w:rsidRPr="00466C72">
        <w:rPr>
          <w:rFonts w:cs="Arial"/>
          <w:snapToGrid w:val="0"/>
          <w:sz w:val="24"/>
          <w:lang w:val="en-US" w:eastAsia="zh-CN"/>
        </w:rPr>
        <w:t>1.55</w:t>
      </w:r>
      <w:r w:rsidRPr="00466C72">
        <w:rPr>
          <w:rFonts w:cs="Arial"/>
          <w:snapToGrid w:val="0"/>
          <w:sz w:val="24"/>
          <w:lang w:val="en-US" w:eastAsia="zh-CN"/>
        </w:rPr>
        <w:t>欧元，增长</w:t>
      </w:r>
      <w:r w:rsidRPr="00466C72">
        <w:rPr>
          <w:rFonts w:cs="Arial"/>
          <w:snapToGrid w:val="0"/>
          <w:sz w:val="24"/>
          <w:lang w:val="en-US" w:eastAsia="zh-CN"/>
        </w:rPr>
        <w:t>10.7%</w:t>
      </w:r>
      <w:r w:rsidRPr="00466C72">
        <w:rPr>
          <w:rFonts w:cs="Arial"/>
          <w:snapToGrid w:val="0"/>
          <w:sz w:val="24"/>
          <w:lang w:val="en-US" w:eastAsia="zh-CN"/>
        </w:rPr>
        <w:t>。</w:t>
      </w:r>
    </w:p>
    <w:p w14:paraId="557C6D42"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p>
    <w:p w14:paraId="21784D9A" w14:textId="77777777" w:rsidR="0074292F" w:rsidRDefault="0074292F" w:rsidP="0074292F">
      <w:pPr>
        <w:autoSpaceDE w:val="0"/>
        <w:autoSpaceDN w:val="0"/>
        <w:adjustRightInd w:val="0"/>
        <w:spacing w:line="360" w:lineRule="auto"/>
        <w:jc w:val="both"/>
        <w:rPr>
          <w:rFonts w:hAnsi="宋体" w:cs="Arial"/>
          <w:sz w:val="24"/>
          <w:lang w:val="en-US" w:eastAsia="zh-CN"/>
        </w:rPr>
      </w:pPr>
      <w:r w:rsidRPr="00466C72">
        <w:rPr>
          <w:rFonts w:cs="Arial"/>
          <w:snapToGrid w:val="0"/>
          <w:sz w:val="24"/>
          <w:lang w:val="en-US" w:eastAsia="zh-CN"/>
        </w:rPr>
        <w:t>在销售额中占一定比例的</w:t>
      </w:r>
      <w:r w:rsidRPr="00466C72">
        <w:rPr>
          <w:rFonts w:cs="Arial"/>
          <w:b/>
          <w:snapToGrid w:val="0"/>
          <w:sz w:val="24"/>
          <w:lang w:val="en-US" w:eastAsia="zh-CN"/>
        </w:rPr>
        <w:t>净流动资本</w:t>
      </w:r>
      <w:r w:rsidRPr="00466C72">
        <w:rPr>
          <w:rFonts w:cs="Arial"/>
          <w:snapToGrid w:val="0"/>
          <w:sz w:val="24"/>
          <w:lang w:val="en-US" w:eastAsia="zh-CN"/>
        </w:rPr>
        <w:t>增至</w:t>
      </w:r>
      <w:r w:rsidRPr="00466C72">
        <w:rPr>
          <w:rFonts w:cs="Arial"/>
          <w:snapToGrid w:val="0"/>
          <w:sz w:val="24"/>
          <w:lang w:val="en-US" w:eastAsia="zh-CN"/>
        </w:rPr>
        <w:t>5.2%</w:t>
      </w:r>
      <w:r w:rsidRPr="00466C72">
        <w:rPr>
          <w:rFonts w:cs="Arial"/>
          <w:snapToGrid w:val="0"/>
          <w:sz w:val="24"/>
          <w:lang w:val="en-US" w:eastAsia="zh-CN"/>
        </w:rPr>
        <w:t>，改善</w:t>
      </w:r>
      <w:r w:rsidRPr="00466C72">
        <w:rPr>
          <w:rFonts w:cs="Arial"/>
          <w:snapToGrid w:val="0"/>
          <w:sz w:val="24"/>
          <w:lang w:val="en-US" w:eastAsia="zh-CN"/>
        </w:rPr>
        <w:t>0.1</w:t>
      </w:r>
      <w:r w:rsidRPr="00466C72">
        <w:rPr>
          <w:rFonts w:cs="Arial"/>
          <w:snapToGrid w:val="0"/>
          <w:sz w:val="24"/>
          <w:lang w:val="en-US" w:eastAsia="zh-CN"/>
        </w:rPr>
        <w:t>个百分点。</w:t>
      </w:r>
    </w:p>
    <w:p w14:paraId="1F45D182" w14:textId="77777777" w:rsidR="0074292F" w:rsidRDefault="0074292F" w:rsidP="0074292F">
      <w:pPr>
        <w:autoSpaceDE w:val="0"/>
        <w:autoSpaceDN w:val="0"/>
        <w:adjustRightInd w:val="0"/>
        <w:snapToGrid w:val="0"/>
        <w:spacing w:line="360" w:lineRule="auto"/>
        <w:rPr>
          <w:rFonts w:hAnsi="宋体" w:cs="Arial"/>
          <w:b/>
          <w:sz w:val="24"/>
          <w:lang w:val="en-US" w:eastAsia="zh-CN"/>
        </w:rPr>
      </w:pPr>
      <w:r>
        <w:rPr>
          <w:rFonts w:cs="Arial" w:hint="eastAsia"/>
          <w:b/>
          <w:sz w:val="24"/>
          <w:lang w:val="en-US" w:eastAsia="zh-CN"/>
        </w:rPr>
        <w:br/>
      </w:r>
      <w:r w:rsidRPr="000D7F4C">
        <w:rPr>
          <w:rFonts w:hAnsi="宋体" w:cs="Arial"/>
          <w:b/>
          <w:sz w:val="24"/>
          <w:lang w:val="en-US" w:eastAsia="zh-CN"/>
        </w:rPr>
        <w:t>各大业务部门业绩表现</w:t>
      </w:r>
    </w:p>
    <w:p w14:paraId="5483236B" w14:textId="77777777" w:rsidR="0074292F" w:rsidRPr="00466C72" w:rsidRDefault="0074292F" w:rsidP="0074292F">
      <w:pPr>
        <w:autoSpaceDE w:val="0"/>
        <w:autoSpaceDN w:val="0"/>
        <w:adjustRightInd w:val="0"/>
        <w:spacing w:line="360" w:lineRule="auto"/>
        <w:jc w:val="both"/>
        <w:rPr>
          <w:rFonts w:cs="Arial"/>
          <w:snapToGrid w:val="0"/>
          <w:color w:val="000000"/>
          <w:sz w:val="24"/>
          <w:lang w:val="en-US" w:eastAsia="zh-CN"/>
        </w:rPr>
      </w:pPr>
      <w:r>
        <w:rPr>
          <w:rFonts w:cs="Arial" w:hint="eastAsia"/>
          <w:sz w:val="24"/>
          <w:lang w:val="en-US" w:eastAsia="zh-CN"/>
        </w:rPr>
        <w:lastRenderedPageBreak/>
        <w:br/>
      </w:r>
      <w:r w:rsidRPr="00466C72">
        <w:rPr>
          <w:rFonts w:cs="Arial"/>
          <w:snapToGrid w:val="0"/>
          <w:color w:val="000000"/>
          <w:sz w:val="24"/>
          <w:lang w:val="en-US" w:eastAsia="zh-CN"/>
        </w:rPr>
        <w:t>2017</w:t>
      </w:r>
      <w:r w:rsidRPr="00466C72">
        <w:rPr>
          <w:rFonts w:cs="Arial"/>
          <w:snapToGrid w:val="0"/>
          <w:color w:val="000000"/>
          <w:sz w:val="24"/>
          <w:lang w:val="en-US" w:eastAsia="zh-CN"/>
        </w:rPr>
        <w:t>年第</w:t>
      </w:r>
      <w:r w:rsidRPr="00466C72">
        <w:rPr>
          <w:rFonts w:cs="Arial"/>
          <w:b/>
          <w:bCs/>
          <w:snapToGrid w:val="0"/>
          <w:sz w:val="24"/>
          <w:lang w:val="en-US" w:eastAsia="zh-CN"/>
        </w:rPr>
        <w:t>二</w:t>
      </w:r>
      <w:r w:rsidRPr="00466C72">
        <w:rPr>
          <w:rFonts w:cs="Arial"/>
          <w:snapToGrid w:val="0"/>
          <w:color w:val="000000"/>
          <w:sz w:val="24"/>
          <w:lang w:val="en-US" w:eastAsia="zh-CN"/>
        </w:rPr>
        <w:t>季度，</w:t>
      </w:r>
      <w:r w:rsidRPr="00466C72">
        <w:rPr>
          <w:rFonts w:cs="Arial"/>
          <w:b/>
          <w:snapToGrid w:val="0"/>
          <w:color w:val="000000"/>
          <w:sz w:val="24"/>
          <w:lang w:val="en-US" w:eastAsia="zh-CN"/>
        </w:rPr>
        <w:t>粘合剂技术</w:t>
      </w:r>
      <w:r w:rsidRPr="00466C72">
        <w:rPr>
          <w:rFonts w:cs="Arial"/>
          <w:snapToGrid w:val="0"/>
          <w:color w:val="000000"/>
          <w:sz w:val="24"/>
          <w:lang w:val="en-US" w:eastAsia="zh-CN"/>
        </w:rPr>
        <w:t>业务部</w:t>
      </w:r>
      <w:r w:rsidRPr="00466C72">
        <w:rPr>
          <w:rFonts w:cs="Arial"/>
          <w:b/>
          <w:snapToGrid w:val="0"/>
          <w:color w:val="000000"/>
          <w:sz w:val="24"/>
          <w:lang w:val="en-US" w:eastAsia="zh-CN"/>
        </w:rPr>
        <w:t>有机销售额增长</w:t>
      </w:r>
      <w:r w:rsidRPr="00466C72">
        <w:rPr>
          <w:rFonts w:cs="Arial"/>
          <w:snapToGrid w:val="0"/>
          <w:color w:val="000000"/>
          <w:sz w:val="24"/>
          <w:lang w:val="en-US" w:eastAsia="zh-CN"/>
        </w:rPr>
        <w:t>强劲，增幅达</w:t>
      </w:r>
      <w:r w:rsidRPr="00466C72">
        <w:rPr>
          <w:rFonts w:cs="Arial"/>
          <w:snapToGrid w:val="0"/>
          <w:color w:val="000000"/>
          <w:sz w:val="24"/>
          <w:lang w:val="en-US" w:eastAsia="zh-CN"/>
        </w:rPr>
        <w:t>3.4%</w:t>
      </w:r>
      <w:r w:rsidRPr="00466C72">
        <w:rPr>
          <w:rFonts w:cs="Arial"/>
          <w:snapToGrid w:val="0"/>
          <w:color w:val="000000"/>
          <w:sz w:val="24"/>
          <w:lang w:val="en-US" w:eastAsia="zh-CN"/>
        </w:rPr>
        <w:t>。名义销售额增长</w:t>
      </w:r>
      <w:r w:rsidRPr="00466C72">
        <w:rPr>
          <w:rFonts w:cs="Arial"/>
          <w:snapToGrid w:val="0"/>
          <w:color w:val="000000"/>
          <w:sz w:val="24"/>
          <w:lang w:val="en-US" w:eastAsia="zh-CN"/>
        </w:rPr>
        <w:t>3.5%</w:t>
      </w:r>
      <w:r w:rsidRPr="00466C72">
        <w:rPr>
          <w:rFonts w:cs="Arial"/>
          <w:snapToGrid w:val="0"/>
          <w:color w:val="000000"/>
          <w:sz w:val="24"/>
          <w:lang w:val="en-US" w:eastAsia="zh-CN"/>
        </w:rPr>
        <w:t>，达</w:t>
      </w:r>
      <w:r w:rsidRPr="00466C72">
        <w:rPr>
          <w:rFonts w:cs="Arial"/>
          <w:snapToGrid w:val="0"/>
          <w:color w:val="000000"/>
          <w:sz w:val="24"/>
          <w:lang w:val="en-US" w:eastAsia="zh-CN"/>
        </w:rPr>
        <w:t>23.70</w:t>
      </w:r>
      <w:r w:rsidRPr="00466C72">
        <w:rPr>
          <w:rFonts w:cs="Arial"/>
          <w:snapToGrid w:val="0"/>
          <w:color w:val="000000"/>
          <w:sz w:val="24"/>
          <w:lang w:val="en-US" w:eastAsia="zh-CN"/>
        </w:rPr>
        <w:t>亿欧元，创下历史新高。</w:t>
      </w:r>
      <w:r w:rsidRPr="00466C72">
        <w:rPr>
          <w:rFonts w:cs="Arial"/>
          <w:b/>
          <w:snapToGrid w:val="0"/>
          <w:color w:val="000000"/>
          <w:sz w:val="24"/>
          <w:lang w:val="en-US" w:eastAsia="zh-CN"/>
        </w:rPr>
        <w:t>调整后营业利润</w:t>
      </w:r>
      <w:r w:rsidRPr="00466C72">
        <w:rPr>
          <w:rFonts w:cs="Arial"/>
          <w:snapToGrid w:val="0"/>
          <w:color w:val="000000"/>
          <w:sz w:val="24"/>
          <w:lang w:val="en-US" w:eastAsia="zh-CN"/>
        </w:rPr>
        <w:t>增长</w:t>
      </w:r>
      <w:r w:rsidRPr="00466C72">
        <w:rPr>
          <w:rFonts w:cs="Arial"/>
          <w:snapToGrid w:val="0"/>
          <w:color w:val="000000"/>
          <w:sz w:val="24"/>
          <w:lang w:val="en-US" w:eastAsia="zh-CN"/>
        </w:rPr>
        <w:t>6.6%</w:t>
      </w:r>
      <w:r w:rsidRPr="00466C72">
        <w:rPr>
          <w:rFonts w:cs="Arial"/>
          <w:snapToGrid w:val="0"/>
          <w:color w:val="000000"/>
          <w:sz w:val="24"/>
          <w:lang w:val="en-US" w:eastAsia="zh-CN"/>
        </w:rPr>
        <w:t>，达到</w:t>
      </w:r>
      <w:r w:rsidRPr="00466C72">
        <w:rPr>
          <w:rFonts w:cs="Arial"/>
          <w:snapToGrid w:val="0"/>
          <w:color w:val="000000"/>
          <w:sz w:val="24"/>
          <w:lang w:val="en-US" w:eastAsia="zh-CN"/>
        </w:rPr>
        <w:t>4.55</w:t>
      </w:r>
      <w:r w:rsidRPr="00466C72">
        <w:rPr>
          <w:rFonts w:cs="Arial"/>
          <w:snapToGrid w:val="0"/>
          <w:color w:val="000000"/>
          <w:sz w:val="24"/>
          <w:lang w:val="en-US" w:eastAsia="zh-CN"/>
        </w:rPr>
        <w:t>亿欧元。</w:t>
      </w:r>
      <w:r w:rsidRPr="00466C72">
        <w:rPr>
          <w:rFonts w:cs="Arial"/>
          <w:snapToGrid w:val="0"/>
          <w:sz w:val="24"/>
          <w:lang w:val="en-US" w:eastAsia="zh-CN"/>
        </w:rPr>
        <w:t>调整后的销售回报率增长非常强劲，</w:t>
      </w:r>
      <w:r w:rsidRPr="00466C72">
        <w:rPr>
          <w:rFonts w:cs="Arial"/>
          <w:snapToGrid w:val="0"/>
          <w:color w:val="000000"/>
          <w:sz w:val="24"/>
          <w:lang w:val="en-US" w:eastAsia="zh-CN"/>
        </w:rPr>
        <w:t>达到创纪录的</w:t>
      </w:r>
      <w:r w:rsidRPr="00466C72">
        <w:rPr>
          <w:rFonts w:cs="Arial"/>
          <w:snapToGrid w:val="0"/>
          <w:color w:val="000000"/>
          <w:sz w:val="24"/>
          <w:lang w:val="en-US" w:eastAsia="zh-CN"/>
        </w:rPr>
        <w:t>19.2%</w:t>
      </w:r>
      <w:r w:rsidRPr="00466C72">
        <w:rPr>
          <w:rFonts w:cs="Arial"/>
          <w:snapToGrid w:val="0"/>
          <w:color w:val="000000"/>
          <w:sz w:val="24"/>
          <w:lang w:val="en-US" w:eastAsia="zh-CN"/>
        </w:rPr>
        <w:t>。</w:t>
      </w:r>
    </w:p>
    <w:p w14:paraId="45F2ACBE"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p>
    <w:p w14:paraId="09D9CBF2" w14:textId="77777777" w:rsidR="0074292F" w:rsidRPr="00466C72" w:rsidRDefault="0074292F" w:rsidP="0074292F">
      <w:pPr>
        <w:autoSpaceDE w:val="0"/>
        <w:autoSpaceDN w:val="0"/>
        <w:adjustRightInd w:val="0"/>
        <w:spacing w:line="360" w:lineRule="auto"/>
        <w:jc w:val="both"/>
        <w:rPr>
          <w:rFonts w:cs="Arial"/>
          <w:snapToGrid w:val="0"/>
          <w:color w:val="000000"/>
          <w:sz w:val="24"/>
          <w:lang w:val="en-US" w:eastAsia="zh-CN"/>
        </w:rPr>
      </w:pPr>
      <w:r w:rsidRPr="00466C72">
        <w:rPr>
          <w:rFonts w:cs="Arial"/>
          <w:snapToGrid w:val="0"/>
          <w:color w:val="000000"/>
          <w:sz w:val="24"/>
          <w:lang w:val="en-US" w:eastAsia="zh-CN"/>
        </w:rPr>
        <w:t>2017</w:t>
      </w:r>
      <w:r w:rsidRPr="00466C72">
        <w:rPr>
          <w:rFonts w:cs="Arial"/>
          <w:snapToGrid w:val="0"/>
          <w:color w:val="000000"/>
          <w:sz w:val="24"/>
          <w:lang w:val="en-US" w:eastAsia="zh-CN"/>
        </w:rPr>
        <w:t>年第</w:t>
      </w:r>
      <w:r w:rsidRPr="00466C72">
        <w:rPr>
          <w:rFonts w:cs="Arial"/>
          <w:b/>
          <w:bCs/>
          <w:snapToGrid w:val="0"/>
          <w:sz w:val="24"/>
          <w:lang w:val="en-US" w:eastAsia="zh-CN"/>
        </w:rPr>
        <w:t>二</w:t>
      </w:r>
      <w:r w:rsidRPr="00466C72">
        <w:rPr>
          <w:rFonts w:cs="Arial"/>
          <w:snapToGrid w:val="0"/>
          <w:color w:val="000000"/>
          <w:sz w:val="24"/>
          <w:lang w:val="en-US" w:eastAsia="zh-CN"/>
        </w:rPr>
        <w:t>季度，</w:t>
      </w:r>
      <w:r w:rsidRPr="00466C72">
        <w:rPr>
          <w:rFonts w:cs="Arial"/>
          <w:b/>
          <w:snapToGrid w:val="0"/>
          <w:color w:val="000000"/>
          <w:sz w:val="24"/>
          <w:lang w:val="en-US" w:eastAsia="zh-CN"/>
        </w:rPr>
        <w:t>化妆品</w:t>
      </w:r>
      <w:r w:rsidRPr="00466C72">
        <w:rPr>
          <w:rFonts w:cs="Arial"/>
          <w:b/>
          <w:snapToGrid w:val="0"/>
          <w:color w:val="000000"/>
          <w:sz w:val="24"/>
          <w:lang w:val="en-US" w:eastAsia="zh-CN"/>
        </w:rPr>
        <w:t>/</w:t>
      </w:r>
      <w:r w:rsidRPr="00466C72">
        <w:rPr>
          <w:rFonts w:cs="Arial"/>
          <w:b/>
          <w:snapToGrid w:val="0"/>
          <w:color w:val="000000"/>
          <w:sz w:val="24"/>
          <w:lang w:val="en-US" w:eastAsia="zh-CN"/>
        </w:rPr>
        <w:t>美容用品</w:t>
      </w:r>
      <w:r w:rsidRPr="00466C72">
        <w:rPr>
          <w:rFonts w:cs="Arial"/>
          <w:snapToGrid w:val="0"/>
          <w:color w:val="000000"/>
          <w:sz w:val="24"/>
          <w:lang w:val="en-US" w:eastAsia="zh-CN"/>
        </w:rPr>
        <w:t>业务部</w:t>
      </w:r>
      <w:r w:rsidRPr="00466C72">
        <w:rPr>
          <w:rFonts w:cs="Arial"/>
          <w:b/>
          <w:snapToGrid w:val="0"/>
          <w:color w:val="000000"/>
          <w:sz w:val="24"/>
          <w:lang w:val="en-US" w:eastAsia="zh-CN"/>
        </w:rPr>
        <w:t>有机销售额</w:t>
      </w:r>
      <w:r w:rsidRPr="00466C72">
        <w:rPr>
          <w:rFonts w:cs="Arial"/>
          <w:snapToGrid w:val="0"/>
          <w:color w:val="000000"/>
          <w:sz w:val="24"/>
          <w:lang w:val="en-US" w:eastAsia="zh-CN"/>
        </w:rPr>
        <w:t>与上年同期持平。名义销售额增长</w:t>
      </w:r>
      <w:r w:rsidRPr="00466C72">
        <w:rPr>
          <w:rFonts w:cs="Arial"/>
          <w:snapToGrid w:val="0"/>
          <w:color w:val="000000"/>
          <w:sz w:val="24"/>
          <w:lang w:val="en-US" w:eastAsia="zh-CN"/>
        </w:rPr>
        <w:t>0.9%</w:t>
      </w:r>
      <w:r w:rsidRPr="00466C72">
        <w:rPr>
          <w:rFonts w:cs="Arial"/>
          <w:snapToGrid w:val="0"/>
          <w:color w:val="000000"/>
          <w:sz w:val="24"/>
          <w:lang w:val="en-US" w:eastAsia="zh-CN"/>
        </w:rPr>
        <w:t>，达到</w:t>
      </w:r>
      <w:r w:rsidRPr="00466C72">
        <w:rPr>
          <w:rFonts w:cs="Arial"/>
          <w:snapToGrid w:val="0"/>
          <w:color w:val="000000"/>
          <w:sz w:val="24"/>
          <w:lang w:val="en-US" w:eastAsia="zh-CN"/>
        </w:rPr>
        <w:t>9.97</w:t>
      </w:r>
      <w:r w:rsidRPr="00466C72">
        <w:rPr>
          <w:rFonts w:cs="Arial"/>
          <w:snapToGrid w:val="0"/>
          <w:color w:val="000000"/>
          <w:sz w:val="24"/>
          <w:lang w:val="en-US" w:eastAsia="zh-CN"/>
        </w:rPr>
        <w:t>亿欧元。</w:t>
      </w:r>
      <w:r w:rsidRPr="00466C72">
        <w:rPr>
          <w:rFonts w:cs="Arial"/>
          <w:b/>
          <w:snapToGrid w:val="0"/>
          <w:color w:val="000000"/>
          <w:sz w:val="24"/>
          <w:lang w:val="en-US" w:eastAsia="zh-CN"/>
        </w:rPr>
        <w:t>调整后营业利润</w:t>
      </w:r>
      <w:r w:rsidRPr="00466C72">
        <w:rPr>
          <w:rFonts w:cs="Arial"/>
          <w:snapToGrid w:val="0"/>
          <w:color w:val="000000"/>
          <w:sz w:val="24"/>
          <w:lang w:val="en-US" w:eastAsia="zh-CN"/>
        </w:rPr>
        <w:t>强势增长，达</w:t>
      </w:r>
      <w:r w:rsidRPr="00466C72">
        <w:rPr>
          <w:rFonts w:cs="Arial"/>
          <w:snapToGrid w:val="0"/>
          <w:color w:val="000000"/>
          <w:sz w:val="24"/>
          <w:lang w:val="en-US" w:eastAsia="zh-CN"/>
        </w:rPr>
        <w:t>1.80</w:t>
      </w:r>
      <w:r w:rsidRPr="00466C72">
        <w:rPr>
          <w:rFonts w:cs="Arial"/>
          <w:snapToGrid w:val="0"/>
          <w:color w:val="000000"/>
          <w:sz w:val="24"/>
          <w:lang w:val="en-US" w:eastAsia="zh-CN"/>
        </w:rPr>
        <w:t>亿欧元，同比增长</w:t>
      </w:r>
      <w:r w:rsidRPr="00466C72">
        <w:rPr>
          <w:rFonts w:cs="Arial"/>
          <w:snapToGrid w:val="0"/>
          <w:color w:val="000000"/>
          <w:sz w:val="24"/>
          <w:lang w:val="en-US" w:eastAsia="zh-CN"/>
        </w:rPr>
        <w:t>4.3%</w:t>
      </w:r>
      <w:r w:rsidRPr="00466C72">
        <w:rPr>
          <w:rFonts w:cs="Arial"/>
          <w:snapToGrid w:val="0"/>
          <w:color w:val="000000"/>
          <w:sz w:val="24"/>
          <w:lang w:val="en-US" w:eastAsia="zh-CN"/>
        </w:rPr>
        <w:t>。</w:t>
      </w:r>
      <w:r w:rsidRPr="00466C72">
        <w:rPr>
          <w:rFonts w:cs="Arial"/>
          <w:snapToGrid w:val="0"/>
          <w:sz w:val="24"/>
          <w:lang w:val="en-US" w:eastAsia="zh-CN"/>
        </w:rPr>
        <w:t>调整后的销售回报率增长</w:t>
      </w:r>
      <w:r w:rsidRPr="00466C72">
        <w:rPr>
          <w:rFonts w:cs="Arial"/>
          <w:snapToGrid w:val="0"/>
          <w:color w:val="000000"/>
          <w:sz w:val="24"/>
          <w:lang w:val="en-US" w:eastAsia="zh-CN"/>
        </w:rPr>
        <w:t>势头强劲</w:t>
      </w:r>
      <w:r w:rsidRPr="00466C72">
        <w:rPr>
          <w:rFonts w:cs="Arial"/>
          <w:snapToGrid w:val="0"/>
          <w:sz w:val="24"/>
          <w:lang w:val="en-US" w:eastAsia="zh-CN"/>
        </w:rPr>
        <w:t>，</w:t>
      </w:r>
      <w:r w:rsidRPr="00466C72">
        <w:rPr>
          <w:rFonts w:cs="Arial"/>
          <w:snapToGrid w:val="0"/>
          <w:color w:val="000000"/>
          <w:sz w:val="24"/>
          <w:lang w:val="en-US" w:eastAsia="zh-CN"/>
        </w:rPr>
        <w:t>达到</w:t>
      </w:r>
      <w:r w:rsidRPr="00466C72">
        <w:rPr>
          <w:rFonts w:cs="Arial"/>
          <w:snapToGrid w:val="0"/>
          <w:color w:val="000000"/>
          <w:sz w:val="24"/>
          <w:lang w:val="en-US" w:eastAsia="zh-CN"/>
        </w:rPr>
        <w:t>18.0%</w:t>
      </w:r>
      <w:r w:rsidRPr="00466C72">
        <w:rPr>
          <w:rFonts w:cs="Arial"/>
          <w:snapToGrid w:val="0"/>
          <w:color w:val="000000"/>
          <w:sz w:val="24"/>
          <w:lang w:val="en-US" w:eastAsia="zh-CN"/>
        </w:rPr>
        <w:t>，创历史最高记录。</w:t>
      </w:r>
    </w:p>
    <w:p w14:paraId="0371AB01"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p>
    <w:p w14:paraId="3AB9FFA8" w14:textId="77777777" w:rsidR="0074292F" w:rsidRDefault="0074292F" w:rsidP="0074292F">
      <w:pPr>
        <w:autoSpaceDE w:val="0"/>
        <w:autoSpaceDN w:val="0"/>
        <w:adjustRightInd w:val="0"/>
        <w:snapToGrid w:val="0"/>
        <w:spacing w:line="360" w:lineRule="auto"/>
        <w:rPr>
          <w:rFonts w:hAnsi="宋体" w:cs="Arial"/>
          <w:color w:val="000000"/>
          <w:sz w:val="24"/>
          <w:lang w:val="en-US" w:eastAsia="zh-CN"/>
        </w:rPr>
      </w:pPr>
      <w:r w:rsidRPr="00466C72">
        <w:rPr>
          <w:rFonts w:cs="Arial"/>
          <w:snapToGrid w:val="0"/>
          <w:color w:val="000000"/>
          <w:sz w:val="24"/>
          <w:lang w:val="en-US" w:eastAsia="zh-CN"/>
        </w:rPr>
        <w:t>2017</w:t>
      </w:r>
      <w:r w:rsidRPr="00466C72">
        <w:rPr>
          <w:rFonts w:cs="Arial"/>
          <w:snapToGrid w:val="0"/>
          <w:color w:val="000000"/>
          <w:sz w:val="24"/>
          <w:lang w:val="en-US" w:eastAsia="zh-CN"/>
        </w:rPr>
        <w:t>年第</w:t>
      </w:r>
      <w:r w:rsidRPr="00466C72">
        <w:rPr>
          <w:rFonts w:cs="Arial"/>
          <w:b/>
          <w:bCs/>
          <w:snapToGrid w:val="0"/>
          <w:sz w:val="24"/>
          <w:lang w:val="en-US" w:eastAsia="zh-CN"/>
        </w:rPr>
        <w:t>二</w:t>
      </w:r>
      <w:r w:rsidRPr="00466C72">
        <w:rPr>
          <w:rFonts w:cs="Arial"/>
          <w:snapToGrid w:val="0"/>
          <w:color w:val="000000"/>
          <w:sz w:val="24"/>
          <w:lang w:val="en-US" w:eastAsia="zh-CN"/>
        </w:rPr>
        <w:t>季度，</w:t>
      </w:r>
      <w:r w:rsidRPr="00466C72">
        <w:rPr>
          <w:rFonts w:cs="Arial"/>
          <w:b/>
          <w:snapToGrid w:val="0"/>
          <w:color w:val="000000"/>
          <w:sz w:val="24"/>
          <w:lang w:val="en-US" w:eastAsia="zh-CN"/>
        </w:rPr>
        <w:t>洗涤剂与家用护理</w:t>
      </w:r>
      <w:r w:rsidRPr="00466C72">
        <w:rPr>
          <w:rFonts w:cs="Arial"/>
          <w:snapToGrid w:val="0"/>
          <w:color w:val="000000"/>
          <w:sz w:val="24"/>
          <w:lang w:val="en-US" w:eastAsia="zh-CN"/>
        </w:rPr>
        <w:t>业务部</w:t>
      </w:r>
      <w:r w:rsidRPr="00466C72">
        <w:rPr>
          <w:rFonts w:cs="Arial"/>
          <w:b/>
          <w:snapToGrid w:val="0"/>
          <w:color w:val="000000"/>
          <w:sz w:val="24"/>
          <w:lang w:val="en-US" w:eastAsia="zh-CN"/>
        </w:rPr>
        <w:t>有机销售额增长</w:t>
      </w:r>
      <w:r w:rsidRPr="00466C72">
        <w:rPr>
          <w:rFonts w:cs="Arial"/>
          <w:snapToGrid w:val="0"/>
          <w:color w:val="000000"/>
          <w:sz w:val="24"/>
          <w:lang w:val="en-US" w:eastAsia="zh-CN"/>
        </w:rPr>
        <w:t>良好，增幅达到</w:t>
      </w:r>
      <w:r w:rsidRPr="00466C72">
        <w:rPr>
          <w:rFonts w:cs="Arial"/>
          <w:snapToGrid w:val="0"/>
          <w:color w:val="000000"/>
          <w:sz w:val="24"/>
          <w:lang w:val="en-US" w:eastAsia="zh-CN"/>
        </w:rPr>
        <w:t>2.1%</w:t>
      </w:r>
      <w:r w:rsidRPr="00466C72">
        <w:rPr>
          <w:rFonts w:cs="Arial"/>
          <w:snapToGrid w:val="0"/>
          <w:color w:val="000000"/>
          <w:sz w:val="24"/>
          <w:lang w:val="en-US" w:eastAsia="zh-CN"/>
        </w:rPr>
        <w:t>。名义销售额同比增长</w:t>
      </w:r>
      <w:r w:rsidRPr="00466C72">
        <w:rPr>
          <w:rFonts w:cs="Arial"/>
          <w:snapToGrid w:val="0"/>
          <w:color w:val="000000"/>
          <w:sz w:val="24"/>
          <w:lang w:val="en-US" w:eastAsia="zh-CN"/>
        </w:rPr>
        <w:t>26.6%</w:t>
      </w:r>
      <w:r w:rsidRPr="00466C72">
        <w:rPr>
          <w:rFonts w:cs="Arial"/>
          <w:snapToGrid w:val="0"/>
          <w:color w:val="000000"/>
          <w:sz w:val="24"/>
          <w:lang w:val="en-US" w:eastAsia="zh-CN"/>
        </w:rPr>
        <w:t>，达到</w:t>
      </w:r>
      <w:r w:rsidRPr="00466C72">
        <w:rPr>
          <w:rFonts w:cs="Arial"/>
          <w:snapToGrid w:val="0"/>
          <w:color w:val="000000"/>
          <w:sz w:val="24"/>
          <w:lang w:val="en-US" w:eastAsia="zh-CN"/>
        </w:rPr>
        <w:t>17.03</w:t>
      </w:r>
      <w:r w:rsidRPr="00466C72">
        <w:rPr>
          <w:rFonts w:cs="Arial"/>
          <w:snapToGrid w:val="0"/>
          <w:color w:val="000000"/>
          <w:sz w:val="24"/>
          <w:lang w:val="en-US" w:eastAsia="zh-CN"/>
        </w:rPr>
        <w:t>亿欧元。</w:t>
      </w:r>
      <w:r w:rsidRPr="00466C72">
        <w:rPr>
          <w:rFonts w:cs="Arial"/>
          <w:b/>
          <w:snapToGrid w:val="0"/>
          <w:color w:val="000000"/>
          <w:sz w:val="24"/>
          <w:lang w:val="en-US" w:eastAsia="zh-CN"/>
        </w:rPr>
        <w:t>调整后营业利润</w:t>
      </w:r>
      <w:r w:rsidRPr="00466C72">
        <w:rPr>
          <w:rFonts w:cs="Arial"/>
          <w:snapToGrid w:val="0"/>
          <w:color w:val="000000"/>
          <w:sz w:val="24"/>
          <w:lang w:val="en-US" w:eastAsia="zh-CN"/>
        </w:rPr>
        <w:t>增长</w:t>
      </w:r>
      <w:r w:rsidRPr="00466C72">
        <w:rPr>
          <w:rFonts w:cs="Arial"/>
          <w:snapToGrid w:val="0"/>
          <w:color w:val="000000"/>
          <w:sz w:val="24"/>
          <w:lang w:val="en-US" w:eastAsia="zh-CN"/>
        </w:rPr>
        <w:t>22.2%</w:t>
      </w:r>
      <w:r w:rsidRPr="00466C72">
        <w:rPr>
          <w:rFonts w:cs="Arial"/>
          <w:snapToGrid w:val="0"/>
          <w:color w:val="000000"/>
          <w:sz w:val="24"/>
          <w:lang w:val="en-US" w:eastAsia="zh-CN"/>
        </w:rPr>
        <w:t>，达到</w:t>
      </w:r>
      <w:r w:rsidRPr="00466C72">
        <w:rPr>
          <w:rFonts w:cs="Arial"/>
          <w:snapToGrid w:val="0"/>
          <w:color w:val="000000"/>
          <w:sz w:val="24"/>
          <w:lang w:val="en-US" w:eastAsia="zh-CN"/>
        </w:rPr>
        <w:t>2.98</w:t>
      </w:r>
      <w:r w:rsidRPr="00466C72">
        <w:rPr>
          <w:rFonts w:cs="Arial"/>
          <w:snapToGrid w:val="0"/>
          <w:color w:val="000000"/>
          <w:sz w:val="24"/>
          <w:lang w:val="en-US" w:eastAsia="zh-CN"/>
        </w:rPr>
        <w:t>亿欧元。收购</w:t>
      </w:r>
      <w:r w:rsidRPr="00466C72">
        <w:rPr>
          <w:rFonts w:cs="Arial"/>
          <w:snapToGrid w:val="0"/>
          <w:color w:val="000000"/>
          <w:sz w:val="24"/>
          <w:lang w:val="en-US" w:eastAsia="zh-CN"/>
        </w:rPr>
        <w:t>Sun Products</w:t>
      </w:r>
      <w:r w:rsidRPr="00466C72">
        <w:rPr>
          <w:rFonts w:cs="Arial"/>
          <w:snapToGrid w:val="0"/>
          <w:color w:val="000000"/>
          <w:sz w:val="24"/>
          <w:lang w:val="en-US" w:eastAsia="zh-CN"/>
        </w:rPr>
        <w:t>公司对销售额和营业利润均有显著贡献。</w:t>
      </w:r>
      <w:r w:rsidRPr="00466C72">
        <w:rPr>
          <w:rFonts w:cs="Arial"/>
          <w:snapToGrid w:val="0"/>
          <w:sz w:val="24"/>
          <w:lang w:val="en-US" w:eastAsia="zh-CN"/>
        </w:rPr>
        <w:t>调整后的销售回报率</w:t>
      </w:r>
      <w:r w:rsidRPr="00466C72">
        <w:rPr>
          <w:rFonts w:cs="Arial"/>
          <w:snapToGrid w:val="0"/>
          <w:color w:val="000000"/>
          <w:sz w:val="24"/>
          <w:lang w:val="en-US" w:eastAsia="zh-CN"/>
        </w:rPr>
        <w:t>为</w:t>
      </w:r>
      <w:r w:rsidRPr="00466C72">
        <w:rPr>
          <w:rFonts w:cs="Arial"/>
          <w:snapToGrid w:val="0"/>
          <w:color w:val="000000"/>
          <w:sz w:val="24"/>
          <w:lang w:val="en-US" w:eastAsia="zh-CN"/>
        </w:rPr>
        <w:t>17.5%</w:t>
      </w:r>
      <w:r w:rsidRPr="00466C72">
        <w:rPr>
          <w:rFonts w:cs="Arial"/>
          <w:snapToGrid w:val="0"/>
          <w:color w:val="000000"/>
          <w:sz w:val="24"/>
          <w:lang w:val="en-US" w:eastAsia="zh-CN"/>
        </w:rPr>
        <w:t>。</w:t>
      </w:r>
    </w:p>
    <w:p w14:paraId="0C91B603" w14:textId="77777777" w:rsidR="0074292F" w:rsidRDefault="0074292F" w:rsidP="0074292F">
      <w:pPr>
        <w:autoSpaceDE w:val="0"/>
        <w:autoSpaceDN w:val="0"/>
        <w:adjustRightInd w:val="0"/>
        <w:snapToGrid w:val="0"/>
        <w:spacing w:line="360" w:lineRule="auto"/>
        <w:rPr>
          <w:rFonts w:hAnsi="宋体" w:cs="Arial"/>
          <w:b/>
          <w:sz w:val="24"/>
          <w:lang w:val="en-US" w:eastAsia="zh-CN"/>
        </w:rPr>
      </w:pPr>
      <w:r>
        <w:rPr>
          <w:rFonts w:cs="Arial" w:hint="eastAsia"/>
          <w:b/>
          <w:sz w:val="24"/>
          <w:lang w:val="en-US" w:eastAsia="zh-CN"/>
        </w:rPr>
        <w:br/>
      </w:r>
      <w:r w:rsidRPr="000D7F4C">
        <w:rPr>
          <w:rFonts w:hAnsi="宋体" w:cs="Arial"/>
          <w:b/>
          <w:sz w:val="24"/>
          <w:lang w:val="en-US" w:eastAsia="zh-CN"/>
        </w:rPr>
        <w:t>凭借强劲收购进一步加强产品组合</w:t>
      </w:r>
    </w:p>
    <w:p w14:paraId="4D004CBB" w14:textId="77777777" w:rsidR="0074292F" w:rsidRPr="000D7F4C" w:rsidRDefault="0074292F" w:rsidP="0074292F">
      <w:pPr>
        <w:autoSpaceDE w:val="0"/>
        <w:autoSpaceDN w:val="0"/>
        <w:adjustRightInd w:val="0"/>
        <w:snapToGrid w:val="0"/>
        <w:spacing w:line="360" w:lineRule="auto"/>
        <w:rPr>
          <w:rFonts w:cs="Arial"/>
          <w:b/>
          <w:sz w:val="24"/>
          <w:lang w:val="en-US" w:eastAsia="zh-CN"/>
        </w:rPr>
      </w:pPr>
    </w:p>
    <w:p w14:paraId="1F8C9241" w14:textId="77777777" w:rsidR="0074292F" w:rsidRDefault="0074292F" w:rsidP="0074292F">
      <w:pPr>
        <w:autoSpaceDE w:val="0"/>
        <w:autoSpaceDN w:val="0"/>
        <w:adjustRightInd w:val="0"/>
        <w:snapToGrid w:val="0"/>
        <w:spacing w:line="360" w:lineRule="auto"/>
        <w:rPr>
          <w:rFonts w:hAnsi="宋体" w:cs="Arial"/>
          <w:sz w:val="24"/>
          <w:lang w:val="en-US" w:eastAsia="zh-CN"/>
        </w:rPr>
      </w:pPr>
      <w:r w:rsidRPr="00466C72">
        <w:rPr>
          <w:rFonts w:cs="Arial"/>
          <w:snapToGrid w:val="0"/>
          <w:sz w:val="24"/>
          <w:lang w:val="en-US" w:eastAsia="zh-CN"/>
        </w:rPr>
        <w:t>汉高在第三季度初顺利完成对全球包装技术公司泰力士包装技术</w:t>
      </w:r>
      <w:r w:rsidRPr="00466C72">
        <w:rPr>
          <w:rFonts w:cs="Arial" w:hint="eastAsia"/>
          <w:sz w:val="24"/>
          <w:lang w:val="en-US" w:eastAsia="zh-CN"/>
        </w:rPr>
        <w:t>（</w:t>
      </w:r>
      <w:proofErr w:type="spellStart"/>
      <w:r w:rsidRPr="00466C72">
        <w:rPr>
          <w:rFonts w:cs="Arial" w:hint="eastAsia"/>
          <w:sz w:val="24"/>
          <w:lang w:val="en-US" w:eastAsia="zh-CN"/>
        </w:rPr>
        <w:t>Darex</w:t>
      </w:r>
      <w:proofErr w:type="spellEnd"/>
      <w:r w:rsidRPr="00466C72">
        <w:rPr>
          <w:rFonts w:cs="Arial" w:hint="eastAsia"/>
          <w:sz w:val="24"/>
          <w:lang w:val="en-US" w:eastAsia="zh-CN"/>
        </w:rPr>
        <w:t>）</w:t>
      </w:r>
      <w:r w:rsidRPr="00466C72">
        <w:rPr>
          <w:rFonts w:cs="Arial"/>
          <w:snapToGrid w:val="0"/>
          <w:sz w:val="24"/>
          <w:lang w:val="en-US" w:eastAsia="zh-CN"/>
        </w:rPr>
        <w:t>与</w:t>
      </w:r>
      <w:r w:rsidRPr="00466C72">
        <w:rPr>
          <w:rFonts w:cs="Arial" w:hint="eastAsia"/>
          <w:snapToGrid w:val="0"/>
          <w:sz w:val="24"/>
          <w:lang w:val="en-US" w:eastAsia="zh-CN"/>
        </w:rPr>
        <w:t>胜德</w:t>
      </w:r>
      <w:r w:rsidRPr="00466C72">
        <w:rPr>
          <w:rFonts w:cs="Arial"/>
          <w:snapToGrid w:val="0"/>
          <w:sz w:val="24"/>
          <w:lang w:val="en-US" w:eastAsia="zh-CN"/>
        </w:rPr>
        <w:t>集团</w:t>
      </w:r>
      <w:r w:rsidRPr="00466C72">
        <w:rPr>
          <w:rFonts w:cs="Arial" w:hint="eastAsia"/>
          <w:snapToGrid w:val="0"/>
          <w:sz w:val="24"/>
          <w:lang w:val="en-US" w:eastAsia="zh-CN"/>
        </w:rPr>
        <w:t>（</w:t>
      </w:r>
      <w:proofErr w:type="spellStart"/>
      <w:r w:rsidRPr="00466C72">
        <w:rPr>
          <w:rFonts w:cs="Arial" w:hint="eastAsia"/>
          <w:snapToGrid w:val="0"/>
          <w:sz w:val="24"/>
          <w:lang w:val="en-US" w:eastAsia="zh-CN"/>
        </w:rPr>
        <w:t>Son</w:t>
      </w:r>
      <w:r w:rsidRPr="00466C72">
        <w:rPr>
          <w:rFonts w:cs="Arial"/>
          <w:snapToGrid w:val="0"/>
          <w:sz w:val="24"/>
          <w:lang w:val="en-US" w:eastAsia="zh-CN"/>
        </w:rPr>
        <w:t>derhoff</w:t>
      </w:r>
      <w:proofErr w:type="spellEnd"/>
      <w:r w:rsidRPr="00466C72">
        <w:rPr>
          <w:rFonts w:cs="Arial" w:hint="eastAsia"/>
          <w:snapToGrid w:val="0"/>
          <w:sz w:val="24"/>
          <w:lang w:val="en-US" w:eastAsia="zh-CN"/>
        </w:rPr>
        <w:t>）</w:t>
      </w:r>
      <w:r w:rsidRPr="00466C72">
        <w:rPr>
          <w:rFonts w:cs="Arial"/>
          <w:snapToGrid w:val="0"/>
          <w:sz w:val="24"/>
          <w:lang w:val="en-US" w:eastAsia="zh-CN"/>
        </w:rPr>
        <w:t>的收购工作，进一步加强了粘合剂技术业务，补充了其技术组合。</w:t>
      </w:r>
    </w:p>
    <w:p w14:paraId="6ED385CD" w14:textId="77777777" w:rsidR="0074292F" w:rsidRPr="003D1583" w:rsidRDefault="0074292F" w:rsidP="0074292F">
      <w:pPr>
        <w:autoSpaceDE w:val="0"/>
        <w:autoSpaceDN w:val="0"/>
        <w:adjustRightInd w:val="0"/>
        <w:snapToGrid w:val="0"/>
        <w:spacing w:line="360" w:lineRule="auto"/>
        <w:rPr>
          <w:rFonts w:hAnsi="宋体" w:cs="Arial"/>
          <w:sz w:val="24"/>
          <w:lang w:val="en-US" w:eastAsia="zh-CN"/>
        </w:rPr>
      </w:pPr>
    </w:p>
    <w:p w14:paraId="43C10089" w14:textId="77777777" w:rsidR="0074292F" w:rsidRDefault="0074292F" w:rsidP="0074292F">
      <w:pPr>
        <w:autoSpaceDE w:val="0"/>
        <w:autoSpaceDN w:val="0"/>
        <w:adjustRightInd w:val="0"/>
        <w:spacing w:line="360" w:lineRule="auto"/>
        <w:jc w:val="both"/>
        <w:rPr>
          <w:rFonts w:cs="Arial"/>
          <w:b/>
          <w:snapToGrid w:val="0"/>
          <w:sz w:val="24"/>
          <w:lang w:val="en-US" w:eastAsia="zh-CN"/>
        </w:rPr>
      </w:pPr>
      <w:r w:rsidRPr="00466C72">
        <w:rPr>
          <w:rFonts w:cs="Arial"/>
          <w:b/>
          <w:snapToGrid w:val="0"/>
          <w:sz w:val="24"/>
          <w:lang w:val="en-US" w:eastAsia="zh-CN"/>
        </w:rPr>
        <w:t>2017</w:t>
      </w:r>
      <w:r w:rsidRPr="00466C72">
        <w:rPr>
          <w:rFonts w:cs="Arial"/>
          <w:b/>
          <w:snapToGrid w:val="0"/>
          <w:sz w:val="24"/>
          <w:lang w:val="en-US" w:eastAsia="zh-CN"/>
        </w:rPr>
        <w:t>上半年业务表现强劲</w:t>
      </w:r>
    </w:p>
    <w:p w14:paraId="5E3E535F" w14:textId="77777777" w:rsidR="0074292F" w:rsidRPr="00466C72" w:rsidRDefault="0074292F" w:rsidP="0074292F">
      <w:pPr>
        <w:autoSpaceDE w:val="0"/>
        <w:autoSpaceDN w:val="0"/>
        <w:adjustRightInd w:val="0"/>
        <w:spacing w:line="360" w:lineRule="auto"/>
        <w:jc w:val="both"/>
        <w:rPr>
          <w:rFonts w:cs="Arial"/>
          <w:b/>
          <w:snapToGrid w:val="0"/>
          <w:sz w:val="24"/>
          <w:lang w:val="en-US" w:eastAsia="zh-CN"/>
        </w:rPr>
      </w:pPr>
    </w:p>
    <w:p w14:paraId="181147EB"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r w:rsidRPr="00466C72">
        <w:rPr>
          <w:rFonts w:cs="Arial"/>
          <w:snapToGrid w:val="0"/>
          <w:sz w:val="24"/>
          <w:lang w:val="en-US" w:eastAsia="zh-CN"/>
        </w:rPr>
        <w:t>半年</w:t>
      </w:r>
      <w:r w:rsidRPr="00466C72">
        <w:rPr>
          <w:rFonts w:cs="Arial"/>
          <w:b/>
          <w:snapToGrid w:val="0"/>
          <w:sz w:val="24"/>
          <w:lang w:val="en-US" w:eastAsia="zh-CN"/>
        </w:rPr>
        <w:t>销售额</w:t>
      </w:r>
      <w:r w:rsidRPr="00466C72">
        <w:rPr>
          <w:rFonts w:cs="Arial"/>
          <w:snapToGrid w:val="0"/>
          <w:sz w:val="24"/>
          <w:lang w:val="en-US" w:eastAsia="zh-CN"/>
        </w:rPr>
        <w:t>首次突破</w:t>
      </w:r>
      <w:r w:rsidRPr="00466C72">
        <w:rPr>
          <w:rFonts w:cs="Arial"/>
          <w:snapToGrid w:val="0"/>
          <w:sz w:val="24"/>
          <w:lang w:val="en-US" w:eastAsia="zh-CN"/>
        </w:rPr>
        <w:t>100</w:t>
      </w:r>
      <w:r w:rsidRPr="00466C72">
        <w:rPr>
          <w:rFonts w:cs="Arial"/>
          <w:snapToGrid w:val="0"/>
          <w:sz w:val="24"/>
          <w:lang w:val="en-US" w:eastAsia="zh-CN"/>
        </w:rPr>
        <w:t>亿欧元，增长</w:t>
      </w:r>
      <w:r w:rsidRPr="00466C72">
        <w:rPr>
          <w:rFonts w:cs="Arial"/>
          <w:snapToGrid w:val="0"/>
          <w:sz w:val="24"/>
          <w:lang w:val="en-US" w:eastAsia="zh-CN"/>
        </w:rPr>
        <w:t>11.5%</w:t>
      </w:r>
      <w:r w:rsidRPr="00466C72">
        <w:rPr>
          <w:rFonts w:cs="Arial"/>
          <w:snapToGrid w:val="0"/>
          <w:sz w:val="24"/>
          <w:lang w:val="en-US" w:eastAsia="zh-CN"/>
        </w:rPr>
        <w:t>，达到</w:t>
      </w:r>
      <w:r w:rsidRPr="00466C72">
        <w:rPr>
          <w:rFonts w:cs="Arial"/>
          <w:snapToGrid w:val="0"/>
          <w:sz w:val="24"/>
          <w:lang w:val="en-US" w:eastAsia="zh-CN"/>
        </w:rPr>
        <w:t>101.62</w:t>
      </w:r>
      <w:r w:rsidRPr="00466C72">
        <w:rPr>
          <w:rFonts w:cs="Arial"/>
          <w:snapToGrid w:val="0"/>
          <w:sz w:val="24"/>
          <w:lang w:val="en-US" w:eastAsia="zh-CN"/>
        </w:rPr>
        <w:t>亿欧元。</w:t>
      </w:r>
      <w:r w:rsidRPr="00466C72">
        <w:rPr>
          <w:rFonts w:cs="Arial" w:hint="eastAsia"/>
          <w:snapToGrid w:val="0"/>
          <w:sz w:val="24"/>
          <w:lang w:val="en-US" w:eastAsia="zh-CN"/>
        </w:rPr>
        <w:t>基于汇率</w:t>
      </w:r>
      <w:r w:rsidRPr="00466C72">
        <w:rPr>
          <w:rFonts w:cs="Arial"/>
          <w:snapToGrid w:val="0"/>
          <w:sz w:val="24"/>
          <w:lang w:val="en-US" w:eastAsia="zh-CN"/>
        </w:rPr>
        <w:t>和收购</w:t>
      </w:r>
      <w:r w:rsidRPr="00466C72">
        <w:rPr>
          <w:rFonts w:cs="Arial"/>
          <w:snapToGrid w:val="0"/>
          <w:sz w:val="24"/>
          <w:lang w:val="en-US" w:eastAsia="zh-CN"/>
        </w:rPr>
        <w:t>/</w:t>
      </w:r>
      <w:r w:rsidRPr="00466C72">
        <w:rPr>
          <w:rFonts w:cs="Arial"/>
          <w:snapToGrid w:val="0"/>
          <w:sz w:val="24"/>
          <w:lang w:val="en-US" w:eastAsia="zh-CN"/>
        </w:rPr>
        <w:t>退出所持业务</w:t>
      </w:r>
      <w:r w:rsidRPr="00466C72">
        <w:rPr>
          <w:rFonts w:cs="Arial" w:hint="eastAsia"/>
          <w:sz w:val="24"/>
          <w:lang w:val="en-US" w:eastAsia="zh-CN"/>
        </w:rPr>
        <w:t>（项目）</w:t>
      </w:r>
      <w:r w:rsidRPr="00466C72">
        <w:rPr>
          <w:rFonts w:cs="Arial"/>
          <w:snapToGrid w:val="0"/>
          <w:sz w:val="24"/>
          <w:lang w:val="en-US" w:eastAsia="zh-CN"/>
        </w:rPr>
        <w:t>调整</w:t>
      </w:r>
      <w:r w:rsidRPr="00466C72">
        <w:rPr>
          <w:rFonts w:cs="Arial" w:hint="eastAsia"/>
          <w:snapToGrid w:val="0"/>
          <w:sz w:val="24"/>
          <w:lang w:val="en-US" w:eastAsia="zh-CN"/>
        </w:rPr>
        <w:t>后</w:t>
      </w:r>
      <w:r w:rsidRPr="00466C72">
        <w:rPr>
          <w:rFonts w:cs="Arial"/>
          <w:snapToGrid w:val="0"/>
          <w:sz w:val="24"/>
          <w:lang w:val="en-US" w:eastAsia="zh-CN"/>
        </w:rPr>
        <w:t>，</w:t>
      </w:r>
      <w:r w:rsidRPr="00466C72">
        <w:rPr>
          <w:rFonts w:cs="Arial"/>
          <w:b/>
          <w:snapToGrid w:val="0"/>
          <w:sz w:val="24"/>
          <w:lang w:val="en-US" w:eastAsia="zh-CN"/>
        </w:rPr>
        <w:t>有机</w:t>
      </w:r>
      <w:r w:rsidRPr="00466C72">
        <w:rPr>
          <w:rFonts w:cs="Arial"/>
          <w:snapToGrid w:val="0"/>
          <w:sz w:val="24"/>
          <w:lang w:val="en-US" w:eastAsia="zh-CN"/>
        </w:rPr>
        <w:t>销售</w:t>
      </w:r>
      <w:r w:rsidRPr="00466C72">
        <w:rPr>
          <w:rFonts w:cs="Arial" w:hint="eastAsia"/>
          <w:snapToGrid w:val="0"/>
          <w:sz w:val="24"/>
          <w:lang w:val="en-US" w:eastAsia="zh-CN"/>
        </w:rPr>
        <w:t>额</w:t>
      </w:r>
      <w:r w:rsidRPr="00466C72">
        <w:rPr>
          <w:rFonts w:cs="Arial"/>
          <w:snapToGrid w:val="0"/>
          <w:sz w:val="24"/>
          <w:lang w:val="en-US" w:eastAsia="zh-CN"/>
        </w:rPr>
        <w:t>增长</w:t>
      </w:r>
      <w:r w:rsidRPr="00466C72">
        <w:rPr>
          <w:rFonts w:cs="Arial" w:hint="eastAsia"/>
          <w:snapToGrid w:val="0"/>
          <w:sz w:val="24"/>
          <w:lang w:val="en-US" w:eastAsia="zh-CN"/>
        </w:rPr>
        <w:t>强劲</w:t>
      </w:r>
      <w:r w:rsidRPr="00466C72">
        <w:rPr>
          <w:rFonts w:cs="Arial"/>
          <w:snapToGrid w:val="0"/>
          <w:sz w:val="24"/>
          <w:lang w:val="en-US" w:eastAsia="zh-CN"/>
        </w:rPr>
        <w:t>，达</w:t>
      </w:r>
      <w:r w:rsidRPr="00466C72">
        <w:rPr>
          <w:rFonts w:cs="Arial" w:hint="eastAsia"/>
          <w:snapToGrid w:val="0"/>
          <w:sz w:val="24"/>
          <w:lang w:val="en-US" w:eastAsia="zh-CN"/>
        </w:rPr>
        <w:t>到</w:t>
      </w:r>
      <w:r w:rsidRPr="00466C72">
        <w:rPr>
          <w:rFonts w:cs="Arial"/>
          <w:snapToGrid w:val="0"/>
          <w:sz w:val="24"/>
          <w:lang w:val="en-US" w:eastAsia="zh-CN"/>
        </w:rPr>
        <w:t>3.1%</w:t>
      </w:r>
      <w:r w:rsidRPr="00466C72">
        <w:rPr>
          <w:rFonts w:cs="Arial"/>
          <w:snapToGrid w:val="0"/>
          <w:sz w:val="24"/>
          <w:lang w:val="en-US" w:eastAsia="zh-CN"/>
        </w:rPr>
        <w:t>。三大业务部门对此均有所贡献。</w:t>
      </w:r>
    </w:p>
    <w:p w14:paraId="6A00C521"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p>
    <w:p w14:paraId="3A977D1F"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r w:rsidRPr="00466C72">
        <w:rPr>
          <w:rFonts w:cs="Arial"/>
          <w:b/>
          <w:snapToGrid w:val="0"/>
          <w:sz w:val="24"/>
          <w:lang w:val="en-US" w:eastAsia="zh-CN"/>
        </w:rPr>
        <w:t>调整后营业利润</w:t>
      </w:r>
      <w:r w:rsidRPr="00466C72">
        <w:rPr>
          <w:rFonts w:cs="Arial"/>
          <w:snapToGrid w:val="0"/>
          <w:sz w:val="24"/>
          <w:lang w:val="en-US" w:eastAsia="zh-CN"/>
        </w:rPr>
        <w:t>增长</w:t>
      </w:r>
      <w:r w:rsidRPr="00466C72">
        <w:rPr>
          <w:rFonts w:cs="Arial"/>
          <w:snapToGrid w:val="0"/>
          <w:sz w:val="24"/>
          <w:lang w:val="en-US" w:eastAsia="zh-CN"/>
        </w:rPr>
        <w:t>12.3%</w:t>
      </w:r>
      <w:r w:rsidRPr="00466C72">
        <w:rPr>
          <w:rFonts w:cs="Arial"/>
          <w:snapToGrid w:val="0"/>
          <w:sz w:val="24"/>
          <w:lang w:val="en-US" w:eastAsia="zh-CN"/>
        </w:rPr>
        <w:t>，从</w:t>
      </w:r>
      <w:r w:rsidRPr="00466C72">
        <w:rPr>
          <w:rFonts w:cs="Arial"/>
          <w:snapToGrid w:val="0"/>
          <w:sz w:val="24"/>
          <w:lang w:val="en-US" w:eastAsia="zh-CN"/>
        </w:rPr>
        <w:t>15.70</w:t>
      </w:r>
      <w:r w:rsidRPr="00466C72">
        <w:rPr>
          <w:rFonts w:cs="Arial"/>
          <w:snapToGrid w:val="0"/>
          <w:sz w:val="24"/>
          <w:lang w:val="en-US" w:eastAsia="zh-CN"/>
        </w:rPr>
        <w:t>亿欧元增至</w:t>
      </w:r>
      <w:r w:rsidRPr="00466C72">
        <w:rPr>
          <w:rFonts w:cs="Arial"/>
          <w:snapToGrid w:val="0"/>
          <w:sz w:val="24"/>
          <w:lang w:val="en-US" w:eastAsia="zh-CN"/>
        </w:rPr>
        <w:t>17.63</w:t>
      </w:r>
      <w:r w:rsidRPr="00466C72">
        <w:rPr>
          <w:rFonts w:cs="Arial"/>
          <w:snapToGrid w:val="0"/>
          <w:sz w:val="24"/>
          <w:lang w:val="en-US" w:eastAsia="zh-CN"/>
        </w:rPr>
        <w:t>亿欧元。</w:t>
      </w:r>
    </w:p>
    <w:p w14:paraId="60A7EAF2" w14:textId="77777777" w:rsidR="0074292F" w:rsidRPr="00466C72" w:rsidRDefault="0074292F" w:rsidP="0074292F">
      <w:pPr>
        <w:autoSpaceDE w:val="0"/>
        <w:autoSpaceDN w:val="0"/>
        <w:adjustRightInd w:val="0"/>
        <w:spacing w:line="360" w:lineRule="auto"/>
        <w:jc w:val="both"/>
        <w:rPr>
          <w:rFonts w:cs="Arial"/>
          <w:snapToGrid w:val="0"/>
          <w:sz w:val="24"/>
          <w:lang w:val="en-US" w:eastAsia="de-DE"/>
        </w:rPr>
      </w:pPr>
    </w:p>
    <w:p w14:paraId="24ED3A34"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r w:rsidRPr="00466C72">
        <w:rPr>
          <w:rFonts w:cs="Arial"/>
          <w:b/>
          <w:snapToGrid w:val="0"/>
          <w:sz w:val="24"/>
          <w:lang w:val="en-US" w:eastAsia="zh-CN"/>
        </w:rPr>
        <w:t>调整后的销售回报率</w:t>
      </w:r>
      <w:r w:rsidRPr="00466C72">
        <w:rPr>
          <w:rFonts w:cs="Arial"/>
          <w:snapToGrid w:val="0"/>
          <w:sz w:val="24"/>
          <w:lang w:val="en-US" w:eastAsia="zh-CN"/>
        </w:rPr>
        <w:t>从</w:t>
      </w:r>
      <w:r w:rsidRPr="00466C72">
        <w:rPr>
          <w:rFonts w:cs="Arial"/>
          <w:snapToGrid w:val="0"/>
          <w:sz w:val="24"/>
          <w:lang w:val="en-US" w:eastAsia="zh-CN"/>
        </w:rPr>
        <w:t>17.2%</w:t>
      </w:r>
      <w:r w:rsidRPr="00466C72">
        <w:rPr>
          <w:rFonts w:cs="Arial"/>
          <w:snapToGrid w:val="0"/>
          <w:sz w:val="24"/>
          <w:lang w:val="en-US" w:eastAsia="zh-CN"/>
        </w:rPr>
        <w:t>增至</w:t>
      </w:r>
      <w:r w:rsidRPr="00466C72">
        <w:rPr>
          <w:rFonts w:cs="Arial"/>
          <w:snapToGrid w:val="0"/>
          <w:sz w:val="24"/>
          <w:lang w:val="en-US" w:eastAsia="zh-CN"/>
        </w:rPr>
        <w:t>17.4%</w:t>
      </w:r>
      <w:r w:rsidRPr="00466C72">
        <w:rPr>
          <w:rFonts w:cs="Arial"/>
          <w:snapToGrid w:val="0"/>
          <w:sz w:val="24"/>
          <w:lang w:val="en-US" w:eastAsia="zh-CN"/>
        </w:rPr>
        <w:t>。</w:t>
      </w:r>
    </w:p>
    <w:p w14:paraId="3BDEB322" w14:textId="77777777" w:rsidR="0074292F" w:rsidRPr="00466C72" w:rsidRDefault="0074292F" w:rsidP="0074292F">
      <w:pPr>
        <w:autoSpaceDE w:val="0"/>
        <w:autoSpaceDN w:val="0"/>
        <w:adjustRightInd w:val="0"/>
        <w:spacing w:line="360" w:lineRule="auto"/>
        <w:jc w:val="both"/>
        <w:rPr>
          <w:rFonts w:cs="Arial"/>
          <w:snapToGrid w:val="0"/>
          <w:sz w:val="24"/>
          <w:lang w:val="en-US" w:eastAsia="de-DE"/>
        </w:rPr>
      </w:pPr>
    </w:p>
    <w:p w14:paraId="698AFBD0"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r w:rsidRPr="00466C72">
        <w:rPr>
          <w:rFonts w:cs="Arial"/>
          <w:b/>
          <w:snapToGrid w:val="0"/>
          <w:sz w:val="24"/>
          <w:lang w:val="en-US" w:eastAsia="zh-CN"/>
        </w:rPr>
        <w:t>调整后优先股每股收益</w:t>
      </w:r>
      <w:r w:rsidRPr="00466C72">
        <w:rPr>
          <w:rFonts w:cs="Arial"/>
          <w:snapToGrid w:val="0"/>
          <w:sz w:val="24"/>
          <w:lang w:val="en-US" w:eastAsia="zh-CN"/>
        </w:rPr>
        <w:t>增长</w:t>
      </w:r>
      <w:r w:rsidRPr="00466C72">
        <w:rPr>
          <w:rFonts w:cs="Arial"/>
          <w:snapToGrid w:val="0"/>
          <w:sz w:val="24"/>
          <w:lang w:val="en-US" w:eastAsia="zh-CN"/>
        </w:rPr>
        <w:t>10.9%</w:t>
      </w:r>
      <w:r w:rsidRPr="00466C72">
        <w:rPr>
          <w:rFonts w:cs="Arial"/>
          <w:snapToGrid w:val="0"/>
          <w:sz w:val="24"/>
          <w:lang w:val="en-US" w:eastAsia="zh-CN"/>
        </w:rPr>
        <w:t>，从</w:t>
      </w:r>
      <w:r w:rsidRPr="00466C72">
        <w:rPr>
          <w:rFonts w:cs="Arial"/>
          <w:snapToGrid w:val="0"/>
          <w:sz w:val="24"/>
          <w:lang w:val="en-US" w:eastAsia="de-DE"/>
        </w:rPr>
        <w:t>2.67</w:t>
      </w:r>
      <w:r w:rsidRPr="00466C72">
        <w:rPr>
          <w:rFonts w:cs="Arial"/>
          <w:snapToGrid w:val="0"/>
          <w:sz w:val="24"/>
          <w:lang w:val="en-US" w:eastAsia="zh-CN"/>
        </w:rPr>
        <w:t>欧元增至</w:t>
      </w:r>
      <w:r w:rsidRPr="00466C72">
        <w:rPr>
          <w:rFonts w:cs="Arial"/>
          <w:snapToGrid w:val="0"/>
          <w:sz w:val="24"/>
          <w:lang w:val="en-US" w:eastAsia="zh-CN"/>
        </w:rPr>
        <w:t>2.96</w:t>
      </w:r>
      <w:r w:rsidRPr="00466C72">
        <w:rPr>
          <w:rFonts w:cs="Arial"/>
          <w:snapToGrid w:val="0"/>
          <w:sz w:val="24"/>
          <w:lang w:val="en-US" w:eastAsia="zh-CN"/>
        </w:rPr>
        <w:t>欧元，增长</w:t>
      </w:r>
      <w:r w:rsidRPr="00466C72">
        <w:rPr>
          <w:rFonts w:cs="Arial"/>
          <w:snapToGrid w:val="0"/>
          <w:sz w:val="24"/>
          <w:lang w:val="en-US" w:eastAsia="de-DE"/>
        </w:rPr>
        <w:t>29</w:t>
      </w:r>
      <w:proofErr w:type="spellStart"/>
      <w:r w:rsidRPr="00466C72">
        <w:rPr>
          <w:rFonts w:cs="Arial"/>
          <w:snapToGrid w:val="0"/>
          <w:sz w:val="24"/>
          <w:lang w:val="en-US" w:eastAsia="de-DE"/>
        </w:rPr>
        <w:t>欧分</w:t>
      </w:r>
      <w:proofErr w:type="spellEnd"/>
      <w:r w:rsidRPr="00466C72">
        <w:rPr>
          <w:rFonts w:cs="Arial"/>
          <w:snapToGrid w:val="0"/>
          <w:sz w:val="24"/>
          <w:lang w:val="en-US" w:eastAsia="zh-CN"/>
        </w:rPr>
        <w:t>。</w:t>
      </w:r>
    </w:p>
    <w:p w14:paraId="13EB39F3" w14:textId="77777777" w:rsidR="0074292F" w:rsidRPr="00466C72" w:rsidRDefault="0074292F" w:rsidP="0074292F">
      <w:pPr>
        <w:autoSpaceDE w:val="0"/>
        <w:autoSpaceDN w:val="0"/>
        <w:adjustRightInd w:val="0"/>
        <w:spacing w:line="360" w:lineRule="auto"/>
        <w:rPr>
          <w:rFonts w:cs="Arial"/>
          <w:snapToGrid w:val="0"/>
          <w:sz w:val="24"/>
          <w:lang w:val="en-US" w:eastAsia="de-DE"/>
        </w:rPr>
      </w:pPr>
    </w:p>
    <w:p w14:paraId="421ADB85" w14:textId="77777777" w:rsidR="0074292F" w:rsidRPr="00466C72" w:rsidRDefault="0074292F" w:rsidP="0074292F">
      <w:pPr>
        <w:autoSpaceDE w:val="0"/>
        <w:autoSpaceDN w:val="0"/>
        <w:adjustRightInd w:val="0"/>
        <w:spacing w:line="360" w:lineRule="auto"/>
        <w:jc w:val="both"/>
        <w:rPr>
          <w:rFonts w:cs="Arial"/>
          <w:snapToGrid w:val="0"/>
          <w:sz w:val="24"/>
          <w:lang w:val="en-US" w:eastAsia="zh-CN"/>
        </w:rPr>
      </w:pPr>
      <w:r w:rsidRPr="00466C72">
        <w:rPr>
          <w:rFonts w:cs="Arial"/>
          <w:snapToGrid w:val="0"/>
          <w:sz w:val="24"/>
          <w:lang w:val="en-US" w:eastAsia="zh-CN"/>
        </w:rPr>
        <w:t>2017</w:t>
      </w:r>
      <w:r w:rsidRPr="00466C72">
        <w:rPr>
          <w:rFonts w:cs="Arial"/>
          <w:snapToGrid w:val="0"/>
          <w:sz w:val="24"/>
          <w:lang w:val="en-US" w:eastAsia="zh-CN"/>
        </w:rPr>
        <w:t>年上半年，</w:t>
      </w:r>
      <w:r w:rsidRPr="00466C72">
        <w:rPr>
          <w:rFonts w:cs="Arial"/>
          <w:b/>
          <w:snapToGrid w:val="0"/>
          <w:sz w:val="24"/>
          <w:lang w:val="en-US" w:eastAsia="zh-CN"/>
        </w:rPr>
        <w:t>粘合剂技术</w:t>
      </w:r>
      <w:r w:rsidRPr="00466C72">
        <w:rPr>
          <w:rFonts w:cs="Arial"/>
          <w:snapToGrid w:val="0"/>
          <w:sz w:val="24"/>
          <w:lang w:val="en-US" w:eastAsia="zh-CN"/>
        </w:rPr>
        <w:t>业务部有机销售额增长非常强劲，达</w:t>
      </w:r>
      <w:r w:rsidRPr="00466C72">
        <w:rPr>
          <w:rFonts w:cs="Arial"/>
          <w:snapToGrid w:val="0"/>
          <w:sz w:val="24"/>
          <w:lang w:val="en-US" w:eastAsia="zh-CN"/>
        </w:rPr>
        <w:t>4.4%</w:t>
      </w:r>
      <w:r w:rsidRPr="00466C72">
        <w:rPr>
          <w:rFonts w:cs="Arial"/>
          <w:snapToGrid w:val="0"/>
          <w:sz w:val="24"/>
          <w:lang w:val="en-US" w:eastAsia="zh-CN"/>
        </w:rPr>
        <w:t>。调整后的销售回报率强劲增长，达</w:t>
      </w:r>
      <w:r w:rsidRPr="00466C72">
        <w:rPr>
          <w:rFonts w:cs="Arial"/>
          <w:snapToGrid w:val="0"/>
          <w:sz w:val="24"/>
          <w:lang w:val="en-US" w:eastAsia="zh-CN"/>
        </w:rPr>
        <w:t>18.6%</w:t>
      </w:r>
      <w:r w:rsidRPr="00466C72">
        <w:rPr>
          <w:rFonts w:cs="Arial"/>
          <w:snapToGrid w:val="0"/>
          <w:sz w:val="24"/>
          <w:lang w:val="en-US" w:eastAsia="zh-CN"/>
        </w:rPr>
        <w:t>。</w:t>
      </w:r>
      <w:r w:rsidRPr="00466C72">
        <w:rPr>
          <w:rFonts w:cs="Arial"/>
          <w:b/>
          <w:snapToGrid w:val="0"/>
          <w:sz w:val="24"/>
          <w:lang w:val="en-US" w:eastAsia="zh-CN"/>
        </w:rPr>
        <w:t>化妆品</w:t>
      </w:r>
      <w:r w:rsidRPr="00466C72">
        <w:rPr>
          <w:rFonts w:cs="Arial"/>
          <w:b/>
          <w:snapToGrid w:val="0"/>
          <w:sz w:val="24"/>
          <w:lang w:val="en-US" w:eastAsia="zh-CN"/>
        </w:rPr>
        <w:t>/</w:t>
      </w:r>
      <w:r w:rsidRPr="00466C72">
        <w:rPr>
          <w:rFonts w:cs="Arial"/>
          <w:b/>
          <w:snapToGrid w:val="0"/>
          <w:sz w:val="24"/>
          <w:lang w:val="en-US" w:eastAsia="zh-CN"/>
        </w:rPr>
        <w:t>美容用品</w:t>
      </w:r>
      <w:r w:rsidRPr="00466C72">
        <w:rPr>
          <w:rFonts w:cs="Arial"/>
          <w:snapToGrid w:val="0"/>
          <w:sz w:val="24"/>
          <w:lang w:val="en-US" w:eastAsia="zh-CN"/>
        </w:rPr>
        <w:t>业务部有机销售额增长良好，达</w:t>
      </w:r>
      <w:r w:rsidRPr="00466C72">
        <w:rPr>
          <w:rFonts w:cs="Arial"/>
          <w:snapToGrid w:val="0"/>
          <w:sz w:val="24"/>
          <w:lang w:val="en-US" w:eastAsia="zh-CN"/>
        </w:rPr>
        <w:t>1.1%</w:t>
      </w:r>
      <w:r w:rsidRPr="00466C72">
        <w:rPr>
          <w:rFonts w:cs="Arial"/>
          <w:snapToGrid w:val="0"/>
          <w:sz w:val="24"/>
          <w:lang w:val="en-US" w:eastAsia="zh-CN"/>
        </w:rPr>
        <w:t>。调整后的销售回报率强劲增长，达</w:t>
      </w:r>
      <w:r w:rsidRPr="00466C72">
        <w:rPr>
          <w:rFonts w:cs="Arial"/>
          <w:snapToGrid w:val="0"/>
          <w:sz w:val="24"/>
          <w:lang w:val="en-US" w:eastAsia="zh-CN"/>
        </w:rPr>
        <w:t>17.4%</w:t>
      </w:r>
      <w:r w:rsidRPr="00466C72">
        <w:rPr>
          <w:rFonts w:cs="Arial"/>
          <w:snapToGrid w:val="0"/>
          <w:sz w:val="24"/>
          <w:lang w:val="en-US" w:eastAsia="zh-CN"/>
        </w:rPr>
        <w:t>。</w:t>
      </w:r>
      <w:r w:rsidRPr="00466C72">
        <w:rPr>
          <w:rFonts w:cs="Arial"/>
          <w:b/>
          <w:snapToGrid w:val="0"/>
          <w:sz w:val="24"/>
          <w:lang w:val="en-US" w:eastAsia="zh-CN"/>
        </w:rPr>
        <w:t>洗涤剂与家用护理</w:t>
      </w:r>
      <w:r w:rsidRPr="00466C72">
        <w:rPr>
          <w:rFonts w:cs="Arial"/>
          <w:snapToGrid w:val="0"/>
          <w:sz w:val="24"/>
          <w:lang w:val="en-US" w:eastAsia="zh-CN"/>
        </w:rPr>
        <w:t>业务部有机销售额稳步增长，达</w:t>
      </w:r>
      <w:r w:rsidRPr="00466C72">
        <w:rPr>
          <w:rFonts w:cs="Arial"/>
          <w:snapToGrid w:val="0"/>
          <w:sz w:val="24"/>
          <w:lang w:val="en-US" w:eastAsia="zh-CN"/>
        </w:rPr>
        <w:t>2.5%</w:t>
      </w:r>
      <w:r w:rsidRPr="00466C72">
        <w:rPr>
          <w:rFonts w:cs="Arial"/>
          <w:snapToGrid w:val="0"/>
          <w:sz w:val="24"/>
          <w:lang w:val="en-US" w:eastAsia="zh-CN"/>
        </w:rPr>
        <w:t>。调整后的销售回报率为</w:t>
      </w:r>
      <w:r w:rsidRPr="00466C72">
        <w:rPr>
          <w:rFonts w:cs="Arial"/>
          <w:snapToGrid w:val="0"/>
          <w:sz w:val="24"/>
          <w:lang w:val="en-US" w:eastAsia="zh-CN"/>
        </w:rPr>
        <w:t>17.4%</w:t>
      </w:r>
      <w:r w:rsidRPr="00466C72">
        <w:rPr>
          <w:rFonts w:cs="Arial"/>
          <w:snapToGrid w:val="0"/>
          <w:sz w:val="24"/>
          <w:lang w:val="en-US" w:eastAsia="zh-CN"/>
        </w:rPr>
        <w:t>。</w:t>
      </w:r>
    </w:p>
    <w:p w14:paraId="1B6458A8" w14:textId="77777777" w:rsidR="0074292F" w:rsidRPr="00466C72" w:rsidRDefault="0074292F" w:rsidP="0074292F">
      <w:pPr>
        <w:autoSpaceDE w:val="0"/>
        <w:autoSpaceDN w:val="0"/>
        <w:adjustRightInd w:val="0"/>
        <w:spacing w:line="360" w:lineRule="auto"/>
        <w:rPr>
          <w:rFonts w:cs="Arial"/>
          <w:snapToGrid w:val="0"/>
          <w:sz w:val="24"/>
          <w:lang w:val="en-US" w:eastAsia="zh-CN"/>
        </w:rPr>
      </w:pPr>
    </w:p>
    <w:p w14:paraId="73A9E89D" w14:textId="77777777" w:rsidR="0074292F" w:rsidRDefault="0074292F" w:rsidP="0074292F">
      <w:pPr>
        <w:autoSpaceDE w:val="0"/>
        <w:autoSpaceDN w:val="0"/>
        <w:adjustRightInd w:val="0"/>
        <w:snapToGrid w:val="0"/>
        <w:spacing w:line="360" w:lineRule="auto"/>
        <w:rPr>
          <w:rFonts w:cs="Arial"/>
          <w:snapToGrid w:val="0"/>
          <w:sz w:val="24"/>
          <w:lang w:val="en-US" w:eastAsia="zh-CN"/>
        </w:rPr>
      </w:pPr>
      <w:r w:rsidRPr="00466C72">
        <w:rPr>
          <w:rFonts w:cs="Arial" w:hint="eastAsia"/>
          <w:snapToGrid w:val="0"/>
          <w:sz w:val="24"/>
          <w:lang w:val="en-US" w:eastAsia="zh-CN"/>
        </w:rPr>
        <w:t>截至</w:t>
      </w:r>
      <w:r w:rsidRPr="00466C72">
        <w:rPr>
          <w:rFonts w:cs="Arial"/>
          <w:snapToGrid w:val="0"/>
          <w:sz w:val="24"/>
          <w:lang w:val="en-US" w:eastAsia="zh-CN"/>
        </w:rPr>
        <w:t>2017</w:t>
      </w:r>
      <w:r w:rsidRPr="00466C72">
        <w:rPr>
          <w:rFonts w:cs="Arial"/>
          <w:snapToGrid w:val="0"/>
          <w:sz w:val="24"/>
          <w:lang w:val="en-US" w:eastAsia="zh-CN"/>
        </w:rPr>
        <w:t>年</w:t>
      </w:r>
      <w:r w:rsidRPr="00466C72">
        <w:rPr>
          <w:rFonts w:cs="Arial"/>
          <w:snapToGrid w:val="0"/>
          <w:sz w:val="24"/>
          <w:lang w:val="en-US" w:eastAsia="zh-CN"/>
        </w:rPr>
        <w:t>6</w:t>
      </w:r>
      <w:r w:rsidRPr="00466C72">
        <w:rPr>
          <w:rFonts w:cs="Arial"/>
          <w:snapToGrid w:val="0"/>
          <w:sz w:val="24"/>
          <w:lang w:val="en-US" w:eastAsia="zh-CN"/>
        </w:rPr>
        <w:t>月</w:t>
      </w:r>
      <w:r w:rsidRPr="00466C72">
        <w:rPr>
          <w:rFonts w:cs="Arial"/>
          <w:snapToGrid w:val="0"/>
          <w:sz w:val="24"/>
          <w:lang w:val="en-US" w:eastAsia="zh-CN"/>
        </w:rPr>
        <w:t>30</w:t>
      </w:r>
      <w:r w:rsidRPr="00466C72">
        <w:rPr>
          <w:rFonts w:cs="Arial"/>
          <w:snapToGrid w:val="0"/>
          <w:sz w:val="24"/>
          <w:lang w:val="en-US" w:eastAsia="zh-CN"/>
        </w:rPr>
        <w:t>日，汉高</w:t>
      </w:r>
      <w:r w:rsidRPr="00466C72">
        <w:rPr>
          <w:rFonts w:cs="Arial"/>
          <w:b/>
          <w:snapToGrid w:val="0"/>
          <w:sz w:val="24"/>
          <w:lang w:val="en-US" w:eastAsia="zh-CN"/>
        </w:rPr>
        <w:t>净财务状况</w:t>
      </w:r>
      <w:r w:rsidRPr="00466C72">
        <w:rPr>
          <w:rFonts w:cs="Arial"/>
          <w:snapToGrid w:val="0"/>
          <w:sz w:val="24"/>
          <w:lang w:val="en-US" w:eastAsia="zh-CN"/>
        </w:rPr>
        <w:t>为</w:t>
      </w:r>
      <w:r w:rsidRPr="00466C72">
        <w:rPr>
          <w:rFonts w:cs="Arial"/>
          <w:snapToGrid w:val="0"/>
          <w:sz w:val="24"/>
          <w:lang w:val="en-US" w:eastAsia="zh-CN"/>
        </w:rPr>
        <w:t>-23.42</w:t>
      </w:r>
      <w:r w:rsidRPr="00466C72">
        <w:rPr>
          <w:rFonts w:cs="Arial"/>
          <w:snapToGrid w:val="0"/>
          <w:sz w:val="24"/>
          <w:lang w:val="en-US" w:eastAsia="zh-CN"/>
        </w:rPr>
        <w:t>亿欧元</w:t>
      </w:r>
      <w:r w:rsidRPr="00466C72">
        <w:rPr>
          <w:rFonts w:cs="Arial" w:hint="eastAsia"/>
          <w:snapToGrid w:val="0"/>
          <w:sz w:val="24"/>
          <w:lang w:val="en-US" w:eastAsia="zh-CN"/>
        </w:rPr>
        <w:t>（截至</w:t>
      </w:r>
      <w:r w:rsidRPr="00466C72">
        <w:rPr>
          <w:rFonts w:cs="Arial"/>
          <w:snapToGrid w:val="0"/>
          <w:sz w:val="24"/>
          <w:lang w:val="en-US" w:eastAsia="zh-CN"/>
        </w:rPr>
        <w:t>2016</w:t>
      </w:r>
      <w:r w:rsidRPr="00466C72">
        <w:rPr>
          <w:rFonts w:cs="Arial"/>
          <w:snapToGrid w:val="0"/>
          <w:sz w:val="24"/>
          <w:lang w:val="en-US" w:eastAsia="zh-CN"/>
        </w:rPr>
        <w:t>年</w:t>
      </w:r>
      <w:r w:rsidRPr="00466C72">
        <w:rPr>
          <w:rFonts w:cs="Arial"/>
          <w:snapToGrid w:val="0"/>
          <w:sz w:val="24"/>
          <w:lang w:val="en-US" w:eastAsia="zh-CN"/>
        </w:rPr>
        <w:t>12</w:t>
      </w:r>
      <w:r w:rsidRPr="00466C72">
        <w:rPr>
          <w:rFonts w:cs="Arial"/>
          <w:snapToGrid w:val="0"/>
          <w:sz w:val="24"/>
          <w:lang w:val="en-US" w:eastAsia="zh-CN"/>
        </w:rPr>
        <w:t>月</w:t>
      </w:r>
      <w:r w:rsidRPr="00466C72">
        <w:rPr>
          <w:rFonts w:cs="Arial"/>
          <w:snapToGrid w:val="0"/>
          <w:sz w:val="24"/>
          <w:lang w:val="en-US" w:eastAsia="zh-CN"/>
        </w:rPr>
        <w:t>31</w:t>
      </w:r>
      <w:r w:rsidRPr="00466C72">
        <w:rPr>
          <w:rFonts w:cs="Arial"/>
          <w:snapToGrid w:val="0"/>
          <w:sz w:val="24"/>
          <w:lang w:val="en-US" w:eastAsia="zh-CN"/>
        </w:rPr>
        <w:t>日</w:t>
      </w:r>
      <w:r w:rsidRPr="00466C72">
        <w:rPr>
          <w:rFonts w:cs="Arial" w:hint="eastAsia"/>
          <w:snapToGrid w:val="0"/>
          <w:sz w:val="24"/>
          <w:lang w:val="en-US" w:eastAsia="zh-CN"/>
        </w:rPr>
        <w:t>，该数字为</w:t>
      </w:r>
      <w:r w:rsidRPr="00466C72">
        <w:rPr>
          <w:rFonts w:cs="Arial"/>
          <w:snapToGrid w:val="0"/>
          <w:sz w:val="24"/>
          <w:lang w:val="en-US" w:eastAsia="zh-CN"/>
        </w:rPr>
        <w:t>-23.01</w:t>
      </w:r>
      <w:r w:rsidRPr="00466C72">
        <w:rPr>
          <w:rFonts w:cs="Arial"/>
          <w:snapToGrid w:val="0"/>
          <w:sz w:val="24"/>
          <w:lang w:val="en-US" w:eastAsia="zh-CN"/>
        </w:rPr>
        <w:t>亿欧元</w:t>
      </w:r>
      <w:r w:rsidRPr="00466C72">
        <w:rPr>
          <w:rFonts w:cs="Arial" w:hint="eastAsia"/>
          <w:snapToGrid w:val="0"/>
          <w:sz w:val="24"/>
          <w:lang w:val="en-US" w:eastAsia="zh-CN"/>
        </w:rPr>
        <w:t>）</w:t>
      </w:r>
      <w:r w:rsidRPr="00466C72">
        <w:rPr>
          <w:rFonts w:cs="Arial"/>
          <w:snapToGrid w:val="0"/>
          <w:sz w:val="24"/>
          <w:lang w:val="en-US" w:eastAsia="zh-CN"/>
        </w:rPr>
        <w:t>。</w:t>
      </w:r>
    </w:p>
    <w:p w14:paraId="584DC918" w14:textId="77777777" w:rsidR="0074292F" w:rsidRDefault="0074292F" w:rsidP="0074292F">
      <w:pPr>
        <w:autoSpaceDE w:val="0"/>
        <w:autoSpaceDN w:val="0"/>
        <w:adjustRightInd w:val="0"/>
        <w:snapToGrid w:val="0"/>
        <w:spacing w:line="360" w:lineRule="auto"/>
        <w:rPr>
          <w:rFonts w:cs="Arial"/>
          <w:b/>
          <w:sz w:val="24"/>
          <w:lang w:val="en-US" w:eastAsia="zh-CN"/>
        </w:rPr>
      </w:pPr>
    </w:p>
    <w:p w14:paraId="3B287383" w14:textId="77777777" w:rsidR="0074292F" w:rsidRDefault="0074292F" w:rsidP="0074292F">
      <w:pPr>
        <w:autoSpaceDE w:val="0"/>
        <w:autoSpaceDN w:val="0"/>
        <w:adjustRightInd w:val="0"/>
        <w:snapToGrid w:val="0"/>
        <w:spacing w:line="360" w:lineRule="auto"/>
        <w:rPr>
          <w:rFonts w:hAnsi="宋体" w:cs="Arial"/>
          <w:b/>
          <w:sz w:val="24"/>
          <w:lang w:val="en-US" w:eastAsia="zh-CN"/>
        </w:rPr>
      </w:pPr>
      <w:r w:rsidRPr="000D7F4C">
        <w:rPr>
          <w:rFonts w:cs="Arial"/>
          <w:b/>
          <w:sz w:val="24"/>
          <w:lang w:val="en-US" w:eastAsia="zh-CN"/>
        </w:rPr>
        <w:t>2017</w:t>
      </w:r>
      <w:r w:rsidRPr="000D7F4C">
        <w:rPr>
          <w:rFonts w:hAnsi="宋体" w:cs="Arial"/>
          <w:b/>
          <w:sz w:val="24"/>
          <w:lang w:val="en-US" w:eastAsia="zh-CN"/>
        </w:rPr>
        <w:t>年</w:t>
      </w:r>
      <w:r>
        <w:rPr>
          <w:rFonts w:hAnsi="宋体" w:cs="Arial" w:hint="eastAsia"/>
          <w:b/>
          <w:sz w:val="24"/>
          <w:lang w:val="en-US" w:eastAsia="zh-CN"/>
        </w:rPr>
        <w:t>目标</w:t>
      </w:r>
      <w:r w:rsidRPr="000D7F4C">
        <w:rPr>
          <w:rFonts w:hAnsi="宋体" w:cs="Arial"/>
          <w:b/>
          <w:sz w:val="24"/>
          <w:lang w:val="en-US" w:eastAsia="zh-CN"/>
        </w:rPr>
        <w:t>确认</w:t>
      </w:r>
    </w:p>
    <w:p w14:paraId="19E4419B" w14:textId="77777777" w:rsidR="0074292F" w:rsidRPr="000D7F4C" w:rsidRDefault="0074292F" w:rsidP="0074292F">
      <w:pPr>
        <w:autoSpaceDE w:val="0"/>
        <w:autoSpaceDN w:val="0"/>
        <w:adjustRightInd w:val="0"/>
        <w:snapToGrid w:val="0"/>
        <w:spacing w:line="360" w:lineRule="auto"/>
        <w:rPr>
          <w:rFonts w:cs="Arial"/>
          <w:b/>
          <w:sz w:val="24"/>
          <w:lang w:val="en-US" w:eastAsia="zh-CN"/>
        </w:rPr>
      </w:pPr>
    </w:p>
    <w:p w14:paraId="64B5A90E" w14:textId="77777777" w:rsidR="0074292F" w:rsidRPr="00466C72" w:rsidRDefault="0074292F" w:rsidP="0074292F">
      <w:pPr>
        <w:autoSpaceDE w:val="0"/>
        <w:autoSpaceDN w:val="0"/>
        <w:adjustRightInd w:val="0"/>
        <w:snapToGrid w:val="0"/>
        <w:spacing w:line="360" w:lineRule="auto"/>
        <w:rPr>
          <w:rFonts w:cs="Arial"/>
          <w:snapToGrid w:val="0"/>
          <w:color w:val="000000"/>
          <w:sz w:val="24"/>
          <w:lang w:val="en-US" w:eastAsia="zh-CN"/>
        </w:rPr>
      </w:pPr>
      <w:r w:rsidRPr="00466C72">
        <w:rPr>
          <w:rFonts w:cs="Arial"/>
          <w:snapToGrid w:val="0"/>
          <w:color w:val="000000"/>
          <w:sz w:val="24"/>
          <w:lang w:val="en-US" w:eastAsia="zh-CN"/>
        </w:rPr>
        <w:t>汉高确认</w:t>
      </w:r>
      <w:r w:rsidRPr="00466C72">
        <w:rPr>
          <w:rFonts w:cs="Arial"/>
          <w:snapToGrid w:val="0"/>
          <w:color w:val="000000"/>
          <w:sz w:val="24"/>
          <w:lang w:val="en-US" w:eastAsia="zh-CN"/>
        </w:rPr>
        <w:t>2017</w:t>
      </w:r>
      <w:r w:rsidRPr="00466C72">
        <w:rPr>
          <w:rFonts w:cs="Arial"/>
          <w:snapToGrid w:val="0"/>
          <w:color w:val="000000"/>
          <w:sz w:val="24"/>
          <w:lang w:val="en-US" w:eastAsia="zh-CN"/>
        </w:rPr>
        <w:t>财年目标。汉高预计可以实现</w:t>
      </w:r>
      <w:r w:rsidRPr="00466C72">
        <w:rPr>
          <w:rFonts w:cs="Arial"/>
          <w:snapToGrid w:val="0"/>
          <w:color w:val="000000"/>
          <w:sz w:val="24"/>
          <w:lang w:val="en-US" w:eastAsia="zh-CN"/>
        </w:rPr>
        <w:t>2%</w:t>
      </w:r>
      <w:r w:rsidRPr="00466C72">
        <w:rPr>
          <w:rFonts w:cs="Arial"/>
          <w:snapToGrid w:val="0"/>
          <w:color w:val="000000"/>
          <w:sz w:val="24"/>
          <w:lang w:val="en-US" w:eastAsia="zh-CN"/>
        </w:rPr>
        <w:t>至</w:t>
      </w:r>
      <w:r w:rsidRPr="00466C72">
        <w:rPr>
          <w:rFonts w:cs="Arial"/>
          <w:snapToGrid w:val="0"/>
          <w:color w:val="000000"/>
          <w:sz w:val="24"/>
          <w:lang w:val="en-US" w:eastAsia="zh-CN"/>
        </w:rPr>
        <w:t>4%</w:t>
      </w:r>
      <w:r w:rsidRPr="00466C72">
        <w:rPr>
          <w:rFonts w:cs="Arial"/>
          <w:snapToGrid w:val="0"/>
          <w:color w:val="000000"/>
          <w:sz w:val="24"/>
          <w:lang w:val="en-US" w:eastAsia="zh-CN"/>
        </w:rPr>
        <w:t>的有机销售额增长并预计各业务部门将在这一范围内实现有机销售额增长。与</w:t>
      </w:r>
      <w:r w:rsidRPr="00466C72">
        <w:rPr>
          <w:rFonts w:cs="Arial"/>
          <w:snapToGrid w:val="0"/>
          <w:color w:val="000000"/>
          <w:sz w:val="24"/>
          <w:lang w:val="en-US" w:eastAsia="zh-CN"/>
        </w:rPr>
        <w:t>2016</w:t>
      </w:r>
      <w:r w:rsidRPr="00466C72">
        <w:rPr>
          <w:rFonts w:cs="Arial"/>
          <w:snapToGrid w:val="0"/>
          <w:color w:val="000000"/>
          <w:sz w:val="24"/>
          <w:lang w:val="en-US" w:eastAsia="zh-CN"/>
        </w:rPr>
        <w:t>财年相比，汉高预计调整后销售回报率</w:t>
      </w:r>
      <w:r w:rsidRPr="00466C72">
        <w:rPr>
          <w:rFonts w:cs="Arial" w:hint="eastAsia"/>
          <w:snapToGrid w:val="0"/>
          <w:color w:val="000000"/>
          <w:sz w:val="24"/>
          <w:lang w:val="en-US" w:eastAsia="zh-CN"/>
        </w:rPr>
        <w:t>（</w:t>
      </w:r>
      <w:r w:rsidRPr="00466C72">
        <w:rPr>
          <w:rFonts w:cs="Arial"/>
          <w:snapToGrid w:val="0"/>
          <w:color w:val="000000"/>
          <w:sz w:val="24"/>
          <w:lang w:val="en-US" w:eastAsia="zh-CN"/>
        </w:rPr>
        <w:t>息税前利润率</w:t>
      </w:r>
      <w:r w:rsidRPr="00466C72">
        <w:rPr>
          <w:rFonts w:cs="Arial" w:hint="eastAsia"/>
          <w:snapToGrid w:val="0"/>
          <w:color w:val="000000"/>
          <w:sz w:val="24"/>
          <w:lang w:val="en-US" w:eastAsia="zh-CN"/>
        </w:rPr>
        <w:t>）</w:t>
      </w:r>
      <w:r w:rsidRPr="00466C72">
        <w:rPr>
          <w:rFonts w:cs="Arial"/>
          <w:snapToGrid w:val="0"/>
          <w:color w:val="000000"/>
          <w:sz w:val="24"/>
          <w:lang w:val="en-US" w:eastAsia="zh-CN"/>
        </w:rPr>
        <w:t>将超过</w:t>
      </w:r>
      <w:r w:rsidRPr="00466C72">
        <w:rPr>
          <w:rFonts w:cs="Arial"/>
          <w:snapToGrid w:val="0"/>
          <w:color w:val="000000"/>
          <w:sz w:val="24"/>
          <w:lang w:val="en-US" w:eastAsia="zh-CN"/>
        </w:rPr>
        <w:t>17.0%</w:t>
      </w:r>
      <w:r w:rsidRPr="00466C72">
        <w:rPr>
          <w:rFonts w:cs="Arial"/>
          <w:snapToGrid w:val="0"/>
          <w:color w:val="000000"/>
          <w:sz w:val="24"/>
          <w:lang w:val="en-US" w:eastAsia="zh-CN"/>
        </w:rPr>
        <w:t>。汉高还预计调整后优先股每股收益可增长</w:t>
      </w:r>
      <w:r w:rsidRPr="00466C72">
        <w:rPr>
          <w:rFonts w:cs="Arial"/>
          <w:snapToGrid w:val="0"/>
          <w:color w:val="000000"/>
          <w:sz w:val="24"/>
          <w:lang w:val="en-US" w:eastAsia="zh-CN"/>
        </w:rPr>
        <w:t>7%</w:t>
      </w:r>
      <w:r w:rsidRPr="00466C72">
        <w:rPr>
          <w:rFonts w:cs="Arial"/>
          <w:snapToGrid w:val="0"/>
          <w:color w:val="000000"/>
          <w:sz w:val="24"/>
          <w:lang w:val="en-US" w:eastAsia="zh-CN"/>
        </w:rPr>
        <w:t>到</w:t>
      </w:r>
      <w:r w:rsidRPr="00466C72">
        <w:rPr>
          <w:rFonts w:cs="Arial"/>
          <w:snapToGrid w:val="0"/>
          <w:color w:val="000000"/>
          <w:sz w:val="24"/>
          <w:lang w:val="en-US" w:eastAsia="zh-CN"/>
        </w:rPr>
        <w:t>9%</w:t>
      </w:r>
      <w:r w:rsidRPr="00466C72">
        <w:rPr>
          <w:rFonts w:cs="Arial"/>
          <w:snapToGrid w:val="0"/>
          <w:color w:val="000000"/>
          <w:sz w:val="24"/>
          <w:lang w:val="en-US" w:eastAsia="zh-CN"/>
        </w:rPr>
        <w:t>。</w:t>
      </w:r>
    </w:p>
    <w:p w14:paraId="28235E72" w14:textId="77777777" w:rsidR="0074292F" w:rsidRDefault="0074292F" w:rsidP="0074292F">
      <w:pPr>
        <w:autoSpaceDE w:val="0"/>
        <w:autoSpaceDN w:val="0"/>
        <w:adjustRightInd w:val="0"/>
        <w:snapToGrid w:val="0"/>
        <w:spacing w:afterLines="50" w:after="120" w:line="360" w:lineRule="auto"/>
        <w:rPr>
          <w:rFonts w:hAnsi="宋体" w:cs="Arial"/>
          <w:color w:val="000000"/>
          <w:sz w:val="24"/>
          <w:lang w:val="en-US" w:eastAsia="zh-CN"/>
        </w:rPr>
      </w:pPr>
    </w:p>
    <w:p w14:paraId="6FEB0584" w14:textId="77777777" w:rsidR="0074292F" w:rsidRDefault="0074292F" w:rsidP="0074292F">
      <w:pPr>
        <w:spacing w:line="288" w:lineRule="auto"/>
        <w:jc w:val="both"/>
        <w:rPr>
          <w:b/>
          <w:sz w:val="24"/>
          <w:lang w:eastAsia="zh-CN"/>
        </w:rPr>
      </w:pPr>
      <w:r>
        <w:rPr>
          <w:rFonts w:hint="eastAsia"/>
          <w:b/>
          <w:sz w:val="24"/>
          <w:lang w:eastAsia="zh-CN"/>
        </w:rPr>
        <w:t>关于汉高</w:t>
      </w:r>
    </w:p>
    <w:p w14:paraId="263F8B72" w14:textId="77777777" w:rsidR="0074292F" w:rsidRPr="00511ED5" w:rsidRDefault="0074292F" w:rsidP="0074292F">
      <w:pPr>
        <w:pStyle w:val="af1"/>
        <w:spacing w:line="288" w:lineRule="auto"/>
        <w:rPr>
          <w:rFonts w:ascii="Calibri" w:hAnsi="Calibri"/>
          <w:color w:val="000000"/>
        </w:rPr>
      </w:pPr>
      <w:r>
        <w:rPr>
          <w:rFonts w:ascii="Arial" w:hAnsi="Arial" w:cs="Arial" w:hint="eastAsia"/>
        </w:rPr>
        <w:t>汉高在全球范围内经营均衡且多元化的业务组合。通过强大的品牌、卓越的创新和先进的技术，公司在工业和消费领域的三大业务板块中确立了领先地位。汉高粘合剂技术业务部是全球粘合剂市场的领导者，服务于全球几乎所有行业。洗涤剂及家庭护理以及美容护理两大业务也是各国市场和众多应用领域中的领先品牌。公司成立于</w:t>
      </w:r>
      <w:r>
        <w:rPr>
          <w:rFonts w:ascii="Arial" w:hAnsi="Arial" w:cs="Arial"/>
        </w:rPr>
        <w:t>1876</w:t>
      </w:r>
      <w:r>
        <w:rPr>
          <w:rFonts w:ascii="Arial" w:hAnsi="Arial" w:cs="Arial" w:hint="eastAsia"/>
        </w:rPr>
        <w:t>年，迄今已有</w:t>
      </w:r>
      <w:r>
        <w:rPr>
          <w:rFonts w:ascii="Arial" w:hAnsi="Arial" w:cs="Arial"/>
        </w:rPr>
        <w:t>140</w:t>
      </w:r>
      <w:r>
        <w:rPr>
          <w:rFonts w:ascii="Arial" w:hAnsi="Arial" w:cs="Arial" w:hint="eastAsia"/>
        </w:rPr>
        <w:t>多年历史。</w:t>
      </w:r>
      <w:r>
        <w:rPr>
          <w:rFonts w:ascii="Arial" w:hAnsi="Arial" w:cs="Arial"/>
        </w:rPr>
        <w:t>2016</w:t>
      </w:r>
      <w:r>
        <w:rPr>
          <w:rFonts w:ascii="Arial" w:hAnsi="Arial" w:cs="Arial" w:hint="eastAsia"/>
        </w:rPr>
        <w:t>年，汉高实现销售额</w:t>
      </w:r>
      <w:r>
        <w:rPr>
          <w:rFonts w:ascii="Arial" w:hAnsi="Arial" w:cs="Arial"/>
        </w:rPr>
        <w:t>187</w:t>
      </w:r>
      <w:r>
        <w:rPr>
          <w:rFonts w:ascii="Arial" w:hAnsi="Arial" w:cs="Arial" w:hint="eastAsia"/>
        </w:rPr>
        <w:t>亿欧元，调整后营业利润</w:t>
      </w:r>
      <w:r>
        <w:rPr>
          <w:rFonts w:ascii="Arial" w:hAnsi="Arial" w:cs="Arial"/>
        </w:rPr>
        <w:t>32</w:t>
      </w:r>
      <w:r>
        <w:rPr>
          <w:rFonts w:ascii="Arial" w:hAnsi="Arial" w:cs="Arial" w:hint="eastAsia"/>
        </w:rPr>
        <w:t>亿欧元。公司旗下三大品牌</w:t>
      </w:r>
      <w:r>
        <w:rPr>
          <w:rFonts w:ascii="Arial" w:hAnsi="Arial" w:cs="Arial"/>
        </w:rPr>
        <w:t>——</w:t>
      </w:r>
      <w:r>
        <w:rPr>
          <w:rFonts w:ascii="Arial" w:hAnsi="Arial" w:cs="Arial" w:hint="eastAsia"/>
        </w:rPr>
        <w:t>宝莹（洗涤剂）、施华蔻（护发产品）和乐泰（粘合剂）贡献了超过</w:t>
      </w:r>
      <w:r>
        <w:rPr>
          <w:rFonts w:ascii="Arial" w:hAnsi="Arial" w:cs="Arial"/>
        </w:rPr>
        <w:t>60</w:t>
      </w:r>
      <w:r>
        <w:rPr>
          <w:rFonts w:ascii="Arial" w:hAnsi="Arial" w:cs="Arial" w:hint="eastAsia"/>
        </w:rPr>
        <w:t>亿欧元的销售收入。汉高在全球范围内拥有</w:t>
      </w:r>
      <w:r>
        <w:rPr>
          <w:rFonts w:ascii="Arial" w:hAnsi="Arial" w:cs="Arial"/>
        </w:rPr>
        <w:t>5</w:t>
      </w:r>
      <w:r>
        <w:rPr>
          <w:rFonts w:ascii="Arial" w:hAnsi="Arial" w:cs="Arial" w:hint="eastAsia"/>
        </w:rPr>
        <w:t>万多名员工，在强大的企业文化和共同的价值观的引领下，他们融合为一支热情、多元化的团队，为创造可持续价值这一企业目标而奋斗。作为企业可持续发展的表率，汉高在许多国际性指数和排行榜中名列前茅。汉高的优先股已列入德国</w:t>
      </w:r>
      <w:r>
        <w:rPr>
          <w:rFonts w:ascii="Arial" w:hAnsi="Arial" w:cs="Arial"/>
        </w:rPr>
        <w:t>DAX</w:t>
      </w:r>
      <w:r>
        <w:rPr>
          <w:rFonts w:ascii="Arial" w:hAnsi="Arial" w:cs="Arial" w:hint="eastAsia"/>
        </w:rPr>
        <w:t>指数。更多资讯，敬请访问</w:t>
      </w:r>
      <w:hyperlink r:id="rId8" w:history="1">
        <w:r>
          <w:rPr>
            <w:rStyle w:val="a7"/>
            <w:rFonts w:ascii="Calibri" w:hAnsi="Calibri"/>
          </w:rPr>
          <w:t>www.henkel.com</w:t>
        </w:r>
      </w:hyperlink>
      <w:r w:rsidRPr="00511ED5">
        <w:rPr>
          <w:rFonts w:ascii="Calibri" w:hAnsi="Calibri" w:hint="eastAsia"/>
          <w:color w:val="000000"/>
        </w:rPr>
        <w:t>。</w:t>
      </w:r>
    </w:p>
    <w:p w14:paraId="6ED55CDE" w14:textId="77777777" w:rsidR="0074292F" w:rsidRPr="005069C8" w:rsidRDefault="0074292F" w:rsidP="0074292F">
      <w:pPr>
        <w:spacing w:line="360" w:lineRule="auto"/>
        <w:jc w:val="both"/>
        <w:rPr>
          <w:rStyle w:val="a7"/>
          <w:bCs/>
          <w:color w:val="auto"/>
          <w:sz w:val="16"/>
          <w:u w:val="none"/>
          <w:lang w:val="en-US" w:eastAsia="zh-CN"/>
        </w:rPr>
      </w:pPr>
      <w:r w:rsidRPr="003D2301">
        <w:rPr>
          <w:rFonts w:hint="eastAsia"/>
          <w:bCs/>
          <w:sz w:val="16"/>
          <w:lang w:val="en-US" w:eastAsia="zh-CN"/>
        </w:rPr>
        <w:t>该内容所含前瞻性表述是汉高股份及两合公司管理层基于现有的预测和假设。前瞻性表述的特点是使用诸如：期望、计划、预测、假设、相信、预计、预期和类似的表述。这样的表述在任何情况下都不应该被理解成确保这些预期将是准确的。汉高股份及两合公司及其关联公司实际实现的未来表现和结果基于一系列的风险和不确定性，因此，可能与前瞻性表述有明显差别。这些因素，例如未来的经济环境和竞争者行为以及市场上的其它参与者的行为，均在汉高的控制之外，并且无法准确预计。汉高将不计划或采取行动更新任何前瞻性表述。</w:t>
      </w:r>
    </w:p>
    <w:p w14:paraId="0A58A34B" w14:textId="77777777" w:rsidR="0074292F" w:rsidRPr="00766219" w:rsidRDefault="0074292F" w:rsidP="0074292F">
      <w:pPr>
        <w:tabs>
          <w:tab w:val="left" w:pos="709"/>
          <w:tab w:val="left" w:pos="4536"/>
          <w:tab w:val="left" w:pos="5245"/>
        </w:tabs>
        <w:spacing w:line="360" w:lineRule="auto"/>
        <w:rPr>
          <w:rStyle w:val="a7"/>
          <w:rFonts w:cs="Arial"/>
          <w:szCs w:val="20"/>
          <w:lang w:val="en-US" w:eastAsia="zh-CN"/>
        </w:rPr>
      </w:pPr>
    </w:p>
    <w:p w14:paraId="057D246E" w14:textId="77777777" w:rsidR="0074292F" w:rsidRPr="003D2301" w:rsidRDefault="0074292F" w:rsidP="0074292F">
      <w:pPr>
        <w:spacing w:after="120" w:line="360" w:lineRule="auto"/>
        <w:jc w:val="both"/>
        <w:rPr>
          <w:sz w:val="16"/>
          <w:szCs w:val="20"/>
          <w:lang w:eastAsia="zh-CN"/>
        </w:rPr>
      </w:pPr>
      <w:r w:rsidRPr="003D2301">
        <w:rPr>
          <w:rFonts w:ascii="宋体" w:hAnsi="宋体" w:cs="宋体" w:hint="eastAsia"/>
          <w:b/>
          <w:sz w:val="24"/>
          <w:szCs w:val="20"/>
          <w:lang w:eastAsia="zh-CN"/>
        </w:rPr>
        <w:t>媒体联系人（大中华区）</w:t>
      </w:r>
      <w:r w:rsidRPr="003D2301">
        <w:rPr>
          <w:rFonts w:cs="Tahoma"/>
          <w:sz w:val="24"/>
          <w:szCs w:val="20"/>
          <w:lang w:eastAsia="zh-CN"/>
        </w:rPr>
        <w:tab/>
      </w:r>
    </w:p>
    <w:p w14:paraId="2CEB3B92" w14:textId="77777777" w:rsidR="0074292F" w:rsidRPr="003D2301" w:rsidRDefault="0074292F" w:rsidP="0074292F">
      <w:pPr>
        <w:tabs>
          <w:tab w:val="left" w:pos="851"/>
          <w:tab w:val="left" w:pos="4536"/>
          <w:tab w:val="left" w:pos="4962"/>
          <w:tab w:val="left" w:pos="5387"/>
        </w:tabs>
        <w:spacing w:line="360" w:lineRule="auto"/>
        <w:jc w:val="both"/>
        <w:rPr>
          <w:rFonts w:cs="Arial"/>
          <w:b/>
          <w:szCs w:val="20"/>
          <w:lang w:eastAsia="zh-CN"/>
        </w:rPr>
      </w:pPr>
      <w:r w:rsidRPr="00EB4D93">
        <w:rPr>
          <w:rFonts w:cs="Arial"/>
          <w:b/>
          <w:szCs w:val="20"/>
          <w:lang w:eastAsia="de-DE"/>
        </w:rPr>
        <w:t>Louise</w:t>
      </w:r>
      <w:r w:rsidRPr="003D2301">
        <w:rPr>
          <w:rFonts w:cs="Arial"/>
          <w:b/>
          <w:szCs w:val="20"/>
          <w:lang w:eastAsia="de-DE"/>
        </w:rPr>
        <w:t xml:space="preserve"> </w:t>
      </w:r>
      <w:r>
        <w:rPr>
          <w:rFonts w:cs="Arial" w:hint="eastAsia"/>
          <w:b/>
          <w:szCs w:val="20"/>
          <w:lang w:eastAsia="zh-CN"/>
        </w:rPr>
        <w:t>Cheung</w:t>
      </w:r>
      <w:r w:rsidRPr="00EB4D93">
        <w:rPr>
          <w:rFonts w:cs="Arial" w:hint="eastAsia"/>
          <w:b/>
          <w:szCs w:val="20"/>
          <w:lang w:eastAsia="zh-CN"/>
        </w:rPr>
        <w:t>张晓芸</w:t>
      </w:r>
      <w:r w:rsidRPr="003D2301">
        <w:rPr>
          <w:rFonts w:cs="Arial"/>
          <w:b/>
          <w:szCs w:val="20"/>
          <w:lang w:eastAsia="de-DE"/>
        </w:rPr>
        <w:tab/>
      </w:r>
      <w:r>
        <w:rPr>
          <w:rFonts w:cs="Arial" w:hint="eastAsia"/>
          <w:b/>
          <w:szCs w:val="20"/>
          <w:lang w:eastAsia="zh-CN"/>
        </w:rPr>
        <w:t>Jenny</w:t>
      </w:r>
      <w:r>
        <w:rPr>
          <w:rFonts w:cs="Arial"/>
          <w:b/>
          <w:szCs w:val="20"/>
          <w:lang w:eastAsia="zh-CN"/>
        </w:rPr>
        <w:t xml:space="preserve"> </w:t>
      </w:r>
      <w:r>
        <w:rPr>
          <w:rFonts w:cs="Arial" w:hint="eastAsia"/>
          <w:b/>
          <w:szCs w:val="20"/>
          <w:lang w:eastAsia="zh-CN"/>
        </w:rPr>
        <w:t>Fan</w:t>
      </w:r>
      <w:r w:rsidRPr="003D2301">
        <w:rPr>
          <w:rFonts w:cs="Arial"/>
          <w:b/>
          <w:szCs w:val="20"/>
          <w:lang w:eastAsia="zh-CN"/>
        </w:rPr>
        <w:t xml:space="preserve"> </w:t>
      </w:r>
      <w:r>
        <w:rPr>
          <w:rFonts w:cs="Arial" w:hint="eastAsia"/>
          <w:b/>
          <w:szCs w:val="20"/>
          <w:lang w:eastAsia="zh-CN"/>
        </w:rPr>
        <w:t>范悦</w:t>
      </w:r>
    </w:p>
    <w:p w14:paraId="57591EF0" w14:textId="77777777" w:rsidR="0074292F" w:rsidRPr="003D2301" w:rsidRDefault="0074292F" w:rsidP="0074292F">
      <w:pPr>
        <w:tabs>
          <w:tab w:val="left" w:pos="851"/>
          <w:tab w:val="left" w:pos="4536"/>
          <w:tab w:val="left" w:pos="4962"/>
          <w:tab w:val="left" w:pos="5387"/>
        </w:tabs>
        <w:spacing w:line="360" w:lineRule="auto"/>
        <w:jc w:val="both"/>
        <w:rPr>
          <w:rFonts w:cs="Arial"/>
          <w:color w:val="000000"/>
          <w:szCs w:val="20"/>
          <w:lang w:eastAsia="de-DE"/>
        </w:rPr>
      </w:pPr>
      <w:r w:rsidRPr="003D2301">
        <w:rPr>
          <w:rFonts w:cs="Arial"/>
          <w:szCs w:val="20"/>
          <w:lang w:eastAsia="de-DE"/>
        </w:rPr>
        <w:t>Phone:</w:t>
      </w:r>
      <w:r w:rsidRPr="003D2301">
        <w:rPr>
          <w:rFonts w:cs="Arial"/>
          <w:szCs w:val="20"/>
          <w:lang w:eastAsia="de-DE"/>
        </w:rPr>
        <w:tab/>
      </w:r>
      <w:r>
        <w:rPr>
          <w:rFonts w:cs="Arial" w:hint="eastAsia"/>
          <w:szCs w:val="20"/>
          <w:lang w:eastAsia="zh-CN"/>
        </w:rPr>
        <w:t>+86 21 2891 5152</w:t>
      </w:r>
      <w:r>
        <w:rPr>
          <w:rFonts w:cs="Arial"/>
          <w:szCs w:val="20"/>
          <w:lang w:eastAsia="de-DE"/>
        </w:rPr>
        <w:tab/>
        <w:t>Phone:</w:t>
      </w:r>
      <w:r>
        <w:rPr>
          <w:rFonts w:cs="Arial" w:hint="eastAsia"/>
          <w:szCs w:val="20"/>
          <w:lang w:eastAsia="zh-CN"/>
        </w:rPr>
        <w:t xml:space="preserve"> </w:t>
      </w:r>
      <w:r w:rsidRPr="006A3F81">
        <w:rPr>
          <w:rFonts w:cs="Arial"/>
          <w:szCs w:val="20"/>
          <w:lang w:eastAsia="zh-CN"/>
        </w:rPr>
        <w:t>+86 21 2891 8071</w:t>
      </w:r>
    </w:p>
    <w:p w14:paraId="1104C14B" w14:textId="77777777" w:rsidR="0074292F" w:rsidRPr="003D2301" w:rsidRDefault="0074292F" w:rsidP="0074292F">
      <w:pPr>
        <w:tabs>
          <w:tab w:val="left" w:pos="650"/>
          <w:tab w:val="left" w:pos="4525"/>
          <w:tab w:val="left" w:pos="5180"/>
        </w:tabs>
        <w:spacing w:line="360" w:lineRule="auto"/>
        <w:jc w:val="both"/>
        <w:rPr>
          <w:rFonts w:cs="Arial"/>
          <w:szCs w:val="20"/>
          <w:lang w:eastAsia="zh-CN"/>
        </w:rPr>
      </w:pPr>
      <w:r w:rsidRPr="003D2301">
        <w:rPr>
          <w:rFonts w:cs="Arial"/>
          <w:szCs w:val="20"/>
          <w:lang w:eastAsia="de-DE"/>
        </w:rPr>
        <w:t xml:space="preserve">Email: </w:t>
      </w:r>
      <w:r w:rsidRPr="003D2301">
        <w:rPr>
          <w:rFonts w:cs="Arial"/>
          <w:szCs w:val="20"/>
          <w:lang w:eastAsia="de-DE"/>
        </w:rPr>
        <w:tab/>
      </w:r>
      <w:r w:rsidRPr="006A3F81">
        <w:t>louise.cheung@henkel.com</w:t>
      </w:r>
      <w:r w:rsidRPr="003D2301">
        <w:rPr>
          <w:rFonts w:cs="Arial"/>
          <w:color w:val="0000FF"/>
          <w:szCs w:val="20"/>
          <w:lang w:eastAsia="de-DE"/>
        </w:rPr>
        <w:tab/>
      </w:r>
      <w:r w:rsidRPr="003D2301">
        <w:rPr>
          <w:rFonts w:cs="Arial"/>
          <w:color w:val="000000"/>
          <w:szCs w:val="20"/>
          <w:lang w:eastAsia="de-DE"/>
        </w:rPr>
        <w:t xml:space="preserve">Email: </w:t>
      </w:r>
      <w:r w:rsidRPr="006A3F81">
        <w:rPr>
          <w:rFonts w:cs="Arial"/>
          <w:color w:val="000000"/>
          <w:szCs w:val="20"/>
          <w:lang w:eastAsia="de-DE"/>
        </w:rPr>
        <w:t>jenny.fan@henkel.com</w:t>
      </w:r>
    </w:p>
    <w:p w14:paraId="7E78277E" w14:textId="77777777" w:rsidR="0074292F" w:rsidRPr="000E7EDD" w:rsidRDefault="0074292F" w:rsidP="0074292F">
      <w:pPr>
        <w:tabs>
          <w:tab w:val="left" w:pos="0"/>
          <w:tab w:val="left" w:pos="360"/>
          <w:tab w:val="left" w:pos="1080"/>
          <w:tab w:val="left" w:pos="1800"/>
          <w:tab w:val="left" w:pos="2520"/>
          <w:tab w:val="left" w:pos="3240"/>
          <w:tab w:val="left" w:pos="3960"/>
        </w:tabs>
        <w:autoSpaceDE w:val="0"/>
        <w:autoSpaceDN w:val="0"/>
        <w:adjustRightInd w:val="0"/>
        <w:spacing w:line="360" w:lineRule="auto"/>
        <w:jc w:val="both"/>
        <w:rPr>
          <w:rFonts w:cs="Arial"/>
          <w:color w:val="000000"/>
          <w:szCs w:val="20"/>
          <w:lang w:eastAsia="zh-CN"/>
        </w:rPr>
      </w:pPr>
    </w:p>
    <w:p w14:paraId="62901764" w14:textId="77777777" w:rsidR="0074292F" w:rsidRPr="005069C8" w:rsidRDefault="0074292F" w:rsidP="0074292F">
      <w:pPr>
        <w:tabs>
          <w:tab w:val="left" w:pos="0"/>
          <w:tab w:val="left" w:pos="360"/>
          <w:tab w:val="left" w:pos="1080"/>
          <w:tab w:val="left" w:pos="1800"/>
          <w:tab w:val="left" w:pos="2520"/>
          <w:tab w:val="left" w:pos="3240"/>
          <w:tab w:val="left" w:pos="3960"/>
        </w:tabs>
        <w:autoSpaceDE w:val="0"/>
        <w:autoSpaceDN w:val="0"/>
        <w:adjustRightInd w:val="0"/>
        <w:spacing w:line="360" w:lineRule="auto"/>
        <w:jc w:val="both"/>
        <w:rPr>
          <w:rFonts w:cs="Arial"/>
          <w:color w:val="000000"/>
          <w:szCs w:val="20"/>
          <w:lang w:eastAsia="zh-CN"/>
        </w:rPr>
      </w:pPr>
      <w:r w:rsidRPr="006A3F81">
        <w:rPr>
          <w:rFonts w:cs="Arial" w:hint="eastAsia"/>
          <w:color w:val="000000"/>
          <w:szCs w:val="20"/>
          <w:lang w:val="en-US" w:eastAsia="zh-CN"/>
        </w:rPr>
        <w:t>欲获取</w:t>
      </w:r>
      <w:r w:rsidRPr="005069C8">
        <w:rPr>
          <w:rFonts w:cs="Arial" w:hint="eastAsia"/>
          <w:color w:val="000000"/>
          <w:szCs w:val="20"/>
          <w:lang w:eastAsia="zh-CN"/>
        </w:rPr>
        <w:t>2017</w:t>
      </w:r>
      <w:r>
        <w:rPr>
          <w:rFonts w:cs="Arial" w:hint="eastAsia"/>
          <w:color w:val="000000"/>
          <w:szCs w:val="20"/>
          <w:lang w:val="en-US" w:eastAsia="zh-CN"/>
        </w:rPr>
        <w:t>年第二季度财报和其他信息以及</w:t>
      </w:r>
      <w:r w:rsidRPr="006A3F81">
        <w:rPr>
          <w:rFonts w:cs="Arial" w:hint="eastAsia"/>
          <w:color w:val="000000"/>
          <w:szCs w:val="20"/>
          <w:lang w:val="en-US" w:eastAsia="zh-CN"/>
        </w:rPr>
        <w:t>相关下载材料</w:t>
      </w:r>
      <w:r w:rsidRPr="005069C8">
        <w:rPr>
          <w:rFonts w:cs="Arial" w:hint="eastAsia"/>
          <w:color w:val="000000"/>
          <w:szCs w:val="20"/>
          <w:lang w:eastAsia="zh-CN"/>
        </w:rPr>
        <w:t>，</w:t>
      </w:r>
      <w:r w:rsidRPr="006A3F81">
        <w:rPr>
          <w:rFonts w:cs="Arial" w:hint="eastAsia"/>
          <w:color w:val="000000"/>
          <w:szCs w:val="20"/>
          <w:lang w:val="en-US" w:eastAsia="zh-CN"/>
        </w:rPr>
        <w:t>请访问我司网站中的新闻页面</w:t>
      </w:r>
      <w:r w:rsidRPr="005069C8">
        <w:rPr>
          <w:rFonts w:cs="Arial" w:hint="eastAsia"/>
          <w:color w:val="000000"/>
          <w:szCs w:val="20"/>
          <w:lang w:eastAsia="zh-CN"/>
        </w:rPr>
        <w:t>：</w:t>
      </w:r>
    </w:p>
    <w:p w14:paraId="4CDE32AA" w14:textId="77777777" w:rsidR="0074292F" w:rsidRPr="005069C8" w:rsidRDefault="0074292F" w:rsidP="0074292F">
      <w:pPr>
        <w:autoSpaceDE w:val="0"/>
        <w:autoSpaceDN w:val="0"/>
        <w:spacing w:line="360" w:lineRule="auto"/>
        <w:rPr>
          <w:rFonts w:cs="Arial"/>
        </w:rPr>
      </w:pPr>
      <w:hyperlink r:id="rId9" w:history="1">
        <w:r w:rsidRPr="005069C8">
          <w:rPr>
            <w:rFonts w:cs="Arial"/>
            <w:color w:val="0000FF"/>
            <w:u w:val="single"/>
          </w:rPr>
          <w:t>www.henkel.com/ir</w:t>
        </w:r>
      </w:hyperlink>
    </w:p>
    <w:p w14:paraId="034A8DB6" w14:textId="77777777" w:rsidR="0074292F" w:rsidRPr="005069C8" w:rsidRDefault="0074292F" w:rsidP="0074292F">
      <w:pPr>
        <w:autoSpaceDE w:val="0"/>
        <w:autoSpaceDN w:val="0"/>
        <w:spacing w:line="360" w:lineRule="auto"/>
        <w:rPr>
          <w:rFonts w:cs="Arial"/>
          <w:sz w:val="22"/>
          <w:szCs w:val="22"/>
        </w:rPr>
      </w:pPr>
      <w:hyperlink r:id="rId10" w:history="1">
        <w:r w:rsidRPr="005069C8">
          <w:rPr>
            <w:rFonts w:cs="Arial"/>
            <w:color w:val="0000FF"/>
            <w:u w:val="single"/>
          </w:rPr>
          <w:t>www.henkel.com/press</w:t>
        </w:r>
      </w:hyperlink>
      <w:r w:rsidRPr="000D7F4C">
        <w:rPr>
          <w:rFonts w:cs="Arial"/>
          <w:szCs w:val="20"/>
        </w:rPr>
        <w:t xml:space="preserve"> </w:t>
      </w:r>
    </w:p>
    <w:p w14:paraId="5E2B2C73" w14:textId="77777777" w:rsidR="0074292F" w:rsidRPr="000D7F4C" w:rsidRDefault="0074292F" w:rsidP="0074292F">
      <w:pPr>
        <w:autoSpaceDE w:val="0"/>
        <w:autoSpaceDN w:val="0"/>
        <w:spacing w:line="360" w:lineRule="auto"/>
        <w:rPr>
          <w:rFonts w:cs="Arial"/>
          <w:szCs w:val="20"/>
        </w:rPr>
      </w:pPr>
    </w:p>
    <w:p w14:paraId="39550D80" w14:textId="77777777" w:rsidR="0074292F" w:rsidRPr="00EA1752" w:rsidRDefault="0074292F" w:rsidP="0074292F">
      <w:pPr>
        <w:rPr>
          <w:rFonts w:cs="Arial"/>
          <w:szCs w:val="22"/>
        </w:rPr>
      </w:pPr>
    </w:p>
    <w:p w14:paraId="51436A7A" w14:textId="77777777" w:rsidR="00EA1752" w:rsidRPr="003D2301" w:rsidRDefault="00EA1752" w:rsidP="009413FF">
      <w:pPr>
        <w:pStyle w:val="Standard12pt"/>
        <w:rPr>
          <w:rFonts w:eastAsia="宋体" w:cs="Arial"/>
          <w:szCs w:val="22"/>
        </w:rPr>
      </w:pPr>
    </w:p>
    <w:sectPr w:rsidR="00EA1752" w:rsidRPr="003D2301" w:rsidSect="00A66DB1">
      <w:headerReference w:type="default" r:id="rId11"/>
      <w:footerReference w:type="default" r:id="rId12"/>
      <w:headerReference w:type="first" r:id="rId13"/>
      <w:footerReference w:type="first" r:id="rId14"/>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77B20" w14:textId="77777777" w:rsidR="00174BBD" w:rsidRDefault="00174BBD">
      <w:r>
        <w:separator/>
      </w:r>
    </w:p>
  </w:endnote>
  <w:endnote w:type="continuationSeparator" w:id="0">
    <w:p w14:paraId="5E62B5C4" w14:textId="77777777" w:rsidR="00174BBD" w:rsidRDefault="00174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B44A6" w14:textId="77777777" w:rsidR="008546C1" w:rsidRPr="00BF6E82" w:rsidRDefault="008546C1" w:rsidP="00D260A2">
    <w:pPr>
      <w:pStyle w:val="a4"/>
      <w:tabs>
        <w:tab w:val="clear" w:pos="7083"/>
        <w:tab w:val="clear" w:pos="8640"/>
        <w:tab w:val="right" w:pos="9057"/>
      </w:tabs>
      <w:rPr>
        <w:b w:val="0"/>
        <w:color w:val="auto"/>
        <w:lang w:val="en-US"/>
      </w:rPr>
    </w:pPr>
    <w:r w:rsidRPr="00BF6E82">
      <w:rPr>
        <w:b w:val="0"/>
        <w:color w:val="auto"/>
        <w:lang w:val="en-US"/>
      </w:rPr>
      <w:t xml:space="preserve">Henkel AG &amp; Co. </w:t>
    </w:r>
    <w:proofErr w:type="spellStart"/>
    <w:r w:rsidRPr="00BF6E82">
      <w:rPr>
        <w:b w:val="0"/>
        <w:color w:val="auto"/>
        <w:lang w:val="en-US"/>
      </w:rPr>
      <w:t>KGaA</w:t>
    </w:r>
    <w:proofErr w:type="spellEnd"/>
    <w:r w:rsidRPr="00BF6E82">
      <w:rPr>
        <w:color w:val="auto"/>
        <w:lang w:val="en-US"/>
      </w:rPr>
      <w:tab/>
    </w:r>
    <w:r w:rsidRPr="00BF6E82">
      <w:rPr>
        <w:b w:val="0"/>
        <w:color w:val="auto"/>
        <w:lang w:val="en-US"/>
      </w:rPr>
      <w:t xml:space="preserve">Page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5473A3">
      <w:rPr>
        <w:b w:val="0"/>
        <w:noProof/>
        <w:color w:val="auto"/>
        <w:lang w:val="en-US"/>
      </w:rPr>
      <w:t>2</w:t>
    </w:r>
    <w:r w:rsidRPr="00BF6E82">
      <w:rPr>
        <w:b w:val="0"/>
        <w:color w:val="auto"/>
      </w:rPr>
      <w:fldChar w:fldCharType="end"/>
    </w:r>
    <w:r w:rsidRPr="00BF6E82">
      <w:rPr>
        <w:b w:val="0"/>
        <w:color w:val="auto"/>
        <w:lang w:val="en-US"/>
      </w:rPr>
      <w:t>/</w:t>
    </w:r>
    <w:r w:rsidR="00174BBD">
      <w:fldChar w:fldCharType="begin"/>
    </w:r>
    <w:r w:rsidR="00174BBD">
      <w:instrText xml:space="preserve"> NUMPAGES  \* Arabic  \* MERGEFORMAT </w:instrText>
    </w:r>
    <w:r w:rsidR="00174BBD">
      <w:fldChar w:fldCharType="separate"/>
    </w:r>
    <w:r w:rsidR="005473A3" w:rsidRPr="005473A3">
      <w:rPr>
        <w:b w:val="0"/>
        <w:noProof/>
        <w:color w:val="auto"/>
        <w:lang w:val="en-US"/>
      </w:rPr>
      <w:t>5</w:t>
    </w:r>
    <w:r w:rsidR="00174BBD">
      <w:rPr>
        <w:b w:val="0"/>
        <w:noProof/>
        <w:color w:val="auto"/>
        <w:lang w:val="en-US"/>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C5713" w14:textId="77777777" w:rsidR="008546C1" w:rsidRDefault="008546C1" w:rsidP="00376EE9">
    <w:pPr>
      <w:pStyle w:val="a4"/>
      <w:spacing w:line="240" w:lineRule="auto"/>
      <w:jc w:val="distribute"/>
    </w:pPr>
    <w:r>
      <w:rPr>
        <w:noProof/>
        <w:lang w:val="en-US" w:eastAsia="zh-CN"/>
      </w:rPr>
      <w:drawing>
        <wp:anchor distT="0" distB="0" distL="114300" distR="114300" simplePos="0" relativeHeight="251660288" behindDoc="1" locked="0" layoutInCell="1" allowOverlap="0" wp14:anchorId="471D46D6" wp14:editId="4933516A">
          <wp:simplePos x="0" y="0"/>
          <wp:positionH relativeFrom="column">
            <wp:posOffset>2071370</wp:posOffset>
          </wp:positionH>
          <wp:positionV relativeFrom="paragraph">
            <wp:posOffset>2540</wp:posOffset>
          </wp:positionV>
          <wp:extent cx="371475" cy="323850"/>
          <wp:effectExtent l="0" t="0" r="9525" b="0"/>
          <wp:wrapTight wrapText="bothSides">
            <wp:wrapPolygon edited="0">
              <wp:start x="0" y="0"/>
              <wp:lineTo x="0" y="20329"/>
              <wp:lineTo x="21046" y="20329"/>
              <wp:lineTo x="21046" y="0"/>
              <wp:lineTo x="0" y="0"/>
            </wp:wrapPolygon>
          </wp:wrapTight>
          <wp:docPr id="53" name="图片 53" descr="NEW_DIAL_LOGO_WITH_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W_DIAL_LOGO_WITH_NOTCH"/>
                  <pic:cNvPicPr>
                    <a:picLocks noChangeAspect="1" noChangeArrowheads="1"/>
                  </pic:cNvPicPr>
                </pic:nvPicPr>
                <pic:blipFill>
                  <a:blip r:embed="rId1">
                    <a:extLst>
                      <a:ext uri="{28A0092B-C50C-407E-A947-70E740481C1C}">
                        <a14:useLocalDpi xmlns:a14="http://schemas.microsoft.com/office/drawing/2010/main" val="0"/>
                      </a:ext>
                    </a:extLst>
                  </a:blip>
                  <a:srcRect b="14078"/>
                  <a:stretch>
                    <a:fillRect/>
                  </a:stretch>
                </pic:blipFill>
                <pic:spPr bwMode="auto">
                  <a:xfrm>
                    <a:off x="0" y="0"/>
                    <a:ext cx="371475" cy="323850"/>
                  </a:xfrm>
                  <a:prstGeom prst="rect">
                    <a:avLst/>
                  </a:prstGeom>
                  <a:noFill/>
                </pic:spPr>
              </pic:pic>
            </a:graphicData>
          </a:graphic>
        </wp:anchor>
      </w:drawing>
    </w:r>
    <w:r>
      <w:rPr>
        <w:b w:val="0"/>
        <w:noProof/>
        <w:lang w:val="en-US" w:eastAsia="zh-CN"/>
      </w:rPr>
      <w:drawing>
        <wp:inline distT="0" distB="0" distL="0" distR="0" wp14:anchorId="50C728E6" wp14:editId="0378CDC9">
          <wp:extent cx="390525" cy="142875"/>
          <wp:effectExtent l="0" t="0" r="9525" b="9525"/>
          <wp:docPr id="1" name="图片 1"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il Logo 2007_RGB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r>
      <w:rPr>
        <w:b w:val="0"/>
        <w:noProof/>
        <w:lang w:eastAsia="de-DE"/>
      </w:rPr>
      <w:t xml:space="preserve">   </w:t>
    </w:r>
    <w:r>
      <w:rPr>
        <w:b w:val="0"/>
        <w:noProof/>
        <w:position w:val="-1"/>
        <w:lang w:val="en-US" w:eastAsia="zh-CN"/>
      </w:rPr>
      <w:drawing>
        <wp:inline distT="0" distB="0" distL="0" distR="0" wp14:anchorId="4C7B3D69" wp14:editId="2EEFB120">
          <wp:extent cx="371475" cy="152400"/>
          <wp:effectExtent l="0" t="0" r="9525" b="0"/>
          <wp:docPr id="2" name="图片 2"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e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Pr>
        <w:b w:val="0"/>
        <w:noProof/>
        <w:position w:val="-1"/>
        <w:lang w:eastAsia="de-DE"/>
      </w:rPr>
      <w:t xml:space="preserve"> </w:t>
    </w:r>
    <w:r>
      <w:rPr>
        <w:b w:val="0"/>
        <w:noProof/>
        <w:position w:val="-14"/>
        <w:lang w:val="en-US" w:eastAsia="zh-CN"/>
      </w:rPr>
      <w:drawing>
        <wp:inline distT="0" distB="0" distL="0" distR="0" wp14:anchorId="3C6AD325" wp14:editId="693306F5">
          <wp:extent cx="276225" cy="314325"/>
          <wp:effectExtent l="0" t="0" r="9525" b="9525"/>
          <wp:docPr id="3" name="图片 3" descr="Pr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Pr>
        <w:b w:val="0"/>
        <w:noProof/>
        <w:position w:val="-14"/>
        <w:lang w:eastAsia="de-DE"/>
      </w:rPr>
      <w:t xml:space="preserve"> </w:t>
    </w:r>
    <w:r>
      <w:rPr>
        <w:b w:val="0"/>
        <w:noProof/>
        <w:position w:val="-10"/>
        <w:lang w:val="en-US" w:eastAsia="zh-CN"/>
      </w:rPr>
      <w:drawing>
        <wp:inline distT="0" distB="0" distL="0" distR="0" wp14:anchorId="659EE102" wp14:editId="1B2AFB2C">
          <wp:extent cx="619125" cy="276225"/>
          <wp:effectExtent l="0" t="0" r="9525" b="9525"/>
          <wp:docPr id="4" name="图片 4"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_Logo_2014_Event_100mm_bla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Pr>
        <w:b w:val="0"/>
        <w:noProof/>
        <w:position w:val="-10"/>
        <w:lang w:eastAsia="de-DE"/>
      </w:rPr>
      <w:t xml:space="preserve">        </w:t>
    </w:r>
    <w:r>
      <w:rPr>
        <w:b w:val="0"/>
        <w:noProof/>
        <w:position w:val="-4"/>
        <w:lang w:val="en-US" w:eastAsia="zh-CN"/>
      </w:rPr>
      <w:drawing>
        <wp:inline distT="0" distB="0" distL="0" distR="0" wp14:anchorId="5AF27A9C" wp14:editId="23569248">
          <wp:extent cx="523875" cy="142875"/>
          <wp:effectExtent l="0" t="0" r="9525" b="9525"/>
          <wp:docPr id="5" name="图片 5"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t xml:space="preserve"> </w:t>
    </w:r>
    <w:r>
      <w:rPr>
        <w:b w:val="0"/>
        <w:noProof/>
        <w:lang w:val="en-US" w:eastAsia="zh-CN"/>
      </w:rPr>
      <w:drawing>
        <wp:inline distT="0" distB="0" distL="0" distR="0" wp14:anchorId="4B36A54E" wp14:editId="0A707050">
          <wp:extent cx="600075" cy="104775"/>
          <wp:effectExtent l="0" t="0" r="9525" b="9525"/>
          <wp:docPr id="6" name="图片 6"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104775"/>
                  </a:xfrm>
                  <a:prstGeom prst="rect">
                    <a:avLst/>
                  </a:prstGeom>
                  <a:noFill/>
                  <a:ln>
                    <a:noFill/>
                  </a:ln>
                </pic:spPr>
              </pic:pic>
            </a:graphicData>
          </a:graphic>
        </wp:inline>
      </w:drawing>
    </w:r>
    <w:r>
      <w:t xml:space="preserve"> </w:t>
    </w:r>
    <w:r>
      <w:rPr>
        <w:b w:val="0"/>
        <w:noProof/>
        <w:lang w:val="en-US" w:eastAsia="zh-CN"/>
      </w:rPr>
      <w:drawing>
        <wp:inline distT="0" distB="0" distL="0" distR="0" wp14:anchorId="169171C6" wp14:editId="64C6820F">
          <wp:extent cx="1000125" cy="104775"/>
          <wp:effectExtent l="0" t="0" r="9525" b="9525"/>
          <wp:docPr id="7" name="图片 7"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r>
      <w:t xml:space="preserve"> </w:t>
    </w:r>
    <w:r>
      <w:rPr>
        <w:noProof/>
        <w:lang w:val="en-US" w:eastAsia="zh-CN"/>
      </w:rPr>
      <w:drawing>
        <wp:inline distT="0" distB="0" distL="0" distR="0" wp14:anchorId="2E785E14" wp14:editId="5ABDFCEE">
          <wp:extent cx="923925" cy="114300"/>
          <wp:effectExtent l="0" t="0" r="9525" b="0"/>
          <wp:docPr id="8" name="图片 8"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DER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114300"/>
                  </a:xfrm>
                  <a:prstGeom prst="rect">
                    <a:avLst/>
                  </a:prstGeom>
                  <a:noFill/>
                  <a:ln>
                    <a:noFill/>
                  </a:ln>
                </pic:spPr>
              </pic:pic>
            </a:graphicData>
          </a:graphic>
        </wp:inline>
      </w:drawing>
    </w:r>
  </w:p>
  <w:p w14:paraId="7E0578E6" w14:textId="77777777" w:rsidR="008546C1" w:rsidRPr="00376EE9" w:rsidRDefault="008546C1" w:rsidP="00376EE9">
    <w:pPr>
      <w:pStyle w:val="a4"/>
      <w:spacing w:line="240" w:lineRule="auto"/>
      <w:jc w:val="distribute"/>
      <w:rPr>
        <w:b w:val="0"/>
      </w:rPr>
    </w:pPr>
    <w:r>
      <w:tab/>
    </w:r>
    <w:r>
      <w:tab/>
    </w:r>
    <w:r w:rsidRPr="00BF6E82">
      <w:rPr>
        <w:b w:val="0"/>
        <w:color w:val="auto"/>
      </w:rPr>
      <w:t xml:space="preserve">Page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5473A3">
      <w:rPr>
        <w:b w:val="0"/>
        <w:noProof/>
        <w:color w:val="auto"/>
      </w:rPr>
      <w:t>1</w:t>
    </w:r>
    <w:r w:rsidRPr="00BF6E82">
      <w:rPr>
        <w:b w:val="0"/>
        <w:color w:val="auto"/>
      </w:rPr>
      <w:fldChar w:fldCharType="end"/>
    </w:r>
    <w:r w:rsidRPr="00BF6E82">
      <w:rPr>
        <w:b w:val="0"/>
        <w:color w:val="auto"/>
      </w:rPr>
      <w:t>/</w:t>
    </w:r>
    <w:r w:rsidR="00174BBD">
      <w:fldChar w:fldCharType="begin"/>
    </w:r>
    <w:r w:rsidR="00174BBD">
      <w:instrText xml:space="preserve"> NUMPAGES  \* Arabic  \* MERGEFORMAT </w:instrText>
    </w:r>
    <w:r w:rsidR="00174BBD">
      <w:fldChar w:fldCharType="separate"/>
    </w:r>
    <w:r w:rsidR="005473A3" w:rsidRPr="005473A3">
      <w:rPr>
        <w:b w:val="0"/>
        <w:noProof/>
        <w:color w:val="auto"/>
      </w:rPr>
      <w:t>5</w:t>
    </w:r>
    <w:r w:rsidR="00174BBD">
      <w:rPr>
        <w:b w:val="0"/>
        <w:noProof/>
        <w:color w:val="auto"/>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582D6" w14:textId="77777777" w:rsidR="00174BBD" w:rsidRDefault="00174BBD">
      <w:r>
        <w:separator/>
      </w:r>
    </w:p>
  </w:footnote>
  <w:footnote w:type="continuationSeparator" w:id="0">
    <w:p w14:paraId="6DE459A5" w14:textId="77777777" w:rsidR="00174BBD" w:rsidRDefault="00174B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A18DC" w14:textId="58FF27C3" w:rsidR="008546C1" w:rsidRDefault="001C20E5" w:rsidP="00D260A2">
    <w:pPr>
      <w:pStyle w:val="a3"/>
      <w:jc w:val="right"/>
    </w:pPr>
    <w:r>
      <w:rPr>
        <w:noProof/>
        <w:lang w:val="en-US" w:eastAsia="zh-CN"/>
      </w:rPr>
      <mc:AlternateContent>
        <mc:Choice Requires="wpg">
          <w:drawing>
            <wp:anchor distT="0" distB="0" distL="114300" distR="114300" simplePos="0" relativeHeight="251657216" behindDoc="0" locked="0" layoutInCell="1" allowOverlap="1" wp14:anchorId="469BEEDE" wp14:editId="74C587FF">
              <wp:simplePos x="0" y="0"/>
              <wp:positionH relativeFrom="page">
                <wp:posOffset>180340</wp:posOffset>
              </wp:positionH>
              <wp:positionV relativeFrom="page">
                <wp:posOffset>3780790</wp:posOffset>
              </wp:positionV>
              <wp:extent cx="183515" cy="3796030"/>
              <wp:effectExtent l="0" t="0" r="26035" b="13970"/>
              <wp:wrapNone/>
              <wp:docPr id="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4" name="Line 2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22"/>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23"/>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2D812B" id="Group 20" o:spid="_x0000_s1026" style="position:absolute;left:0;text-align:left;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B9570" w14:textId="77777777" w:rsidR="008546C1" w:rsidRPr="001C4BE1" w:rsidRDefault="008546C1" w:rsidP="001C4BE1">
    <w:pPr>
      <w:pStyle w:val="a3"/>
      <w:tabs>
        <w:tab w:val="clear" w:pos="4320"/>
        <w:tab w:val="clear" w:pos="8640"/>
        <w:tab w:val="right" w:pos="9071"/>
      </w:tabs>
      <w:spacing w:line="420" w:lineRule="atLeast"/>
      <w:rPr>
        <w:rFonts w:ascii="Calibri" w:hAnsi="Calibri"/>
        <w:b/>
        <w:bCs/>
        <w:sz w:val="40"/>
        <w:szCs w:val="40"/>
      </w:rPr>
    </w:pPr>
    <w:r>
      <w:rPr>
        <w:noProof/>
        <w:lang w:val="en-US" w:eastAsia="zh-CN"/>
      </w:rPr>
      <w:drawing>
        <wp:anchor distT="0" distB="0" distL="114300" distR="114300" simplePos="0" relativeHeight="251658240" behindDoc="0" locked="0" layoutInCell="1" allowOverlap="1" wp14:anchorId="67278773" wp14:editId="72842795">
          <wp:simplePos x="0" y="0"/>
          <wp:positionH relativeFrom="margin">
            <wp:posOffset>4686300</wp:posOffset>
          </wp:positionH>
          <wp:positionV relativeFrom="margin">
            <wp:posOffset>-1560195</wp:posOffset>
          </wp:positionV>
          <wp:extent cx="1166495" cy="789305"/>
          <wp:effectExtent l="0" t="0" r="0" b="0"/>
          <wp:wrapSquare wrapText="bothSides"/>
          <wp:docPr id="26" name="图片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r w:rsidRPr="001C4BE1">
      <w:rPr>
        <w:rFonts w:ascii="Calibri" w:hAnsi="Calibri"/>
        <w:b/>
        <w:bCs/>
        <w:sz w:val="40"/>
        <w:szCs w:val="40"/>
      </w:rPr>
      <w:tab/>
    </w:r>
    <w:r w:rsidRPr="001C4BE1">
      <w:rPr>
        <w:rFonts w:ascii="Calibri" w:hAnsi="Calibri"/>
        <w:b/>
        <w:bCs/>
        <w:sz w:val="40"/>
        <w:szCs w:val="40"/>
      </w:rPr>
      <w:tab/>
    </w:r>
    <w:r w:rsidRPr="001C4BE1">
      <w:rPr>
        <w:rFonts w:ascii="Calibri" w:hAnsi="Calibri"/>
        <w:b/>
        <w:bCs/>
        <w:sz w:val="40"/>
        <w:szCs w:val="40"/>
      </w:rPr>
      <w:tab/>
    </w:r>
  </w:p>
  <w:p w14:paraId="3150E6E5" w14:textId="77777777" w:rsidR="008546C1" w:rsidRPr="001C4BE1" w:rsidRDefault="008546C1" w:rsidP="009A16EC">
    <w:pPr>
      <w:pStyle w:val="a3"/>
      <w:tabs>
        <w:tab w:val="clear" w:pos="8640"/>
        <w:tab w:val="left" w:pos="2607"/>
        <w:tab w:val="right" w:pos="9071"/>
      </w:tabs>
      <w:spacing w:line="420" w:lineRule="atLeast"/>
      <w:rPr>
        <w:rFonts w:ascii="Calibri" w:hAnsi="Calibri"/>
        <w:b/>
        <w:bCs/>
        <w:sz w:val="40"/>
        <w:szCs w:val="40"/>
      </w:rPr>
    </w:pPr>
  </w:p>
  <w:p w14:paraId="07B6A6AD" w14:textId="77777777" w:rsidR="008546C1" w:rsidRPr="001C4BE1" w:rsidRDefault="008546C1" w:rsidP="009A16EC">
    <w:pPr>
      <w:pStyle w:val="a3"/>
      <w:tabs>
        <w:tab w:val="clear" w:pos="8640"/>
        <w:tab w:val="left" w:pos="2607"/>
        <w:tab w:val="right" w:pos="9071"/>
      </w:tabs>
      <w:spacing w:line="420" w:lineRule="atLeast"/>
      <w:jc w:val="right"/>
      <w:rPr>
        <w:rFonts w:ascii="Calibri" w:hAnsi="Calibri"/>
        <w:b/>
        <w:bCs/>
        <w:sz w:val="40"/>
        <w:szCs w:val="40"/>
      </w:rPr>
    </w:pPr>
  </w:p>
  <w:p w14:paraId="0524F944" w14:textId="7FEE407F" w:rsidR="008546C1" w:rsidRPr="00B422EC" w:rsidRDefault="001C20E5" w:rsidP="009767C7">
    <w:pPr>
      <w:pStyle w:val="a3"/>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val="en-US" w:eastAsia="zh-CN"/>
      </w:rPr>
      <mc:AlternateContent>
        <mc:Choice Requires="wpg">
          <w:drawing>
            <wp:anchor distT="0" distB="0" distL="114300" distR="114300" simplePos="0" relativeHeight="251656192" behindDoc="0" locked="0" layoutInCell="1" allowOverlap="1" wp14:anchorId="52EF730B" wp14:editId="4D8E1C55">
              <wp:simplePos x="0" y="0"/>
              <wp:positionH relativeFrom="page">
                <wp:posOffset>180340</wp:posOffset>
              </wp:positionH>
              <wp:positionV relativeFrom="page">
                <wp:posOffset>3780790</wp:posOffset>
              </wp:positionV>
              <wp:extent cx="179705" cy="3780155"/>
              <wp:effectExtent l="0" t="0" r="10795" b="10795"/>
              <wp:wrapNone/>
              <wp:docPr id="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0" name="Line 17"/>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1" name="Line 18"/>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9"/>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C98965" id="Group 16" o:spid="_x0000_s1026" style="position:absolute;left:0;text-align:left;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kiMMAAADbAAAADwAAAGRycy9kb3ducmV2LnhtbESPT2vCQBDF74LfYRmhN93oQUrqKhJU&#10;iqUH05Zep9kxCWZnQ3Yb03565yB4mzd/fu/NajO4RvXUhdqzgfksAUVceFtzaeDzYz99BhUissXG&#10;Mxn4owCb9Xi0wtT6K5+oz2OpBMIhRQNVjG2qdSgqchhmviWW2dl3DqPIrtS2w6vAXaMXSbLUDmsW&#10;hwpbyioqLvmvE4p/P779/xz8zkYasrzIv7/6zJinybB9ASW9+Fi+X79aiS/p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UpIj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BE8QAAADbAAAADwAAAGRycy9kb3ducmV2LnhtbESPQWvCQBCF7wX/wzKCt7rRg5ToKiWo&#10;iNJD00qv0+w0CWZnQ3aNsb++Uyj0Nm/em29mVpvBNaqnLtSeDcymCSjiwtuaSwPvb7vHJ1AhIlts&#10;PJOBOwXYrEcPK0ytv/Er9XkslUA4pGigirFNtQ5FRQ7D1LfE4n35zmEU2ZXadngTuGv0PEkW2mHN&#10;sqHClrKKikt+dULxL8fT9+feb22kIcuL/OPcZ8ZMxsPzEpT04n/4b/pg5fwZ/P4iBe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AET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w10:wrap anchorx="page" anchory="page"/>
            </v:group>
          </w:pict>
        </mc:Fallback>
      </mc:AlternateContent>
    </w:r>
    <w:proofErr w:type="spellStart"/>
    <w:r w:rsidR="008546C1">
      <w:rPr>
        <w:rFonts w:cs="Arial"/>
        <w:b/>
        <w:bCs/>
        <w:color w:val="3E3C3C"/>
        <w:sz w:val="40"/>
        <w:szCs w:val="40"/>
      </w:rPr>
      <w:t>新闻稿</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nsid w:val="38711743"/>
    <w:multiLevelType w:val="hybridMultilevel"/>
    <w:tmpl w:val="1B60B06A"/>
    <w:lvl w:ilvl="0" w:tplc="0407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BDD"/>
    <w:rsid w:val="00002AA4"/>
    <w:rsid w:val="00005267"/>
    <w:rsid w:val="0000576B"/>
    <w:rsid w:val="00006346"/>
    <w:rsid w:val="00020E9F"/>
    <w:rsid w:val="00021C67"/>
    <w:rsid w:val="00030557"/>
    <w:rsid w:val="00030F51"/>
    <w:rsid w:val="000575F9"/>
    <w:rsid w:val="000618FC"/>
    <w:rsid w:val="00080D10"/>
    <w:rsid w:val="000A7600"/>
    <w:rsid w:val="000B5E5E"/>
    <w:rsid w:val="000C06B4"/>
    <w:rsid w:val="000C1468"/>
    <w:rsid w:val="000C56DD"/>
    <w:rsid w:val="000D1672"/>
    <w:rsid w:val="000D1BD8"/>
    <w:rsid w:val="000D5579"/>
    <w:rsid w:val="000E38ED"/>
    <w:rsid w:val="000E7F24"/>
    <w:rsid w:val="000F03BE"/>
    <w:rsid w:val="000F225B"/>
    <w:rsid w:val="000F7FAF"/>
    <w:rsid w:val="00111F4D"/>
    <w:rsid w:val="00115230"/>
    <w:rsid w:val="001162B4"/>
    <w:rsid w:val="00122CBC"/>
    <w:rsid w:val="001254BD"/>
    <w:rsid w:val="00126D4A"/>
    <w:rsid w:val="00132DA9"/>
    <w:rsid w:val="0013305B"/>
    <w:rsid w:val="00133B99"/>
    <w:rsid w:val="00135F6A"/>
    <w:rsid w:val="001443BD"/>
    <w:rsid w:val="00150E79"/>
    <w:rsid w:val="001535BC"/>
    <w:rsid w:val="00174A0C"/>
    <w:rsid w:val="00174AB4"/>
    <w:rsid w:val="00174BBD"/>
    <w:rsid w:val="00177BB9"/>
    <w:rsid w:val="00180295"/>
    <w:rsid w:val="00181064"/>
    <w:rsid w:val="0019415F"/>
    <w:rsid w:val="00194EB7"/>
    <w:rsid w:val="001B32B0"/>
    <w:rsid w:val="001B57FE"/>
    <w:rsid w:val="001B7520"/>
    <w:rsid w:val="001C0B32"/>
    <w:rsid w:val="001C1F7B"/>
    <w:rsid w:val="001C20E5"/>
    <w:rsid w:val="001C4BE1"/>
    <w:rsid w:val="001E050A"/>
    <w:rsid w:val="001E0F71"/>
    <w:rsid w:val="001E6D05"/>
    <w:rsid w:val="001E7C28"/>
    <w:rsid w:val="001F1648"/>
    <w:rsid w:val="001F1BDF"/>
    <w:rsid w:val="001F4A4D"/>
    <w:rsid w:val="001F7110"/>
    <w:rsid w:val="001F7E96"/>
    <w:rsid w:val="00212488"/>
    <w:rsid w:val="002155F0"/>
    <w:rsid w:val="00220628"/>
    <w:rsid w:val="002304D2"/>
    <w:rsid w:val="0023160D"/>
    <w:rsid w:val="00233330"/>
    <w:rsid w:val="00237F62"/>
    <w:rsid w:val="0024586A"/>
    <w:rsid w:val="00250802"/>
    <w:rsid w:val="00256F0C"/>
    <w:rsid w:val="002625DE"/>
    <w:rsid w:val="00262C05"/>
    <w:rsid w:val="002933E9"/>
    <w:rsid w:val="002A0DF7"/>
    <w:rsid w:val="002A60E0"/>
    <w:rsid w:val="002A6A3D"/>
    <w:rsid w:val="002C1264"/>
    <w:rsid w:val="002C252E"/>
    <w:rsid w:val="002C5D9D"/>
    <w:rsid w:val="002C6773"/>
    <w:rsid w:val="002E0B17"/>
    <w:rsid w:val="002E7DED"/>
    <w:rsid w:val="002F6495"/>
    <w:rsid w:val="002F7E11"/>
    <w:rsid w:val="00304087"/>
    <w:rsid w:val="00310ACD"/>
    <w:rsid w:val="0031379F"/>
    <w:rsid w:val="00320A26"/>
    <w:rsid w:val="00321344"/>
    <w:rsid w:val="0034015C"/>
    <w:rsid w:val="00342E1C"/>
    <w:rsid w:val="003442F4"/>
    <w:rsid w:val="00344478"/>
    <w:rsid w:val="00347500"/>
    <w:rsid w:val="00353705"/>
    <w:rsid w:val="003562E8"/>
    <w:rsid w:val="00357AF8"/>
    <w:rsid w:val="0036357D"/>
    <w:rsid w:val="00367AA1"/>
    <w:rsid w:val="00372E36"/>
    <w:rsid w:val="00375574"/>
    <w:rsid w:val="00376EE9"/>
    <w:rsid w:val="00377CBB"/>
    <w:rsid w:val="00383D78"/>
    <w:rsid w:val="00384CA2"/>
    <w:rsid w:val="003877B6"/>
    <w:rsid w:val="00393887"/>
    <w:rsid w:val="00394C6B"/>
    <w:rsid w:val="003B010D"/>
    <w:rsid w:val="003B1069"/>
    <w:rsid w:val="003B390A"/>
    <w:rsid w:val="003C15DE"/>
    <w:rsid w:val="003C1C25"/>
    <w:rsid w:val="003C2A45"/>
    <w:rsid w:val="003C4EB2"/>
    <w:rsid w:val="003D2301"/>
    <w:rsid w:val="003D395F"/>
    <w:rsid w:val="003E1C25"/>
    <w:rsid w:val="003E791A"/>
    <w:rsid w:val="003E7B2B"/>
    <w:rsid w:val="003F1AF3"/>
    <w:rsid w:val="003F4325"/>
    <w:rsid w:val="003F4D8D"/>
    <w:rsid w:val="003F4FE9"/>
    <w:rsid w:val="004033EF"/>
    <w:rsid w:val="004313E7"/>
    <w:rsid w:val="004412DC"/>
    <w:rsid w:val="0044763B"/>
    <w:rsid w:val="00460A8E"/>
    <w:rsid w:val="00460E9B"/>
    <w:rsid w:val="004629B3"/>
    <w:rsid w:val="0046376E"/>
    <w:rsid w:val="0046690F"/>
    <w:rsid w:val="00467FA2"/>
    <w:rsid w:val="00480415"/>
    <w:rsid w:val="00490A03"/>
    <w:rsid w:val="004928D6"/>
    <w:rsid w:val="00494475"/>
    <w:rsid w:val="00494DBE"/>
    <w:rsid w:val="00495CE6"/>
    <w:rsid w:val="004A323C"/>
    <w:rsid w:val="004A6935"/>
    <w:rsid w:val="004B54E8"/>
    <w:rsid w:val="004C4FEB"/>
    <w:rsid w:val="004D059B"/>
    <w:rsid w:val="004D1E21"/>
    <w:rsid w:val="004D4CB6"/>
    <w:rsid w:val="004E5097"/>
    <w:rsid w:val="004E5EC6"/>
    <w:rsid w:val="004F10C1"/>
    <w:rsid w:val="004F1285"/>
    <w:rsid w:val="004F2D14"/>
    <w:rsid w:val="00502E62"/>
    <w:rsid w:val="00503EB2"/>
    <w:rsid w:val="00503EFA"/>
    <w:rsid w:val="005145CC"/>
    <w:rsid w:val="005204A1"/>
    <w:rsid w:val="0052212B"/>
    <w:rsid w:val="00523CFE"/>
    <w:rsid w:val="00534B46"/>
    <w:rsid w:val="0053735E"/>
    <w:rsid w:val="00540358"/>
    <w:rsid w:val="00540BDA"/>
    <w:rsid w:val="00544C05"/>
    <w:rsid w:val="005473A3"/>
    <w:rsid w:val="00556F67"/>
    <w:rsid w:val="00570C02"/>
    <w:rsid w:val="00586CAF"/>
    <w:rsid w:val="00591180"/>
    <w:rsid w:val="00597D07"/>
    <w:rsid w:val="005C4AEA"/>
    <w:rsid w:val="005C7112"/>
    <w:rsid w:val="005D0561"/>
    <w:rsid w:val="005D0AD9"/>
    <w:rsid w:val="005D22F6"/>
    <w:rsid w:val="005D4589"/>
    <w:rsid w:val="005E0C30"/>
    <w:rsid w:val="005E69D9"/>
    <w:rsid w:val="005F07B1"/>
    <w:rsid w:val="005F27F4"/>
    <w:rsid w:val="005F3239"/>
    <w:rsid w:val="0060214D"/>
    <w:rsid w:val="00607256"/>
    <w:rsid w:val="006144B1"/>
    <w:rsid w:val="006158A9"/>
    <w:rsid w:val="006335F1"/>
    <w:rsid w:val="006345B6"/>
    <w:rsid w:val="00635712"/>
    <w:rsid w:val="00642CED"/>
    <w:rsid w:val="00650B17"/>
    <w:rsid w:val="00652229"/>
    <w:rsid w:val="00652793"/>
    <w:rsid w:val="006608A4"/>
    <w:rsid w:val="006626CA"/>
    <w:rsid w:val="00663487"/>
    <w:rsid w:val="006650C1"/>
    <w:rsid w:val="00672382"/>
    <w:rsid w:val="0068745F"/>
    <w:rsid w:val="00690B19"/>
    <w:rsid w:val="006B499F"/>
    <w:rsid w:val="006D28CE"/>
    <w:rsid w:val="006D4996"/>
    <w:rsid w:val="006D54AB"/>
    <w:rsid w:val="006E5032"/>
    <w:rsid w:val="006F25EE"/>
    <w:rsid w:val="006F670F"/>
    <w:rsid w:val="00703272"/>
    <w:rsid w:val="0070733C"/>
    <w:rsid w:val="00710C5D"/>
    <w:rsid w:val="0071348C"/>
    <w:rsid w:val="00717273"/>
    <w:rsid w:val="00720FD4"/>
    <w:rsid w:val="0072495F"/>
    <w:rsid w:val="0073096C"/>
    <w:rsid w:val="00740074"/>
    <w:rsid w:val="00742398"/>
    <w:rsid w:val="0074292F"/>
    <w:rsid w:val="007507B5"/>
    <w:rsid w:val="00753A24"/>
    <w:rsid w:val="00755EE2"/>
    <w:rsid w:val="00767EB1"/>
    <w:rsid w:val="00772188"/>
    <w:rsid w:val="007723F6"/>
    <w:rsid w:val="00775C79"/>
    <w:rsid w:val="00776999"/>
    <w:rsid w:val="00783BDD"/>
    <w:rsid w:val="00786BA3"/>
    <w:rsid w:val="00791B7B"/>
    <w:rsid w:val="00793423"/>
    <w:rsid w:val="007943F1"/>
    <w:rsid w:val="007A4432"/>
    <w:rsid w:val="007A784E"/>
    <w:rsid w:val="007B499C"/>
    <w:rsid w:val="007B4D4B"/>
    <w:rsid w:val="007C5114"/>
    <w:rsid w:val="007C54B4"/>
    <w:rsid w:val="007C7F05"/>
    <w:rsid w:val="007D2478"/>
    <w:rsid w:val="007D2A02"/>
    <w:rsid w:val="007E6EA1"/>
    <w:rsid w:val="007F2B1E"/>
    <w:rsid w:val="007F62B4"/>
    <w:rsid w:val="00801517"/>
    <w:rsid w:val="00803421"/>
    <w:rsid w:val="00803B30"/>
    <w:rsid w:val="0081761A"/>
    <w:rsid w:val="00817DE8"/>
    <w:rsid w:val="008229F5"/>
    <w:rsid w:val="0082674F"/>
    <w:rsid w:val="00827CAD"/>
    <w:rsid w:val="00833CEB"/>
    <w:rsid w:val="008372D2"/>
    <w:rsid w:val="00842E2F"/>
    <w:rsid w:val="00844C17"/>
    <w:rsid w:val="00847726"/>
    <w:rsid w:val="00852511"/>
    <w:rsid w:val="00852987"/>
    <w:rsid w:val="008546C1"/>
    <w:rsid w:val="008614F1"/>
    <w:rsid w:val="008639B3"/>
    <w:rsid w:val="00863C1A"/>
    <w:rsid w:val="0087142D"/>
    <w:rsid w:val="00873956"/>
    <w:rsid w:val="008800B2"/>
    <w:rsid w:val="008825EE"/>
    <w:rsid w:val="0088596E"/>
    <w:rsid w:val="008A1604"/>
    <w:rsid w:val="008A2375"/>
    <w:rsid w:val="008A666E"/>
    <w:rsid w:val="008D76C5"/>
    <w:rsid w:val="008E0AFA"/>
    <w:rsid w:val="008E75D3"/>
    <w:rsid w:val="008E7D52"/>
    <w:rsid w:val="008F125E"/>
    <w:rsid w:val="008F4D2F"/>
    <w:rsid w:val="00911B32"/>
    <w:rsid w:val="00917162"/>
    <w:rsid w:val="009248CA"/>
    <w:rsid w:val="009251CC"/>
    <w:rsid w:val="0092714E"/>
    <w:rsid w:val="009307B0"/>
    <w:rsid w:val="009342C8"/>
    <w:rsid w:val="0093589F"/>
    <w:rsid w:val="00940049"/>
    <w:rsid w:val="009413FF"/>
    <w:rsid w:val="00942002"/>
    <w:rsid w:val="00947885"/>
    <w:rsid w:val="00951E00"/>
    <w:rsid w:val="00952168"/>
    <w:rsid w:val="009527FE"/>
    <w:rsid w:val="00955BA8"/>
    <w:rsid w:val="009739A0"/>
    <w:rsid w:val="00974193"/>
    <w:rsid w:val="009756BF"/>
    <w:rsid w:val="009767C7"/>
    <w:rsid w:val="0098579A"/>
    <w:rsid w:val="00990B5F"/>
    <w:rsid w:val="0099195A"/>
    <w:rsid w:val="00994681"/>
    <w:rsid w:val="0099486A"/>
    <w:rsid w:val="009A0E26"/>
    <w:rsid w:val="009A16EC"/>
    <w:rsid w:val="009B068C"/>
    <w:rsid w:val="009B2EB9"/>
    <w:rsid w:val="009B3B37"/>
    <w:rsid w:val="009C088E"/>
    <w:rsid w:val="009C0896"/>
    <w:rsid w:val="009C4D35"/>
    <w:rsid w:val="009E02AA"/>
    <w:rsid w:val="009E1B50"/>
    <w:rsid w:val="009E5EB4"/>
    <w:rsid w:val="009F1023"/>
    <w:rsid w:val="00A044D6"/>
    <w:rsid w:val="00A04ADB"/>
    <w:rsid w:val="00A04EB0"/>
    <w:rsid w:val="00A079C2"/>
    <w:rsid w:val="00A11E0F"/>
    <w:rsid w:val="00A26CB6"/>
    <w:rsid w:val="00A32F82"/>
    <w:rsid w:val="00A32F8B"/>
    <w:rsid w:val="00A34789"/>
    <w:rsid w:val="00A436AB"/>
    <w:rsid w:val="00A45A62"/>
    <w:rsid w:val="00A54AC5"/>
    <w:rsid w:val="00A56D41"/>
    <w:rsid w:val="00A61353"/>
    <w:rsid w:val="00A66DB1"/>
    <w:rsid w:val="00A67A92"/>
    <w:rsid w:val="00A91A70"/>
    <w:rsid w:val="00A94FD9"/>
    <w:rsid w:val="00A95C98"/>
    <w:rsid w:val="00AA1B85"/>
    <w:rsid w:val="00AB1CB6"/>
    <w:rsid w:val="00AB1D9A"/>
    <w:rsid w:val="00AC060C"/>
    <w:rsid w:val="00AC1498"/>
    <w:rsid w:val="00AD44FE"/>
    <w:rsid w:val="00AE49F1"/>
    <w:rsid w:val="00AE4A48"/>
    <w:rsid w:val="00AF4EB4"/>
    <w:rsid w:val="00B05CCA"/>
    <w:rsid w:val="00B14271"/>
    <w:rsid w:val="00B2685D"/>
    <w:rsid w:val="00B30351"/>
    <w:rsid w:val="00B33C2A"/>
    <w:rsid w:val="00B422EC"/>
    <w:rsid w:val="00B45C5D"/>
    <w:rsid w:val="00B5339C"/>
    <w:rsid w:val="00B634C2"/>
    <w:rsid w:val="00B6486C"/>
    <w:rsid w:val="00B816C7"/>
    <w:rsid w:val="00B864D8"/>
    <w:rsid w:val="00B86A4F"/>
    <w:rsid w:val="00B958E8"/>
    <w:rsid w:val="00BA09B2"/>
    <w:rsid w:val="00BA1CB7"/>
    <w:rsid w:val="00BA473C"/>
    <w:rsid w:val="00BC0995"/>
    <w:rsid w:val="00BC4B5F"/>
    <w:rsid w:val="00BE793A"/>
    <w:rsid w:val="00BF2D06"/>
    <w:rsid w:val="00BF432A"/>
    <w:rsid w:val="00BF56A9"/>
    <w:rsid w:val="00BF6E82"/>
    <w:rsid w:val="00C0068C"/>
    <w:rsid w:val="00C24C17"/>
    <w:rsid w:val="00C25D43"/>
    <w:rsid w:val="00C36157"/>
    <w:rsid w:val="00C40B88"/>
    <w:rsid w:val="00C47D87"/>
    <w:rsid w:val="00C5376E"/>
    <w:rsid w:val="00C56B94"/>
    <w:rsid w:val="00C97091"/>
    <w:rsid w:val="00CA2001"/>
    <w:rsid w:val="00CB5B6C"/>
    <w:rsid w:val="00CD4616"/>
    <w:rsid w:val="00CE1D2C"/>
    <w:rsid w:val="00CE33D5"/>
    <w:rsid w:val="00CE497E"/>
    <w:rsid w:val="00CF5D37"/>
    <w:rsid w:val="00CF6F33"/>
    <w:rsid w:val="00D02248"/>
    <w:rsid w:val="00D03EDB"/>
    <w:rsid w:val="00D063B8"/>
    <w:rsid w:val="00D17E3B"/>
    <w:rsid w:val="00D23C09"/>
    <w:rsid w:val="00D23CED"/>
    <w:rsid w:val="00D24BD2"/>
    <w:rsid w:val="00D260A2"/>
    <w:rsid w:val="00D30CC6"/>
    <w:rsid w:val="00D3260C"/>
    <w:rsid w:val="00D328F3"/>
    <w:rsid w:val="00D35790"/>
    <w:rsid w:val="00D62EF1"/>
    <w:rsid w:val="00D6309D"/>
    <w:rsid w:val="00D644CA"/>
    <w:rsid w:val="00D66FC2"/>
    <w:rsid w:val="00D76C7E"/>
    <w:rsid w:val="00D9293F"/>
    <w:rsid w:val="00D93598"/>
    <w:rsid w:val="00DA1E18"/>
    <w:rsid w:val="00DA2009"/>
    <w:rsid w:val="00DB05B1"/>
    <w:rsid w:val="00DD512E"/>
    <w:rsid w:val="00DE1177"/>
    <w:rsid w:val="00DE246C"/>
    <w:rsid w:val="00DE2CEA"/>
    <w:rsid w:val="00DE6A3C"/>
    <w:rsid w:val="00DE7F97"/>
    <w:rsid w:val="00DF1010"/>
    <w:rsid w:val="00DF5AEA"/>
    <w:rsid w:val="00DF63F6"/>
    <w:rsid w:val="00E0040C"/>
    <w:rsid w:val="00E00E5D"/>
    <w:rsid w:val="00E03133"/>
    <w:rsid w:val="00E13747"/>
    <w:rsid w:val="00E25AEA"/>
    <w:rsid w:val="00E26730"/>
    <w:rsid w:val="00E30DEF"/>
    <w:rsid w:val="00E30ED2"/>
    <w:rsid w:val="00E31276"/>
    <w:rsid w:val="00E37F70"/>
    <w:rsid w:val="00E446C1"/>
    <w:rsid w:val="00E529F9"/>
    <w:rsid w:val="00E6194C"/>
    <w:rsid w:val="00E700AE"/>
    <w:rsid w:val="00E71512"/>
    <w:rsid w:val="00E758B9"/>
    <w:rsid w:val="00E804DC"/>
    <w:rsid w:val="00E82A9A"/>
    <w:rsid w:val="00E85569"/>
    <w:rsid w:val="00E8565B"/>
    <w:rsid w:val="00E856AF"/>
    <w:rsid w:val="00E93A01"/>
    <w:rsid w:val="00E93FF8"/>
    <w:rsid w:val="00E96EAF"/>
    <w:rsid w:val="00EA03AF"/>
    <w:rsid w:val="00EA1752"/>
    <w:rsid w:val="00EA18D4"/>
    <w:rsid w:val="00EA5BDB"/>
    <w:rsid w:val="00EC142D"/>
    <w:rsid w:val="00EC1E16"/>
    <w:rsid w:val="00ED2B5C"/>
    <w:rsid w:val="00ED3269"/>
    <w:rsid w:val="00EF15FF"/>
    <w:rsid w:val="00EF1AF9"/>
    <w:rsid w:val="00EF2FA2"/>
    <w:rsid w:val="00EF7111"/>
    <w:rsid w:val="00EF7D1A"/>
    <w:rsid w:val="00F0448F"/>
    <w:rsid w:val="00F275C0"/>
    <w:rsid w:val="00F36145"/>
    <w:rsid w:val="00F37BDD"/>
    <w:rsid w:val="00F41503"/>
    <w:rsid w:val="00F466C8"/>
    <w:rsid w:val="00F50B46"/>
    <w:rsid w:val="00F50D1F"/>
    <w:rsid w:val="00F63D03"/>
    <w:rsid w:val="00F65E2F"/>
    <w:rsid w:val="00F67DF1"/>
    <w:rsid w:val="00F8309B"/>
    <w:rsid w:val="00F833C9"/>
    <w:rsid w:val="00F90064"/>
    <w:rsid w:val="00F923A0"/>
    <w:rsid w:val="00F96AFD"/>
    <w:rsid w:val="00FA2E19"/>
    <w:rsid w:val="00FB5677"/>
    <w:rsid w:val="00FB610D"/>
    <w:rsid w:val="00FC2913"/>
    <w:rsid w:val="00FC2B7F"/>
    <w:rsid w:val="00FC3FF1"/>
    <w:rsid w:val="00FC4F5B"/>
    <w:rsid w:val="00FD401C"/>
    <w:rsid w:val="00FD4CCA"/>
    <w:rsid w:val="00FE1C7D"/>
    <w:rsid w:val="00FE2A9E"/>
    <w:rsid w:val="00FE7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1000f"/>
    </o:shapedefaults>
    <o:shapelayout v:ext="edit">
      <o:idmap v:ext="edit" data="1"/>
    </o:shapelayout>
  </w:shapeDefaults>
  <w:decimalSymbol w:val="."/>
  <w:listSeparator w:val=","/>
  <w14:docId w14:val="01A3F446"/>
  <w15:docId w15:val="{6BBEDD19-DC2F-4430-9B26-D4815BA3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783BDD"/>
    <w:pPr>
      <w:spacing w:line="260" w:lineRule="atLeast"/>
    </w:pPr>
    <w:rPr>
      <w:rFonts w:ascii="Arial" w:hAnsi="Arial"/>
      <w:szCs w:val="24"/>
      <w:lang w:eastAsia="en-US"/>
    </w:rPr>
  </w:style>
  <w:style w:type="paragraph" w:styleId="1">
    <w:name w:val="heading 1"/>
    <w:basedOn w:val="a"/>
    <w:next w:val="a"/>
    <w:link w:val="10"/>
    <w:uiPriority w:val="99"/>
    <w:qFormat/>
    <w:rsid w:val="00097261"/>
    <w:pPr>
      <w:keepNext/>
      <w:spacing w:line="420" w:lineRule="atLeast"/>
      <w:outlineLvl w:val="0"/>
    </w:pPr>
    <w:rPr>
      <w:rFonts w:cs="Arial"/>
      <w:b/>
      <w:bCs/>
      <w:kern w:val="32"/>
      <w:sz w:val="36"/>
      <w:szCs w:val="32"/>
    </w:rPr>
  </w:style>
  <w:style w:type="paragraph" w:styleId="2">
    <w:name w:val="heading 2"/>
    <w:basedOn w:val="a"/>
    <w:next w:val="a"/>
    <w:qFormat/>
    <w:rsid w:val="003F46B0"/>
    <w:pPr>
      <w:keepNext/>
      <w:outlineLvl w:val="1"/>
    </w:pPr>
    <w:rPr>
      <w:rFonts w:cs="Arial"/>
      <w:bCs/>
      <w:iCs/>
      <w:color w:val="E1000F"/>
      <w:sz w:val="22"/>
      <w:szCs w:val="28"/>
    </w:rPr>
  </w:style>
  <w:style w:type="paragraph" w:styleId="3">
    <w:name w:val="heading 3"/>
    <w:basedOn w:val="2"/>
    <w:next w:val="a"/>
    <w:qFormat/>
    <w:rsid w:val="006F1596"/>
    <w:pPr>
      <w:outlineLvl w:val="2"/>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F1596"/>
    <w:pPr>
      <w:tabs>
        <w:tab w:val="center" w:pos="4320"/>
        <w:tab w:val="right" w:pos="8640"/>
      </w:tabs>
    </w:pPr>
  </w:style>
  <w:style w:type="paragraph" w:styleId="a4">
    <w:name w:val="footer"/>
    <w:basedOn w:val="a"/>
    <w:link w:val="a5"/>
    <w:uiPriority w:val="99"/>
    <w:rsid w:val="004F237B"/>
    <w:pPr>
      <w:tabs>
        <w:tab w:val="right" w:pos="7083"/>
        <w:tab w:val="right" w:pos="8640"/>
      </w:tabs>
      <w:spacing w:line="180" w:lineRule="atLeast"/>
    </w:pPr>
    <w:rPr>
      <w:b/>
      <w:color w:val="E1000F"/>
      <w:sz w:val="14"/>
    </w:rPr>
  </w:style>
  <w:style w:type="paragraph" w:customStyle="1" w:styleId="Intro">
    <w:name w:val="Intro"/>
    <w:basedOn w:val="a"/>
    <w:rsid w:val="006F1596"/>
    <w:pPr>
      <w:spacing w:after="300"/>
    </w:pPr>
    <w:rPr>
      <w:color w:val="415055"/>
      <w:sz w:val="24"/>
    </w:rPr>
  </w:style>
  <w:style w:type="paragraph" w:customStyle="1" w:styleId="NumBullet">
    <w:name w:val="Num_Bullet"/>
    <w:basedOn w:val="a"/>
    <w:rsid w:val="00576BC8"/>
    <w:pPr>
      <w:numPr>
        <w:numId w:val="1"/>
      </w:numPr>
      <w:tabs>
        <w:tab w:val="clear" w:pos="567"/>
        <w:tab w:val="left" w:pos="357"/>
      </w:tabs>
      <w:ind w:left="357" w:hanging="357"/>
    </w:pPr>
  </w:style>
  <w:style w:type="paragraph" w:customStyle="1" w:styleId="Page1Name">
    <w:name w:val="Page1_Name"/>
    <w:basedOn w:val="a"/>
    <w:rsid w:val="004F237B"/>
    <w:pPr>
      <w:spacing w:after="420" w:line="360" w:lineRule="atLeast"/>
    </w:pPr>
    <w:rPr>
      <w:b/>
      <w:sz w:val="30"/>
    </w:rPr>
  </w:style>
  <w:style w:type="paragraph" w:customStyle="1" w:styleId="Page1Title">
    <w:name w:val="Page1_Title"/>
    <w:basedOn w:val="a"/>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a6">
    <w:name w:val="Table Grid"/>
    <w:basedOn w:val="a1"/>
    <w:rsid w:val="004F237B"/>
    <w:pPr>
      <w:spacing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a"/>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a"/>
    <w:rsid w:val="0048435F"/>
    <w:pPr>
      <w:spacing w:line="300" w:lineRule="atLeast"/>
    </w:pPr>
    <w:rPr>
      <w:sz w:val="24"/>
    </w:rPr>
  </w:style>
  <w:style w:type="character" w:customStyle="1" w:styleId="10">
    <w:name w:val="标题 1字符"/>
    <w:link w:val="1"/>
    <w:uiPriority w:val="99"/>
    <w:locked/>
    <w:rsid w:val="00B422EC"/>
    <w:rPr>
      <w:rFonts w:ascii="Arial" w:hAnsi="Arial" w:cs="Arial"/>
      <w:b/>
      <w:bCs/>
      <w:kern w:val="32"/>
      <w:sz w:val="36"/>
      <w:szCs w:val="32"/>
      <w:lang w:val="de-DE"/>
    </w:rPr>
  </w:style>
  <w:style w:type="character" w:styleId="a7">
    <w:name w:val="Hyperlink"/>
    <w:rsid w:val="00B422EC"/>
    <w:rPr>
      <w:color w:val="0000FF"/>
      <w:u w:val="single"/>
    </w:rPr>
  </w:style>
  <w:style w:type="paragraph" w:customStyle="1" w:styleId="MittleresRaster1-Akzent21">
    <w:name w:val="Mittleres Raster 1 - Akzent 21"/>
    <w:basedOn w:val="a"/>
    <w:uiPriority w:val="34"/>
    <w:qFormat/>
    <w:rsid w:val="00B422EC"/>
    <w:pPr>
      <w:ind w:left="720"/>
    </w:pPr>
  </w:style>
  <w:style w:type="paragraph" w:styleId="a8">
    <w:name w:val="Balloon Text"/>
    <w:basedOn w:val="a"/>
    <w:link w:val="a9"/>
    <w:rsid w:val="0031379F"/>
    <w:pPr>
      <w:spacing w:line="240" w:lineRule="auto"/>
    </w:pPr>
    <w:rPr>
      <w:rFonts w:ascii="Times New Roman" w:hAnsi="Times New Roman"/>
      <w:sz w:val="18"/>
      <w:szCs w:val="18"/>
    </w:rPr>
  </w:style>
  <w:style w:type="character" w:customStyle="1" w:styleId="a9">
    <w:name w:val="批注框文本字符"/>
    <w:link w:val="a8"/>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eastAsia="en-US"/>
    </w:rPr>
  </w:style>
  <w:style w:type="character" w:customStyle="1" w:styleId="a5">
    <w:name w:val="页脚字符"/>
    <w:link w:val="a4"/>
    <w:uiPriority w:val="99"/>
    <w:rsid w:val="00A66DB1"/>
    <w:rPr>
      <w:rFonts w:ascii="Arial" w:hAnsi="Arial"/>
      <w:b/>
      <w:color w:val="E1000F"/>
      <w:sz w:val="14"/>
      <w:szCs w:val="24"/>
      <w:lang w:eastAsia="en-US"/>
    </w:rPr>
  </w:style>
  <w:style w:type="paragraph" w:styleId="aa">
    <w:name w:val="Date"/>
    <w:basedOn w:val="a"/>
    <w:next w:val="a"/>
    <w:link w:val="ab"/>
    <w:rsid w:val="00E8565B"/>
    <w:pPr>
      <w:ind w:leftChars="2500" w:left="100"/>
    </w:pPr>
  </w:style>
  <w:style w:type="character" w:customStyle="1" w:styleId="ab">
    <w:name w:val="日期字符"/>
    <w:basedOn w:val="a0"/>
    <w:link w:val="aa"/>
    <w:rsid w:val="00E8565B"/>
    <w:rPr>
      <w:rFonts w:ascii="Arial" w:hAnsi="Arial"/>
      <w:szCs w:val="24"/>
      <w:lang w:eastAsia="en-US"/>
    </w:rPr>
  </w:style>
  <w:style w:type="character" w:styleId="ac">
    <w:name w:val="annotation reference"/>
    <w:basedOn w:val="a0"/>
    <w:rsid w:val="00FC2B7F"/>
    <w:rPr>
      <w:sz w:val="21"/>
      <w:szCs w:val="21"/>
    </w:rPr>
  </w:style>
  <w:style w:type="paragraph" w:styleId="ad">
    <w:name w:val="annotation text"/>
    <w:basedOn w:val="a"/>
    <w:link w:val="ae"/>
    <w:rsid w:val="00FC2B7F"/>
  </w:style>
  <w:style w:type="character" w:customStyle="1" w:styleId="ae">
    <w:name w:val="批注文字字符"/>
    <w:basedOn w:val="a0"/>
    <w:link w:val="ad"/>
    <w:rsid w:val="00FC2B7F"/>
    <w:rPr>
      <w:rFonts w:ascii="Arial" w:hAnsi="Arial"/>
      <w:szCs w:val="24"/>
      <w:lang w:eastAsia="en-US"/>
    </w:rPr>
  </w:style>
  <w:style w:type="paragraph" w:styleId="af">
    <w:name w:val="annotation subject"/>
    <w:basedOn w:val="ad"/>
    <w:next w:val="ad"/>
    <w:link w:val="af0"/>
    <w:rsid w:val="00FC2B7F"/>
    <w:rPr>
      <w:b/>
      <w:bCs/>
    </w:rPr>
  </w:style>
  <w:style w:type="character" w:customStyle="1" w:styleId="af0">
    <w:name w:val="批注主题字符"/>
    <w:basedOn w:val="ae"/>
    <w:link w:val="af"/>
    <w:rsid w:val="00FC2B7F"/>
    <w:rPr>
      <w:rFonts w:ascii="Arial" w:hAnsi="Arial"/>
      <w:b/>
      <w:bCs/>
      <w:szCs w:val="24"/>
      <w:lang w:eastAsia="en-US"/>
    </w:rPr>
  </w:style>
  <w:style w:type="paragraph" w:styleId="af1">
    <w:name w:val="Normal (Web)"/>
    <w:basedOn w:val="a"/>
    <w:uiPriority w:val="99"/>
    <w:unhideWhenUsed/>
    <w:rsid w:val="008A666E"/>
    <w:pPr>
      <w:spacing w:line="240" w:lineRule="auto"/>
    </w:pPr>
    <w:rPr>
      <w:rFonts w:ascii="宋体" w:eastAsia="宋体" w:hAnsi="宋体" w:cs="宋体"/>
      <w:sz w:val="24"/>
      <w:lang w:val="en-US" w:eastAsia="zh-CN"/>
    </w:rPr>
  </w:style>
  <w:style w:type="paragraph" w:styleId="af2">
    <w:name w:val="List Paragraph"/>
    <w:basedOn w:val="a"/>
    <w:uiPriority w:val="63"/>
    <w:qFormat/>
    <w:rsid w:val="009413FF"/>
    <w:pPr>
      <w:ind w:firstLineChars="200" w:firstLine="420"/>
    </w:pPr>
    <w:rPr>
      <w:rFonts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12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enkel.com/" TargetMode="External"/><Relationship Id="rId9" Type="http://schemas.openxmlformats.org/officeDocument/2006/relationships/hyperlink" Target="http://www.henkel.de/ir" TargetMode="External"/><Relationship Id="rId10" Type="http://schemas.openxmlformats.org/officeDocument/2006/relationships/hyperlink" Target="http://www.henkel.de/press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png"/><Relationship Id="rId6" Type="http://schemas.openxmlformats.org/officeDocument/2006/relationships/image" Target="media/image7.jpeg"/><Relationship Id="rId7" Type="http://schemas.openxmlformats.org/officeDocument/2006/relationships/image" Target="media/image8.jpeg"/><Relationship Id="rId8" Type="http://schemas.openxmlformats.org/officeDocument/2006/relationships/image" Target="media/image9.jpeg"/><Relationship Id="rId9" Type="http://schemas.openxmlformats.org/officeDocument/2006/relationships/image" Target="media/image10.png"/><Relationship Id="rId1" Type="http://schemas.openxmlformats.org/officeDocument/2006/relationships/image" Target="media/image2.jpe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fri\Local%20Settings\Temporary%20Internet%20Files\Content.Outlook\84C0GJ8G\press-release-template-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1C9D9-A2DB-7944-B717-57A9466FA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C:\Users\wangfri\Local Settings\Temporary Internet Files\Content.Outlook\84C0GJ8G\press-release-template-english.dotx</Template>
  <TotalTime>3</TotalTime>
  <Pages>5</Pages>
  <Words>484</Words>
  <Characters>2760</Characters>
  <Application>Microsoft Macintosh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3238</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Lisa Zhang</dc:creator>
  <cp:lastModifiedBy>mengyz31@sina.com</cp:lastModifiedBy>
  <cp:revision>6</cp:revision>
  <cp:lastPrinted>2016-11-16T08:11:00Z</cp:lastPrinted>
  <dcterms:created xsi:type="dcterms:W3CDTF">2017-08-11T13:37:00Z</dcterms:created>
  <dcterms:modified xsi:type="dcterms:W3CDTF">2017-08-11T13:42:00Z</dcterms:modified>
</cp:coreProperties>
</file>