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A8E51" w14:textId="2123728F" w:rsidR="00B422EC" w:rsidRPr="004D4CB6" w:rsidRDefault="00A149E9" w:rsidP="00F36145">
      <w:pPr>
        <w:ind w:right="-1"/>
        <w:jc w:val="right"/>
        <w:rPr>
          <w:b/>
          <w:i/>
          <w:sz w:val="24"/>
        </w:rPr>
      </w:pPr>
      <w:r>
        <w:t>7</w:t>
      </w:r>
      <w:r w:rsidR="000134E2">
        <w:t xml:space="preserve"> de </w:t>
      </w:r>
      <w:r>
        <w:t>septiembre</w:t>
      </w:r>
      <w:r w:rsidR="000134E2">
        <w:t xml:space="preserve"> de 2017</w:t>
      </w:r>
    </w:p>
    <w:p w14:paraId="4BF2A0AD" w14:textId="77777777" w:rsidR="00A028E6" w:rsidRDefault="00A028E6" w:rsidP="00B422EC">
      <w:pPr>
        <w:pStyle w:val="Standard12pt"/>
      </w:pPr>
    </w:p>
    <w:p w14:paraId="37218DF8" w14:textId="77777777" w:rsidR="00A74BDB" w:rsidRDefault="00A74BDB" w:rsidP="00B422EC">
      <w:pPr>
        <w:pStyle w:val="Standard12pt"/>
      </w:pPr>
    </w:p>
    <w:p w14:paraId="360AF260" w14:textId="5DB51358" w:rsidR="00B422EC" w:rsidRDefault="00A149E9" w:rsidP="00B422EC">
      <w:pPr>
        <w:pStyle w:val="Standard12pt"/>
      </w:pPr>
      <w:r>
        <w:t>Nuevamente inclu</w:t>
      </w:r>
      <w:r w:rsidR="00AE66B4">
        <w:t>i</w:t>
      </w:r>
      <w:r>
        <w:t>da en los índices DJSI, FTSE4Good y Euronext Vigeo Eiris</w:t>
      </w:r>
    </w:p>
    <w:p w14:paraId="28968F13" w14:textId="77777777" w:rsidR="00A149E9" w:rsidRPr="009C4D35" w:rsidRDefault="00A149E9" w:rsidP="00B422EC">
      <w:pPr>
        <w:pStyle w:val="Standard12pt"/>
      </w:pPr>
    </w:p>
    <w:p w14:paraId="5D012B6F" w14:textId="2ACE5968" w:rsidR="0031379F" w:rsidRPr="009C4D35" w:rsidRDefault="00B422EC" w:rsidP="00E93A01">
      <w:pPr>
        <w:pStyle w:val="Ttulo1"/>
        <w:spacing w:line="240" w:lineRule="auto"/>
        <w:rPr>
          <w:sz w:val="32"/>
        </w:rPr>
      </w:pPr>
      <w:r>
        <w:rPr>
          <w:sz w:val="32"/>
        </w:rPr>
        <w:t xml:space="preserve">Henkel </w:t>
      </w:r>
      <w:r w:rsidR="00A149E9">
        <w:rPr>
          <w:sz w:val="32"/>
        </w:rPr>
        <w:t xml:space="preserve">entre las líderes globales en </w:t>
      </w:r>
      <w:r w:rsidR="002F3289">
        <w:rPr>
          <w:sz w:val="32"/>
        </w:rPr>
        <w:t>sustentabilidad</w:t>
      </w:r>
    </w:p>
    <w:p w14:paraId="57E94492" w14:textId="77777777" w:rsidR="002F3289" w:rsidRPr="00A149E9" w:rsidRDefault="002F3289" w:rsidP="002F3289">
      <w:pPr>
        <w:pStyle w:val="NormalWeb"/>
        <w:rPr>
          <w:rFonts w:ascii="MiloPro" w:hAnsi="MiloPro" w:cs="Arial"/>
          <w:color w:val="313A3D"/>
          <w:sz w:val="21"/>
          <w:szCs w:val="21"/>
        </w:rPr>
      </w:pPr>
    </w:p>
    <w:p w14:paraId="6353C21A" w14:textId="0FEBE41D" w:rsidR="00A149E9" w:rsidRPr="00AE66B4" w:rsidRDefault="00A149E9" w:rsidP="00AE66B4">
      <w:pPr>
        <w:pStyle w:val="NormalWeb"/>
        <w:shd w:val="clear" w:color="auto" w:fill="FFFFFF"/>
        <w:spacing w:after="360" w:line="312" w:lineRule="atLeast"/>
        <w:jc w:val="both"/>
        <w:rPr>
          <w:rFonts w:ascii="Arial" w:hAnsi="Arial" w:cs="Arial"/>
          <w:sz w:val="22"/>
          <w:szCs w:val="22"/>
        </w:rPr>
      </w:pPr>
      <w:r w:rsidRPr="00A149E9">
        <w:rPr>
          <w:rFonts w:ascii="Arial" w:hAnsi="Arial" w:cs="Arial"/>
          <w:sz w:val="22"/>
          <w:szCs w:val="22"/>
        </w:rPr>
        <w:t xml:space="preserve">Henkel fue incluida nuevamente en el Índice </w:t>
      </w:r>
      <w:r>
        <w:rPr>
          <w:rFonts w:ascii="Arial" w:hAnsi="Arial" w:cs="Arial"/>
          <w:sz w:val="22"/>
          <w:szCs w:val="22"/>
        </w:rPr>
        <w:t xml:space="preserve">de Sustentabilidad </w:t>
      </w:r>
      <w:r w:rsidRPr="00A149E9">
        <w:rPr>
          <w:rFonts w:ascii="Arial" w:hAnsi="Arial" w:cs="Arial"/>
          <w:sz w:val="22"/>
          <w:szCs w:val="22"/>
        </w:rPr>
        <w:t xml:space="preserve">Dow Jones (DJSI World) </w:t>
      </w:r>
      <w:r>
        <w:rPr>
          <w:rFonts w:ascii="Arial" w:hAnsi="Arial" w:cs="Arial"/>
          <w:sz w:val="22"/>
          <w:szCs w:val="22"/>
        </w:rPr>
        <w:t xml:space="preserve">y el Índice de Sustentabilidad </w:t>
      </w:r>
      <w:r w:rsidRPr="00A149E9">
        <w:rPr>
          <w:rFonts w:ascii="Arial" w:hAnsi="Arial" w:cs="Arial"/>
          <w:sz w:val="22"/>
          <w:szCs w:val="22"/>
        </w:rPr>
        <w:t>Dow Jones Europ</w:t>
      </w:r>
      <w:r>
        <w:rPr>
          <w:rFonts w:ascii="Arial" w:hAnsi="Arial" w:cs="Arial"/>
          <w:sz w:val="22"/>
          <w:szCs w:val="22"/>
        </w:rPr>
        <w:t>a</w:t>
      </w:r>
      <w:r w:rsidRPr="00A149E9">
        <w:rPr>
          <w:rFonts w:ascii="Arial" w:hAnsi="Arial" w:cs="Arial"/>
          <w:sz w:val="22"/>
          <w:szCs w:val="22"/>
        </w:rPr>
        <w:t> (DJSI Europe). La inclusión en ambos índices confirma el excelente desempeño de Henkel entre las compañías líderes en la categoría de Productos para el Hogar</w:t>
      </w:r>
      <w:r>
        <w:rPr>
          <w:rFonts w:ascii="Arial" w:hAnsi="Arial" w:cs="Arial"/>
          <w:sz w:val="22"/>
          <w:szCs w:val="22"/>
        </w:rPr>
        <w:t xml:space="preserve"> y su compromiso con el liderazgo en sustentabilidad</w:t>
      </w:r>
      <w:r w:rsidRPr="00A149E9">
        <w:rPr>
          <w:rFonts w:ascii="Arial" w:hAnsi="Arial" w:cs="Arial"/>
          <w:sz w:val="22"/>
          <w:szCs w:val="22"/>
        </w:rPr>
        <w:t>.</w:t>
      </w:r>
      <w:r>
        <w:rPr>
          <w:rFonts w:ascii="Arial" w:hAnsi="Arial" w:cs="Arial"/>
          <w:sz w:val="22"/>
          <w:szCs w:val="22"/>
        </w:rPr>
        <w:t xml:space="preserve"> </w:t>
      </w:r>
      <w:r w:rsidR="00AE66B4" w:rsidRPr="00AE66B4">
        <w:rPr>
          <w:rFonts w:ascii="Arial" w:hAnsi="Arial" w:cs="Arial"/>
          <w:sz w:val="22"/>
          <w:szCs w:val="22"/>
        </w:rPr>
        <w:t>Sumado a ello, Henkel fue confirmada nuevamente en los Índices</w:t>
      </w:r>
      <w:r w:rsidRPr="00AE66B4">
        <w:rPr>
          <w:rFonts w:ascii="Arial" w:hAnsi="Arial" w:cs="Arial"/>
          <w:sz w:val="22"/>
          <w:szCs w:val="22"/>
        </w:rPr>
        <w:t xml:space="preserve"> FTSE4Good Index Series </w:t>
      </w:r>
      <w:r w:rsidR="00AE66B4">
        <w:rPr>
          <w:rFonts w:ascii="Arial" w:hAnsi="Arial" w:cs="Arial"/>
          <w:sz w:val="22"/>
          <w:szCs w:val="22"/>
        </w:rPr>
        <w:t>y</w:t>
      </w:r>
      <w:r w:rsidRPr="00AE66B4">
        <w:rPr>
          <w:rFonts w:ascii="Arial" w:hAnsi="Arial" w:cs="Arial"/>
          <w:sz w:val="22"/>
          <w:szCs w:val="22"/>
        </w:rPr>
        <w:t xml:space="preserve"> Euronext Vigeo Eiris. </w:t>
      </w:r>
      <w:r w:rsidR="00AE66B4">
        <w:rPr>
          <w:rFonts w:ascii="Arial" w:hAnsi="Arial" w:cs="Arial"/>
          <w:sz w:val="22"/>
          <w:szCs w:val="22"/>
        </w:rPr>
        <w:t>Ambos listan a las corporaciones que siguen los principios del desarrollo sostenible en sus operaciones de negocios</w:t>
      </w:r>
      <w:r w:rsidRPr="00AE66B4">
        <w:rPr>
          <w:rFonts w:ascii="Arial" w:hAnsi="Arial" w:cs="Arial"/>
          <w:sz w:val="22"/>
          <w:szCs w:val="22"/>
        </w:rPr>
        <w:t>.</w:t>
      </w:r>
    </w:p>
    <w:p w14:paraId="1F4A4F17" w14:textId="109B154A" w:rsidR="00A149E9" w:rsidRPr="00AE66B4" w:rsidRDefault="00B5715F" w:rsidP="00AE66B4">
      <w:pPr>
        <w:pStyle w:val="NormalWeb"/>
        <w:shd w:val="clear" w:color="auto" w:fill="FFFFFF"/>
        <w:spacing w:after="360" w:line="312" w:lineRule="atLeast"/>
        <w:jc w:val="both"/>
        <w:rPr>
          <w:rFonts w:ascii="Arial" w:hAnsi="Arial" w:cs="Arial"/>
          <w:sz w:val="22"/>
          <w:szCs w:val="22"/>
        </w:rPr>
      </w:pPr>
      <w:r>
        <w:rPr>
          <w:rFonts w:ascii="Arial" w:hAnsi="Arial" w:cs="Arial"/>
          <w:sz w:val="22"/>
          <w:szCs w:val="22"/>
        </w:rPr>
        <w:t xml:space="preserve">Índices </w:t>
      </w:r>
      <w:r w:rsidR="00A149E9" w:rsidRPr="00AE66B4">
        <w:rPr>
          <w:rFonts w:ascii="Arial" w:hAnsi="Arial" w:cs="Arial"/>
          <w:sz w:val="22"/>
          <w:szCs w:val="22"/>
        </w:rPr>
        <w:t xml:space="preserve">S&amp;P Dow Jones </w:t>
      </w:r>
      <w:r w:rsidR="00AE66B4" w:rsidRPr="00AE66B4">
        <w:rPr>
          <w:rFonts w:ascii="Arial" w:hAnsi="Arial" w:cs="Arial"/>
          <w:sz w:val="22"/>
          <w:szCs w:val="22"/>
        </w:rPr>
        <w:t>y la agencia suiza</w:t>
      </w:r>
      <w:r w:rsidR="00A149E9" w:rsidRPr="00AE66B4">
        <w:rPr>
          <w:rFonts w:ascii="Arial" w:hAnsi="Arial" w:cs="Arial"/>
          <w:sz w:val="22"/>
          <w:szCs w:val="22"/>
        </w:rPr>
        <w:t xml:space="preserve"> RobecoSAM </w:t>
      </w:r>
      <w:r w:rsidR="00AE66B4" w:rsidRPr="00AE66B4">
        <w:rPr>
          <w:rFonts w:ascii="Arial" w:hAnsi="Arial" w:cs="Arial"/>
          <w:sz w:val="22"/>
          <w:szCs w:val="22"/>
        </w:rPr>
        <w:t>anunciaron hoy los resultados de su evaluaci</w:t>
      </w:r>
      <w:r w:rsidR="00AE66B4">
        <w:rPr>
          <w:rFonts w:ascii="Arial" w:hAnsi="Arial" w:cs="Arial"/>
          <w:sz w:val="22"/>
          <w:szCs w:val="22"/>
        </w:rPr>
        <w:t>ón conjunta 2017</w:t>
      </w:r>
      <w:r w:rsidR="00A149E9" w:rsidRPr="00AE66B4">
        <w:rPr>
          <w:rFonts w:ascii="Arial" w:hAnsi="Arial" w:cs="Arial"/>
          <w:sz w:val="22"/>
          <w:szCs w:val="22"/>
        </w:rPr>
        <w:t xml:space="preserve">. </w:t>
      </w:r>
      <w:r w:rsidR="00AE66B4" w:rsidRPr="00AE66B4">
        <w:rPr>
          <w:rFonts w:ascii="Arial" w:hAnsi="Arial" w:cs="Arial"/>
          <w:sz w:val="22"/>
          <w:szCs w:val="22"/>
        </w:rPr>
        <w:t>El rating se basa en criterios económicos, ambientales y sociales a l</w:t>
      </w:r>
      <w:bookmarkStart w:id="0" w:name="_GoBack"/>
      <w:bookmarkEnd w:id="0"/>
      <w:r w:rsidR="00AE66B4" w:rsidRPr="00AE66B4">
        <w:rPr>
          <w:rFonts w:ascii="Arial" w:hAnsi="Arial" w:cs="Arial"/>
          <w:sz w:val="22"/>
          <w:szCs w:val="22"/>
        </w:rPr>
        <w:t>argo plazo</w:t>
      </w:r>
      <w:r w:rsidR="00A149E9" w:rsidRPr="00AE66B4">
        <w:rPr>
          <w:rFonts w:ascii="Arial" w:hAnsi="Arial" w:cs="Arial"/>
          <w:sz w:val="22"/>
          <w:szCs w:val="22"/>
        </w:rPr>
        <w:t xml:space="preserve">, </w:t>
      </w:r>
      <w:r w:rsidR="00AE66B4" w:rsidRPr="00AE66B4">
        <w:rPr>
          <w:rFonts w:ascii="Arial" w:hAnsi="Arial" w:cs="Arial"/>
          <w:sz w:val="22"/>
          <w:szCs w:val="22"/>
        </w:rPr>
        <w:t xml:space="preserve">evaluando </w:t>
      </w:r>
      <w:r w:rsidR="00AE66B4">
        <w:rPr>
          <w:rFonts w:ascii="Arial" w:hAnsi="Arial" w:cs="Arial"/>
          <w:sz w:val="22"/>
          <w:szCs w:val="22"/>
        </w:rPr>
        <w:t>dimensione</w:t>
      </w:r>
      <w:r w:rsidR="00AE66B4" w:rsidRPr="00AE66B4">
        <w:rPr>
          <w:rFonts w:ascii="Arial" w:hAnsi="Arial" w:cs="Arial"/>
          <w:sz w:val="22"/>
          <w:szCs w:val="22"/>
        </w:rPr>
        <w:t>s como gobierno corporativo</w:t>
      </w:r>
      <w:r w:rsidR="00AE66B4">
        <w:rPr>
          <w:rFonts w:ascii="Arial" w:hAnsi="Arial" w:cs="Arial"/>
          <w:sz w:val="22"/>
          <w:szCs w:val="22"/>
        </w:rPr>
        <w:t>, gestión de la innovación, eficiencia de recursos, administración de productos, y derechos humanos</w:t>
      </w:r>
      <w:r w:rsidR="00A149E9" w:rsidRPr="00AE66B4">
        <w:rPr>
          <w:rFonts w:ascii="Arial" w:hAnsi="Arial" w:cs="Arial"/>
          <w:sz w:val="22"/>
          <w:szCs w:val="22"/>
        </w:rPr>
        <w:t>.</w:t>
      </w:r>
      <w:r w:rsidR="00AE66B4">
        <w:rPr>
          <w:rFonts w:ascii="Arial" w:hAnsi="Arial" w:cs="Arial"/>
          <w:sz w:val="22"/>
          <w:szCs w:val="22"/>
        </w:rPr>
        <w:t xml:space="preserve"> </w:t>
      </w:r>
      <w:r w:rsidR="00AE66B4" w:rsidRPr="00AE66B4">
        <w:rPr>
          <w:rFonts w:ascii="Arial" w:hAnsi="Arial" w:cs="Arial"/>
          <w:sz w:val="22"/>
          <w:szCs w:val="22"/>
        </w:rPr>
        <w:t xml:space="preserve">Sólo el 10% de las 2.500 compañías más grandes son seleccionadas por el </w:t>
      </w:r>
      <w:r w:rsidR="00A149E9" w:rsidRPr="00AE66B4">
        <w:rPr>
          <w:rFonts w:ascii="Arial" w:hAnsi="Arial" w:cs="Arial"/>
          <w:sz w:val="22"/>
          <w:szCs w:val="22"/>
        </w:rPr>
        <w:t>DJSI World,</w:t>
      </w:r>
      <w:r w:rsidR="00AE66B4" w:rsidRPr="00AE66B4">
        <w:rPr>
          <w:rFonts w:ascii="Arial" w:hAnsi="Arial" w:cs="Arial"/>
          <w:sz w:val="22"/>
          <w:szCs w:val="22"/>
        </w:rPr>
        <w:t xml:space="preserve"> mientras que s</w:t>
      </w:r>
      <w:r w:rsidR="00AE66B4">
        <w:rPr>
          <w:rFonts w:ascii="Arial" w:hAnsi="Arial" w:cs="Arial"/>
          <w:sz w:val="22"/>
          <w:szCs w:val="22"/>
        </w:rPr>
        <w:t xml:space="preserve">ólo el 20% de las </w:t>
      </w:r>
      <w:r w:rsidR="00A149E9" w:rsidRPr="00AE66B4">
        <w:rPr>
          <w:rFonts w:ascii="Arial" w:hAnsi="Arial" w:cs="Arial"/>
          <w:sz w:val="22"/>
          <w:szCs w:val="22"/>
        </w:rPr>
        <w:t xml:space="preserve">600 </w:t>
      </w:r>
      <w:r w:rsidR="00AE66B4">
        <w:rPr>
          <w:rFonts w:ascii="Arial" w:hAnsi="Arial" w:cs="Arial"/>
          <w:sz w:val="22"/>
          <w:szCs w:val="22"/>
        </w:rPr>
        <w:t xml:space="preserve">corporaciones más grandes de Europa son incluidas en el </w:t>
      </w:r>
      <w:r w:rsidR="00A149E9" w:rsidRPr="00AE66B4">
        <w:rPr>
          <w:rFonts w:ascii="Arial" w:hAnsi="Arial" w:cs="Arial"/>
          <w:sz w:val="22"/>
          <w:szCs w:val="22"/>
        </w:rPr>
        <w:t>DJSI Europe.</w:t>
      </w:r>
    </w:p>
    <w:p w14:paraId="00C8F190" w14:textId="7E5F4FFB" w:rsidR="00A149E9" w:rsidRPr="00B5715F" w:rsidRDefault="00A149E9" w:rsidP="00A149E9">
      <w:pPr>
        <w:pStyle w:val="Ttulo2"/>
        <w:shd w:val="clear" w:color="auto" w:fill="FFFFFF"/>
        <w:spacing w:after="156"/>
        <w:rPr>
          <w:bCs w:val="0"/>
          <w:color w:val="auto"/>
          <w:szCs w:val="22"/>
        </w:rPr>
      </w:pPr>
      <w:r w:rsidRPr="00B5715F">
        <w:rPr>
          <w:b/>
          <w:bCs w:val="0"/>
          <w:color w:val="auto"/>
          <w:szCs w:val="22"/>
        </w:rPr>
        <w:t>Re</w:t>
      </w:r>
      <w:r w:rsidR="00B5715F" w:rsidRPr="00B5715F">
        <w:rPr>
          <w:b/>
          <w:bCs w:val="0"/>
          <w:color w:val="auto"/>
          <w:szCs w:val="22"/>
        </w:rPr>
        <w:t>conocimiento repetido por F</w:t>
      </w:r>
      <w:r w:rsidRPr="00B5715F">
        <w:rPr>
          <w:b/>
          <w:bCs w:val="0"/>
          <w:color w:val="auto"/>
          <w:szCs w:val="22"/>
        </w:rPr>
        <w:t xml:space="preserve">TSE Russell </w:t>
      </w:r>
      <w:r w:rsidR="00B5715F">
        <w:rPr>
          <w:b/>
          <w:bCs w:val="0"/>
          <w:color w:val="auto"/>
          <w:szCs w:val="22"/>
        </w:rPr>
        <w:t>y</w:t>
      </w:r>
      <w:r w:rsidRPr="00B5715F">
        <w:rPr>
          <w:b/>
          <w:bCs w:val="0"/>
          <w:color w:val="auto"/>
          <w:szCs w:val="22"/>
        </w:rPr>
        <w:t xml:space="preserve"> Vigeo Eiris</w:t>
      </w:r>
    </w:p>
    <w:p w14:paraId="37E7CA60" w14:textId="52547065" w:rsidR="00A149E9" w:rsidRPr="00B5715F" w:rsidRDefault="00A149E9" w:rsidP="00864945">
      <w:pPr>
        <w:pStyle w:val="NormalWeb"/>
        <w:shd w:val="clear" w:color="auto" w:fill="FFFFFF"/>
        <w:spacing w:after="360" w:line="312" w:lineRule="atLeast"/>
        <w:jc w:val="both"/>
        <w:rPr>
          <w:rFonts w:ascii="Arial" w:hAnsi="Arial" w:cs="Arial"/>
          <w:sz w:val="22"/>
          <w:szCs w:val="22"/>
        </w:rPr>
      </w:pPr>
      <w:r w:rsidRPr="00B5715F">
        <w:rPr>
          <w:rFonts w:ascii="Arial" w:hAnsi="Arial" w:cs="Arial"/>
          <w:sz w:val="22"/>
          <w:szCs w:val="22"/>
        </w:rPr>
        <w:t>Henkel ha</w:t>
      </w:r>
      <w:r w:rsidR="00B5715F" w:rsidRPr="00B5715F">
        <w:rPr>
          <w:rFonts w:ascii="Arial" w:hAnsi="Arial" w:cs="Arial"/>
          <w:sz w:val="22"/>
          <w:szCs w:val="22"/>
        </w:rPr>
        <w:t xml:space="preserve"> </w:t>
      </w:r>
      <w:r w:rsidRPr="00B5715F">
        <w:rPr>
          <w:rFonts w:ascii="Arial" w:hAnsi="Arial" w:cs="Arial"/>
          <w:sz w:val="22"/>
          <w:szCs w:val="22"/>
        </w:rPr>
        <w:t>s</w:t>
      </w:r>
      <w:r w:rsidR="00B5715F" w:rsidRPr="00B5715F">
        <w:rPr>
          <w:rFonts w:ascii="Arial" w:hAnsi="Arial" w:cs="Arial"/>
          <w:sz w:val="22"/>
          <w:szCs w:val="22"/>
        </w:rPr>
        <w:t>ido incluida en el Índice</w:t>
      </w:r>
      <w:r w:rsidRPr="00B5715F">
        <w:rPr>
          <w:rFonts w:ascii="Arial" w:hAnsi="Arial" w:cs="Arial"/>
          <w:sz w:val="22"/>
          <w:szCs w:val="22"/>
        </w:rPr>
        <w:t xml:space="preserve"> FTSE4Good Series </w:t>
      </w:r>
      <w:r w:rsidR="00B5715F" w:rsidRPr="00B5715F">
        <w:rPr>
          <w:rFonts w:ascii="Arial" w:hAnsi="Arial" w:cs="Arial"/>
          <w:sz w:val="22"/>
          <w:szCs w:val="22"/>
        </w:rPr>
        <w:t>desde</w:t>
      </w:r>
      <w:r w:rsidRPr="00B5715F">
        <w:rPr>
          <w:rFonts w:ascii="Arial" w:hAnsi="Arial" w:cs="Arial"/>
          <w:sz w:val="22"/>
          <w:szCs w:val="22"/>
        </w:rPr>
        <w:t xml:space="preserve"> 2001, </w:t>
      </w:r>
      <w:r w:rsidR="00B5715F" w:rsidRPr="00B5715F">
        <w:rPr>
          <w:rFonts w:ascii="Arial" w:hAnsi="Arial" w:cs="Arial"/>
          <w:sz w:val="22"/>
          <w:szCs w:val="22"/>
        </w:rPr>
        <w:t xml:space="preserve">cuando fue lanzado por el </w:t>
      </w:r>
      <w:r w:rsidRPr="00B5715F">
        <w:rPr>
          <w:rFonts w:ascii="Arial" w:hAnsi="Arial" w:cs="Arial"/>
          <w:sz w:val="22"/>
          <w:szCs w:val="22"/>
        </w:rPr>
        <w:t xml:space="preserve">Financial Times </w:t>
      </w:r>
      <w:r w:rsidR="00B5715F">
        <w:rPr>
          <w:rFonts w:ascii="Arial" w:hAnsi="Arial" w:cs="Arial"/>
          <w:sz w:val="22"/>
          <w:szCs w:val="22"/>
        </w:rPr>
        <w:t xml:space="preserve">y </w:t>
      </w:r>
      <w:r w:rsidRPr="00B5715F">
        <w:rPr>
          <w:rFonts w:ascii="Arial" w:hAnsi="Arial" w:cs="Arial"/>
          <w:sz w:val="22"/>
          <w:szCs w:val="22"/>
        </w:rPr>
        <w:t xml:space="preserve">London Stock Exchange. </w:t>
      </w:r>
      <w:r w:rsidR="00B5715F" w:rsidRPr="00B5715F">
        <w:rPr>
          <w:rFonts w:ascii="Arial" w:hAnsi="Arial" w:cs="Arial"/>
          <w:sz w:val="22"/>
          <w:szCs w:val="22"/>
        </w:rPr>
        <w:t>Esta serie de índices se estableció para identificar compañías que demuestran fuertes pr</w:t>
      </w:r>
      <w:r w:rsidR="00B5715F">
        <w:rPr>
          <w:rFonts w:ascii="Arial" w:hAnsi="Arial" w:cs="Arial"/>
          <w:sz w:val="22"/>
          <w:szCs w:val="22"/>
        </w:rPr>
        <w:t>á</w:t>
      </w:r>
      <w:r w:rsidR="00B5715F" w:rsidRPr="00B5715F">
        <w:rPr>
          <w:rFonts w:ascii="Arial" w:hAnsi="Arial" w:cs="Arial"/>
          <w:sz w:val="22"/>
          <w:szCs w:val="22"/>
        </w:rPr>
        <w:t xml:space="preserve">cticas </w:t>
      </w:r>
      <w:r w:rsidR="00B5715F">
        <w:rPr>
          <w:rFonts w:ascii="Arial" w:hAnsi="Arial" w:cs="Arial"/>
          <w:sz w:val="22"/>
          <w:szCs w:val="22"/>
        </w:rPr>
        <w:t>a</w:t>
      </w:r>
      <w:r w:rsidR="00B5715F" w:rsidRPr="00B5715F">
        <w:rPr>
          <w:rFonts w:ascii="Arial" w:hAnsi="Arial" w:cs="Arial"/>
          <w:sz w:val="22"/>
          <w:szCs w:val="22"/>
        </w:rPr>
        <w:t>mbientales, sociales y de gobierno medidas en base a est</w:t>
      </w:r>
      <w:r w:rsidR="00B5715F">
        <w:rPr>
          <w:rFonts w:ascii="Arial" w:hAnsi="Arial" w:cs="Arial"/>
          <w:sz w:val="22"/>
          <w:szCs w:val="22"/>
        </w:rPr>
        <w:t>ándares globalmente reconocidos</w:t>
      </w:r>
      <w:r w:rsidRPr="00B5715F">
        <w:rPr>
          <w:rFonts w:ascii="Arial" w:hAnsi="Arial" w:cs="Arial"/>
          <w:sz w:val="22"/>
          <w:szCs w:val="22"/>
        </w:rPr>
        <w:t xml:space="preserve">. </w:t>
      </w:r>
      <w:r w:rsidR="00B5715F" w:rsidRPr="00B5715F">
        <w:rPr>
          <w:rFonts w:ascii="Arial" w:hAnsi="Arial" w:cs="Arial"/>
          <w:sz w:val="22"/>
          <w:szCs w:val="22"/>
        </w:rPr>
        <w:t>Además</w:t>
      </w:r>
      <w:r w:rsidRPr="00B5715F">
        <w:rPr>
          <w:rFonts w:ascii="Arial" w:hAnsi="Arial" w:cs="Arial"/>
          <w:sz w:val="22"/>
          <w:szCs w:val="22"/>
        </w:rPr>
        <w:t>, Henkel</w:t>
      </w:r>
      <w:r w:rsidR="00B5715F" w:rsidRPr="00B5715F">
        <w:rPr>
          <w:rFonts w:ascii="Arial" w:hAnsi="Arial" w:cs="Arial"/>
          <w:sz w:val="22"/>
          <w:szCs w:val="22"/>
        </w:rPr>
        <w:t xml:space="preserve"> fue listada nuevamente en los </w:t>
      </w:r>
      <w:r w:rsidR="00B5715F">
        <w:rPr>
          <w:rFonts w:ascii="Arial" w:hAnsi="Arial" w:cs="Arial"/>
          <w:sz w:val="22"/>
          <w:szCs w:val="22"/>
        </w:rPr>
        <w:t>índices</w:t>
      </w:r>
      <w:r w:rsidRPr="00B5715F">
        <w:rPr>
          <w:rFonts w:ascii="Arial" w:hAnsi="Arial" w:cs="Arial"/>
          <w:sz w:val="22"/>
          <w:szCs w:val="22"/>
        </w:rPr>
        <w:t xml:space="preserve"> </w:t>
      </w:r>
      <w:r w:rsidR="00B5715F">
        <w:rPr>
          <w:rFonts w:ascii="Arial" w:hAnsi="Arial" w:cs="Arial"/>
          <w:sz w:val="22"/>
          <w:szCs w:val="22"/>
        </w:rPr>
        <w:t xml:space="preserve">de sustentabilidad </w:t>
      </w:r>
      <w:r w:rsidRPr="00B5715F">
        <w:rPr>
          <w:rFonts w:ascii="Arial" w:hAnsi="Arial" w:cs="Arial"/>
          <w:sz w:val="22"/>
          <w:szCs w:val="22"/>
        </w:rPr>
        <w:t xml:space="preserve">Euronext Vigeo Eiris World 120, Europe 120 </w:t>
      </w:r>
      <w:r w:rsidR="00B5715F">
        <w:rPr>
          <w:rFonts w:ascii="Arial" w:hAnsi="Arial" w:cs="Arial"/>
          <w:sz w:val="22"/>
          <w:szCs w:val="22"/>
        </w:rPr>
        <w:t>y</w:t>
      </w:r>
      <w:r w:rsidRPr="00B5715F">
        <w:rPr>
          <w:rFonts w:ascii="Arial" w:hAnsi="Arial" w:cs="Arial"/>
          <w:sz w:val="22"/>
          <w:szCs w:val="22"/>
        </w:rPr>
        <w:t xml:space="preserve"> Eurozone 120. </w:t>
      </w:r>
      <w:r w:rsidR="00B5715F" w:rsidRPr="00B5715F">
        <w:rPr>
          <w:rFonts w:ascii="Arial" w:hAnsi="Arial" w:cs="Arial"/>
          <w:sz w:val="22"/>
          <w:szCs w:val="22"/>
        </w:rPr>
        <w:t>Éstos son llevados a cabo por la bolsa de valores transatlántica NYSE Euronext y la agencia de calificación Vigeo Eiris</w:t>
      </w:r>
      <w:r w:rsidR="00B5715F">
        <w:rPr>
          <w:rFonts w:ascii="Arial" w:hAnsi="Arial" w:cs="Arial"/>
          <w:sz w:val="22"/>
          <w:szCs w:val="22"/>
        </w:rPr>
        <w:t>, e incluyen a las 120 compañías mejor rankeadas en el respectivo índice</w:t>
      </w:r>
      <w:r w:rsidRPr="00B5715F">
        <w:rPr>
          <w:rFonts w:ascii="Arial" w:hAnsi="Arial" w:cs="Arial"/>
          <w:sz w:val="22"/>
          <w:szCs w:val="22"/>
        </w:rPr>
        <w:t>.</w:t>
      </w:r>
    </w:p>
    <w:p w14:paraId="648C17AB" w14:textId="53BE6E94" w:rsidR="002F3289" w:rsidRPr="00560537" w:rsidRDefault="00560537" w:rsidP="002F3289">
      <w:pPr>
        <w:pStyle w:val="NormalWeb"/>
        <w:rPr>
          <w:rFonts w:ascii="Arial" w:hAnsi="Arial" w:cs="Arial"/>
          <w:color w:val="313A3D"/>
          <w:sz w:val="20"/>
          <w:szCs w:val="20"/>
        </w:rPr>
      </w:pPr>
      <w:r w:rsidRPr="00B90F36">
        <w:rPr>
          <w:rFonts w:ascii="Arial" w:hAnsi="Arial" w:cs="Arial"/>
          <w:sz w:val="20"/>
          <w:szCs w:val="20"/>
        </w:rPr>
        <w:t>Para mayor información sobre Sustentabilidad en Henkel, ingresar en</w:t>
      </w:r>
      <w:r w:rsidR="002F3289" w:rsidRPr="00560537">
        <w:rPr>
          <w:rFonts w:ascii="Arial" w:hAnsi="Arial" w:cs="Arial"/>
          <w:color w:val="313A3D"/>
          <w:sz w:val="20"/>
          <w:szCs w:val="20"/>
        </w:rPr>
        <w:t xml:space="preserve"> </w:t>
      </w:r>
      <w:hyperlink r:id="rId8" w:tgtFrame="_blank" w:history="1">
        <w:r w:rsidR="002F3289" w:rsidRPr="00560537">
          <w:rPr>
            <w:rStyle w:val="Hipervnculo"/>
            <w:rFonts w:ascii="Arial" w:hAnsi="Arial" w:cs="Arial"/>
            <w:sz w:val="20"/>
            <w:szCs w:val="20"/>
          </w:rPr>
          <w:t>www.henkel.com/sustainability</w:t>
        </w:r>
      </w:hyperlink>
      <w:r w:rsidR="002F3289" w:rsidRPr="00560537">
        <w:rPr>
          <w:rFonts w:ascii="Arial" w:hAnsi="Arial" w:cs="Arial"/>
          <w:color w:val="313A3D"/>
          <w:sz w:val="20"/>
          <w:szCs w:val="20"/>
        </w:rPr>
        <w:t xml:space="preserve">. </w:t>
      </w:r>
    </w:p>
    <w:p w14:paraId="5F0F111B" w14:textId="0C2B80F3" w:rsidR="002F3289" w:rsidRDefault="002F3289" w:rsidP="002F3289">
      <w:pPr>
        <w:pStyle w:val="NormalWeb"/>
        <w:rPr>
          <w:rFonts w:ascii="MiloPro" w:hAnsi="MiloPro" w:cs="Arial"/>
          <w:color w:val="313A3D"/>
          <w:sz w:val="21"/>
          <w:szCs w:val="21"/>
        </w:rPr>
      </w:pPr>
    </w:p>
    <w:p w14:paraId="7BFEA23F" w14:textId="7F7F9592" w:rsidR="009E2A47" w:rsidRDefault="009E2A47" w:rsidP="002F3289">
      <w:pPr>
        <w:pStyle w:val="NormalWeb"/>
        <w:rPr>
          <w:rFonts w:ascii="MiloPro" w:hAnsi="MiloPro" w:cs="Arial"/>
          <w:color w:val="313A3D"/>
          <w:sz w:val="21"/>
          <w:szCs w:val="21"/>
        </w:rPr>
      </w:pPr>
    </w:p>
    <w:p w14:paraId="5C9A114D" w14:textId="7708680D" w:rsidR="009E2A47" w:rsidRDefault="009E2A47" w:rsidP="002F3289">
      <w:pPr>
        <w:pStyle w:val="NormalWeb"/>
        <w:rPr>
          <w:rFonts w:ascii="MiloPro" w:hAnsi="MiloPro" w:cs="Arial"/>
          <w:color w:val="313A3D"/>
          <w:sz w:val="21"/>
          <w:szCs w:val="21"/>
        </w:rPr>
      </w:pPr>
    </w:p>
    <w:p w14:paraId="188CAB31" w14:textId="0838B24A" w:rsidR="009E2A47" w:rsidRDefault="009E2A47" w:rsidP="002F3289">
      <w:pPr>
        <w:pStyle w:val="NormalWeb"/>
        <w:rPr>
          <w:rFonts w:ascii="MiloPro" w:hAnsi="MiloPro" w:cs="Arial"/>
          <w:color w:val="313A3D"/>
          <w:sz w:val="21"/>
          <w:szCs w:val="21"/>
        </w:rPr>
      </w:pPr>
    </w:p>
    <w:p w14:paraId="021C66CD" w14:textId="77777777" w:rsidR="009E2A47" w:rsidRDefault="009E2A47" w:rsidP="002F3289">
      <w:pPr>
        <w:pStyle w:val="NormalWeb"/>
        <w:rPr>
          <w:rFonts w:ascii="MiloPro" w:hAnsi="MiloPro" w:cs="Arial"/>
          <w:color w:val="313A3D"/>
          <w:sz w:val="21"/>
          <w:szCs w:val="21"/>
        </w:rPr>
      </w:pPr>
    </w:p>
    <w:p w14:paraId="78116703" w14:textId="77777777" w:rsidR="009E2A47" w:rsidRPr="00F6115C" w:rsidRDefault="009E2A47" w:rsidP="009E2A47">
      <w:pPr>
        <w:spacing w:after="160" w:line="240" w:lineRule="auto"/>
        <w:jc w:val="both"/>
        <w:rPr>
          <w:rFonts w:eastAsia="Calibri" w:cs="Arial"/>
          <w:b/>
          <w:szCs w:val="20"/>
          <w:lang w:val="es-AR"/>
        </w:rPr>
      </w:pPr>
      <w:r w:rsidRPr="00F6115C">
        <w:rPr>
          <w:rFonts w:eastAsia="Calibri" w:cs="Arial"/>
          <w:b/>
          <w:szCs w:val="20"/>
          <w:lang w:val="es-AR"/>
        </w:rPr>
        <w:lastRenderedPageBreak/>
        <w:t xml:space="preserve">Acerca de Henkel </w:t>
      </w:r>
    </w:p>
    <w:p w14:paraId="4EA9E14A" w14:textId="77777777" w:rsidR="009E2A47" w:rsidRPr="00F6115C" w:rsidRDefault="009E2A47" w:rsidP="009E2A47">
      <w:pPr>
        <w:spacing w:line="240" w:lineRule="auto"/>
        <w:jc w:val="both"/>
        <w:rPr>
          <w:rStyle w:val="Hipervnculo"/>
          <w:rFonts w:cs="Arial"/>
          <w:szCs w:val="20"/>
          <w:lang w:val="es-AR"/>
        </w:rPr>
      </w:pPr>
      <w:r w:rsidRPr="00F6115C">
        <w:rPr>
          <w:rFonts w:cs="Arial"/>
          <w:szCs w:val="20"/>
        </w:rPr>
        <w:t>Henkel opera globalmente con un portfolio diversificado y bien balanceado. La compañía mantiene posiciones de liderazgo en sus tres áreas de negocio en mercados industriales y de consumo gracias a marcas fuertes, innovaciones y tecnologías. Henkel Adhesive Technologies es el líder global en el mercado de adhesivos, a lo largo de todos los segmentos de la industria. En sus negocios de Laundry &amp; Home Care y Beauty Care, Henkel ocupa posiciones de Liderazgo en muchos mercados y categorías  alrededor del mundo. Fundada en 1876, Henkel mira hacia atrás más de 140 años de éxito. En 2016, Henkel reportó ventas por 18,7 mil millones de euros (alrededor de 19,7 mil millones de dólares), con un beneficio operativo ajustado de 3,2 mil millones de euros (cerca de 3,4 mil millones de dólares). Sus tres marcas líderes, Persil (detergentes), Schwarzkopf (cuidado del cabello) y Loctite (adhesivos) generaron más de 6 mil millones de euros (cerca de 6,3 mil millones de dólares) en ventas combinadas. Henkel emplea a alrededor de 50.000 personas globalmente – un equipo apasionado y altamente diverso, unido por una fuerte cultura corporativa, un propósito común de crear valor sustentable, y valores compartidos. Como un líder reconocido en sustentabilidad, Henkel mantiene posiciones de liderazgo en muchos rankings e índices internacionales. Las acciones preferenciales de Henkel cotizan en el índice bursátil alemán DAX. Más información en</w:t>
      </w:r>
      <w:r w:rsidRPr="00F6115C">
        <w:rPr>
          <w:rFonts w:cs="Arial"/>
          <w:szCs w:val="20"/>
          <w:lang w:val="es-AR"/>
        </w:rPr>
        <w:t xml:space="preserve"> </w:t>
      </w:r>
      <w:hyperlink r:id="rId9" w:history="1">
        <w:r w:rsidRPr="00F6115C">
          <w:rPr>
            <w:rStyle w:val="Hipervnculo"/>
            <w:rFonts w:cs="Arial"/>
            <w:szCs w:val="20"/>
            <w:lang w:val="es-AR"/>
          </w:rPr>
          <w:t>www.henkel.com</w:t>
        </w:r>
      </w:hyperlink>
      <w:r w:rsidRPr="00F6115C">
        <w:rPr>
          <w:rStyle w:val="Hipervnculo"/>
          <w:rFonts w:cs="Arial"/>
          <w:szCs w:val="20"/>
          <w:lang w:val="es-AR"/>
        </w:rPr>
        <w:t>.</w:t>
      </w:r>
    </w:p>
    <w:p w14:paraId="6C8F8E39" w14:textId="77777777" w:rsidR="00B5715F" w:rsidRPr="00560537" w:rsidRDefault="00B5715F" w:rsidP="002F3289">
      <w:pPr>
        <w:pStyle w:val="NormalWeb"/>
        <w:rPr>
          <w:rFonts w:ascii="MiloPro" w:hAnsi="MiloPro" w:cs="Arial"/>
          <w:color w:val="313A3D"/>
          <w:sz w:val="21"/>
          <w:szCs w:val="21"/>
        </w:rPr>
      </w:pPr>
    </w:p>
    <w:p w14:paraId="025534F6" w14:textId="77777777" w:rsidR="00AB1CB6" w:rsidRPr="00B5715F" w:rsidRDefault="00AB1CB6" w:rsidP="00B422EC">
      <w:pPr>
        <w:pStyle w:val="Standard12pt"/>
        <w:rPr>
          <w:rFonts w:ascii="Calibri" w:hAnsi="Calibri"/>
          <w:sz w:val="22"/>
          <w:szCs w:val="22"/>
        </w:rPr>
      </w:pPr>
    </w:p>
    <w:sectPr w:rsidR="00AB1CB6" w:rsidRPr="00B5715F" w:rsidSect="00817DE8">
      <w:headerReference w:type="default" r:id="rId10"/>
      <w:footerReference w:type="default" r:id="rId11"/>
      <w:headerReference w:type="first" r:id="rId12"/>
      <w:footerReference w:type="first" r:id="rId13"/>
      <w:pgSz w:w="11907" w:h="16840" w:code="9"/>
      <w:pgMar w:top="1134" w:right="1418" w:bottom="1985"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01CE0" w14:textId="77777777" w:rsidR="00415EC1" w:rsidRDefault="00415EC1">
      <w:r>
        <w:separator/>
      </w:r>
    </w:p>
  </w:endnote>
  <w:endnote w:type="continuationSeparator" w:id="0">
    <w:p w14:paraId="5DFDB29D" w14:textId="77777777" w:rsidR="00415EC1" w:rsidRDefault="0041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loPro">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EC728" w14:textId="51407245" w:rsidR="00CF6F33" w:rsidRPr="00C24C17" w:rsidRDefault="00CF6F33" w:rsidP="00D260A2">
    <w:pPr>
      <w:pStyle w:val="Piedepgina"/>
      <w:tabs>
        <w:tab w:val="clear" w:pos="7083"/>
        <w:tab w:val="clear" w:pos="8640"/>
        <w:tab w:val="right" w:pos="9057"/>
      </w:tabs>
      <w:rPr>
        <w:b w:val="0"/>
        <w:color w:val="auto"/>
      </w:rPr>
    </w:pPr>
    <w:r>
      <w:rPr>
        <w:color w:val="auto"/>
      </w:rPr>
      <w:t>Henkel AG &amp; Co. KGaA</w:t>
    </w:r>
    <w:r>
      <w:tab/>
    </w:r>
    <w:r>
      <w:rPr>
        <w:b w:val="0"/>
        <w:color w:val="auto"/>
      </w:rPr>
      <w:t xml:space="preserve">Página </w:t>
    </w:r>
    <w:r w:rsidR="002B58EA" w:rsidRPr="004F3A2A">
      <w:rPr>
        <w:b w:val="0"/>
        <w:color w:val="auto"/>
      </w:rPr>
      <w:fldChar w:fldCharType="begin"/>
    </w:r>
    <w:r w:rsidRPr="00C24C17">
      <w:rPr>
        <w:b w:val="0"/>
        <w:color w:val="auto"/>
      </w:rPr>
      <w:instrText xml:space="preserve"> </w:instrText>
    </w:r>
    <w:r w:rsidR="00262C05">
      <w:rPr>
        <w:b w:val="0"/>
        <w:color w:val="auto"/>
      </w:rPr>
      <w:instrText>PAGE</w:instrText>
    </w:r>
    <w:r w:rsidRPr="00C24C17">
      <w:rPr>
        <w:b w:val="0"/>
        <w:color w:val="auto"/>
      </w:rPr>
      <w:instrText xml:space="preserve">  \* Arabic  \* MERGEFORMAT </w:instrText>
    </w:r>
    <w:r w:rsidR="002B58EA" w:rsidRPr="004F3A2A">
      <w:rPr>
        <w:b w:val="0"/>
        <w:color w:val="auto"/>
      </w:rPr>
      <w:fldChar w:fldCharType="separate"/>
    </w:r>
    <w:r w:rsidR="00864945">
      <w:rPr>
        <w:b w:val="0"/>
        <w:noProof/>
        <w:color w:val="auto"/>
      </w:rPr>
      <w:t>2</w:t>
    </w:r>
    <w:r w:rsidR="002B58EA" w:rsidRPr="004F3A2A">
      <w:rPr>
        <w:b w:val="0"/>
        <w:color w:val="auto"/>
      </w:rPr>
      <w:fldChar w:fldCharType="end"/>
    </w:r>
    <w:r>
      <w:rPr>
        <w:b w:val="0"/>
        <w:color w:val="auto"/>
      </w:rPr>
      <w:t>/</w:t>
    </w:r>
    <w:r w:rsidR="00415EC1">
      <w:fldChar w:fldCharType="begin"/>
    </w:r>
    <w:r w:rsidR="00415EC1">
      <w:instrText xml:space="preserve"> NUMPAGES  \* Arabic  \* MERGEFORMAT </w:instrText>
    </w:r>
    <w:r w:rsidR="00415EC1">
      <w:fldChar w:fldCharType="separate"/>
    </w:r>
    <w:r w:rsidR="00864945" w:rsidRPr="00864945">
      <w:rPr>
        <w:b w:val="0"/>
        <w:noProof/>
        <w:color w:val="auto"/>
      </w:rPr>
      <w:t>2</w:t>
    </w:r>
    <w:r w:rsidR="00415EC1">
      <w:rPr>
        <w:b w:val="0"/>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DE093" w14:textId="77777777" w:rsidR="00CF6F33" w:rsidRDefault="00B244D6" w:rsidP="001162B4">
    <w:pPr>
      <w:pStyle w:val="Piedepgina"/>
      <w:jc w:val="distribute"/>
      <w:rPr>
        <w:b w:val="0"/>
        <w:color w:val="auto"/>
      </w:rPr>
    </w:pPr>
    <w:r>
      <w:rPr>
        <w:b w:val="0"/>
        <w:noProof/>
        <w:color w:val="auto"/>
        <w:lang w:bidi="ar-SA"/>
      </w:rPr>
      <w:drawing>
        <wp:inline distT="0" distB="0" distL="0" distR="0" wp14:anchorId="69F0B780" wp14:editId="52BC9F36">
          <wp:extent cx="419100" cy="142875"/>
          <wp:effectExtent l="0" t="0" r="0" b="9525"/>
          <wp:docPr id="1" name="Bild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b w:val="0"/>
        <w:color w:val="auto"/>
      </w:rPr>
      <w:t xml:space="preserve"> </w:t>
    </w:r>
    <w:r>
      <w:rPr>
        <w:b w:val="0"/>
        <w:noProof/>
        <w:color w:val="auto"/>
        <w:position w:val="-1"/>
        <w:lang w:bidi="ar-SA"/>
      </w:rPr>
      <w:drawing>
        <wp:inline distT="0" distB="0" distL="0" distR="0" wp14:anchorId="2934C22B" wp14:editId="6809C682">
          <wp:extent cx="352425" cy="142875"/>
          <wp:effectExtent l="0" t="0" r="9525" b="9525"/>
          <wp:docPr id="2" name="Bild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b w:val="0"/>
        <w:color w:val="auto"/>
      </w:rPr>
      <w:t xml:space="preserve"> </w:t>
    </w:r>
    <w:r>
      <w:rPr>
        <w:noProof/>
        <w:color w:val="auto"/>
        <w:position w:val="-14"/>
        <w:lang w:bidi="ar-SA"/>
      </w:rPr>
      <w:drawing>
        <wp:inline distT="0" distB="0" distL="0" distR="0" wp14:anchorId="5A114FBA" wp14:editId="652C7EFD">
          <wp:extent cx="238125" cy="238125"/>
          <wp:effectExtent l="0" t="0" r="9525" b="9525"/>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b w:val="0"/>
        <w:color w:val="auto"/>
      </w:rPr>
      <w:t xml:space="preserve"> </w:t>
    </w:r>
    <w:r>
      <w:rPr>
        <w:b w:val="0"/>
        <w:noProof/>
        <w:color w:val="auto"/>
        <w:position w:val="-10"/>
        <w:lang w:bidi="ar-SA"/>
      </w:rPr>
      <w:drawing>
        <wp:inline distT="0" distB="0" distL="0" distR="0" wp14:anchorId="7710A9BE" wp14:editId="554CC533">
          <wp:extent cx="619125" cy="266700"/>
          <wp:effectExtent l="0" t="0" r="9525" b="0"/>
          <wp:docPr id="4" name="Bild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Pr>
        <w:b w:val="0"/>
        <w:color w:val="auto"/>
      </w:rPr>
      <w:t xml:space="preserve"> </w:t>
    </w:r>
    <w:r>
      <w:rPr>
        <w:b w:val="0"/>
        <w:noProof/>
        <w:color w:val="auto"/>
        <w:position w:val="-10"/>
        <w:lang w:bidi="ar-SA"/>
      </w:rPr>
      <w:drawing>
        <wp:inline distT="0" distB="0" distL="0" distR="0" wp14:anchorId="7D361402" wp14:editId="1EAA92CE">
          <wp:extent cx="352425" cy="266700"/>
          <wp:effectExtent l="0" t="0" r="9525" b="0"/>
          <wp:docPr id="5" name="Bild 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Pr>
        <w:b w:val="0"/>
        <w:color w:val="auto"/>
      </w:rPr>
      <w:t xml:space="preserve"> </w:t>
    </w:r>
    <w:r>
      <w:rPr>
        <w:b w:val="0"/>
        <w:noProof/>
        <w:color w:val="auto"/>
        <w:position w:val="-4"/>
        <w:lang w:bidi="ar-SA"/>
      </w:rPr>
      <w:drawing>
        <wp:inline distT="0" distB="0" distL="0" distR="0" wp14:anchorId="10CEA8E7" wp14:editId="63326501">
          <wp:extent cx="495300" cy="123825"/>
          <wp:effectExtent l="0" t="0" r="0" b="9525"/>
          <wp:docPr id="6" name="Bild 6"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Pr>
        <w:b w:val="0"/>
        <w:color w:val="auto"/>
      </w:rPr>
      <w:t xml:space="preserve"> </w:t>
    </w:r>
    <w:r>
      <w:rPr>
        <w:b w:val="0"/>
        <w:noProof/>
        <w:color w:val="auto"/>
        <w:lang w:bidi="ar-SA"/>
      </w:rPr>
      <w:drawing>
        <wp:inline distT="0" distB="0" distL="0" distR="0" wp14:anchorId="1F59D552" wp14:editId="54596B3A">
          <wp:extent cx="590550" cy="104775"/>
          <wp:effectExtent l="0" t="0" r="0" b="9525"/>
          <wp:docPr id="7" name="Bild 7"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Pr>
        <w:b w:val="0"/>
        <w:color w:val="auto"/>
      </w:rPr>
      <w:t xml:space="preserve"> </w:t>
    </w:r>
    <w:r>
      <w:rPr>
        <w:b w:val="0"/>
        <w:noProof/>
        <w:color w:val="auto"/>
        <w:lang w:bidi="ar-SA"/>
      </w:rPr>
      <w:drawing>
        <wp:inline distT="0" distB="0" distL="0" distR="0" wp14:anchorId="05737201" wp14:editId="38E9535A">
          <wp:extent cx="1000125" cy="104775"/>
          <wp:effectExtent l="0" t="0" r="9525" b="9525"/>
          <wp:docPr id="8" name="Bild 8"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rPr>
        <w:b w:val="0"/>
        <w:color w:val="auto"/>
      </w:rPr>
      <w:t xml:space="preserve"> </w:t>
    </w:r>
    <w:r>
      <w:rPr>
        <w:b w:val="0"/>
        <w:noProof/>
        <w:color w:val="auto"/>
        <w:lang w:bidi="ar-SA"/>
      </w:rPr>
      <w:drawing>
        <wp:inline distT="0" distB="0" distL="0" distR="0" wp14:anchorId="6A2F6601" wp14:editId="37692B0D">
          <wp:extent cx="885825" cy="114300"/>
          <wp:effectExtent l="0" t="0" r="9525" b="0"/>
          <wp:docPr id="9" name="Bild 9"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114300"/>
                  </a:xfrm>
                  <a:prstGeom prst="rect">
                    <a:avLst/>
                  </a:prstGeom>
                  <a:noFill/>
                  <a:ln>
                    <a:noFill/>
                  </a:ln>
                </pic:spPr>
              </pic:pic>
            </a:graphicData>
          </a:graphic>
        </wp:inline>
      </w:drawing>
    </w:r>
  </w:p>
  <w:p w14:paraId="413D1B1A" w14:textId="5DA90454" w:rsidR="00CF6F33" w:rsidRPr="00655DA8" w:rsidRDefault="00B422EC" w:rsidP="00D260A2">
    <w:pPr>
      <w:pStyle w:val="Piedepgina"/>
      <w:jc w:val="right"/>
      <w:rPr>
        <w:color w:val="auto"/>
      </w:rPr>
    </w:pPr>
    <w:r>
      <w:rPr>
        <w:b w:val="0"/>
        <w:color w:val="auto"/>
      </w:rPr>
      <w:t xml:space="preserve">Página </w:t>
    </w:r>
    <w:r w:rsidR="002B58EA" w:rsidRPr="004F237B">
      <w:rPr>
        <w:b w:val="0"/>
        <w:color w:val="auto"/>
      </w:rPr>
      <w:fldChar w:fldCharType="begin"/>
    </w:r>
    <w:r w:rsidR="00CF6F33" w:rsidRPr="004F237B">
      <w:rPr>
        <w:b w:val="0"/>
        <w:color w:val="auto"/>
      </w:rPr>
      <w:instrText xml:space="preserve"> </w:instrText>
    </w:r>
    <w:r w:rsidR="00262C05">
      <w:rPr>
        <w:b w:val="0"/>
        <w:color w:val="auto"/>
      </w:rPr>
      <w:instrText>PAGE</w:instrText>
    </w:r>
    <w:r w:rsidR="00CF6F33" w:rsidRPr="004F237B">
      <w:rPr>
        <w:b w:val="0"/>
        <w:color w:val="auto"/>
      </w:rPr>
      <w:instrText xml:space="preserve">  \* Arabic  \* MERGEFORMAT </w:instrText>
    </w:r>
    <w:r w:rsidR="002B58EA" w:rsidRPr="004F237B">
      <w:rPr>
        <w:b w:val="0"/>
        <w:color w:val="auto"/>
      </w:rPr>
      <w:fldChar w:fldCharType="separate"/>
    </w:r>
    <w:r w:rsidR="00415EC1">
      <w:rPr>
        <w:b w:val="0"/>
        <w:noProof/>
        <w:color w:val="auto"/>
      </w:rPr>
      <w:t>1</w:t>
    </w:r>
    <w:r w:rsidR="002B58EA" w:rsidRPr="004F237B">
      <w:rPr>
        <w:b w:val="0"/>
        <w:color w:val="auto"/>
      </w:rPr>
      <w:fldChar w:fldCharType="end"/>
    </w:r>
    <w:r>
      <w:rPr>
        <w:b w:val="0"/>
        <w:color w:val="auto"/>
      </w:rPr>
      <w:t>/</w:t>
    </w:r>
    <w:r w:rsidR="00415EC1">
      <w:fldChar w:fldCharType="begin"/>
    </w:r>
    <w:r w:rsidR="00415EC1">
      <w:instrText xml:space="preserve"> NUMPAGES  \* Arabic  \* MERGEFORMAT </w:instrText>
    </w:r>
    <w:r w:rsidR="00415EC1">
      <w:fldChar w:fldCharType="separate"/>
    </w:r>
    <w:r w:rsidR="00415EC1" w:rsidRPr="00415EC1">
      <w:rPr>
        <w:b w:val="0"/>
        <w:noProof/>
        <w:color w:val="auto"/>
      </w:rPr>
      <w:t>1</w:t>
    </w:r>
    <w:r w:rsidR="00415EC1">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6E5F3" w14:textId="77777777" w:rsidR="00415EC1" w:rsidRDefault="00415EC1">
      <w:r>
        <w:separator/>
      </w:r>
    </w:p>
  </w:footnote>
  <w:footnote w:type="continuationSeparator" w:id="0">
    <w:p w14:paraId="4F53F6DF" w14:textId="77777777" w:rsidR="00415EC1" w:rsidRDefault="0041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0B225" w14:textId="499289A1" w:rsidR="00CF6F33" w:rsidRDefault="00572A67" w:rsidP="00D260A2">
    <w:pPr>
      <w:pStyle w:val="Encabezado"/>
      <w:jc w:val="right"/>
    </w:pPr>
    <w:r>
      <w:rPr>
        <w:noProof/>
        <w:lang w:bidi="ar-SA"/>
      </w:rPr>
      <mc:AlternateContent>
        <mc:Choice Requires="wpg">
          <w:drawing>
            <wp:anchor distT="0" distB="0" distL="114300" distR="114300" simplePos="0" relativeHeight="251657728" behindDoc="0" locked="0" layoutInCell="1" allowOverlap="1" wp14:anchorId="16B67A9B" wp14:editId="257661CC">
              <wp:simplePos x="0" y="0"/>
              <wp:positionH relativeFrom="page">
                <wp:posOffset>180340</wp:posOffset>
              </wp:positionH>
              <wp:positionV relativeFrom="page">
                <wp:posOffset>3780790</wp:posOffset>
              </wp:positionV>
              <wp:extent cx="183515" cy="3796030"/>
              <wp:effectExtent l="0" t="0" r="26035" b="1397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5"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4C2AD"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70BA" w14:textId="758BB9CC" w:rsidR="009A16EC" w:rsidRPr="001C4BE1" w:rsidRDefault="00B244D6" w:rsidP="00AE16F4">
    <w:pPr>
      <w:pStyle w:val="Encabezado"/>
      <w:tabs>
        <w:tab w:val="clear" w:pos="4320"/>
        <w:tab w:val="clear" w:pos="8640"/>
        <w:tab w:val="right" w:pos="9071"/>
      </w:tabs>
      <w:spacing w:line="420" w:lineRule="atLeast"/>
      <w:rPr>
        <w:rFonts w:ascii="Calibri" w:hAnsi="Calibri"/>
        <w:b/>
        <w:bCs/>
        <w:sz w:val="40"/>
        <w:szCs w:val="40"/>
      </w:rPr>
    </w:pPr>
    <w:r>
      <w:rPr>
        <w:noProof/>
        <w:lang w:bidi="ar-SA"/>
      </w:rPr>
      <w:drawing>
        <wp:anchor distT="0" distB="0" distL="114300" distR="114300" simplePos="0" relativeHeight="251658752" behindDoc="0" locked="0" layoutInCell="1" allowOverlap="1" wp14:anchorId="718A4D7E" wp14:editId="61CBDC06">
          <wp:simplePos x="0" y="0"/>
          <wp:positionH relativeFrom="margin">
            <wp:posOffset>4725035</wp:posOffset>
          </wp:positionH>
          <wp:positionV relativeFrom="margin">
            <wp:posOffset>-1588770</wp:posOffset>
          </wp:positionV>
          <wp:extent cx="1166495" cy="789305"/>
          <wp:effectExtent l="0" t="0" r="0" b="0"/>
          <wp:wrapSquare wrapText="bothSides"/>
          <wp:docPr id="26" name="Bild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anchor>
      </w:drawing>
    </w:r>
  </w:p>
  <w:p w14:paraId="06DD6897" w14:textId="77777777" w:rsidR="009767C7" w:rsidRPr="001C4BE1" w:rsidRDefault="009767C7" w:rsidP="009A16EC">
    <w:pPr>
      <w:pStyle w:val="Encabezado"/>
      <w:tabs>
        <w:tab w:val="clear" w:pos="8640"/>
        <w:tab w:val="left" w:pos="2607"/>
        <w:tab w:val="right" w:pos="9071"/>
      </w:tabs>
      <w:spacing w:line="420" w:lineRule="atLeast"/>
      <w:jc w:val="right"/>
      <w:rPr>
        <w:rFonts w:ascii="Calibri" w:hAnsi="Calibri"/>
        <w:b/>
        <w:bCs/>
        <w:sz w:val="40"/>
        <w:szCs w:val="40"/>
      </w:rPr>
    </w:pPr>
  </w:p>
  <w:p w14:paraId="7702143C" w14:textId="1465BB27" w:rsidR="00CF6F33" w:rsidRPr="00B422EC" w:rsidRDefault="00572A67" w:rsidP="009767C7">
    <w:pPr>
      <w:pStyle w:val="Encabezado"/>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bidi="ar-SA"/>
      </w:rPr>
      <mc:AlternateContent>
        <mc:Choice Requires="wpg">
          <w:drawing>
            <wp:anchor distT="0" distB="0" distL="114300" distR="114300" simplePos="0" relativeHeight="251656704" behindDoc="0" locked="0" layoutInCell="1" allowOverlap="1" wp14:anchorId="64C4B8C1" wp14:editId="66B550B1">
              <wp:simplePos x="0" y="0"/>
              <wp:positionH relativeFrom="page">
                <wp:posOffset>180340</wp:posOffset>
              </wp:positionH>
              <wp:positionV relativeFrom="page">
                <wp:posOffset>3780790</wp:posOffset>
              </wp:positionV>
              <wp:extent cx="179705" cy="3780155"/>
              <wp:effectExtent l="0" t="0" r="29845" b="10795"/>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CFEF5"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Dx&#10;ILht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E8QAAADbAAAADwAAAGRycy9kb3ducmV2LnhtbESPQWvCQBCF7wX/wzKCt7rRg5ToKiWo&#10;iNJD00qv0+w0CWZnQ3aNsb++Uyj0Nm/em29mVpvBNaqnLtSeDcymCSjiwtuaSwPvb7vHJ1AhIlts&#10;PJOBOwXYrEcPK0ytv/Er9XkslUA4pGigirFNtQ5FRQ7D1LfE4n35zmEU2ZXadngTuGv0PEkW2mHN&#10;sqHClrKKikt+dULxL8fT9+feb22kIcuL/OPcZ8ZMxsPzEpT04n/4b/pg5fwZ/P4iB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AETxAAAANsAAAAPAAAAAAAAAAAA&#10;AAAAAKECAABkcnMvZG93bnJldi54bWxQSwUGAAAAAAQABAD5AAAAkgM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w10:wrap anchorx="page" anchory="page"/>
            </v:group>
          </w:pict>
        </mc:Fallback>
      </mc:AlternateContent>
    </w:r>
    <w:r w:rsidR="006A6727">
      <w:rPr>
        <w:b/>
        <w:color w:val="3E3C3C"/>
        <w:sz w:val="40"/>
      </w:rPr>
      <w:t>Información</w:t>
    </w:r>
    <w:r w:rsidR="008C3C60">
      <w:rPr>
        <w:b/>
        <w:color w:val="3E3C3C"/>
        <w:sz w:val="40"/>
      </w:rPr>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21C"/>
    <w:rsid w:val="00002AA4"/>
    <w:rsid w:val="00005267"/>
    <w:rsid w:val="00006346"/>
    <w:rsid w:val="000134E2"/>
    <w:rsid w:val="00021C67"/>
    <w:rsid w:val="00030F51"/>
    <w:rsid w:val="00036DBE"/>
    <w:rsid w:val="000575F9"/>
    <w:rsid w:val="000618FC"/>
    <w:rsid w:val="00067C52"/>
    <w:rsid w:val="00080D10"/>
    <w:rsid w:val="000C2B40"/>
    <w:rsid w:val="000C56DD"/>
    <w:rsid w:val="000D1672"/>
    <w:rsid w:val="000E7F24"/>
    <w:rsid w:val="000F03BE"/>
    <w:rsid w:val="000F225B"/>
    <w:rsid w:val="000F7FAF"/>
    <w:rsid w:val="00111F4D"/>
    <w:rsid w:val="00115230"/>
    <w:rsid w:val="001162B4"/>
    <w:rsid w:val="00122CBC"/>
    <w:rsid w:val="00132DA9"/>
    <w:rsid w:val="0013305B"/>
    <w:rsid w:val="00133B99"/>
    <w:rsid w:val="001443BD"/>
    <w:rsid w:val="00152D38"/>
    <w:rsid w:val="001B6923"/>
    <w:rsid w:val="001C0B32"/>
    <w:rsid w:val="001C4BE1"/>
    <w:rsid w:val="001D6BA8"/>
    <w:rsid w:val="001E6D05"/>
    <w:rsid w:val="001E7C28"/>
    <w:rsid w:val="001F1BDF"/>
    <w:rsid w:val="001F7110"/>
    <w:rsid w:val="001F7E96"/>
    <w:rsid w:val="00201880"/>
    <w:rsid w:val="00212488"/>
    <w:rsid w:val="00220628"/>
    <w:rsid w:val="002256D9"/>
    <w:rsid w:val="00237F62"/>
    <w:rsid w:val="0024586A"/>
    <w:rsid w:val="00262C05"/>
    <w:rsid w:val="002A0DF7"/>
    <w:rsid w:val="002A60E0"/>
    <w:rsid w:val="002B58EA"/>
    <w:rsid w:val="002C252E"/>
    <w:rsid w:val="002C6773"/>
    <w:rsid w:val="002D507E"/>
    <w:rsid w:val="002D777D"/>
    <w:rsid w:val="002E0B17"/>
    <w:rsid w:val="002E485E"/>
    <w:rsid w:val="002E7DED"/>
    <w:rsid w:val="002F3289"/>
    <w:rsid w:val="002F7E11"/>
    <w:rsid w:val="00304087"/>
    <w:rsid w:val="00310ACD"/>
    <w:rsid w:val="0031379F"/>
    <w:rsid w:val="00320A26"/>
    <w:rsid w:val="00321344"/>
    <w:rsid w:val="0034015C"/>
    <w:rsid w:val="00353705"/>
    <w:rsid w:val="003562E8"/>
    <w:rsid w:val="0036357D"/>
    <w:rsid w:val="00367AA1"/>
    <w:rsid w:val="00372E36"/>
    <w:rsid w:val="003877B6"/>
    <w:rsid w:val="00391688"/>
    <w:rsid w:val="00393887"/>
    <w:rsid w:val="00394C6B"/>
    <w:rsid w:val="003B1069"/>
    <w:rsid w:val="003B390A"/>
    <w:rsid w:val="003C15DE"/>
    <w:rsid w:val="003C4EB2"/>
    <w:rsid w:val="003E0ACA"/>
    <w:rsid w:val="003E1429"/>
    <w:rsid w:val="003E63EF"/>
    <w:rsid w:val="003F1AF3"/>
    <w:rsid w:val="003F4D8D"/>
    <w:rsid w:val="00400FF7"/>
    <w:rsid w:val="00415EC1"/>
    <w:rsid w:val="004313E7"/>
    <w:rsid w:val="0044087C"/>
    <w:rsid w:val="0044763B"/>
    <w:rsid w:val="00450EAC"/>
    <w:rsid w:val="004629B3"/>
    <w:rsid w:val="0046376E"/>
    <w:rsid w:val="0046690F"/>
    <w:rsid w:val="00490A03"/>
    <w:rsid w:val="00494DBE"/>
    <w:rsid w:val="00495CE6"/>
    <w:rsid w:val="004A323C"/>
    <w:rsid w:val="004B54E8"/>
    <w:rsid w:val="004B6C92"/>
    <w:rsid w:val="004C4FEB"/>
    <w:rsid w:val="004D059B"/>
    <w:rsid w:val="004D4CB6"/>
    <w:rsid w:val="004F10C1"/>
    <w:rsid w:val="004F2C87"/>
    <w:rsid w:val="00502E62"/>
    <w:rsid w:val="0052212B"/>
    <w:rsid w:val="00534B46"/>
    <w:rsid w:val="00540358"/>
    <w:rsid w:val="00556F67"/>
    <w:rsid w:val="00560537"/>
    <w:rsid w:val="00572A67"/>
    <w:rsid w:val="00586CAF"/>
    <w:rsid w:val="00591180"/>
    <w:rsid w:val="00597D07"/>
    <w:rsid w:val="005C7112"/>
    <w:rsid w:val="005D0561"/>
    <w:rsid w:val="005D07E1"/>
    <w:rsid w:val="005D0AD9"/>
    <w:rsid w:val="005D22F6"/>
    <w:rsid w:val="005E0C30"/>
    <w:rsid w:val="005F27F4"/>
    <w:rsid w:val="005F3239"/>
    <w:rsid w:val="00607256"/>
    <w:rsid w:val="006335F1"/>
    <w:rsid w:val="006345B6"/>
    <w:rsid w:val="00635712"/>
    <w:rsid w:val="00652229"/>
    <w:rsid w:val="00652793"/>
    <w:rsid w:val="006626CA"/>
    <w:rsid w:val="00663487"/>
    <w:rsid w:val="00672382"/>
    <w:rsid w:val="006A6727"/>
    <w:rsid w:val="006B499F"/>
    <w:rsid w:val="006D4996"/>
    <w:rsid w:val="006D54AB"/>
    <w:rsid w:val="006E5032"/>
    <w:rsid w:val="006F670F"/>
    <w:rsid w:val="00703272"/>
    <w:rsid w:val="0070733C"/>
    <w:rsid w:val="00710C5D"/>
    <w:rsid w:val="0071348C"/>
    <w:rsid w:val="00717273"/>
    <w:rsid w:val="00720FD4"/>
    <w:rsid w:val="0073096C"/>
    <w:rsid w:val="00742398"/>
    <w:rsid w:val="007507B5"/>
    <w:rsid w:val="00753A24"/>
    <w:rsid w:val="00772188"/>
    <w:rsid w:val="00786BA3"/>
    <w:rsid w:val="007A4432"/>
    <w:rsid w:val="007B499C"/>
    <w:rsid w:val="007B4D4B"/>
    <w:rsid w:val="007D2A02"/>
    <w:rsid w:val="007E6EA1"/>
    <w:rsid w:val="007F2B1E"/>
    <w:rsid w:val="007F62B4"/>
    <w:rsid w:val="00801517"/>
    <w:rsid w:val="00804A52"/>
    <w:rsid w:val="00817DE8"/>
    <w:rsid w:val="008229F5"/>
    <w:rsid w:val="00826E2C"/>
    <w:rsid w:val="00833CEB"/>
    <w:rsid w:val="00836961"/>
    <w:rsid w:val="00836DE1"/>
    <w:rsid w:val="008372D2"/>
    <w:rsid w:val="00844C17"/>
    <w:rsid w:val="00847726"/>
    <w:rsid w:val="00852511"/>
    <w:rsid w:val="00860A82"/>
    <w:rsid w:val="008614F1"/>
    <w:rsid w:val="008639B3"/>
    <w:rsid w:val="00863C1A"/>
    <w:rsid w:val="00864945"/>
    <w:rsid w:val="0087142D"/>
    <w:rsid w:val="00873956"/>
    <w:rsid w:val="008825EE"/>
    <w:rsid w:val="0088515B"/>
    <w:rsid w:val="0088596E"/>
    <w:rsid w:val="008A2375"/>
    <w:rsid w:val="008A5CBD"/>
    <w:rsid w:val="008A7F74"/>
    <w:rsid w:val="008C3C60"/>
    <w:rsid w:val="008D76C5"/>
    <w:rsid w:val="008E0AFA"/>
    <w:rsid w:val="008E75D3"/>
    <w:rsid w:val="008F125E"/>
    <w:rsid w:val="008F4D2F"/>
    <w:rsid w:val="00901011"/>
    <w:rsid w:val="00916D6B"/>
    <w:rsid w:val="00917162"/>
    <w:rsid w:val="0092714E"/>
    <w:rsid w:val="00942002"/>
    <w:rsid w:val="00947885"/>
    <w:rsid w:val="00952168"/>
    <w:rsid w:val="009527FE"/>
    <w:rsid w:val="009739A0"/>
    <w:rsid w:val="009767C7"/>
    <w:rsid w:val="0098579A"/>
    <w:rsid w:val="0099195A"/>
    <w:rsid w:val="00994681"/>
    <w:rsid w:val="0099486A"/>
    <w:rsid w:val="009A0E26"/>
    <w:rsid w:val="009A16EC"/>
    <w:rsid w:val="009B3B37"/>
    <w:rsid w:val="009C26A7"/>
    <w:rsid w:val="009C4D35"/>
    <w:rsid w:val="009E2A47"/>
    <w:rsid w:val="009E4200"/>
    <w:rsid w:val="009E5EB4"/>
    <w:rsid w:val="009F3FA9"/>
    <w:rsid w:val="00A028E6"/>
    <w:rsid w:val="00A044D6"/>
    <w:rsid w:val="00A04ADB"/>
    <w:rsid w:val="00A11E0F"/>
    <w:rsid w:val="00A149E9"/>
    <w:rsid w:val="00A26CB6"/>
    <w:rsid w:val="00A32F82"/>
    <w:rsid w:val="00A45A62"/>
    <w:rsid w:val="00A54AC5"/>
    <w:rsid w:val="00A55795"/>
    <w:rsid w:val="00A56D41"/>
    <w:rsid w:val="00A61353"/>
    <w:rsid w:val="00A67A92"/>
    <w:rsid w:val="00A74BDB"/>
    <w:rsid w:val="00A91A70"/>
    <w:rsid w:val="00AB1CB6"/>
    <w:rsid w:val="00AB1D9A"/>
    <w:rsid w:val="00AC2F0C"/>
    <w:rsid w:val="00AD44FE"/>
    <w:rsid w:val="00AE16F4"/>
    <w:rsid w:val="00AE49F1"/>
    <w:rsid w:val="00AE66B4"/>
    <w:rsid w:val="00B034DD"/>
    <w:rsid w:val="00B05CCA"/>
    <w:rsid w:val="00B14271"/>
    <w:rsid w:val="00B244D6"/>
    <w:rsid w:val="00B2685D"/>
    <w:rsid w:val="00B30351"/>
    <w:rsid w:val="00B33C2A"/>
    <w:rsid w:val="00B422EC"/>
    <w:rsid w:val="00B5715F"/>
    <w:rsid w:val="00B86A4F"/>
    <w:rsid w:val="00B90F36"/>
    <w:rsid w:val="00B958E8"/>
    <w:rsid w:val="00BA09B2"/>
    <w:rsid w:val="00BB540C"/>
    <w:rsid w:val="00BC0995"/>
    <w:rsid w:val="00BE793A"/>
    <w:rsid w:val="00BF432A"/>
    <w:rsid w:val="00C24C17"/>
    <w:rsid w:val="00C40B88"/>
    <w:rsid w:val="00C47D87"/>
    <w:rsid w:val="00C5376E"/>
    <w:rsid w:val="00C97091"/>
    <w:rsid w:val="00CA2001"/>
    <w:rsid w:val="00CB5B6C"/>
    <w:rsid w:val="00CD4616"/>
    <w:rsid w:val="00CE33D5"/>
    <w:rsid w:val="00CF5D37"/>
    <w:rsid w:val="00CF6F33"/>
    <w:rsid w:val="00D02248"/>
    <w:rsid w:val="00D063B8"/>
    <w:rsid w:val="00D17E3B"/>
    <w:rsid w:val="00D23C09"/>
    <w:rsid w:val="00D23CED"/>
    <w:rsid w:val="00D24BD2"/>
    <w:rsid w:val="00D260A2"/>
    <w:rsid w:val="00D30CC6"/>
    <w:rsid w:val="00D3260C"/>
    <w:rsid w:val="00D35790"/>
    <w:rsid w:val="00D62EF1"/>
    <w:rsid w:val="00D6309D"/>
    <w:rsid w:val="00D644CA"/>
    <w:rsid w:val="00D66FC2"/>
    <w:rsid w:val="00D76C7E"/>
    <w:rsid w:val="00D9293F"/>
    <w:rsid w:val="00D93598"/>
    <w:rsid w:val="00DA1E18"/>
    <w:rsid w:val="00DB05B1"/>
    <w:rsid w:val="00DD512E"/>
    <w:rsid w:val="00DE1177"/>
    <w:rsid w:val="00DE2CEA"/>
    <w:rsid w:val="00DE6A3C"/>
    <w:rsid w:val="00DE7D78"/>
    <w:rsid w:val="00DE7F97"/>
    <w:rsid w:val="00DF1010"/>
    <w:rsid w:val="00DF5AEA"/>
    <w:rsid w:val="00DF63F6"/>
    <w:rsid w:val="00E13747"/>
    <w:rsid w:val="00E25AEA"/>
    <w:rsid w:val="00E30DEF"/>
    <w:rsid w:val="00E30ED2"/>
    <w:rsid w:val="00E37F70"/>
    <w:rsid w:val="00E758B9"/>
    <w:rsid w:val="00E85569"/>
    <w:rsid w:val="00E856AF"/>
    <w:rsid w:val="00E93A01"/>
    <w:rsid w:val="00E93FF8"/>
    <w:rsid w:val="00E96EAF"/>
    <w:rsid w:val="00EA5BDB"/>
    <w:rsid w:val="00EC142D"/>
    <w:rsid w:val="00ED2B5C"/>
    <w:rsid w:val="00EF15FF"/>
    <w:rsid w:val="00EF7111"/>
    <w:rsid w:val="00EF7D1A"/>
    <w:rsid w:val="00F0448F"/>
    <w:rsid w:val="00F05683"/>
    <w:rsid w:val="00F275C0"/>
    <w:rsid w:val="00F36145"/>
    <w:rsid w:val="00F37BDD"/>
    <w:rsid w:val="00F4048C"/>
    <w:rsid w:val="00F41503"/>
    <w:rsid w:val="00F466C8"/>
    <w:rsid w:val="00F50B46"/>
    <w:rsid w:val="00F63D03"/>
    <w:rsid w:val="00F65E2F"/>
    <w:rsid w:val="00F67DF1"/>
    <w:rsid w:val="00F8309B"/>
    <w:rsid w:val="00F833C9"/>
    <w:rsid w:val="00F90064"/>
    <w:rsid w:val="00F9254A"/>
    <w:rsid w:val="00F96AFD"/>
    <w:rsid w:val="00FA2E19"/>
    <w:rsid w:val="00FB610D"/>
    <w:rsid w:val="00FC690F"/>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61A3A719"/>
  <w15:docId w15:val="{88880D3E-9756-4292-87CF-CE925671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1364A"/>
    <w:pPr>
      <w:spacing w:line="260" w:lineRule="atLeast"/>
    </w:pPr>
    <w:rPr>
      <w:rFonts w:ascii="Arial" w:hAnsi="Arial"/>
      <w:szCs w:val="24"/>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 w:val="22"/>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F1596"/>
    <w:pPr>
      <w:tabs>
        <w:tab w:val="center" w:pos="4320"/>
        <w:tab w:val="right" w:pos="8640"/>
      </w:tabs>
    </w:pPr>
  </w:style>
  <w:style w:type="paragraph" w:styleId="Piedepgina">
    <w:name w:val="footer"/>
    <w:basedOn w:val="Normal"/>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es-ES" w:eastAsia="es-ES" w:bidi="es-ES"/>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es-ES"/>
    </w:rPr>
  </w:style>
  <w:style w:type="character" w:styleId="Hipervnculo">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1379F"/>
    <w:pPr>
      <w:spacing w:line="240" w:lineRule="auto"/>
    </w:pPr>
    <w:rPr>
      <w:rFonts w:ascii="Times New Roman" w:hAnsi="Times New Roman"/>
      <w:sz w:val="18"/>
      <w:szCs w:val="18"/>
    </w:rPr>
  </w:style>
  <w:style w:type="character" w:customStyle="1" w:styleId="TextodegloboCar">
    <w:name w:val="Texto de globo Car"/>
    <w:link w:val="Textodeglobo"/>
    <w:rsid w:val="0031379F"/>
    <w:rPr>
      <w:sz w:val="18"/>
      <w:szCs w:val="18"/>
      <w:lang w:eastAsia="es-ES"/>
    </w:rPr>
  </w:style>
  <w:style w:type="paragraph" w:customStyle="1" w:styleId="MittlereListe2-Akzent21">
    <w:name w:val="Mittlere Liste 2 - Akzent 21"/>
    <w:hidden/>
    <w:uiPriority w:val="99"/>
    <w:semiHidden/>
    <w:rsid w:val="002E0B17"/>
    <w:rPr>
      <w:rFonts w:ascii="Arial" w:hAnsi="Arial"/>
      <w:szCs w:val="24"/>
    </w:rPr>
  </w:style>
  <w:style w:type="character" w:styleId="Refdecomentario">
    <w:name w:val="annotation reference"/>
    <w:basedOn w:val="Fuentedeprrafopredeter"/>
    <w:rsid w:val="00916D6B"/>
    <w:rPr>
      <w:sz w:val="16"/>
      <w:szCs w:val="16"/>
    </w:rPr>
  </w:style>
  <w:style w:type="paragraph" w:styleId="Textocomentario">
    <w:name w:val="annotation text"/>
    <w:basedOn w:val="Normal"/>
    <w:link w:val="TextocomentarioCar"/>
    <w:rsid w:val="00916D6B"/>
    <w:pPr>
      <w:spacing w:line="240" w:lineRule="auto"/>
    </w:pPr>
    <w:rPr>
      <w:szCs w:val="20"/>
    </w:rPr>
  </w:style>
  <w:style w:type="character" w:customStyle="1" w:styleId="TextocomentarioCar">
    <w:name w:val="Texto comentario Car"/>
    <w:basedOn w:val="Fuentedeprrafopredeter"/>
    <w:link w:val="Textocomentario"/>
    <w:rsid w:val="00916D6B"/>
    <w:rPr>
      <w:rFonts w:ascii="Arial" w:hAnsi="Arial"/>
    </w:rPr>
  </w:style>
  <w:style w:type="paragraph" w:styleId="Asuntodelcomentario">
    <w:name w:val="annotation subject"/>
    <w:basedOn w:val="Textocomentario"/>
    <w:next w:val="Textocomentario"/>
    <w:link w:val="AsuntodelcomentarioCar"/>
    <w:rsid w:val="00916D6B"/>
    <w:rPr>
      <w:b/>
      <w:bCs/>
    </w:rPr>
  </w:style>
  <w:style w:type="character" w:customStyle="1" w:styleId="AsuntodelcomentarioCar">
    <w:name w:val="Asunto del comentario Car"/>
    <w:basedOn w:val="TextocomentarioCar"/>
    <w:link w:val="Asuntodelcomentario"/>
    <w:rsid w:val="00916D6B"/>
    <w:rPr>
      <w:rFonts w:ascii="Arial" w:hAnsi="Arial"/>
      <w:b/>
      <w:bCs/>
    </w:rPr>
  </w:style>
  <w:style w:type="paragraph" w:styleId="Revisin">
    <w:name w:val="Revision"/>
    <w:hidden/>
    <w:uiPriority w:val="62"/>
    <w:unhideWhenUsed/>
    <w:rsid w:val="00916D6B"/>
    <w:rPr>
      <w:rFonts w:ascii="Arial" w:hAnsi="Arial"/>
      <w:szCs w:val="24"/>
    </w:rPr>
  </w:style>
  <w:style w:type="paragraph" w:styleId="NormalWeb">
    <w:name w:val="Normal (Web)"/>
    <w:basedOn w:val="Normal"/>
    <w:uiPriority w:val="99"/>
    <w:unhideWhenUsed/>
    <w:rsid w:val="002F3289"/>
    <w:pPr>
      <w:spacing w:line="309" w:lineRule="atLeast"/>
    </w:pPr>
    <w:rPr>
      <w:rFonts w:ascii="Times New Roman" w:hAnsi="Times New Roman"/>
      <w:sz w:val="34"/>
      <w:szCs w:val="34"/>
      <w:lang w:bidi="ar-SA"/>
    </w:rPr>
  </w:style>
  <w:style w:type="paragraph" w:customStyle="1" w:styleId="infoline">
    <w:name w:val="infoline"/>
    <w:basedOn w:val="Normal"/>
    <w:rsid w:val="002F3289"/>
    <w:pPr>
      <w:spacing w:line="309" w:lineRule="atLeast"/>
    </w:pPr>
    <w:rPr>
      <w:rFonts w:ascii="Times New Roman" w:hAnsi="Times New Roman"/>
      <w:sz w:val="34"/>
      <w:szCs w:val="34"/>
      <w:lang w:bidi="ar-SA"/>
    </w:rPr>
  </w:style>
  <w:style w:type="character" w:customStyle="1" w:styleId="rtlentity1">
    <w:name w:val="rtlentity1"/>
    <w:basedOn w:val="Fuentedeprrafopredeter"/>
    <w:rsid w:val="002F3289"/>
    <w:rPr>
      <w:vanish/>
      <w:webHidden w:val="0"/>
      <w:specVanish w:val="0"/>
    </w:rPr>
  </w:style>
  <w:style w:type="character" w:customStyle="1" w:styleId="hidden1">
    <w:name w:val="hidden1"/>
    <w:basedOn w:val="Fuentedeprrafopredeter"/>
    <w:rsid w:val="002F3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9075">
      <w:bodyDiv w:val="1"/>
      <w:marLeft w:val="0"/>
      <w:marRight w:val="0"/>
      <w:marTop w:val="0"/>
      <w:marBottom w:val="0"/>
      <w:divBdr>
        <w:top w:val="none" w:sz="0" w:space="0" w:color="auto"/>
        <w:left w:val="none" w:sz="0" w:space="0" w:color="auto"/>
        <w:bottom w:val="none" w:sz="0" w:space="0" w:color="auto"/>
        <w:right w:val="none" w:sz="0" w:space="0" w:color="auto"/>
      </w:divBdr>
      <w:divsChild>
        <w:div w:id="1105883772">
          <w:marLeft w:val="0"/>
          <w:marRight w:val="0"/>
          <w:marTop w:val="0"/>
          <w:marBottom w:val="360"/>
          <w:divBdr>
            <w:top w:val="none" w:sz="0" w:space="0" w:color="auto"/>
            <w:left w:val="none" w:sz="0" w:space="0" w:color="auto"/>
            <w:bottom w:val="none" w:sz="0" w:space="0" w:color="auto"/>
            <w:right w:val="none" w:sz="0" w:space="0" w:color="auto"/>
          </w:divBdr>
        </w:div>
        <w:div w:id="1420954384">
          <w:marLeft w:val="0"/>
          <w:marRight w:val="0"/>
          <w:marTop w:val="0"/>
          <w:marBottom w:val="0"/>
          <w:divBdr>
            <w:top w:val="none" w:sz="0" w:space="0" w:color="auto"/>
            <w:left w:val="none" w:sz="0" w:space="0" w:color="auto"/>
            <w:bottom w:val="none" w:sz="0" w:space="0" w:color="auto"/>
            <w:right w:val="none" w:sz="0" w:space="0" w:color="auto"/>
          </w:divBdr>
          <w:divsChild>
            <w:div w:id="615481067">
              <w:marLeft w:val="0"/>
              <w:marRight w:val="0"/>
              <w:marTop w:val="0"/>
              <w:marBottom w:val="0"/>
              <w:divBdr>
                <w:top w:val="none" w:sz="0" w:space="0" w:color="auto"/>
                <w:left w:val="none" w:sz="0" w:space="0" w:color="auto"/>
                <w:bottom w:val="none" w:sz="0" w:space="0" w:color="auto"/>
                <w:right w:val="none" w:sz="0" w:space="0" w:color="auto"/>
              </w:divBdr>
            </w:div>
            <w:div w:id="997151737">
              <w:marLeft w:val="0"/>
              <w:marRight w:val="0"/>
              <w:marTop w:val="0"/>
              <w:marBottom w:val="0"/>
              <w:divBdr>
                <w:top w:val="none" w:sz="0" w:space="0" w:color="auto"/>
                <w:left w:val="none" w:sz="0" w:space="0" w:color="auto"/>
                <w:bottom w:val="none" w:sz="0" w:space="0" w:color="auto"/>
                <w:right w:val="none" w:sz="0" w:space="0" w:color="auto"/>
              </w:divBdr>
            </w:div>
            <w:div w:id="7032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383">
      <w:bodyDiv w:val="1"/>
      <w:marLeft w:val="0"/>
      <w:marRight w:val="0"/>
      <w:marTop w:val="0"/>
      <w:marBottom w:val="0"/>
      <w:divBdr>
        <w:top w:val="none" w:sz="0" w:space="0" w:color="auto"/>
        <w:left w:val="none" w:sz="0" w:space="0" w:color="auto"/>
        <w:bottom w:val="none" w:sz="0" w:space="0" w:color="auto"/>
        <w:right w:val="none" w:sz="0" w:space="0" w:color="auto"/>
      </w:divBdr>
      <w:divsChild>
        <w:div w:id="1274048290">
          <w:marLeft w:val="0"/>
          <w:marRight w:val="0"/>
          <w:marTop w:val="0"/>
          <w:marBottom w:val="0"/>
          <w:divBdr>
            <w:top w:val="none" w:sz="0" w:space="0" w:color="auto"/>
            <w:left w:val="none" w:sz="0" w:space="0" w:color="auto"/>
            <w:bottom w:val="none" w:sz="0" w:space="0" w:color="auto"/>
            <w:right w:val="none" w:sz="0" w:space="0" w:color="auto"/>
          </w:divBdr>
          <w:divsChild>
            <w:div w:id="1422676960">
              <w:marLeft w:val="3930"/>
              <w:marRight w:val="0"/>
              <w:marTop w:val="0"/>
              <w:marBottom w:val="1920"/>
              <w:divBdr>
                <w:top w:val="none" w:sz="0" w:space="0" w:color="auto"/>
                <w:left w:val="none" w:sz="0" w:space="0" w:color="auto"/>
                <w:bottom w:val="none" w:sz="0" w:space="0" w:color="auto"/>
                <w:right w:val="none" w:sz="0" w:space="0" w:color="auto"/>
              </w:divBdr>
              <w:divsChild>
                <w:div w:id="1640450295">
                  <w:marLeft w:val="0"/>
                  <w:marRight w:val="0"/>
                  <w:marTop w:val="0"/>
                  <w:marBottom w:val="0"/>
                  <w:divBdr>
                    <w:top w:val="none" w:sz="0" w:space="0" w:color="auto"/>
                    <w:left w:val="none" w:sz="0" w:space="0" w:color="auto"/>
                    <w:bottom w:val="none" w:sz="0" w:space="0" w:color="auto"/>
                    <w:right w:val="none" w:sz="0" w:space="0" w:color="auto"/>
                  </w:divBdr>
                  <w:divsChild>
                    <w:div w:id="1145320804">
                      <w:marLeft w:val="0"/>
                      <w:marRight w:val="480"/>
                      <w:marTop w:val="240"/>
                      <w:marBottom w:val="240"/>
                      <w:divBdr>
                        <w:top w:val="none" w:sz="0" w:space="0" w:color="auto"/>
                        <w:left w:val="none" w:sz="0" w:space="0" w:color="auto"/>
                        <w:bottom w:val="none" w:sz="0" w:space="0" w:color="auto"/>
                        <w:right w:val="none" w:sz="0" w:space="0" w:color="auto"/>
                      </w:divBdr>
                      <w:divsChild>
                        <w:div w:id="1438481819">
                          <w:marLeft w:val="0"/>
                          <w:marRight w:val="0"/>
                          <w:marTop w:val="0"/>
                          <w:marBottom w:val="0"/>
                          <w:divBdr>
                            <w:top w:val="none" w:sz="0" w:space="0" w:color="auto"/>
                            <w:left w:val="none" w:sz="0" w:space="0" w:color="auto"/>
                            <w:bottom w:val="none" w:sz="0" w:space="0" w:color="auto"/>
                            <w:right w:val="none" w:sz="0" w:space="0" w:color="auto"/>
                          </w:divBdr>
                          <w:divsChild>
                            <w:div w:id="231543101">
                              <w:marLeft w:val="0"/>
                              <w:marRight w:val="0"/>
                              <w:marTop w:val="0"/>
                              <w:marBottom w:val="0"/>
                              <w:divBdr>
                                <w:top w:val="none" w:sz="0" w:space="0" w:color="auto"/>
                                <w:left w:val="none" w:sz="0" w:space="0" w:color="auto"/>
                                <w:bottom w:val="none" w:sz="0" w:space="0" w:color="auto"/>
                                <w:right w:val="none" w:sz="0" w:space="0" w:color="auto"/>
                              </w:divBdr>
                              <w:divsChild>
                                <w:div w:id="980159039">
                                  <w:marLeft w:val="0"/>
                                  <w:marRight w:val="0"/>
                                  <w:marTop w:val="0"/>
                                  <w:marBottom w:val="0"/>
                                  <w:divBdr>
                                    <w:top w:val="none" w:sz="0" w:space="0" w:color="auto"/>
                                    <w:left w:val="none" w:sz="0" w:space="0" w:color="auto"/>
                                    <w:bottom w:val="none" w:sz="0" w:space="0" w:color="auto"/>
                                    <w:right w:val="none" w:sz="0" w:space="0" w:color="auto"/>
                                  </w:divBdr>
                                  <w:divsChild>
                                    <w:div w:id="171992112">
                                      <w:marLeft w:val="0"/>
                                      <w:marRight w:val="0"/>
                                      <w:marTop w:val="0"/>
                                      <w:marBottom w:val="0"/>
                                      <w:divBdr>
                                        <w:top w:val="none" w:sz="0" w:space="0" w:color="auto"/>
                                        <w:left w:val="none" w:sz="0" w:space="0" w:color="auto"/>
                                        <w:bottom w:val="none" w:sz="0" w:space="0" w:color="auto"/>
                                        <w:right w:val="none" w:sz="0" w:space="0" w:color="auto"/>
                                      </w:divBdr>
                                      <w:divsChild>
                                        <w:div w:id="514926618">
                                          <w:marLeft w:val="0"/>
                                          <w:marRight w:val="0"/>
                                          <w:marTop w:val="0"/>
                                          <w:marBottom w:val="0"/>
                                          <w:divBdr>
                                            <w:top w:val="none" w:sz="0" w:space="0" w:color="auto"/>
                                            <w:left w:val="none" w:sz="0" w:space="0" w:color="auto"/>
                                            <w:bottom w:val="none" w:sz="0" w:space="0" w:color="auto"/>
                                            <w:right w:val="none" w:sz="0" w:space="0" w:color="auto"/>
                                          </w:divBdr>
                                          <w:divsChild>
                                            <w:div w:id="8388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19877">
      <w:bodyDiv w:val="1"/>
      <w:marLeft w:val="0"/>
      <w:marRight w:val="0"/>
      <w:marTop w:val="0"/>
      <w:marBottom w:val="0"/>
      <w:divBdr>
        <w:top w:val="none" w:sz="0" w:space="0" w:color="auto"/>
        <w:left w:val="none" w:sz="0" w:space="0" w:color="auto"/>
        <w:bottom w:val="none" w:sz="0" w:space="0" w:color="auto"/>
        <w:right w:val="none" w:sz="0" w:space="0" w:color="auto"/>
      </w:divBdr>
      <w:divsChild>
        <w:div w:id="1068529386">
          <w:marLeft w:val="0"/>
          <w:marRight w:val="0"/>
          <w:marTop w:val="0"/>
          <w:marBottom w:val="0"/>
          <w:divBdr>
            <w:top w:val="none" w:sz="0" w:space="0" w:color="auto"/>
            <w:left w:val="none" w:sz="0" w:space="0" w:color="auto"/>
            <w:bottom w:val="none" w:sz="0" w:space="0" w:color="auto"/>
            <w:right w:val="none" w:sz="0" w:space="0" w:color="auto"/>
          </w:divBdr>
          <w:divsChild>
            <w:div w:id="2118677981">
              <w:marLeft w:val="3930"/>
              <w:marRight w:val="0"/>
              <w:marTop w:val="0"/>
              <w:marBottom w:val="1920"/>
              <w:divBdr>
                <w:top w:val="none" w:sz="0" w:space="0" w:color="auto"/>
                <w:left w:val="none" w:sz="0" w:space="0" w:color="auto"/>
                <w:bottom w:val="none" w:sz="0" w:space="0" w:color="auto"/>
                <w:right w:val="none" w:sz="0" w:space="0" w:color="auto"/>
              </w:divBdr>
              <w:divsChild>
                <w:div w:id="1825929211">
                  <w:marLeft w:val="0"/>
                  <w:marRight w:val="0"/>
                  <w:marTop w:val="0"/>
                  <w:marBottom w:val="0"/>
                  <w:divBdr>
                    <w:top w:val="none" w:sz="0" w:space="0" w:color="auto"/>
                    <w:left w:val="none" w:sz="0" w:space="0" w:color="auto"/>
                    <w:bottom w:val="none" w:sz="0" w:space="0" w:color="auto"/>
                    <w:right w:val="none" w:sz="0" w:space="0" w:color="auto"/>
                  </w:divBdr>
                  <w:divsChild>
                    <w:div w:id="1641955365">
                      <w:marLeft w:val="0"/>
                      <w:marRight w:val="480"/>
                      <w:marTop w:val="240"/>
                      <w:marBottom w:val="240"/>
                      <w:divBdr>
                        <w:top w:val="none" w:sz="0" w:space="0" w:color="auto"/>
                        <w:left w:val="none" w:sz="0" w:space="0" w:color="auto"/>
                        <w:bottom w:val="none" w:sz="0" w:space="0" w:color="auto"/>
                        <w:right w:val="none" w:sz="0" w:space="0" w:color="auto"/>
                      </w:divBdr>
                      <w:divsChild>
                        <w:div w:id="893351213">
                          <w:marLeft w:val="0"/>
                          <w:marRight w:val="0"/>
                          <w:marTop w:val="0"/>
                          <w:marBottom w:val="0"/>
                          <w:divBdr>
                            <w:top w:val="none" w:sz="0" w:space="0" w:color="auto"/>
                            <w:left w:val="none" w:sz="0" w:space="0" w:color="auto"/>
                            <w:bottom w:val="none" w:sz="0" w:space="0" w:color="auto"/>
                            <w:right w:val="none" w:sz="0" w:space="0" w:color="auto"/>
                          </w:divBdr>
                          <w:divsChild>
                            <w:div w:id="548230788">
                              <w:marLeft w:val="0"/>
                              <w:marRight w:val="0"/>
                              <w:marTop w:val="0"/>
                              <w:marBottom w:val="0"/>
                              <w:divBdr>
                                <w:top w:val="none" w:sz="0" w:space="0" w:color="auto"/>
                                <w:left w:val="none" w:sz="0" w:space="0" w:color="auto"/>
                                <w:bottom w:val="none" w:sz="0" w:space="0" w:color="auto"/>
                                <w:right w:val="none" w:sz="0" w:space="0" w:color="auto"/>
                              </w:divBdr>
                              <w:divsChild>
                                <w:div w:id="475924938">
                                  <w:marLeft w:val="0"/>
                                  <w:marRight w:val="0"/>
                                  <w:marTop w:val="0"/>
                                  <w:marBottom w:val="0"/>
                                  <w:divBdr>
                                    <w:top w:val="none" w:sz="0" w:space="0" w:color="auto"/>
                                    <w:left w:val="none" w:sz="0" w:space="0" w:color="auto"/>
                                    <w:bottom w:val="none" w:sz="0" w:space="0" w:color="auto"/>
                                    <w:right w:val="none" w:sz="0" w:space="0" w:color="auto"/>
                                  </w:divBdr>
                                  <w:divsChild>
                                    <w:div w:id="134832381">
                                      <w:marLeft w:val="0"/>
                                      <w:marRight w:val="0"/>
                                      <w:marTop w:val="0"/>
                                      <w:marBottom w:val="0"/>
                                      <w:divBdr>
                                        <w:top w:val="none" w:sz="0" w:space="0" w:color="auto"/>
                                        <w:left w:val="none" w:sz="0" w:space="0" w:color="auto"/>
                                        <w:bottom w:val="none" w:sz="0" w:space="0" w:color="auto"/>
                                        <w:right w:val="none" w:sz="0" w:space="0" w:color="auto"/>
                                      </w:divBdr>
                                    </w:div>
                                    <w:div w:id="1858880998">
                                      <w:marLeft w:val="0"/>
                                      <w:marRight w:val="0"/>
                                      <w:marTop w:val="0"/>
                                      <w:marBottom w:val="0"/>
                                      <w:divBdr>
                                        <w:top w:val="none" w:sz="0" w:space="0" w:color="auto"/>
                                        <w:left w:val="none" w:sz="0" w:space="0" w:color="auto"/>
                                        <w:bottom w:val="none" w:sz="0" w:space="0" w:color="auto"/>
                                        <w:right w:val="none" w:sz="0" w:space="0" w:color="auto"/>
                                      </w:divBdr>
                                      <w:divsChild>
                                        <w:div w:id="1213270820">
                                          <w:marLeft w:val="0"/>
                                          <w:marRight w:val="0"/>
                                          <w:marTop w:val="0"/>
                                          <w:marBottom w:val="0"/>
                                          <w:divBdr>
                                            <w:top w:val="none" w:sz="0" w:space="0" w:color="auto"/>
                                            <w:left w:val="none" w:sz="0" w:space="0" w:color="auto"/>
                                            <w:bottom w:val="none" w:sz="0" w:space="0" w:color="auto"/>
                                            <w:right w:val="none" w:sz="0" w:space="0" w:color="auto"/>
                                          </w:divBdr>
                                          <w:divsChild>
                                            <w:div w:id="461076370">
                                              <w:marLeft w:val="0"/>
                                              <w:marRight w:val="0"/>
                                              <w:marTop w:val="0"/>
                                              <w:marBottom w:val="0"/>
                                              <w:divBdr>
                                                <w:top w:val="none" w:sz="0" w:space="0" w:color="auto"/>
                                                <w:left w:val="none" w:sz="0" w:space="0" w:color="auto"/>
                                                <w:bottom w:val="none" w:sz="0" w:space="0" w:color="auto"/>
                                                <w:right w:val="none" w:sz="0" w:space="0" w:color="auto"/>
                                              </w:divBdr>
                                              <w:divsChild>
                                                <w:div w:id="78256330">
                                                  <w:marLeft w:val="0"/>
                                                  <w:marRight w:val="0"/>
                                                  <w:marTop w:val="0"/>
                                                  <w:marBottom w:val="0"/>
                                                  <w:divBdr>
                                                    <w:top w:val="none" w:sz="0" w:space="0" w:color="auto"/>
                                                    <w:left w:val="none" w:sz="0" w:space="0" w:color="auto"/>
                                                    <w:bottom w:val="none" w:sz="0" w:space="0" w:color="auto"/>
                                                    <w:right w:val="none" w:sz="0" w:space="0" w:color="auto"/>
                                                  </w:divBdr>
                                                  <w:divsChild>
                                                    <w:div w:id="1830631061">
                                                      <w:marLeft w:val="0"/>
                                                      <w:marRight w:val="0"/>
                                                      <w:marTop w:val="0"/>
                                                      <w:marBottom w:val="0"/>
                                                      <w:divBdr>
                                                        <w:top w:val="none" w:sz="0" w:space="0" w:color="auto"/>
                                                        <w:left w:val="none" w:sz="0" w:space="0" w:color="auto"/>
                                                        <w:bottom w:val="none" w:sz="0" w:space="0" w:color="auto"/>
                                                        <w:right w:val="none" w:sz="0" w:space="0" w:color="auto"/>
                                                      </w:divBdr>
                                                      <w:divsChild>
                                                        <w:div w:id="692074183">
                                                          <w:marLeft w:val="0"/>
                                                          <w:marRight w:val="0"/>
                                                          <w:marTop w:val="0"/>
                                                          <w:marBottom w:val="0"/>
                                                          <w:divBdr>
                                                            <w:top w:val="none" w:sz="0" w:space="0" w:color="auto"/>
                                                            <w:left w:val="none" w:sz="0" w:space="0" w:color="auto"/>
                                                            <w:bottom w:val="none" w:sz="0" w:space="0" w:color="auto"/>
                                                            <w:right w:val="none" w:sz="0" w:space="0" w:color="auto"/>
                                                          </w:divBdr>
                                                          <w:divsChild>
                                                            <w:div w:id="2064908316">
                                                              <w:marLeft w:val="0"/>
                                                              <w:marRight w:val="0"/>
                                                              <w:marTop w:val="0"/>
                                                              <w:marBottom w:val="0"/>
                                                              <w:divBdr>
                                                                <w:top w:val="none" w:sz="0" w:space="0" w:color="auto"/>
                                                                <w:left w:val="none" w:sz="0" w:space="0" w:color="auto"/>
                                                                <w:bottom w:val="none" w:sz="0" w:space="0" w:color="auto"/>
                                                                <w:right w:val="none" w:sz="0" w:space="0" w:color="auto"/>
                                                              </w:divBdr>
                                                            </w:div>
                                                          </w:divsChild>
                                                        </w:div>
                                                        <w:div w:id="738019789">
                                                          <w:marLeft w:val="0"/>
                                                          <w:marRight w:val="0"/>
                                                          <w:marTop w:val="96"/>
                                                          <w:marBottom w:val="0"/>
                                                          <w:divBdr>
                                                            <w:top w:val="none" w:sz="0" w:space="0" w:color="auto"/>
                                                            <w:left w:val="none" w:sz="0" w:space="0" w:color="auto"/>
                                                            <w:bottom w:val="none" w:sz="0" w:space="0" w:color="auto"/>
                                                            <w:right w:val="none" w:sz="0" w:space="0" w:color="auto"/>
                                                          </w:divBdr>
                                                          <w:divsChild>
                                                            <w:div w:id="1179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467">
                                                      <w:marLeft w:val="0"/>
                                                      <w:marRight w:val="0"/>
                                                      <w:marTop w:val="0"/>
                                                      <w:marBottom w:val="0"/>
                                                      <w:divBdr>
                                                        <w:top w:val="none" w:sz="0" w:space="0" w:color="auto"/>
                                                        <w:left w:val="none" w:sz="0" w:space="0" w:color="auto"/>
                                                        <w:bottom w:val="none" w:sz="0" w:space="0" w:color="auto"/>
                                                        <w:right w:val="none" w:sz="0" w:space="0" w:color="auto"/>
                                                      </w:divBdr>
                                                      <w:divsChild>
                                                        <w:div w:id="1901206082">
                                                          <w:marLeft w:val="0"/>
                                                          <w:marRight w:val="0"/>
                                                          <w:marTop w:val="0"/>
                                                          <w:marBottom w:val="0"/>
                                                          <w:divBdr>
                                                            <w:top w:val="none" w:sz="0" w:space="0" w:color="auto"/>
                                                            <w:left w:val="none" w:sz="0" w:space="0" w:color="auto"/>
                                                            <w:bottom w:val="none" w:sz="0" w:space="0" w:color="auto"/>
                                                            <w:right w:val="none" w:sz="0" w:space="0" w:color="auto"/>
                                                          </w:divBdr>
                                                          <w:divsChild>
                                                            <w:div w:id="1769153707">
                                                              <w:marLeft w:val="0"/>
                                                              <w:marRight w:val="0"/>
                                                              <w:marTop w:val="0"/>
                                                              <w:marBottom w:val="0"/>
                                                              <w:divBdr>
                                                                <w:top w:val="none" w:sz="0" w:space="0" w:color="auto"/>
                                                                <w:left w:val="none" w:sz="0" w:space="0" w:color="auto"/>
                                                                <w:bottom w:val="none" w:sz="0" w:space="0" w:color="auto"/>
                                                                <w:right w:val="none" w:sz="0" w:space="0" w:color="auto"/>
                                                              </w:divBdr>
                                                              <w:divsChild>
                                                                <w:div w:id="383336328">
                                                                  <w:marLeft w:val="0"/>
                                                                  <w:marRight w:val="0"/>
                                                                  <w:marTop w:val="0"/>
                                                                  <w:marBottom w:val="0"/>
                                                                  <w:divBdr>
                                                                    <w:top w:val="none" w:sz="0" w:space="0" w:color="auto"/>
                                                                    <w:left w:val="none" w:sz="0" w:space="0" w:color="auto"/>
                                                                    <w:bottom w:val="none" w:sz="0" w:space="0" w:color="auto"/>
                                                                    <w:right w:val="none" w:sz="0" w:space="0" w:color="auto"/>
                                                                  </w:divBdr>
                                                                </w:div>
                                                              </w:divsChild>
                                                            </w:div>
                                                            <w:div w:id="1552185369">
                                                              <w:marLeft w:val="0"/>
                                                              <w:marRight w:val="0"/>
                                                              <w:marTop w:val="96"/>
                                                              <w:marBottom w:val="0"/>
                                                              <w:divBdr>
                                                                <w:top w:val="none" w:sz="0" w:space="0" w:color="auto"/>
                                                                <w:left w:val="none" w:sz="0" w:space="0" w:color="auto"/>
                                                                <w:bottom w:val="none" w:sz="0" w:space="0" w:color="auto"/>
                                                                <w:right w:val="none" w:sz="0" w:space="0" w:color="auto"/>
                                                              </w:divBdr>
                                                              <w:divsChild>
                                                                <w:div w:id="9611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sustainabilit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ACB95-1A4C-4606-9929-4C4FF7E1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560</Words>
  <Characters>3080</Characters>
  <Application>Microsoft Office Word</Application>
  <DocSecurity>0</DocSecurity>
  <Lines>25</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3633</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Albrecht</dc:creator>
  <cp:lastModifiedBy>Ignacio Sabino</cp:lastModifiedBy>
  <cp:revision>4</cp:revision>
  <cp:lastPrinted>2016-11-14T20:47:00Z</cp:lastPrinted>
  <dcterms:created xsi:type="dcterms:W3CDTF">2017-09-07T13:01:00Z</dcterms:created>
  <dcterms:modified xsi:type="dcterms:W3CDTF">2017-09-07T13:08:00Z</dcterms:modified>
</cp:coreProperties>
</file>