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B2A" w:rsidRPr="00520158" w:rsidRDefault="00C41B2A" w:rsidP="00C41B2A">
      <w:pPr>
        <w:pStyle w:val="Standard12pt"/>
        <w:jc w:val="right"/>
      </w:pPr>
      <w:r w:rsidRPr="00520158">
        <w:t>1</w:t>
      </w:r>
      <w:r w:rsidR="00AA32FF" w:rsidRPr="00520158">
        <w:t>4</w:t>
      </w:r>
      <w:r w:rsidRPr="00520158">
        <w:t xml:space="preserve"> </w:t>
      </w:r>
      <w:r w:rsidR="00AA32FF" w:rsidRPr="00520158">
        <w:t>novembre</w:t>
      </w:r>
      <w:r w:rsidRPr="00520158">
        <w:t xml:space="preserve"> 2017</w:t>
      </w:r>
    </w:p>
    <w:p w:rsidR="00AA32FF" w:rsidRPr="00520158" w:rsidRDefault="00AA32FF" w:rsidP="00AA32FF">
      <w:pPr>
        <w:autoSpaceDE w:val="0"/>
        <w:autoSpaceDN w:val="0"/>
        <w:adjustRightInd w:val="0"/>
        <w:spacing w:line="240" w:lineRule="auto"/>
        <w:jc w:val="both"/>
        <w:rPr>
          <w:b/>
          <w:i/>
          <w:sz w:val="24"/>
        </w:rPr>
      </w:pPr>
    </w:p>
    <w:p w:rsidR="00520158" w:rsidRDefault="00520158" w:rsidP="004A58AC">
      <w:pPr>
        <w:autoSpaceDE w:val="0"/>
        <w:autoSpaceDN w:val="0"/>
        <w:adjustRightInd w:val="0"/>
        <w:spacing w:line="360" w:lineRule="auto"/>
        <w:jc w:val="both"/>
        <w:rPr>
          <w:sz w:val="24"/>
        </w:rPr>
      </w:pPr>
    </w:p>
    <w:p w:rsidR="004A58AC" w:rsidRPr="00435097" w:rsidRDefault="004A58AC" w:rsidP="004A58AC">
      <w:pPr>
        <w:autoSpaceDE w:val="0"/>
        <w:autoSpaceDN w:val="0"/>
        <w:adjustRightInd w:val="0"/>
        <w:spacing w:line="360" w:lineRule="auto"/>
        <w:jc w:val="both"/>
        <w:rPr>
          <w:sz w:val="24"/>
        </w:rPr>
      </w:pPr>
      <w:r>
        <w:rPr>
          <w:sz w:val="24"/>
        </w:rPr>
        <w:t>Henkel confirme ses perspectives de croissance des ventes et augmente son EPS</w:t>
      </w:r>
      <w:r w:rsidR="00520158">
        <w:rPr>
          <w:sz w:val="24"/>
        </w:rPr>
        <w:t>*</w:t>
      </w:r>
      <w:r>
        <w:rPr>
          <w:sz w:val="24"/>
        </w:rPr>
        <w:t xml:space="preserve"> prévisionnel pour l'exercice 2017</w:t>
      </w:r>
    </w:p>
    <w:p w:rsidR="004A58AC" w:rsidRPr="00F545FE" w:rsidRDefault="004A58AC" w:rsidP="004A58AC">
      <w:pPr>
        <w:autoSpaceDE w:val="0"/>
        <w:autoSpaceDN w:val="0"/>
        <w:adjustRightInd w:val="0"/>
        <w:spacing w:line="240" w:lineRule="auto"/>
        <w:jc w:val="both"/>
        <w:rPr>
          <w:sz w:val="24"/>
        </w:rPr>
      </w:pPr>
    </w:p>
    <w:p w:rsidR="004A58AC" w:rsidRPr="00E75CE6" w:rsidRDefault="004A58AC" w:rsidP="004A58AC">
      <w:pPr>
        <w:pStyle w:val="Titre1"/>
        <w:jc w:val="both"/>
      </w:pPr>
      <w:r>
        <w:t>Henkel enregistre de bonnes performances au troisième trimestre</w:t>
      </w:r>
    </w:p>
    <w:p w:rsidR="004A58AC" w:rsidRPr="00E75CE6" w:rsidRDefault="004A58AC" w:rsidP="004A58AC"/>
    <w:p w:rsidR="004A58AC" w:rsidRPr="00B87B61" w:rsidRDefault="004A58AC" w:rsidP="004A58AC">
      <w:pPr>
        <w:numPr>
          <w:ilvl w:val="0"/>
          <w:numId w:val="1"/>
        </w:numPr>
        <w:tabs>
          <w:tab w:val="clear" w:pos="720"/>
          <w:tab w:val="num" w:pos="284"/>
        </w:tabs>
        <w:autoSpaceDE w:val="0"/>
        <w:autoSpaceDN w:val="0"/>
        <w:adjustRightInd w:val="0"/>
        <w:spacing w:line="360" w:lineRule="auto"/>
        <w:ind w:left="284" w:hanging="284"/>
        <w:rPr>
          <w:b/>
          <w:sz w:val="24"/>
        </w:rPr>
      </w:pPr>
      <w:r>
        <w:rPr>
          <w:b/>
          <w:sz w:val="24"/>
        </w:rPr>
        <w:t xml:space="preserve">Très forte croissance nominale des ventes : +4,9 % à 4 981 millions d'EUR, </w:t>
      </w:r>
      <w:r>
        <w:br/>
      </w:r>
      <w:r>
        <w:rPr>
          <w:b/>
          <w:sz w:val="24"/>
        </w:rPr>
        <w:t xml:space="preserve">solide croissance organique </w:t>
      </w:r>
      <w:r w:rsidR="00520158">
        <w:rPr>
          <w:b/>
          <w:sz w:val="24"/>
        </w:rPr>
        <w:t xml:space="preserve">des ventes </w:t>
      </w:r>
      <w:r>
        <w:rPr>
          <w:b/>
          <w:sz w:val="24"/>
        </w:rPr>
        <w:t>(OSG) de +3,0 %</w:t>
      </w:r>
    </w:p>
    <w:p w:rsidR="004A58AC" w:rsidRPr="00F545FE" w:rsidRDefault="004A58AC" w:rsidP="004A58AC">
      <w:pPr>
        <w:numPr>
          <w:ilvl w:val="0"/>
          <w:numId w:val="1"/>
        </w:numPr>
        <w:tabs>
          <w:tab w:val="clear" w:pos="720"/>
          <w:tab w:val="num" w:pos="284"/>
        </w:tabs>
        <w:autoSpaceDE w:val="0"/>
        <w:autoSpaceDN w:val="0"/>
        <w:adjustRightInd w:val="0"/>
        <w:spacing w:line="360" w:lineRule="auto"/>
        <w:ind w:left="284" w:hanging="284"/>
        <w:jc w:val="both"/>
        <w:rPr>
          <w:b/>
          <w:sz w:val="24"/>
        </w:rPr>
      </w:pPr>
      <w:r>
        <w:rPr>
          <w:b/>
          <w:sz w:val="24"/>
        </w:rPr>
        <w:t>Amélioration de la marge EBIT*</w:t>
      </w:r>
      <w:r w:rsidR="006726B4">
        <w:rPr>
          <w:b/>
          <w:sz w:val="24"/>
        </w:rPr>
        <w:t>*</w:t>
      </w:r>
      <w:r>
        <w:rPr>
          <w:b/>
          <w:sz w:val="24"/>
        </w:rPr>
        <w:t xml:space="preserve"> qui atteint un nouveau record : +40 points de base à 18,0 %</w:t>
      </w:r>
    </w:p>
    <w:p w:rsidR="004A58AC" w:rsidRDefault="004A58AC" w:rsidP="004A58AC">
      <w:pPr>
        <w:numPr>
          <w:ilvl w:val="0"/>
          <w:numId w:val="1"/>
        </w:numPr>
        <w:tabs>
          <w:tab w:val="clear" w:pos="720"/>
          <w:tab w:val="num" w:pos="284"/>
        </w:tabs>
        <w:autoSpaceDE w:val="0"/>
        <w:autoSpaceDN w:val="0"/>
        <w:adjustRightInd w:val="0"/>
        <w:spacing w:line="360" w:lineRule="auto"/>
        <w:ind w:left="284" w:hanging="284"/>
        <w:jc w:val="both"/>
        <w:rPr>
          <w:b/>
          <w:sz w:val="24"/>
        </w:rPr>
      </w:pPr>
      <w:r>
        <w:rPr>
          <w:b/>
          <w:sz w:val="24"/>
        </w:rPr>
        <w:t xml:space="preserve">Croissance significative du résultat </w:t>
      </w:r>
      <w:r w:rsidR="006726B4">
        <w:rPr>
          <w:b/>
          <w:sz w:val="24"/>
        </w:rPr>
        <w:t>par action préférentielle (EPS)</w:t>
      </w:r>
      <w:bookmarkStart w:id="0" w:name="_GoBack"/>
      <w:bookmarkEnd w:id="0"/>
      <w:r>
        <w:rPr>
          <w:b/>
          <w:sz w:val="24"/>
        </w:rPr>
        <w:t> :</w:t>
      </w:r>
    </w:p>
    <w:p w:rsidR="004A58AC" w:rsidRDefault="004A58AC" w:rsidP="004A58AC">
      <w:pPr>
        <w:tabs>
          <w:tab w:val="num" w:pos="284"/>
        </w:tabs>
        <w:autoSpaceDE w:val="0"/>
        <w:autoSpaceDN w:val="0"/>
        <w:adjustRightInd w:val="0"/>
        <w:spacing w:line="360" w:lineRule="auto"/>
        <w:ind w:left="284" w:hanging="284"/>
        <w:jc w:val="both"/>
        <w:rPr>
          <w:b/>
          <w:sz w:val="24"/>
        </w:rPr>
      </w:pPr>
      <w:r>
        <w:rPr>
          <w:b/>
          <w:sz w:val="24"/>
        </w:rPr>
        <w:tab/>
        <w:t>+8,5 % à 1,54 </w:t>
      </w:r>
      <w:r w:rsidR="00520158">
        <w:rPr>
          <w:b/>
          <w:sz w:val="24"/>
        </w:rPr>
        <w:t>EUR</w:t>
      </w:r>
    </w:p>
    <w:p w:rsidR="004A58AC" w:rsidRPr="007B12C5" w:rsidRDefault="004A58AC" w:rsidP="004A58AC">
      <w:pPr>
        <w:numPr>
          <w:ilvl w:val="0"/>
          <w:numId w:val="1"/>
        </w:numPr>
        <w:tabs>
          <w:tab w:val="clear" w:pos="720"/>
          <w:tab w:val="num" w:pos="284"/>
        </w:tabs>
        <w:autoSpaceDE w:val="0"/>
        <w:autoSpaceDN w:val="0"/>
        <w:adjustRightInd w:val="0"/>
        <w:spacing w:line="360" w:lineRule="auto"/>
        <w:ind w:left="284" w:hanging="284"/>
        <w:jc w:val="both"/>
        <w:rPr>
          <w:b/>
          <w:sz w:val="24"/>
        </w:rPr>
      </w:pPr>
      <w:r>
        <w:rPr>
          <w:b/>
          <w:sz w:val="24"/>
        </w:rPr>
        <w:t>Perspectives pour l'exercice 2017 : confirmation de l'OSG entre 2 à 4 % e</w:t>
      </w:r>
      <w:r w:rsidR="006726B4">
        <w:rPr>
          <w:b/>
          <w:sz w:val="24"/>
        </w:rPr>
        <w:t>t de la hausse de la marge EBIT</w:t>
      </w:r>
      <w:r>
        <w:rPr>
          <w:b/>
          <w:sz w:val="24"/>
        </w:rPr>
        <w:t xml:space="preserve"> à plus de 17,0 %, augmentation de l'EPS à environ 9 %</w:t>
      </w:r>
    </w:p>
    <w:p w:rsidR="004A58AC" w:rsidRPr="00B60C48" w:rsidRDefault="004A58AC" w:rsidP="004A58AC">
      <w:pPr>
        <w:autoSpaceDE w:val="0"/>
        <w:autoSpaceDN w:val="0"/>
        <w:adjustRightInd w:val="0"/>
        <w:spacing w:line="360" w:lineRule="auto"/>
        <w:jc w:val="both"/>
        <w:rPr>
          <w:b/>
          <w:sz w:val="24"/>
        </w:rPr>
      </w:pPr>
    </w:p>
    <w:p w:rsidR="004A58AC" w:rsidRDefault="004A58AC" w:rsidP="004A58AC">
      <w:pPr>
        <w:autoSpaceDE w:val="0"/>
        <w:autoSpaceDN w:val="0"/>
        <w:adjustRightInd w:val="0"/>
        <w:spacing w:line="360" w:lineRule="auto"/>
        <w:jc w:val="both"/>
        <w:rPr>
          <w:b/>
          <w:sz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-55880</wp:posOffset>
                </wp:positionH>
                <wp:positionV relativeFrom="paragraph">
                  <wp:posOffset>2264410</wp:posOffset>
                </wp:positionV>
                <wp:extent cx="5158105" cy="367665"/>
                <wp:effectExtent l="0" t="0" r="4445"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158" w:rsidRDefault="004A58AC" w:rsidP="004A58AC">
                            <w:pPr>
                              <w:autoSpaceDE w:val="0"/>
                              <w:autoSpaceDN w:val="0"/>
                              <w:adjustRightInd w:val="0"/>
                              <w:spacing w:line="360" w:lineRule="auto"/>
                              <w:jc w:val="both"/>
                              <w:rPr>
                                <w:sz w:val="16"/>
                              </w:rPr>
                            </w:pPr>
                            <w:r>
                              <w:rPr>
                                <w:sz w:val="16"/>
                              </w:rPr>
                              <w:t>*</w:t>
                            </w:r>
                            <w:r w:rsidR="00520158">
                              <w:rPr>
                                <w:sz w:val="16"/>
                              </w:rPr>
                              <w:t xml:space="preserve"> Earning Per Share : résultat par action préférentielle</w:t>
                            </w:r>
                          </w:p>
                          <w:p w:rsidR="004A58AC" w:rsidRPr="00904FB2" w:rsidRDefault="00520158" w:rsidP="004A58AC">
                            <w:pPr>
                              <w:autoSpaceDE w:val="0"/>
                              <w:autoSpaceDN w:val="0"/>
                              <w:adjustRightInd w:val="0"/>
                              <w:spacing w:line="360" w:lineRule="auto"/>
                              <w:jc w:val="both"/>
                            </w:pPr>
                            <w:r>
                              <w:rPr>
                                <w:sz w:val="16"/>
                              </w:rPr>
                              <w:t xml:space="preserve"> **</w:t>
                            </w:r>
                            <w:r w:rsidR="004A58AC">
                              <w:rPr>
                                <w:sz w:val="16"/>
                              </w:rPr>
                              <w:t xml:space="preserve"> </w:t>
                            </w:r>
                            <w:r>
                              <w:rPr>
                                <w:sz w:val="16"/>
                              </w:rPr>
                              <w:t>Après ajustement des produits et des dépenses exceptionnels ainsi que des dépenses pour restructuration</w:t>
                            </w:r>
                          </w:p>
                          <w:p w:rsidR="004A58AC" w:rsidRPr="00F545FE" w:rsidRDefault="004A58AC" w:rsidP="004A58AC">
                            <w:pPr>
                              <w:autoSpaceDE w:val="0"/>
                              <w:autoSpaceDN w:val="0"/>
                              <w:adjustRightInd w:val="0"/>
                              <w:spacing w:line="360" w:lineRule="auto"/>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4.4pt;margin-top:178.3pt;width:406.15pt;height:28.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" stroked="f">
                <v:textbox>
                  <w:txbxContent>
                    <w:p w:rsidR="00520158" w:rsidRDefault="004A58AC" w:rsidP="004A58AC">
                      <w:pPr>
                        <w:autoSpaceDE w:val="0"/>
                        <w:autoSpaceDN w:val="0"/>
                        <w:adjustRightInd w:val="0"/>
                        <w:spacing w:line="360" w:lineRule="auto"/>
                        <w:jc w:val="both"/>
                        <w:rPr>
                          <w:sz w:val="16"/>
                        </w:rPr>
                      </w:pPr>
                      <w:r>
                        <w:rPr>
                          <w:sz w:val="16"/>
                        </w:rPr>
                        <w:t>*</w:t>
                      </w:r>
                      <w:r w:rsidR="00520158">
                        <w:rPr>
                          <w:sz w:val="16"/>
                        </w:rPr>
                        <w:t xml:space="preserve"> </w:t>
                      </w:r>
                      <w:proofErr w:type="spellStart"/>
                      <w:r w:rsidR="00520158">
                        <w:rPr>
                          <w:sz w:val="16"/>
                        </w:rPr>
                        <w:t>Earning</w:t>
                      </w:r>
                      <w:proofErr w:type="spellEnd"/>
                      <w:r w:rsidR="00520158">
                        <w:rPr>
                          <w:sz w:val="16"/>
                        </w:rPr>
                        <w:t xml:space="preserve"> Per Share : résultat par action préférentielle</w:t>
                      </w:r>
                    </w:p>
                    <w:p w:rsidR="004A58AC" w:rsidRPr="00904FB2" w:rsidRDefault="00520158" w:rsidP="004A58AC">
                      <w:pPr>
                        <w:autoSpaceDE w:val="0"/>
                        <w:autoSpaceDN w:val="0"/>
                        <w:adjustRightInd w:val="0"/>
                        <w:spacing w:line="360" w:lineRule="auto"/>
                        <w:jc w:val="both"/>
                      </w:pPr>
                      <w:r>
                        <w:rPr>
                          <w:sz w:val="16"/>
                        </w:rPr>
                        <w:t xml:space="preserve"> **</w:t>
                      </w:r>
                      <w:r w:rsidR="004A58AC">
                        <w:rPr>
                          <w:sz w:val="16"/>
                        </w:rPr>
                        <w:t xml:space="preserve"> </w:t>
                      </w:r>
                      <w:r>
                        <w:rPr>
                          <w:sz w:val="16"/>
                        </w:rPr>
                        <w:t>Après ajustement des produits et des dépenses exceptionnels ainsi que des dépenses pour restructuration</w:t>
                      </w:r>
                    </w:p>
                    <w:p w:rsidR="004A58AC" w:rsidRPr="00F545FE" w:rsidRDefault="004A58AC" w:rsidP="004A58AC">
                      <w:pPr>
                        <w:autoSpaceDE w:val="0"/>
                        <w:autoSpaceDN w:val="0"/>
                        <w:adjustRightInd w:val="0"/>
                        <w:spacing w:line="360" w:lineRule="auto"/>
                        <w:jc w:val="both"/>
                      </w:pPr>
                    </w:p>
                  </w:txbxContent>
                </v:textbox>
                <w10:wrap type="square"/>
              </v:shape>
            </w:pict>
          </mc:Fallback>
        </mc:AlternateContent>
      </w:r>
      <w:r>
        <w:rPr>
          <w:b/>
          <w:sz w:val="24"/>
        </w:rPr>
        <w:t xml:space="preserve">Düsseldorf – « Henkel enregistre de bonnes performances au troisième trimestre. Dans un contexte toujours plus difficile, nous continuons d'augmenter nos ventes et nos bénéfices. Les trois secteurs d'activité ont contribué à cette évolution positive. La croissance organique des ventes est solide avec 3 %, tandis que la croissance nominale s'établit autour de 5 % », déclare Hans Van Bylen, Président du Comité de direction de Henkel. « Nous avons enregistré une hausse significative de l'EBIT ajusté et notre marge EBIT ajustée atteint un nouveau record avec 18 %. Le résultat ajusté par action préférentielle a également </w:t>
      </w:r>
      <w:r>
        <w:rPr>
          <w:b/>
          <w:sz w:val="24"/>
        </w:rPr>
        <w:lastRenderedPageBreak/>
        <w:t>augmenté de manière significative. Nous avons en outre mené à bien trois projets d'acquisition qui renforceront considérablement notre portefeuille d'activités. »</w:t>
      </w:r>
    </w:p>
    <w:p w:rsidR="004A58AC" w:rsidRDefault="004A58AC" w:rsidP="004A58AC">
      <w:pPr>
        <w:autoSpaceDE w:val="0"/>
        <w:autoSpaceDN w:val="0"/>
        <w:adjustRightInd w:val="0"/>
        <w:spacing w:line="360" w:lineRule="auto"/>
        <w:jc w:val="both"/>
        <w:rPr>
          <w:b/>
          <w:sz w:val="24"/>
        </w:rPr>
      </w:pPr>
    </w:p>
    <w:p w:rsidR="004A58AC" w:rsidRDefault="004A58AC" w:rsidP="004A58AC">
      <w:pPr>
        <w:autoSpaceDE w:val="0"/>
        <w:autoSpaceDN w:val="0"/>
        <w:adjustRightInd w:val="0"/>
        <w:spacing w:line="360" w:lineRule="auto"/>
        <w:jc w:val="both"/>
        <w:rPr>
          <w:b/>
          <w:sz w:val="24"/>
        </w:rPr>
      </w:pPr>
      <w:r>
        <w:rPr>
          <w:b/>
          <w:sz w:val="24"/>
        </w:rPr>
        <w:t>« Nous nous attendons à ce que le contexte du ma</w:t>
      </w:r>
      <w:r w:rsidR="00D83A64">
        <w:rPr>
          <w:b/>
          <w:sz w:val="24"/>
        </w:rPr>
        <w:t xml:space="preserve">rché reste globalement volatil </w:t>
      </w:r>
      <w:r>
        <w:rPr>
          <w:b/>
          <w:sz w:val="24"/>
        </w:rPr>
        <w:t>et incertain. Les effets de change devraient être plus défavorables. Sur les marchés des biens de</w:t>
      </w:r>
      <w:r w:rsidR="00520158">
        <w:rPr>
          <w:b/>
          <w:sz w:val="24"/>
        </w:rPr>
        <w:t xml:space="preserve"> grande</w:t>
      </w:r>
      <w:r>
        <w:rPr>
          <w:b/>
          <w:sz w:val="24"/>
        </w:rPr>
        <w:t xml:space="preserve"> consommation, le contexte difficile devrait aussi </w:t>
      </w:r>
      <w:r w:rsidR="00520158">
        <w:rPr>
          <w:b/>
          <w:sz w:val="24"/>
        </w:rPr>
        <w:t>persister</w:t>
      </w:r>
      <w:r>
        <w:rPr>
          <w:b/>
          <w:sz w:val="24"/>
        </w:rPr>
        <w:t>. Nous sommes engagés à poursuivre avec succès notre développement et à mettre en œuvre nos priorités stratégiques », ajoute Hans Van Bylen.</w:t>
      </w:r>
    </w:p>
    <w:p w:rsidR="004A58AC" w:rsidRDefault="004A58AC" w:rsidP="004A58AC">
      <w:pPr>
        <w:autoSpaceDE w:val="0"/>
        <w:autoSpaceDN w:val="0"/>
        <w:adjustRightInd w:val="0"/>
        <w:spacing w:line="360" w:lineRule="auto"/>
        <w:jc w:val="both"/>
        <w:rPr>
          <w:b/>
          <w:sz w:val="24"/>
        </w:rPr>
      </w:pPr>
    </w:p>
    <w:p w:rsidR="004A58AC" w:rsidRPr="0038348F" w:rsidRDefault="004A58AC" w:rsidP="004A58AC">
      <w:pPr>
        <w:autoSpaceDE w:val="0"/>
        <w:autoSpaceDN w:val="0"/>
        <w:adjustRightInd w:val="0"/>
        <w:spacing w:line="360" w:lineRule="auto"/>
        <w:jc w:val="both"/>
        <w:rPr>
          <w:rFonts w:cs="Arial"/>
          <w:b/>
          <w:sz w:val="24"/>
        </w:rPr>
      </w:pPr>
      <w:r>
        <w:rPr>
          <w:b/>
          <w:sz w:val="24"/>
        </w:rPr>
        <w:t xml:space="preserve">Henkel a confirmé ses perspectives de ventes pour l'exercice 2017 et les a revues à la hausse pour l'EPS, malgré </w:t>
      </w:r>
      <w:r w:rsidR="00520158">
        <w:rPr>
          <w:b/>
          <w:sz w:val="24"/>
        </w:rPr>
        <w:t>des</w:t>
      </w:r>
      <w:r>
        <w:rPr>
          <w:b/>
          <w:sz w:val="24"/>
        </w:rPr>
        <w:t xml:space="preserve"> effet</w:t>
      </w:r>
      <w:r w:rsidR="00520158">
        <w:rPr>
          <w:b/>
          <w:sz w:val="24"/>
        </w:rPr>
        <w:t>s</w:t>
      </w:r>
      <w:r>
        <w:rPr>
          <w:b/>
          <w:sz w:val="24"/>
        </w:rPr>
        <w:t xml:space="preserve"> de change plus défavorable</w:t>
      </w:r>
      <w:r w:rsidR="00F64D5F">
        <w:rPr>
          <w:b/>
          <w:sz w:val="24"/>
        </w:rPr>
        <w:t>s</w:t>
      </w:r>
      <w:r>
        <w:rPr>
          <w:b/>
          <w:sz w:val="24"/>
        </w:rPr>
        <w:t xml:space="preserve">. « Nous continuons à </w:t>
      </w:r>
      <w:r w:rsidR="00520158">
        <w:rPr>
          <w:b/>
          <w:sz w:val="24"/>
        </w:rPr>
        <w:t xml:space="preserve">nous attendre à </w:t>
      </w:r>
      <w:r>
        <w:rPr>
          <w:b/>
          <w:sz w:val="24"/>
        </w:rPr>
        <w:t xml:space="preserve">une croissance organique des ventes entre 2 et 4 % pour le Groupe et une progression de notre marge EBIT ajustée à plus de 17,0 %. Concernant le résultat ajusté par action préférentielle, nous </w:t>
      </w:r>
      <w:r w:rsidR="00520158">
        <w:rPr>
          <w:b/>
          <w:sz w:val="24"/>
        </w:rPr>
        <w:t>nous attendons</w:t>
      </w:r>
      <w:r>
        <w:rPr>
          <w:b/>
          <w:sz w:val="24"/>
        </w:rPr>
        <w:t xml:space="preserve"> désormais </w:t>
      </w:r>
      <w:r w:rsidR="00520158">
        <w:rPr>
          <w:b/>
          <w:sz w:val="24"/>
        </w:rPr>
        <w:t xml:space="preserve">à </w:t>
      </w:r>
      <w:r>
        <w:rPr>
          <w:b/>
          <w:sz w:val="24"/>
        </w:rPr>
        <w:t>une hausse d'environ 9 % », déclare Hans Van Bylen.</w:t>
      </w:r>
    </w:p>
    <w:p w:rsidR="004A58AC" w:rsidRPr="00826B7B" w:rsidRDefault="004A58AC" w:rsidP="004A58AC">
      <w:pPr>
        <w:autoSpaceDE w:val="0"/>
        <w:autoSpaceDN w:val="0"/>
        <w:adjustRightInd w:val="0"/>
        <w:spacing w:line="360" w:lineRule="auto"/>
        <w:jc w:val="both"/>
        <w:rPr>
          <w:rFonts w:cs="Arial"/>
          <w:b/>
          <w:bCs/>
          <w:sz w:val="24"/>
        </w:rPr>
      </w:pPr>
    </w:p>
    <w:p w:rsidR="004A58AC" w:rsidRPr="001A42FA" w:rsidRDefault="004A58AC" w:rsidP="004A58AC">
      <w:pPr>
        <w:autoSpaceDE w:val="0"/>
        <w:autoSpaceDN w:val="0"/>
        <w:adjustRightInd w:val="0"/>
        <w:spacing w:after="120" w:line="360" w:lineRule="auto"/>
        <w:jc w:val="both"/>
        <w:rPr>
          <w:b/>
          <w:sz w:val="24"/>
        </w:rPr>
      </w:pPr>
      <w:r>
        <w:rPr>
          <w:b/>
          <w:sz w:val="24"/>
        </w:rPr>
        <w:t>Développement des ventes et du résultat au troisième trimestre 2017</w:t>
      </w:r>
    </w:p>
    <w:p w:rsidR="004A58AC" w:rsidRPr="00314BAE" w:rsidRDefault="004A58AC" w:rsidP="004A58AC">
      <w:pPr>
        <w:autoSpaceDE w:val="0"/>
        <w:autoSpaceDN w:val="0"/>
        <w:adjustRightInd w:val="0"/>
        <w:spacing w:line="360" w:lineRule="auto"/>
        <w:jc w:val="both"/>
        <w:rPr>
          <w:rFonts w:cs="Arial"/>
          <w:b/>
          <w:sz w:val="24"/>
        </w:rPr>
      </w:pPr>
      <w:r>
        <w:rPr>
          <w:sz w:val="24"/>
        </w:rPr>
        <w:t xml:space="preserve">Au troisième trimestre 2017, les </w:t>
      </w:r>
      <w:r>
        <w:rPr>
          <w:b/>
          <w:sz w:val="24"/>
        </w:rPr>
        <w:t>ventes</w:t>
      </w:r>
      <w:r>
        <w:rPr>
          <w:sz w:val="24"/>
        </w:rPr>
        <w:t xml:space="preserve"> ont enregistré une croissance nominale de 4,9 % pour s'établir à 4 981 millions d'EUR. La fluctuation des taux de change a eu globalement un effet négatif de 4,2 % sur les ventes. Les acquisitions et les désinvestissements ont contribué à hauteur de 6,1 % de la croissance des ventes. </w:t>
      </w:r>
      <w:r>
        <w:rPr>
          <w:b/>
          <w:sz w:val="24"/>
        </w:rPr>
        <w:t>Organiquement</w:t>
      </w:r>
      <w:r>
        <w:rPr>
          <w:sz w:val="24"/>
        </w:rPr>
        <w:t xml:space="preserve">, c'est-à-dire après ajustement des effets liés aux opérations de change, aux acquisitions/désinvestissements, Henkel a enregistré une forte croissance de 3,0 %. </w:t>
      </w:r>
    </w:p>
    <w:p w:rsidR="004A58AC" w:rsidRPr="00195A80" w:rsidRDefault="004A58AC" w:rsidP="004A58AC">
      <w:pPr>
        <w:autoSpaceDE w:val="0"/>
        <w:autoSpaceDN w:val="0"/>
        <w:adjustRightInd w:val="0"/>
        <w:spacing w:line="360" w:lineRule="auto"/>
        <w:jc w:val="both"/>
        <w:rPr>
          <w:rFonts w:cs="Arial"/>
          <w:sz w:val="24"/>
        </w:rPr>
      </w:pPr>
    </w:p>
    <w:p w:rsidR="004A58AC" w:rsidRPr="00314BAE" w:rsidRDefault="004A58AC" w:rsidP="004A58AC">
      <w:pPr>
        <w:autoSpaceDE w:val="0"/>
        <w:autoSpaceDN w:val="0"/>
        <w:adjustRightInd w:val="0"/>
        <w:spacing w:line="360" w:lineRule="auto"/>
        <w:jc w:val="both"/>
        <w:rPr>
          <w:rFonts w:cs="Arial"/>
          <w:sz w:val="24"/>
        </w:rPr>
      </w:pPr>
      <w:r>
        <w:rPr>
          <w:sz w:val="24"/>
        </w:rPr>
        <w:t xml:space="preserve">Le secteur d'activité </w:t>
      </w:r>
      <w:r>
        <w:rPr>
          <w:b/>
          <w:sz w:val="24"/>
        </w:rPr>
        <w:t>Adhesive Technologies</w:t>
      </w:r>
      <w:r>
        <w:rPr>
          <w:sz w:val="24"/>
        </w:rPr>
        <w:t xml:space="preserve"> a réalisé une très </w:t>
      </w:r>
      <w:r w:rsidR="00520158">
        <w:rPr>
          <w:sz w:val="24"/>
        </w:rPr>
        <w:t>forte</w:t>
      </w:r>
      <w:r>
        <w:rPr>
          <w:sz w:val="24"/>
        </w:rPr>
        <w:t xml:space="preserve"> croissance organique des ventes de 4,9 %. Le secteur d'activité </w:t>
      </w:r>
      <w:r>
        <w:rPr>
          <w:b/>
          <w:sz w:val="24"/>
        </w:rPr>
        <w:t>Beauty Care</w:t>
      </w:r>
      <w:r>
        <w:rPr>
          <w:sz w:val="24"/>
        </w:rPr>
        <w:t xml:space="preserve"> a lui aussi augmenté ses ventes, avec une croissance organique de 0,5 %. Les ventes du secteur d'activité </w:t>
      </w:r>
      <w:r>
        <w:rPr>
          <w:b/>
          <w:sz w:val="24"/>
        </w:rPr>
        <w:t>Laundry &amp; Home Care</w:t>
      </w:r>
      <w:r>
        <w:rPr>
          <w:sz w:val="24"/>
        </w:rPr>
        <w:t xml:space="preserve"> se sont également améliorées, avec une croissance organique de 1,8 %.</w:t>
      </w:r>
    </w:p>
    <w:p w:rsidR="004A58AC" w:rsidRPr="00195A80" w:rsidRDefault="004A58AC" w:rsidP="004A58AC">
      <w:pPr>
        <w:autoSpaceDE w:val="0"/>
        <w:autoSpaceDN w:val="0"/>
        <w:adjustRightInd w:val="0"/>
        <w:spacing w:line="360" w:lineRule="auto"/>
        <w:jc w:val="both"/>
        <w:rPr>
          <w:rFonts w:cs="Arial"/>
          <w:sz w:val="24"/>
        </w:rPr>
      </w:pPr>
    </w:p>
    <w:p w:rsidR="004A58AC" w:rsidRDefault="004A58AC" w:rsidP="004A58AC">
      <w:pPr>
        <w:autoSpaceDE w:val="0"/>
        <w:autoSpaceDN w:val="0"/>
        <w:adjustRightInd w:val="0"/>
        <w:spacing w:line="360" w:lineRule="auto"/>
        <w:jc w:val="both"/>
        <w:rPr>
          <w:rFonts w:cs="Arial"/>
          <w:sz w:val="24"/>
        </w:rPr>
      </w:pPr>
      <w:r>
        <w:rPr>
          <w:sz w:val="24"/>
        </w:rPr>
        <w:lastRenderedPageBreak/>
        <w:t xml:space="preserve">Les </w:t>
      </w:r>
      <w:r>
        <w:rPr>
          <w:b/>
          <w:sz w:val="24"/>
        </w:rPr>
        <w:t>marchés émergents</w:t>
      </w:r>
      <w:r>
        <w:rPr>
          <w:sz w:val="24"/>
        </w:rPr>
        <w:t xml:space="preserve"> ont une fois encore réalisé une contribution à la croissance organique du Groupe supérieure à la moyenne, avec une très forte augmentation de</w:t>
      </w:r>
      <w:r w:rsidR="00520158">
        <w:rPr>
          <w:sz w:val="24"/>
        </w:rPr>
        <w:t>s ventes de</w:t>
      </w:r>
      <w:r>
        <w:rPr>
          <w:sz w:val="24"/>
        </w:rPr>
        <w:t xml:space="preserve"> 5,0 %. Les </w:t>
      </w:r>
      <w:r>
        <w:rPr>
          <w:b/>
          <w:sz w:val="24"/>
        </w:rPr>
        <w:t xml:space="preserve">marchés matures </w:t>
      </w:r>
      <w:r>
        <w:rPr>
          <w:sz w:val="24"/>
        </w:rPr>
        <w:t xml:space="preserve">ont enregistré quant à eux une croissance organique </w:t>
      </w:r>
      <w:r w:rsidR="00520158">
        <w:rPr>
          <w:sz w:val="24"/>
        </w:rPr>
        <w:t xml:space="preserve">des ventes </w:t>
      </w:r>
      <w:r>
        <w:rPr>
          <w:sz w:val="24"/>
        </w:rPr>
        <w:t>positive de 1,5 %.</w:t>
      </w:r>
    </w:p>
    <w:p w:rsidR="004A58AC" w:rsidRDefault="004A58AC" w:rsidP="004A58AC">
      <w:pPr>
        <w:autoSpaceDE w:val="0"/>
        <w:autoSpaceDN w:val="0"/>
        <w:adjustRightInd w:val="0"/>
        <w:spacing w:line="360" w:lineRule="auto"/>
        <w:jc w:val="both"/>
        <w:rPr>
          <w:rFonts w:cs="Arial"/>
          <w:sz w:val="24"/>
        </w:rPr>
      </w:pPr>
    </w:p>
    <w:p w:rsidR="004A58AC" w:rsidRPr="00FD006A" w:rsidRDefault="004A58AC" w:rsidP="004A58AC">
      <w:pPr>
        <w:autoSpaceDE w:val="0"/>
        <w:autoSpaceDN w:val="0"/>
        <w:adjustRightInd w:val="0"/>
        <w:spacing w:line="360" w:lineRule="auto"/>
        <w:jc w:val="both"/>
        <w:rPr>
          <w:rFonts w:cs="Arial"/>
          <w:sz w:val="24"/>
        </w:rPr>
      </w:pPr>
      <w:r>
        <w:rPr>
          <w:sz w:val="24"/>
        </w:rPr>
        <w:t xml:space="preserve">En </w:t>
      </w:r>
      <w:r>
        <w:rPr>
          <w:b/>
          <w:sz w:val="24"/>
        </w:rPr>
        <w:t>Europe de l'Ouest</w:t>
      </w:r>
      <w:r>
        <w:rPr>
          <w:sz w:val="24"/>
        </w:rPr>
        <w:t xml:space="preserve">, les ventes organiques sont restées stables par rapport au même trimestre de l'année dernière. Dans toutes les autres régions, les ventes ont organiquement progressé : de 4,8 % en </w:t>
      </w:r>
      <w:r>
        <w:rPr>
          <w:b/>
          <w:sz w:val="24"/>
        </w:rPr>
        <w:t>Europe de l'Est</w:t>
      </w:r>
      <w:r>
        <w:rPr>
          <w:sz w:val="24"/>
        </w:rPr>
        <w:t xml:space="preserve">, de 3,2 % dans la région </w:t>
      </w:r>
      <w:r>
        <w:rPr>
          <w:b/>
          <w:sz w:val="24"/>
        </w:rPr>
        <w:t>Afrique/Moyen-Orient</w:t>
      </w:r>
      <w:r>
        <w:rPr>
          <w:sz w:val="24"/>
        </w:rPr>
        <w:t xml:space="preserve">, de 3,2 % en </w:t>
      </w:r>
      <w:r>
        <w:rPr>
          <w:b/>
          <w:sz w:val="24"/>
        </w:rPr>
        <w:t>Amérique du Nord</w:t>
      </w:r>
      <w:r>
        <w:rPr>
          <w:sz w:val="24"/>
        </w:rPr>
        <w:t>,</w:t>
      </w:r>
      <w:r>
        <w:rPr>
          <w:b/>
          <w:sz w:val="24"/>
        </w:rPr>
        <w:t xml:space="preserve"> </w:t>
      </w:r>
      <w:r>
        <w:rPr>
          <w:sz w:val="24"/>
        </w:rPr>
        <w:t xml:space="preserve">de 2,8 % en </w:t>
      </w:r>
      <w:r>
        <w:rPr>
          <w:b/>
          <w:sz w:val="24"/>
        </w:rPr>
        <w:t>Amérique latine</w:t>
      </w:r>
      <w:r>
        <w:rPr>
          <w:sz w:val="24"/>
        </w:rPr>
        <w:t xml:space="preserve"> et de 6,4 % en </w:t>
      </w:r>
      <w:r>
        <w:rPr>
          <w:b/>
          <w:sz w:val="24"/>
        </w:rPr>
        <w:t>Asie-Pacifique</w:t>
      </w:r>
      <w:r>
        <w:rPr>
          <w:sz w:val="24"/>
        </w:rPr>
        <w:t xml:space="preserve">. </w:t>
      </w:r>
    </w:p>
    <w:p w:rsidR="004A58AC" w:rsidRDefault="004A58AC" w:rsidP="004A58AC">
      <w:pPr>
        <w:autoSpaceDE w:val="0"/>
        <w:autoSpaceDN w:val="0"/>
        <w:adjustRightInd w:val="0"/>
        <w:spacing w:line="360" w:lineRule="auto"/>
        <w:jc w:val="both"/>
        <w:rPr>
          <w:rFonts w:cs="Arial"/>
          <w:b/>
          <w:sz w:val="24"/>
        </w:rPr>
      </w:pPr>
    </w:p>
    <w:p w:rsidR="004A58AC" w:rsidRDefault="004A58AC" w:rsidP="004A58AC">
      <w:pPr>
        <w:autoSpaceDE w:val="0"/>
        <w:autoSpaceDN w:val="0"/>
        <w:adjustRightInd w:val="0"/>
        <w:spacing w:line="360" w:lineRule="auto"/>
        <w:jc w:val="both"/>
        <w:rPr>
          <w:rFonts w:cs="Arial"/>
          <w:sz w:val="24"/>
        </w:rPr>
      </w:pPr>
      <w:r>
        <w:rPr>
          <w:sz w:val="24"/>
        </w:rPr>
        <w:t>Le</w:t>
      </w:r>
      <w:r>
        <w:rPr>
          <w:b/>
          <w:sz w:val="24"/>
        </w:rPr>
        <w:t xml:space="preserve"> résultat d'exploitation ajusté</w:t>
      </w:r>
      <w:r>
        <w:rPr>
          <w:sz w:val="24"/>
        </w:rPr>
        <w:t xml:space="preserve"> (EBIT) a augmenté de 7,1 %, à 897 millions d'EUR. Les trois secteurs d'activité y ont contribué.</w:t>
      </w:r>
    </w:p>
    <w:p w:rsidR="004A58AC" w:rsidRDefault="004A58AC" w:rsidP="004A58AC">
      <w:pPr>
        <w:autoSpaceDE w:val="0"/>
        <w:autoSpaceDN w:val="0"/>
        <w:adjustRightInd w:val="0"/>
        <w:spacing w:line="360" w:lineRule="auto"/>
        <w:jc w:val="both"/>
        <w:rPr>
          <w:rFonts w:cs="Arial"/>
          <w:b/>
          <w:sz w:val="24"/>
        </w:rPr>
      </w:pPr>
    </w:p>
    <w:p w:rsidR="004A58AC" w:rsidRPr="00FD006A" w:rsidRDefault="004A58AC" w:rsidP="004A58AC">
      <w:pPr>
        <w:autoSpaceDE w:val="0"/>
        <w:autoSpaceDN w:val="0"/>
        <w:adjustRightInd w:val="0"/>
        <w:spacing w:line="360" w:lineRule="auto"/>
        <w:jc w:val="both"/>
        <w:rPr>
          <w:rFonts w:cs="Arial"/>
          <w:sz w:val="24"/>
        </w:rPr>
      </w:pPr>
      <w:r>
        <w:rPr>
          <w:sz w:val="24"/>
        </w:rPr>
        <w:t>La</w:t>
      </w:r>
      <w:r>
        <w:rPr>
          <w:b/>
          <w:sz w:val="24"/>
        </w:rPr>
        <w:t xml:space="preserve"> rentabilité des ventes ajustée</w:t>
      </w:r>
      <w:r>
        <w:rPr>
          <w:sz w:val="24"/>
        </w:rPr>
        <w:t xml:space="preserve"> (EBIT) a augmenté de 0,4 point pour atteindre 18,0 %. </w:t>
      </w:r>
    </w:p>
    <w:p w:rsidR="004A58AC" w:rsidRDefault="004A58AC" w:rsidP="004A58AC">
      <w:pPr>
        <w:autoSpaceDE w:val="0"/>
        <w:autoSpaceDN w:val="0"/>
        <w:adjustRightInd w:val="0"/>
        <w:spacing w:line="360" w:lineRule="auto"/>
        <w:jc w:val="both"/>
        <w:rPr>
          <w:rFonts w:cs="Arial"/>
          <w:b/>
          <w:sz w:val="24"/>
        </w:rPr>
      </w:pPr>
    </w:p>
    <w:p w:rsidR="004A58AC" w:rsidRPr="003B51DA" w:rsidRDefault="004A58AC" w:rsidP="004A58AC">
      <w:pPr>
        <w:autoSpaceDE w:val="0"/>
        <w:autoSpaceDN w:val="0"/>
        <w:adjustRightInd w:val="0"/>
        <w:spacing w:line="360" w:lineRule="auto"/>
        <w:jc w:val="both"/>
        <w:rPr>
          <w:rFonts w:cs="Arial"/>
          <w:sz w:val="24"/>
        </w:rPr>
      </w:pPr>
      <w:r>
        <w:rPr>
          <w:sz w:val="24"/>
        </w:rPr>
        <w:t>Le</w:t>
      </w:r>
      <w:r>
        <w:rPr>
          <w:b/>
          <w:sz w:val="24"/>
        </w:rPr>
        <w:t xml:space="preserve"> résultat par action préférentielle après ajustement</w:t>
      </w:r>
      <w:r>
        <w:rPr>
          <w:sz w:val="24"/>
        </w:rPr>
        <w:t xml:space="preserve"> (EPS) a augmenté de 8,5 %, passant de 1,42 </w:t>
      </w:r>
      <w:r w:rsidR="00520158">
        <w:rPr>
          <w:sz w:val="24"/>
        </w:rPr>
        <w:t>EUR</w:t>
      </w:r>
      <w:r>
        <w:rPr>
          <w:sz w:val="24"/>
        </w:rPr>
        <w:t xml:space="preserve"> à 1,54 </w:t>
      </w:r>
      <w:r w:rsidR="00520158">
        <w:rPr>
          <w:sz w:val="24"/>
        </w:rPr>
        <w:t>EUR</w:t>
      </w:r>
      <w:r>
        <w:rPr>
          <w:sz w:val="24"/>
        </w:rPr>
        <w:t>.</w:t>
      </w:r>
    </w:p>
    <w:p w:rsidR="004A58AC" w:rsidRPr="003B51DA" w:rsidRDefault="004A58AC" w:rsidP="004A58AC">
      <w:pPr>
        <w:autoSpaceDE w:val="0"/>
        <w:autoSpaceDN w:val="0"/>
        <w:adjustRightInd w:val="0"/>
        <w:spacing w:line="360" w:lineRule="auto"/>
        <w:jc w:val="both"/>
        <w:rPr>
          <w:rFonts w:cs="Arial"/>
          <w:sz w:val="24"/>
        </w:rPr>
      </w:pPr>
    </w:p>
    <w:p w:rsidR="004A58AC" w:rsidRDefault="004A58AC" w:rsidP="004A58AC">
      <w:pPr>
        <w:autoSpaceDE w:val="0"/>
        <w:autoSpaceDN w:val="0"/>
        <w:adjustRightInd w:val="0"/>
        <w:spacing w:line="360" w:lineRule="auto"/>
        <w:jc w:val="both"/>
        <w:rPr>
          <w:sz w:val="24"/>
        </w:rPr>
      </w:pPr>
      <w:r>
        <w:rPr>
          <w:sz w:val="24"/>
        </w:rPr>
        <w:t>Le</w:t>
      </w:r>
      <w:r>
        <w:rPr>
          <w:b/>
          <w:sz w:val="24"/>
        </w:rPr>
        <w:t xml:space="preserve"> rapport du fonds de roulement net et des ventes</w:t>
      </w:r>
      <w:r>
        <w:rPr>
          <w:sz w:val="24"/>
        </w:rPr>
        <w:t xml:space="preserve"> s'est amélioré de 0,4 point par rapport au même trimestre l'an dernier, passant à 5,6 %.</w:t>
      </w:r>
    </w:p>
    <w:p w:rsidR="004A58AC" w:rsidRPr="00195A80" w:rsidRDefault="004A58AC" w:rsidP="004A58AC">
      <w:pPr>
        <w:autoSpaceDE w:val="0"/>
        <w:autoSpaceDN w:val="0"/>
        <w:adjustRightInd w:val="0"/>
        <w:spacing w:after="120" w:line="360" w:lineRule="auto"/>
        <w:jc w:val="both"/>
        <w:rPr>
          <w:b/>
          <w:sz w:val="24"/>
        </w:rPr>
      </w:pPr>
    </w:p>
    <w:p w:rsidR="004A58AC" w:rsidRPr="00D12F90" w:rsidRDefault="00520158" w:rsidP="004A58AC">
      <w:pPr>
        <w:autoSpaceDE w:val="0"/>
        <w:autoSpaceDN w:val="0"/>
        <w:adjustRightInd w:val="0"/>
        <w:spacing w:after="120" w:line="360" w:lineRule="auto"/>
        <w:jc w:val="both"/>
        <w:rPr>
          <w:b/>
          <w:sz w:val="24"/>
        </w:rPr>
      </w:pPr>
      <w:r>
        <w:rPr>
          <w:b/>
          <w:sz w:val="24"/>
        </w:rPr>
        <w:t>Evolution</w:t>
      </w:r>
      <w:r w:rsidR="004A58AC">
        <w:rPr>
          <w:b/>
          <w:sz w:val="24"/>
        </w:rPr>
        <w:t xml:space="preserve"> des secteurs d'activité</w:t>
      </w:r>
    </w:p>
    <w:p w:rsidR="004A58AC" w:rsidRDefault="004A58AC" w:rsidP="004A58AC">
      <w:pPr>
        <w:autoSpaceDE w:val="0"/>
        <w:autoSpaceDN w:val="0"/>
        <w:adjustRightInd w:val="0"/>
        <w:spacing w:line="360" w:lineRule="auto"/>
        <w:jc w:val="both"/>
        <w:rPr>
          <w:rFonts w:cs="Arial"/>
          <w:sz w:val="24"/>
        </w:rPr>
      </w:pPr>
      <w:r>
        <w:rPr>
          <w:sz w:val="24"/>
        </w:rPr>
        <w:t xml:space="preserve">Le secteur d'activité </w:t>
      </w:r>
      <w:r>
        <w:rPr>
          <w:b/>
          <w:sz w:val="24"/>
        </w:rPr>
        <w:t>Adhesive Technologies</w:t>
      </w:r>
      <w:r>
        <w:rPr>
          <w:sz w:val="24"/>
        </w:rPr>
        <w:t xml:space="preserve"> a réalisé une très forte </w:t>
      </w:r>
      <w:r>
        <w:rPr>
          <w:b/>
          <w:sz w:val="24"/>
        </w:rPr>
        <w:t>croissance organique des ventes</w:t>
      </w:r>
      <w:r>
        <w:rPr>
          <w:sz w:val="24"/>
        </w:rPr>
        <w:t xml:space="preserve"> de 4,9 % au cours du troisième trimestre. En valeur nominale, les ventes ont augmenté de 4,5 % pour passer à 2 373 millions d'EUR. Le </w:t>
      </w:r>
      <w:r>
        <w:rPr>
          <w:b/>
          <w:sz w:val="24"/>
        </w:rPr>
        <w:t>résultat d'exploitation ajusté</w:t>
      </w:r>
      <w:r>
        <w:rPr>
          <w:sz w:val="24"/>
        </w:rPr>
        <w:t xml:space="preserve"> a augmenté de 5,5 % à 454 millions d'EUR. La rentabilité des ventes ajustée a enregistré une forte hausse, s'établissant à 19,1 %.</w:t>
      </w:r>
    </w:p>
    <w:p w:rsidR="004A58AC" w:rsidRPr="00195A80" w:rsidRDefault="004A58AC" w:rsidP="004A58AC">
      <w:pPr>
        <w:autoSpaceDE w:val="0"/>
        <w:autoSpaceDN w:val="0"/>
        <w:adjustRightInd w:val="0"/>
        <w:spacing w:line="360" w:lineRule="auto"/>
        <w:jc w:val="both"/>
        <w:rPr>
          <w:rFonts w:cs="Arial"/>
          <w:sz w:val="24"/>
        </w:rPr>
      </w:pPr>
    </w:p>
    <w:p w:rsidR="004A58AC" w:rsidRDefault="004A58AC" w:rsidP="004A58AC">
      <w:pPr>
        <w:autoSpaceDE w:val="0"/>
        <w:autoSpaceDN w:val="0"/>
        <w:adjustRightInd w:val="0"/>
        <w:spacing w:line="360" w:lineRule="auto"/>
        <w:jc w:val="both"/>
        <w:rPr>
          <w:rFonts w:cs="Arial"/>
          <w:color w:val="000000"/>
          <w:sz w:val="24"/>
        </w:rPr>
      </w:pPr>
      <w:r>
        <w:rPr>
          <w:sz w:val="24"/>
        </w:rPr>
        <w:lastRenderedPageBreak/>
        <w:t xml:space="preserve">Le secteur d'activité </w:t>
      </w:r>
      <w:r>
        <w:rPr>
          <w:b/>
          <w:sz w:val="24"/>
        </w:rPr>
        <w:t>Beauty Care</w:t>
      </w:r>
      <w:r>
        <w:rPr>
          <w:sz w:val="24"/>
        </w:rPr>
        <w:t xml:space="preserve"> a </w:t>
      </w:r>
      <w:r w:rsidR="00520158">
        <w:rPr>
          <w:sz w:val="24"/>
        </w:rPr>
        <w:t>enregistré</w:t>
      </w:r>
      <w:r>
        <w:rPr>
          <w:sz w:val="24"/>
        </w:rPr>
        <w:t xml:space="preserve"> une </w:t>
      </w:r>
      <w:r>
        <w:rPr>
          <w:b/>
          <w:sz w:val="24"/>
        </w:rPr>
        <w:t>croissance organique des ventes</w:t>
      </w:r>
      <w:r>
        <w:rPr>
          <w:sz w:val="24"/>
        </w:rPr>
        <w:t xml:space="preserve"> positive de 0,5 % au c</w:t>
      </w:r>
      <w:r w:rsidR="00520158">
        <w:rPr>
          <w:sz w:val="24"/>
        </w:rPr>
        <w:t>ours du troisième trimestre. N</w:t>
      </w:r>
      <w:r>
        <w:rPr>
          <w:sz w:val="24"/>
        </w:rPr>
        <w:t>ominale</w:t>
      </w:r>
      <w:r w:rsidR="00520158">
        <w:rPr>
          <w:sz w:val="24"/>
        </w:rPr>
        <w:t>ment</w:t>
      </w:r>
      <w:r>
        <w:rPr>
          <w:sz w:val="24"/>
        </w:rPr>
        <w:t xml:space="preserve">, les ventes ont été inférieures à celles du même trimestre l'an dernier avec 941 millions d'EUR. Le </w:t>
      </w:r>
      <w:r>
        <w:rPr>
          <w:b/>
          <w:sz w:val="24"/>
        </w:rPr>
        <w:t>résultat d'exploitation ajusté</w:t>
      </w:r>
      <w:r>
        <w:rPr>
          <w:sz w:val="24"/>
        </w:rPr>
        <w:t xml:space="preserve"> a augmenté de 0,5 % à 171 millions d'EUR. La rentabilité des ventes ajustée a enregistré une très forte hausse et s'est établie à 18,1 %.</w:t>
      </w:r>
    </w:p>
    <w:p w:rsidR="004A58AC" w:rsidRPr="00195A80" w:rsidRDefault="004A58AC" w:rsidP="004A58AC">
      <w:pPr>
        <w:autoSpaceDE w:val="0"/>
        <w:autoSpaceDN w:val="0"/>
        <w:adjustRightInd w:val="0"/>
        <w:spacing w:line="360" w:lineRule="auto"/>
        <w:jc w:val="both"/>
        <w:rPr>
          <w:rFonts w:cs="Arial"/>
          <w:sz w:val="24"/>
        </w:rPr>
      </w:pPr>
    </w:p>
    <w:p w:rsidR="004A58AC" w:rsidRDefault="004A58AC" w:rsidP="003930E3">
      <w:pPr>
        <w:autoSpaceDE w:val="0"/>
        <w:autoSpaceDN w:val="0"/>
        <w:adjustRightInd w:val="0"/>
        <w:spacing w:line="360" w:lineRule="auto"/>
        <w:jc w:val="both"/>
        <w:rPr>
          <w:rFonts w:cs="Arial"/>
          <w:color w:val="000000"/>
          <w:sz w:val="24"/>
        </w:rPr>
      </w:pPr>
      <w:r>
        <w:rPr>
          <w:sz w:val="24"/>
        </w:rPr>
        <w:t xml:space="preserve">Le secteur d'activité </w:t>
      </w:r>
      <w:r>
        <w:rPr>
          <w:b/>
          <w:sz w:val="24"/>
        </w:rPr>
        <w:t>Laundry &amp; Home Care</w:t>
      </w:r>
      <w:r>
        <w:rPr>
          <w:sz w:val="24"/>
        </w:rPr>
        <w:t xml:space="preserve"> a réalisé une </w:t>
      </w:r>
      <w:r>
        <w:rPr>
          <w:b/>
          <w:sz w:val="24"/>
        </w:rPr>
        <w:t>croissance organique des ventes</w:t>
      </w:r>
      <w:r>
        <w:rPr>
          <w:sz w:val="24"/>
        </w:rPr>
        <w:t xml:space="preserve"> positive de 1,8 % au c</w:t>
      </w:r>
      <w:r w:rsidR="003930E3">
        <w:rPr>
          <w:sz w:val="24"/>
        </w:rPr>
        <w:t>ours du troisième trimestre. N</w:t>
      </w:r>
      <w:r>
        <w:rPr>
          <w:sz w:val="24"/>
        </w:rPr>
        <w:t>ominale</w:t>
      </w:r>
      <w:r w:rsidR="003930E3">
        <w:rPr>
          <w:sz w:val="24"/>
        </w:rPr>
        <w:t>ment</w:t>
      </w:r>
      <w:r>
        <w:rPr>
          <w:sz w:val="24"/>
        </w:rPr>
        <w:t xml:space="preserve">, les ventes ont progressé de 10,6 % par rapport au même trimestre de l'année précédente pour atteindre 1 636 millions d'EUR. Le </w:t>
      </w:r>
      <w:r>
        <w:rPr>
          <w:b/>
          <w:sz w:val="24"/>
        </w:rPr>
        <w:t>résultat d'exploitation ajusté</w:t>
      </w:r>
      <w:r>
        <w:rPr>
          <w:sz w:val="24"/>
        </w:rPr>
        <w:t xml:space="preserve"> a augmenté de 10,9 % à 294 millions d'EUR.</w:t>
      </w:r>
      <w:r>
        <w:rPr>
          <w:color w:val="000000"/>
          <w:sz w:val="24"/>
        </w:rPr>
        <w:t xml:space="preserve"> La rentabilité des ventes ajustée est restée stable par rapport au même trimestre l'an passé, avec 17,9 %.</w:t>
      </w:r>
    </w:p>
    <w:p w:rsidR="003930E3" w:rsidRPr="003930E3" w:rsidRDefault="003930E3" w:rsidP="003930E3">
      <w:pPr>
        <w:autoSpaceDE w:val="0"/>
        <w:autoSpaceDN w:val="0"/>
        <w:adjustRightInd w:val="0"/>
        <w:spacing w:line="360" w:lineRule="auto"/>
        <w:jc w:val="both"/>
        <w:rPr>
          <w:rFonts w:cs="Arial"/>
          <w:color w:val="000000"/>
          <w:sz w:val="24"/>
        </w:rPr>
      </w:pPr>
    </w:p>
    <w:p w:rsidR="004A58AC" w:rsidRDefault="004A58AC" w:rsidP="004A58AC">
      <w:pPr>
        <w:autoSpaceDE w:val="0"/>
        <w:autoSpaceDN w:val="0"/>
        <w:adjustRightInd w:val="0"/>
        <w:spacing w:after="120" w:line="360" w:lineRule="auto"/>
        <w:jc w:val="both"/>
        <w:rPr>
          <w:b/>
          <w:sz w:val="24"/>
        </w:rPr>
      </w:pPr>
      <w:r>
        <w:rPr>
          <w:b/>
          <w:sz w:val="24"/>
        </w:rPr>
        <w:t>Des acquisitions importantes qui renforcent le portefeuille</w:t>
      </w:r>
    </w:p>
    <w:p w:rsidR="004A58AC" w:rsidRDefault="004A58AC" w:rsidP="004A58AC">
      <w:pPr>
        <w:autoSpaceDE w:val="0"/>
        <w:autoSpaceDN w:val="0"/>
        <w:adjustRightInd w:val="0"/>
        <w:spacing w:line="360" w:lineRule="auto"/>
        <w:jc w:val="both"/>
        <w:rPr>
          <w:rFonts w:cs="Arial"/>
          <w:sz w:val="24"/>
        </w:rPr>
      </w:pPr>
      <w:r>
        <w:rPr>
          <w:sz w:val="24"/>
        </w:rPr>
        <w:t>En concluant les acquisitions de Darex Packaging Technologies, du groupe Sonderhoff et de Nattura Laboratorios, Henkel a enrichi son portefeuille d'activités.</w:t>
      </w:r>
    </w:p>
    <w:p w:rsidR="004A58AC" w:rsidRDefault="004A58AC" w:rsidP="004A58AC">
      <w:pPr>
        <w:autoSpaceDE w:val="0"/>
        <w:autoSpaceDN w:val="0"/>
        <w:adjustRightInd w:val="0"/>
        <w:spacing w:line="360" w:lineRule="auto"/>
        <w:jc w:val="both"/>
        <w:rPr>
          <w:rFonts w:cs="Arial"/>
          <w:sz w:val="24"/>
        </w:rPr>
      </w:pPr>
    </w:p>
    <w:p w:rsidR="004A58AC" w:rsidRPr="009350CB" w:rsidRDefault="004A58AC" w:rsidP="004A58AC">
      <w:pPr>
        <w:autoSpaceDE w:val="0"/>
        <w:autoSpaceDN w:val="0"/>
        <w:adjustRightInd w:val="0"/>
        <w:spacing w:after="120" w:line="360" w:lineRule="auto"/>
        <w:jc w:val="both"/>
        <w:rPr>
          <w:b/>
          <w:sz w:val="24"/>
        </w:rPr>
      </w:pPr>
      <w:r>
        <w:rPr>
          <w:b/>
          <w:sz w:val="24"/>
        </w:rPr>
        <w:t>De fortes performances au cours des neuf premiers mois de 2017</w:t>
      </w:r>
    </w:p>
    <w:p w:rsidR="004A58AC" w:rsidRDefault="004A58AC" w:rsidP="004A58AC">
      <w:pPr>
        <w:autoSpaceDE w:val="0"/>
        <w:autoSpaceDN w:val="0"/>
        <w:adjustRightInd w:val="0"/>
        <w:spacing w:line="360" w:lineRule="auto"/>
        <w:jc w:val="both"/>
        <w:rPr>
          <w:rFonts w:cs="Arial"/>
          <w:sz w:val="24"/>
        </w:rPr>
      </w:pPr>
      <w:r>
        <w:rPr>
          <w:sz w:val="24"/>
        </w:rPr>
        <w:t xml:space="preserve">Pour la première fois, les </w:t>
      </w:r>
      <w:r>
        <w:rPr>
          <w:b/>
          <w:sz w:val="24"/>
        </w:rPr>
        <w:t>ventes</w:t>
      </w:r>
      <w:r>
        <w:rPr>
          <w:sz w:val="24"/>
        </w:rPr>
        <w:t xml:space="preserve"> </w:t>
      </w:r>
      <w:r w:rsidR="003930E3">
        <w:rPr>
          <w:sz w:val="24"/>
        </w:rPr>
        <w:t>des</w:t>
      </w:r>
      <w:r>
        <w:rPr>
          <w:sz w:val="24"/>
        </w:rPr>
        <w:t xml:space="preserve"> neuf </w:t>
      </w:r>
      <w:r w:rsidR="003930E3">
        <w:rPr>
          <w:sz w:val="24"/>
        </w:rPr>
        <w:t xml:space="preserve">premiers </w:t>
      </w:r>
      <w:r>
        <w:rPr>
          <w:sz w:val="24"/>
        </w:rPr>
        <w:t xml:space="preserve">mois ont dépassé les 15 milliards d'EUR, augmentant de 9,3 % pour atteindre 15 143 millions d'EUR. </w:t>
      </w:r>
      <w:r>
        <w:rPr>
          <w:b/>
          <w:sz w:val="24"/>
        </w:rPr>
        <w:t>Organiquement</w:t>
      </w:r>
      <w:r>
        <w:rPr>
          <w:sz w:val="24"/>
        </w:rPr>
        <w:t>, c'est-à-dire après ajustement des effets liés aux opérations de change, aux acquisitions/désinvestissements, Henkel a enregistré une forte croissance de 3,1 %. Les trois secteurs d'activité y ont contribué.</w:t>
      </w:r>
    </w:p>
    <w:p w:rsidR="004A58AC" w:rsidRDefault="004A58AC" w:rsidP="004A58AC">
      <w:pPr>
        <w:autoSpaceDE w:val="0"/>
        <w:autoSpaceDN w:val="0"/>
        <w:adjustRightInd w:val="0"/>
        <w:spacing w:line="360" w:lineRule="auto"/>
        <w:jc w:val="both"/>
        <w:rPr>
          <w:rFonts w:cs="Arial"/>
          <w:sz w:val="24"/>
        </w:rPr>
      </w:pPr>
    </w:p>
    <w:p w:rsidR="004A58AC" w:rsidRDefault="004A58AC" w:rsidP="004A58AC">
      <w:pPr>
        <w:autoSpaceDE w:val="0"/>
        <w:autoSpaceDN w:val="0"/>
        <w:adjustRightInd w:val="0"/>
        <w:spacing w:line="360" w:lineRule="auto"/>
        <w:jc w:val="both"/>
        <w:rPr>
          <w:rFonts w:cs="Arial"/>
          <w:sz w:val="24"/>
        </w:rPr>
      </w:pPr>
      <w:r>
        <w:rPr>
          <w:sz w:val="24"/>
        </w:rPr>
        <w:t xml:space="preserve">Le </w:t>
      </w:r>
      <w:r>
        <w:rPr>
          <w:b/>
          <w:sz w:val="24"/>
        </w:rPr>
        <w:t xml:space="preserve">résultat d'exploitation ajusté </w:t>
      </w:r>
      <w:r>
        <w:rPr>
          <w:sz w:val="24"/>
        </w:rPr>
        <w:t xml:space="preserve">a augmenté de 10,5 %, passant de 2 407 millions d'EUR à 2 660 millions d'EUR. La </w:t>
      </w:r>
      <w:r>
        <w:rPr>
          <w:b/>
          <w:sz w:val="24"/>
        </w:rPr>
        <w:t>rentabilité des ventes ajustée</w:t>
      </w:r>
      <w:r>
        <w:rPr>
          <w:sz w:val="24"/>
        </w:rPr>
        <w:t xml:space="preserve"> est passée de 17,4 % à 17,6 %. Le</w:t>
      </w:r>
      <w:r>
        <w:rPr>
          <w:b/>
          <w:sz w:val="24"/>
        </w:rPr>
        <w:t xml:space="preserve"> résultat par action préférentielle après ajustement </w:t>
      </w:r>
      <w:r>
        <w:rPr>
          <w:sz w:val="24"/>
        </w:rPr>
        <w:t>a progressé de 10,0 %, passant de 4,09 </w:t>
      </w:r>
      <w:r w:rsidR="003930E3">
        <w:rPr>
          <w:sz w:val="24"/>
        </w:rPr>
        <w:t>EUR</w:t>
      </w:r>
      <w:r>
        <w:rPr>
          <w:sz w:val="24"/>
        </w:rPr>
        <w:t xml:space="preserve"> à 4,50 </w:t>
      </w:r>
      <w:r w:rsidR="003930E3">
        <w:rPr>
          <w:sz w:val="24"/>
        </w:rPr>
        <w:t>EUR</w:t>
      </w:r>
      <w:r>
        <w:rPr>
          <w:sz w:val="24"/>
        </w:rPr>
        <w:t>.</w:t>
      </w:r>
    </w:p>
    <w:p w:rsidR="004A58AC" w:rsidRDefault="004A58AC" w:rsidP="004A58AC">
      <w:pPr>
        <w:autoSpaceDE w:val="0"/>
        <w:autoSpaceDN w:val="0"/>
        <w:adjustRightInd w:val="0"/>
        <w:spacing w:line="360" w:lineRule="auto"/>
        <w:rPr>
          <w:rFonts w:cs="Arial"/>
          <w:sz w:val="24"/>
        </w:rPr>
      </w:pPr>
    </w:p>
    <w:p w:rsidR="004A58AC" w:rsidRPr="00A3743F" w:rsidRDefault="004A58AC" w:rsidP="004A58AC">
      <w:pPr>
        <w:autoSpaceDE w:val="0"/>
        <w:autoSpaceDN w:val="0"/>
        <w:adjustRightInd w:val="0"/>
        <w:spacing w:line="360" w:lineRule="auto"/>
        <w:jc w:val="both"/>
        <w:rPr>
          <w:rFonts w:cs="Arial"/>
          <w:i/>
          <w:sz w:val="24"/>
        </w:rPr>
      </w:pPr>
      <w:r>
        <w:rPr>
          <w:sz w:val="24"/>
        </w:rPr>
        <w:t xml:space="preserve">Au cours des neuf premiers mois de 2017, le secteur d'activité </w:t>
      </w:r>
      <w:r>
        <w:rPr>
          <w:b/>
          <w:sz w:val="24"/>
        </w:rPr>
        <w:t xml:space="preserve">Adhesive Technologies </w:t>
      </w:r>
      <w:r>
        <w:rPr>
          <w:sz w:val="24"/>
        </w:rPr>
        <w:t xml:space="preserve">a réalisé une très forte croissance organique des ventes de 4,6 %. La rentabilité des </w:t>
      </w:r>
      <w:r>
        <w:rPr>
          <w:sz w:val="24"/>
        </w:rPr>
        <w:lastRenderedPageBreak/>
        <w:t xml:space="preserve">ventes ajustée a enregistré une </w:t>
      </w:r>
      <w:r w:rsidR="003930E3">
        <w:rPr>
          <w:sz w:val="24"/>
        </w:rPr>
        <w:t>forte</w:t>
      </w:r>
      <w:r>
        <w:rPr>
          <w:sz w:val="24"/>
        </w:rPr>
        <w:t xml:space="preserve"> hausse, s'établissant à 18,8 %. Le secteur d'activité </w:t>
      </w:r>
      <w:r>
        <w:rPr>
          <w:b/>
          <w:sz w:val="24"/>
        </w:rPr>
        <w:t>Beauty Care</w:t>
      </w:r>
      <w:r w:rsidR="003930E3">
        <w:rPr>
          <w:sz w:val="24"/>
        </w:rPr>
        <w:t xml:space="preserve"> a </w:t>
      </w:r>
      <w:r>
        <w:rPr>
          <w:sz w:val="24"/>
        </w:rPr>
        <w:t xml:space="preserve">augmenté ses ventes, avec une croissance organique de 0,9 %. La rentabilité des ventes ajustée a enregistré une forte hausse, s'établissant à 17,6 %. Le secteur d'activité </w:t>
      </w:r>
      <w:r>
        <w:rPr>
          <w:b/>
          <w:sz w:val="24"/>
        </w:rPr>
        <w:t>Laundry &amp; Home Care</w:t>
      </w:r>
      <w:r>
        <w:rPr>
          <w:sz w:val="24"/>
        </w:rPr>
        <w:t xml:space="preserve"> a réalisé une bonne croissance organique des ventes de 2,2 %. </w:t>
      </w:r>
      <w:r>
        <w:rPr>
          <w:color w:val="000000"/>
          <w:sz w:val="24"/>
        </w:rPr>
        <w:t>La rentabilité des ventes ajustée s'est établie à 17,6 %.</w:t>
      </w:r>
    </w:p>
    <w:p w:rsidR="004A58AC" w:rsidRDefault="004A58AC" w:rsidP="004A58AC">
      <w:pPr>
        <w:autoSpaceDE w:val="0"/>
        <w:autoSpaceDN w:val="0"/>
        <w:adjustRightInd w:val="0"/>
        <w:spacing w:line="360" w:lineRule="auto"/>
        <w:rPr>
          <w:rFonts w:cs="Arial"/>
          <w:sz w:val="24"/>
        </w:rPr>
      </w:pPr>
    </w:p>
    <w:p w:rsidR="004A58AC" w:rsidRPr="001A42FA" w:rsidRDefault="003D0A1F" w:rsidP="004A58AC">
      <w:pPr>
        <w:autoSpaceDE w:val="0"/>
        <w:autoSpaceDN w:val="0"/>
        <w:adjustRightInd w:val="0"/>
        <w:spacing w:line="360" w:lineRule="auto"/>
        <w:jc w:val="both"/>
        <w:rPr>
          <w:sz w:val="24"/>
        </w:rPr>
      </w:pPr>
      <w:r>
        <w:rPr>
          <w:sz w:val="24"/>
        </w:rPr>
        <w:t xml:space="preserve">Au </w:t>
      </w:r>
      <w:r w:rsidR="004A58AC" w:rsidRPr="003D0A1F">
        <w:rPr>
          <w:sz w:val="24"/>
        </w:rPr>
        <w:t>30 </w:t>
      </w:r>
      <w:r w:rsidRPr="003D0A1F">
        <w:rPr>
          <w:sz w:val="24"/>
        </w:rPr>
        <w:t>septembre</w:t>
      </w:r>
      <w:r w:rsidR="004A58AC" w:rsidRPr="003D0A1F">
        <w:rPr>
          <w:sz w:val="24"/>
        </w:rPr>
        <w:t> 2017</w:t>
      </w:r>
      <w:r>
        <w:rPr>
          <w:sz w:val="24"/>
        </w:rPr>
        <w:t xml:space="preserve">, </w:t>
      </w:r>
      <w:r w:rsidR="004A58AC">
        <w:rPr>
          <w:sz w:val="24"/>
        </w:rPr>
        <w:t xml:space="preserve">la </w:t>
      </w:r>
      <w:r w:rsidR="004A58AC">
        <w:rPr>
          <w:b/>
          <w:sz w:val="24"/>
        </w:rPr>
        <w:t>position financière nette</w:t>
      </w:r>
      <w:r w:rsidR="004A58AC">
        <w:rPr>
          <w:sz w:val="24"/>
        </w:rPr>
        <w:t xml:space="preserve"> de Henkel s'établissait à</w:t>
      </w:r>
      <w:r w:rsidR="003930E3">
        <w:rPr>
          <w:sz w:val="24"/>
        </w:rPr>
        <w:t xml:space="preserve">                               </w:t>
      </w:r>
      <w:r w:rsidR="004A58AC">
        <w:rPr>
          <w:sz w:val="24"/>
        </w:rPr>
        <w:t xml:space="preserve"> -</w:t>
      </w:r>
      <w:r w:rsidR="003930E3">
        <w:rPr>
          <w:sz w:val="24"/>
        </w:rPr>
        <w:t xml:space="preserve"> </w:t>
      </w:r>
      <w:r w:rsidR="004A58AC">
        <w:rPr>
          <w:sz w:val="24"/>
        </w:rPr>
        <w:t xml:space="preserve">3 336 millions d'EUR (31 décembre 2016 : -2 301 millions d'EUR). L'écart </w:t>
      </w:r>
      <w:r w:rsidR="008B6242">
        <w:rPr>
          <w:sz w:val="24"/>
        </w:rPr>
        <w:t>par rapport</w:t>
      </w:r>
      <w:r w:rsidR="003930E3">
        <w:rPr>
          <w:sz w:val="24"/>
        </w:rPr>
        <w:t xml:space="preserve"> à</w:t>
      </w:r>
      <w:r w:rsidR="004A58AC">
        <w:rPr>
          <w:sz w:val="24"/>
        </w:rPr>
        <w:t xml:space="preserve"> la fin d'année 2016 s'explique principalement par le paiement des acquisitions.</w:t>
      </w:r>
    </w:p>
    <w:p w:rsidR="003930E3" w:rsidRDefault="003930E3" w:rsidP="004A58AC">
      <w:pPr>
        <w:autoSpaceDE w:val="0"/>
        <w:autoSpaceDN w:val="0"/>
        <w:adjustRightInd w:val="0"/>
        <w:spacing w:after="120" w:line="360" w:lineRule="auto"/>
        <w:jc w:val="both"/>
      </w:pPr>
    </w:p>
    <w:p w:rsidR="004A58AC" w:rsidRPr="0085343B" w:rsidRDefault="004A58AC" w:rsidP="004A58AC">
      <w:pPr>
        <w:autoSpaceDE w:val="0"/>
        <w:autoSpaceDN w:val="0"/>
        <w:adjustRightInd w:val="0"/>
        <w:spacing w:after="120" w:line="360" w:lineRule="auto"/>
        <w:jc w:val="both"/>
        <w:rPr>
          <w:b/>
          <w:sz w:val="24"/>
        </w:rPr>
      </w:pPr>
      <w:r>
        <w:rPr>
          <w:b/>
          <w:sz w:val="24"/>
        </w:rPr>
        <w:t>Perspectives revues à la hausse pour 2017</w:t>
      </w:r>
    </w:p>
    <w:p w:rsidR="004A58AC" w:rsidRDefault="004A58AC" w:rsidP="004A58AC">
      <w:pPr>
        <w:autoSpaceDE w:val="0"/>
        <w:autoSpaceDN w:val="0"/>
        <w:adjustRightInd w:val="0"/>
        <w:spacing w:line="360" w:lineRule="auto"/>
        <w:jc w:val="both"/>
        <w:rPr>
          <w:sz w:val="24"/>
        </w:rPr>
      </w:pPr>
      <w:r>
        <w:rPr>
          <w:sz w:val="24"/>
        </w:rPr>
        <w:t xml:space="preserve">Henkel met à jour ses perspectives pour l'exercice 2017. Henkel confirme sa prévision de croissance organique des ventes entre 2 et 4 % pour le Groupe. Henkel </w:t>
      </w:r>
      <w:r w:rsidR="003930E3">
        <w:rPr>
          <w:sz w:val="24"/>
        </w:rPr>
        <w:t>s’attend</w:t>
      </w:r>
      <w:r>
        <w:rPr>
          <w:sz w:val="24"/>
        </w:rPr>
        <w:t xml:space="preserve"> désormais </w:t>
      </w:r>
      <w:r w:rsidR="003930E3">
        <w:rPr>
          <w:sz w:val="24"/>
        </w:rPr>
        <w:t xml:space="preserve">à </w:t>
      </w:r>
      <w:r>
        <w:rPr>
          <w:sz w:val="24"/>
        </w:rPr>
        <w:t xml:space="preserve">une croissance organique entre 4 et 5 % pour le secteur d'activité Adhesive Technologies, entre 0 et 1 % pour le secteur d'activité Beauty Care et autour de 2 % pour le secteur d'activité Laundry &amp; Home Care. En ce qui concerne la rentabilité des ventes ajustée (EBIT), Henkel </w:t>
      </w:r>
      <w:r w:rsidR="003930E3">
        <w:rPr>
          <w:sz w:val="24"/>
        </w:rPr>
        <w:t>continue de s’attendre</w:t>
      </w:r>
      <w:r>
        <w:rPr>
          <w:sz w:val="24"/>
        </w:rPr>
        <w:t xml:space="preserve"> à une hausse par rapport à l'année précédente, à plus de 17,0 %. Compte tenu de ses</w:t>
      </w:r>
      <w:r w:rsidR="003930E3">
        <w:rPr>
          <w:sz w:val="24"/>
        </w:rPr>
        <w:t xml:space="preserve"> fortes performances</w:t>
      </w:r>
      <w:r>
        <w:rPr>
          <w:sz w:val="24"/>
        </w:rPr>
        <w:t>, Henkel révise ses perspectives concernant le résultat ajusté par action préférentielle et prévoit désormais une hausse autour de 9 %.</w:t>
      </w:r>
    </w:p>
    <w:p w:rsidR="003930E3" w:rsidRPr="0024461D" w:rsidRDefault="003930E3" w:rsidP="004A58AC">
      <w:pPr>
        <w:autoSpaceDE w:val="0"/>
        <w:autoSpaceDN w:val="0"/>
        <w:adjustRightInd w:val="0"/>
        <w:spacing w:line="360" w:lineRule="auto"/>
        <w:jc w:val="both"/>
        <w:rPr>
          <w:rFonts w:cs="Arial"/>
          <w:sz w:val="24"/>
        </w:rPr>
      </w:pPr>
    </w:p>
    <w:p w:rsidR="00AA32FF" w:rsidRDefault="00AA32FF" w:rsidP="00AA32FF">
      <w:pPr>
        <w:spacing w:line="240" w:lineRule="auto"/>
        <w:jc w:val="both"/>
        <w:rPr>
          <w:b/>
          <w:sz w:val="22"/>
          <w:u w:val="single"/>
        </w:rPr>
      </w:pPr>
      <w:r w:rsidRPr="00595B97">
        <w:rPr>
          <w:b/>
          <w:sz w:val="22"/>
          <w:u w:val="single"/>
        </w:rPr>
        <w:t>Ce communiqué de presse en français est une traduction de la version originale.</w:t>
      </w:r>
    </w:p>
    <w:p w:rsidR="00AA32FF" w:rsidRPr="00595B97" w:rsidRDefault="00AA32FF" w:rsidP="00AA32FF">
      <w:pPr>
        <w:spacing w:line="240" w:lineRule="auto"/>
        <w:jc w:val="both"/>
        <w:rPr>
          <w:b/>
          <w:sz w:val="22"/>
          <w:u w:val="single"/>
        </w:rPr>
      </w:pPr>
    </w:p>
    <w:p w:rsidR="00AA32FF" w:rsidRPr="00A22E62" w:rsidRDefault="00AA32FF" w:rsidP="00AA32FF">
      <w:pPr>
        <w:spacing w:line="240" w:lineRule="auto"/>
        <w:jc w:val="both"/>
        <w:rPr>
          <w:bCs/>
          <w:sz w:val="16"/>
        </w:rPr>
      </w:pPr>
      <w:r>
        <w:rPr>
          <w:sz w:val="16"/>
        </w:rPr>
        <w:t>Ce document contient des prévisions fondées sur les estimations et suppositions établies par la direction d’entreprise de Henkel AG &amp; Co.</w:t>
      </w:r>
      <w:r>
        <w:rPr>
          <w:color w:val="000000"/>
          <w:sz w:val="16"/>
        </w:rPr>
        <w:t xml:space="preserve"> KGaA. Les prévisions sont caractérisées par l’emploi de termes tels que attendre, avoir l’intention, planning, prédiction, supposer, croire, estimer, anticiper, prévoir, etc. De telles affirmations ne doivent pas être conçues comme une quelconque garantie que ces prévisions vont se réaliser. La performance et les résultats futurs effectivement réalisés par Henkel AG &amp; Co. KGaA et ses filiales comportent de nombreux risques et incertitudes et peuvent par conséquent diverger sensiblement des prévisions initiales. Nombre de ces facteurs échappent au contrôle direct de Henkel et ne peuvent être évalués avec précision à l’avance, à commencer par l’environnement économique futur, et les actions des concurrents et d’autres acteurs impliqués sur les marchés. Henkel n’a pas l’intention de mettre à jour les prévisions et ne le fera jamais.</w:t>
      </w:r>
    </w:p>
    <w:p w:rsidR="00AA32FF" w:rsidRPr="00A22E62" w:rsidRDefault="00AA32FF" w:rsidP="00AA32FF">
      <w:pPr>
        <w:spacing w:line="240" w:lineRule="auto"/>
        <w:jc w:val="both"/>
        <w:rPr>
          <w:rFonts w:cs="Arial"/>
          <w:b/>
          <w:szCs w:val="20"/>
          <w:u w:val="single"/>
        </w:rPr>
      </w:pPr>
    </w:p>
    <w:p w:rsidR="00AA32FF" w:rsidRDefault="00AA32FF" w:rsidP="00AA32FF">
      <w:pPr>
        <w:spacing w:line="240" w:lineRule="auto"/>
        <w:rPr>
          <w:rFonts w:cs="Arial"/>
          <w:b/>
          <w:szCs w:val="20"/>
        </w:rPr>
      </w:pPr>
    </w:p>
    <w:p w:rsidR="00AA32FF" w:rsidRPr="004A58AC" w:rsidRDefault="00AA32FF" w:rsidP="00AA32FF">
      <w:pPr>
        <w:tabs>
          <w:tab w:val="left" w:pos="709"/>
          <w:tab w:val="left" w:pos="4536"/>
          <w:tab w:val="left" w:pos="5245"/>
        </w:tabs>
        <w:spacing w:line="240" w:lineRule="auto"/>
        <w:rPr>
          <w:szCs w:val="20"/>
        </w:rPr>
      </w:pPr>
    </w:p>
    <w:p w:rsidR="00C41B2A" w:rsidRDefault="00C41B2A" w:rsidP="00C41B2A">
      <w:pPr>
        <w:rPr>
          <w:rFonts w:cs="Arial"/>
          <w:b/>
          <w:szCs w:val="20"/>
          <w:u w:val="single"/>
        </w:rPr>
      </w:pPr>
      <w:r>
        <w:rPr>
          <w:rFonts w:cs="Arial"/>
          <w:b/>
          <w:szCs w:val="20"/>
          <w:u w:val="single"/>
        </w:rPr>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7"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Agence Burson Marsteller i&amp;e</w:t>
            </w:r>
            <w:r>
              <w:rPr>
                <w:rFonts w:cs="Arial"/>
                <w:szCs w:val="20"/>
              </w:rPr>
              <w:br/>
              <w:t>Paolo Ghilardi</w:t>
            </w:r>
            <w:r>
              <w:rPr>
                <w:rFonts w:cs="Arial"/>
                <w:szCs w:val="20"/>
              </w:rPr>
              <w:br/>
              <w:t xml:space="preserve">Tél : 01 56 03 </w:t>
            </w:r>
            <w:r w:rsidR="00AA32FF">
              <w:rPr>
                <w:rFonts w:cs="Arial"/>
                <w:szCs w:val="20"/>
              </w:rPr>
              <w:t>12 14</w:t>
            </w:r>
            <w:r>
              <w:rPr>
                <w:rFonts w:cs="Arial"/>
                <w:szCs w:val="20"/>
              </w:rPr>
              <w:br/>
            </w:r>
            <w:hyperlink r:id="rId8" w:history="1">
              <w:r>
                <w:rPr>
                  <w:rStyle w:val="Lienhypertexte"/>
                  <w:szCs w:val="20"/>
                </w:rPr>
                <w:t>paolo.ghilardi@bm.com</w:t>
              </w:r>
            </w:hyperlink>
          </w:p>
        </w:tc>
      </w:tr>
    </w:tbl>
    <w:p w:rsidR="0097190A" w:rsidRDefault="0097190A"/>
    <w:p w:rsidR="00AA32FF" w:rsidRDefault="00AA32FF"/>
    <w:p w:rsidR="004A58AC" w:rsidRDefault="004A58AC" w:rsidP="004A58AC">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color w:val="000000"/>
          <w:szCs w:val="20"/>
        </w:rPr>
      </w:pPr>
      <w:r>
        <w:rPr>
          <w:color w:val="000000"/>
        </w:rPr>
        <w:t>Le rapport sur le troisième trimestre 2017, des informations complémentaires, des documents à télécharger et le lien vers l'enregistrement sont disponibles sur :</w:t>
      </w:r>
    </w:p>
    <w:p w:rsidR="004A58AC" w:rsidRPr="00A22E62" w:rsidRDefault="004A58AC" w:rsidP="004A58AC">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4A58AC" w:rsidRPr="00A22E62" w:rsidRDefault="00363E49" w:rsidP="004A58AC">
      <w:pPr>
        <w:autoSpaceDE w:val="0"/>
        <w:autoSpaceDN w:val="0"/>
      </w:pPr>
      <w:hyperlink r:id="rId9" w:history="1">
        <w:r w:rsidR="004A58AC">
          <w:rPr>
            <w:color w:val="0000FF"/>
            <w:u w:val="single"/>
          </w:rPr>
          <w:t>www.henkel.com/ir</w:t>
        </w:r>
      </w:hyperlink>
    </w:p>
    <w:p w:rsidR="004A58AC" w:rsidRPr="009267EF" w:rsidRDefault="00363E49" w:rsidP="004A58AC">
      <w:pPr>
        <w:autoSpaceDE w:val="0"/>
        <w:autoSpaceDN w:val="0"/>
        <w:rPr>
          <w:rFonts w:ascii="Calibri" w:hAnsi="Calibri" w:cs="Calibri"/>
          <w:sz w:val="22"/>
          <w:szCs w:val="22"/>
        </w:rPr>
      </w:pPr>
      <w:hyperlink r:id="rId10" w:history="1">
        <w:r w:rsidR="004A58AC">
          <w:rPr>
            <w:color w:val="0000FF"/>
            <w:u w:val="single"/>
          </w:rPr>
          <w:t>www.henkel.com/press</w:t>
        </w:r>
      </w:hyperlink>
      <w:r w:rsidR="004A58AC">
        <w:t xml:space="preserve"> </w:t>
      </w:r>
    </w:p>
    <w:p w:rsidR="00AA32FF" w:rsidRPr="004A58AC" w:rsidRDefault="003930E3">
      <w:r>
        <w:rPr>
          <w:noProof/>
        </w:rPr>
        <w:drawing>
          <wp:inline distT="0" distB="0" distL="0" distR="0" wp14:anchorId="2FCAC81A" wp14:editId="35784910">
            <wp:extent cx="5850890" cy="56057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0890" cy="5605780"/>
                    </a:xfrm>
                    <a:prstGeom prst="rect">
                      <a:avLst/>
                    </a:prstGeom>
                  </pic:spPr>
                </pic:pic>
              </a:graphicData>
            </a:graphic>
          </wp:inline>
        </w:drawing>
      </w:r>
    </w:p>
    <w:sectPr w:rsidR="00AA32FF" w:rsidRPr="004A58AC" w:rsidSect="00233832">
      <w:headerReference w:type="default" r:id="rId12"/>
      <w:footerReference w:type="default" r:id="rId13"/>
      <w:headerReference w:type="first" r:id="rId14"/>
      <w:footerReference w:type="first" r:id="rId15"/>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E49" w:rsidRDefault="00363E49">
      <w:pPr>
        <w:spacing w:line="240" w:lineRule="auto"/>
      </w:pPr>
      <w:r>
        <w:separator/>
      </w:r>
    </w:p>
  </w:endnote>
  <w:endnote w:type="continuationSeparator" w:id="0">
    <w:p w:rsidR="00363E49" w:rsidRDefault="00363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964" w:rsidRDefault="00363E49">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6726B4">
      <w:rPr>
        <w:b w:val="0"/>
        <w:noProof/>
        <w:color w:val="auto"/>
        <w:sz w:val="14"/>
        <w:szCs w:val="14"/>
      </w:rPr>
      <w:t>2</w:t>
    </w:r>
    <w:r w:rsidRPr="00BA1B20">
      <w:rPr>
        <w:b w:val="0"/>
        <w:color w:val="auto"/>
        <w:sz w:val="14"/>
        <w:szCs w:val="14"/>
      </w:rPr>
      <w:fldChar w:fldCharType="end"/>
    </w:r>
    <w:r>
      <w:rPr>
        <w:b w:val="0"/>
        <w:color w:val="auto"/>
        <w:sz w:val="14"/>
      </w:rPr>
      <w:t>/</w:t>
    </w:r>
    <w:r w:rsidR="00363E49">
      <w:fldChar w:fldCharType="begin"/>
    </w:r>
    <w:r w:rsidR="00363E49">
      <w:instrText xml:space="preserve"> NUMPAGES  \* Arabic  \* MERGEFORMAT </w:instrText>
    </w:r>
    <w:r w:rsidR="00363E49">
      <w:fldChar w:fldCharType="separate"/>
    </w:r>
    <w:r w:rsidR="006726B4" w:rsidRPr="006726B4">
      <w:rPr>
        <w:b w:val="0"/>
        <w:noProof/>
        <w:color w:val="auto"/>
        <w:sz w:val="14"/>
        <w:szCs w:val="14"/>
      </w:rPr>
      <w:t>6</w:t>
    </w:r>
    <w:r w:rsidR="00363E49">
      <w:rPr>
        <w:b w:val="0"/>
        <w:noProof/>
        <w:color w:val="aut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363E49" w:rsidP="00093716">
    <w:pPr>
      <w:pStyle w:val="Pieddepage"/>
      <w:jc w:val="distribute"/>
      <w:rPr>
        <w:b w:val="0"/>
      </w:rPr>
    </w:pPr>
  </w:p>
  <w:p w:rsidR="00656125" w:rsidRPr="004A4699" w:rsidRDefault="00363E49"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E49" w:rsidRDefault="00363E49">
      <w:pPr>
        <w:spacing w:line="240" w:lineRule="auto"/>
      </w:pPr>
      <w:r>
        <w:separator/>
      </w:r>
    </w:p>
  </w:footnote>
  <w:footnote w:type="continuationSeparator" w:id="0">
    <w:p w:rsidR="00363E49" w:rsidRDefault="00363E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2A"/>
    <w:rsid w:val="000B2838"/>
    <w:rsid w:val="000B2D8E"/>
    <w:rsid w:val="00223648"/>
    <w:rsid w:val="002F4AB5"/>
    <w:rsid w:val="00322DE0"/>
    <w:rsid w:val="00343D7F"/>
    <w:rsid w:val="00363E49"/>
    <w:rsid w:val="003930E3"/>
    <w:rsid w:val="003D0A1F"/>
    <w:rsid w:val="00483C2E"/>
    <w:rsid w:val="004A15DE"/>
    <w:rsid w:val="004A58AC"/>
    <w:rsid w:val="00520158"/>
    <w:rsid w:val="005A68D8"/>
    <w:rsid w:val="005C4F9A"/>
    <w:rsid w:val="006726B4"/>
    <w:rsid w:val="00791F2A"/>
    <w:rsid w:val="007A29F6"/>
    <w:rsid w:val="007D02CA"/>
    <w:rsid w:val="008202D6"/>
    <w:rsid w:val="00833E06"/>
    <w:rsid w:val="008400AC"/>
    <w:rsid w:val="008B6242"/>
    <w:rsid w:val="0097190A"/>
    <w:rsid w:val="009A2EC7"/>
    <w:rsid w:val="00A00996"/>
    <w:rsid w:val="00A016C0"/>
    <w:rsid w:val="00AA32FF"/>
    <w:rsid w:val="00AE28BF"/>
    <w:rsid w:val="00BE1915"/>
    <w:rsid w:val="00BF5410"/>
    <w:rsid w:val="00C41B2A"/>
    <w:rsid w:val="00C846C8"/>
    <w:rsid w:val="00D7308C"/>
    <w:rsid w:val="00D83A64"/>
    <w:rsid w:val="00F64D5F"/>
    <w:rsid w:val="00FA0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C688"/>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1">
    <w:name w:val="heading 1"/>
    <w:basedOn w:val="Normal"/>
    <w:next w:val="Normal"/>
    <w:link w:val="Titre1Car"/>
    <w:uiPriority w:val="99"/>
    <w:qFormat/>
    <w:rsid w:val="00AA32FF"/>
    <w:pPr>
      <w:keepNext/>
      <w:spacing w:line="420" w:lineRule="atLeast"/>
      <w:outlineLvl w:val="0"/>
    </w:pPr>
    <w:rPr>
      <w:rFonts w:cs="Arial"/>
      <w:b/>
      <w:bCs/>
      <w:kern w:val="32"/>
      <w:sz w:val="36"/>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character" w:customStyle="1" w:styleId="Titre1Car">
    <w:name w:val="Titre 1 Car"/>
    <w:basedOn w:val="Policepardfaut"/>
    <w:link w:val="Titre1"/>
    <w:uiPriority w:val="99"/>
    <w:rsid w:val="00AA32FF"/>
    <w:rPr>
      <w:rFonts w:ascii="Arial" w:eastAsia="Times New Roman" w:hAnsi="Arial" w:cs="Arial"/>
      <w:b/>
      <w:bCs/>
      <w:kern w:val="32"/>
      <w:sz w:val="36"/>
      <w:szCs w:val="32"/>
      <w:lang w:val="de-DE"/>
    </w:rPr>
  </w:style>
  <w:style w:type="paragraph" w:styleId="Paragraphedeliste">
    <w:name w:val="List Paragraph"/>
    <w:basedOn w:val="Normal"/>
    <w:uiPriority w:val="34"/>
    <w:qFormat/>
    <w:rsid w:val="00520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ghilardi@b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phanie.coignard@henke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henkel.de/presse" TargetMode="External"/><Relationship Id="rId4" Type="http://schemas.openxmlformats.org/officeDocument/2006/relationships/webSettings" Target="webSettings.xml"/><Relationship Id="rId9" Type="http://schemas.openxmlformats.org/officeDocument/2006/relationships/hyperlink" Target="http://www.henkel.de/i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1516</Words>
  <Characters>8341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Camille Mouilleau</cp:lastModifiedBy>
  <cp:revision>2</cp:revision>
  <cp:lastPrinted>2017-10-11T14:12:00Z</cp:lastPrinted>
  <dcterms:created xsi:type="dcterms:W3CDTF">2017-11-14T15:46:00Z</dcterms:created>
  <dcterms:modified xsi:type="dcterms:W3CDTF">2017-11-14T15:46:00Z</dcterms:modified>
</cp:coreProperties>
</file>