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011" w:rsidRDefault="004641CF">
      <w:pPr>
        <w:tabs>
          <w:tab w:val="center" w:pos="4310"/>
        </w:tabs>
        <w:spacing w:after="70"/>
        <w:ind w:left="0" w:right="0" w:firstLine="0"/>
        <w:jc w:val="left"/>
      </w:pPr>
      <w:r>
        <w:rPr>
          <w:b/>
          <w:sz w:val="36"/>
        </w:rPr>
        <w:t xml:space="preserve"> </w:t>
      </w:r>
      <w:r>
        <w:rPr>
          <w:b/>
          <w:sz w:val="36"/>
        </w:rPr>
        <w:tab/>
        <w:t xml:space="preserve"> </w:t>
      </w:r>
      <w:r>
        <w:rPr>
          <w:noProof/>
        </w:rPr>
        <w:drawing>
          <wp:inline distT="0" distB="0" distL="0" distR="0">
            <wp:extent cx="2205990" cy="74231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a:stretch>
                      <a:fillRect/>
                    </a:stretch>
                  </pic:blipFill>
                  <pic:spPr>
                    <a:xfrm>
                      <a:off x="0" y="0"/>
                      <a:ext cx="2205990" cy="742315"/>
                    </a:xfrm>
                    <a:prstGeom prst="rect">
                      <a:avLst/>
                    </a:prstGeom>
                  </pic:spPr>
                </pic:pic>
              </a:graphicData>
            </a:graphic>
          </wp:inline>
        </w:drawing>
      </w:r>
    </w:p>
    <w:p w:rsidR="00C76011" w:rsidRDefault="004641CF">
      <w:pPr>
        <w:spacing w:after="0"/>
        <w:ind w:left="0" w:right="0" w:firstLine="0"/>
        <w:jc w:val="right"/>
      </w:pPr>
      <w:r>
        <w:rPr>
          <w:b/>
          <w:sz w:val="55"/>
          <w:vertAlign w:val="superscript"/>
        </w:rPr>
        <w:t xml:space="preserve"> </w:t>
      </w:r>
      <w:r>
        <w:rPr>
          <w:b/>
          <w:sz w:val="36"/>
        </w:rPr>
        <w:t xml:space="preserve">  </w:t>
      </w:r>
    </w:p>
    <w:p w:rsidR="00C76011" w:rsidRDefault="004641CF">
      <w:pPr>
        <w:spacing w:after="0"/>
        <w:ind w:left="0" w:right="201" w:firstLine="0"/>
        <w:jc w:val="right"/>
      </w:pPr>
      <w:r>
        <w:rPr>
          <w:b/>
          <w:sz w:val="36"/>
        </w:rPr>
        <w:t xml:space="preserve">Presseinformation </w:t>
      </w:r>
    </w:p>
    <w:p w:rsidR="00C76011" w:rsidRDefault="004641CF">
      <w:pPr>
        <w:spacing w:after="2"/>
        <w:ind w:left="0" w:right="199" w:firstLine="0"/>
        <w:jc w:val="right"/>
      </w:pPr>
      <w:r>
        <w:rPr>
          <w:sz w:val="24"/>
        </w:rPr>
        <w:t xml:space="preserve">April 2018 </w:t>
      </w:r>
    </w:p>
    <w:p w:rsidR="00C76011" w:rsidRDefault="004641CF">
      <w:pPr>
        <w:spacing w:after="2"/>
        <w:ind w:left="0" w:right="0" w:firstLine="0"/>
        <w:jc w:val="left"/>
      </w:pPr>
      <w:r>
        <w:rPr>
          <w:sz w:val="24"/>
        </w:rPr>
        <w:t xml:space="preserve"> </w:t>
      </w:r>
    </w:p>
    <w:p w:rsidR="00C76011" w:rsidRDefault="004641CF" w:rsidP="004641CF">
      <w:pPr>
        <w:spacing w:after="10"/>
        <w:ind w:left="0" w:right="0" w:firstLine="0"/>
        <w:jc w:val="center"/>
      </w:pPr>
      <w:r>
        <w:rPr>
          <w:noProof/>
        </w:rPr>
        <w:drawing>
          <wp:inline distT="0" distB="0" distL="0" distR="0">
            <wp:extent cx="5888990" cy="254381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_SalonPlex_Trends_PR_Banner_AT_1802_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8990" cy="2543810"/>
                    </a:xfrm>
                    <a:prstGeom prst="rect">
                      <a:avLst/>
                    </a:prstGeom>
                  </pic:spPr>
                </pic:pic>
              </a:graphicData>
            </a:graphic>
          </wp:inline>
        </w:drawing>
      </w:r>
    </w:p>
    <w:p w:rsidR="00C76011" w:rsidRDefault="004641CF">
      <w:pPr>
        <w:spacing w:after="0"/>
        <w:ind w:left="0" w:right="0" w:firstLine="0"/>
        <w:jc w:val="left"/>
      </w:pPr>
      <w:r>
        <w:rPr>
          <w:sz w:val="24"/>
        </w:rPr>
        <w:t xml:space="preserve"> </w:t>
      </w:r>
    </w:p>
    <w:p w:rsidR="00C76011" w:rsidRDefault="004641CF">
      <w:pPr>
        <w:tabs>
          <w:tab w:val="center" w:pos="5041"/>
          <w:tab w:val="center" w:pos="5761"/>
          <w:tab w:val="center" w:pos="6481"/>
        </w:tabs>
        <w:spacing w:after="58" w:line="268" w:lineRule="auto"/>
        <w:ind w:left="-15" w:right="0" w:firstLine="0"/>
        <w:jc w:val="left"/>
      </w:pPr>
      <w:r>
        <w:rPr>
          <w:sz w:val="22"/>
        </w:rPr>
        <w:t xml:space="preserve">Launch </w:t>
      </w:r>
      <w:proofErr w:type="spellStart"/>
      <w:r>
        <w:rPr>
          <w:sz w:val="22"/>
        </w:rPr>
        <w:t>Syoss</w:t>
      </w:r>
      <w:proofErr w:type="spellEnd"/>
      <w:r>
        <w:rPr>
          <w:sz w:val="22"/>
        </w:rPr>
        <w:t xml:space="preserve"> Metallische Rosé Untertöne  </w:t>
      </w:r>
      <w:r>
        <w:rPr>
          <w:sz w:val="22"/>
        </w:rPr>
        <w:tab/>
        <w:t xml:space="preserve"> </w:t>
      </w:r>
      <w:r>
        <w:rPr>
          <w:sz w:val="22"/>
        </w:rPr>
        <w:tab/>
        <w:t xml:space="preserve"> </w:t>
      </w:r>
      <w:r>
        <w:rPr>
          <w:sz w:val="22"/>
        </w:rPr>
        <w:tab/>
        <w:t xml:space="preserve">                     </w:t>
      </w:r>
    </w:p>
    <w:p w:rsidR="00C76011" w:rsidRDefault="004641CF">
      <w:pPr>
        <w:spacing w:after="88"/>
        <w:ind w:left="0" w:right="0" w:firstLine="0"/>
        <w:jc w:val="left"/>
      </w:pPr>
      <w:r>
        <w:rPr>
          <w:b/>
          <w:sz w:val="24"/>
        </w:rPr>
        <w:t xml:space="preserve"> </w:t>
      </w:r>
    </w:p>
    <w:p w:rsidR="00C76011" w:rsidRDefault="004641CF">
      <w:pPr>
        <w:spacing w:after="31"/>
        <w:ind w:left="-5" w:right="0"/>
        <w:jc w:val="left"/>
      </w:pPr>
      <w:r>
        <w:rPr>
          <w:b/>
          <w:sz w:val="36"/>
        </w:rPr>
        <w:t xml:space="preserve">Der Megatrend für zu Hause: Metallische Rosé </w:t>
      </w:r>
    </w:p>
    <w:p w:rsidR="00C76011" w:rsidRDefault="004641CF">
      <w:pPr>
        <w:spacing w:after="0"/>
        <w:ind w:left="-5" w:right="0"/>
        <w:jc w:val="left"/>
      </w:pPr>
      <w:r>
        <w:rPr>
          <w:b/>
          <w:sz w:val="36"/>
        </w:rPr>
        <w:t xml:space="preserve">Untertöne von </w:t>
      </w:r>
      <w:proofErr w:type="spellStart"/>
      <w:r>
        <w:rPr>
          <w:b/>
          <w:sz w:val="36"/>
        </w:rPr>
        <w:t>Syoss</w:t>
      </w:r>
      <w:proofErr w:type="spellEnd"/>
      <w:r>
        <w:rPr>
          <w:b/>
          <w:sz w:val="36"/>
        </w:rPr>
        <w:t xml:space="preserve"> Salon Trends </w:t>
      </w:r>
    </w:p>
    <w:p w:rsidR="00C76011" w:rsidRDefault="004641CF">
      <w:pPr>
        <w:spacing w:after="16"/>
        <w:ind w:left="0" w:right="0" w:firstLine="0"/>
        <w:jc w:val="left"/>
      </w:pPr>
      <w:r>
        <w:rPr>
          <w:b/>
          <w:sz w:val="22"/>
        </w:rPr>
        <w:t xml:space="preserve"> </w:t>
      </w:r>
    </w:p>
    <w:p w:rsidR="00C76011" w:rsidRDefault="004641CF">
      <w:pPr>
        <w:spacing w:after="10" w:line="268" w:lineRule="auto"/>
        <w:ind w:left="-5" w:right="199"/>
      </w:pPr>
      <w:r>
        <w:rPr>
          <w:b/>
          <w:sz w:val="22"/>
        </w:rPr>
        <w:t xml:space="preserve">Sie sind von internationalen Catwalks </w:t>
      </w:r>
      <w:r>
        <w:rPr>
          <w:b/>
          <w:sz w:val="22"/>
        </w:rPr>
        <w:t xml:space="preserve">und auf </w:t>
      </w:r>
      <w:proofErr w:type="spellStart"/>
      <w:r>
        <w:rPr>
          <w:b/>
          <w:sz w:val="22"/>
        </w:rPr>
        <w:t>Social</w:t>
      </w:r>
      <w:proofErr w:type="spellEnd"/>
      <w:r>
        <w:rPr>
          <w:b/>
          <w:sz w:val="22"/>
        </w:rPr>
        <w:t xml:space="preserve"> Media derzeit nicht wegzudenken: metallische Rosé-Untertöne in Braun- und Blondnuancen. Sie zaubern einen einzigartigen Look, mit dem frau ein cooles Statement setzt. </w:t>
      </w:r>
      <w:proofErr w:type="spellStart"/>
      <w:r>
        <w:rPr>
          <w:b/>
          <w:sz w:val="22"/>
        </w:rPr>
        <w:t>Syoss</w:t>
      </w:r>
      <w:proofErr w:type="spellEnd"/>
      <w:r>
        <w:rPr>
          <w:b/>
          <w:sz w:val="22"/>
        </w:rPr>
        <w:t xml:space="preserve"> macht es jetzt möglich, den Megatrend 2018</w:t>
      </w:r>
      <w:r>
        <w:rPr>
          <w:b/>
          <w:sz w:val="22"/>
          <w:vertAlign w:val="superscript"/>
        </w:rPr>
        <w:footnoteReference w:id="1"/>
      </w:r>
      <w:r>
        <w:rPr>
          <w:b/>
          <w:sz w:val="22"/>
        </w:rPr>
        <w:t xml:space="preserve"> auch zu Hause zu erleben</w:t>
      </w:r>
      <w:r>
        <w:rPr>
          <w:b/>
          <w:sz w:val="22"/>
        </w:rPr>
        <w:t xml:space="preserve"> – mit der Linie </w:t>
      </w:r>
      <w:proofErr w:type="spellStart"/>
      <w:r>
        <w:rPr>
          <w:b/>
          <w:sz w:val="22"/>
        </w:rPr>
        <w:t>Syoss</w:t>
      </w:r>
      <w:proofErr w:type="spellEnd"/>
      <w:r>
        <w:rPr>
          <w:b/>
          <w:sz w:val="22"/>
        </w:rPr>
        <w:t xml:space="preserve"> </w:t>
      </w:r>
      <w:proofErr w:type="gramStart"/>
      <w:r>
        <w:rPr>
          <w:b/>
          <w:sz w:val="22"/>
        </w:rPr>
        <w:t>Metallische</w:t>
      </w:r>
      <w:proofErr w:type="gramEnd"/>
      <w:r>
        <w:rPr>
          <w:b/>
          <w:sz w:val="22"/>
        </w:rPr>
        <w:t xml:space="preserve"> </w:t>
      </w:r>
      <w:proofErr w:type="spellStart"/>
      <w:r>
        <w:rPr>
          <w:b/>
          <w:sz w:val="22"/>
        </w:rPr>
        <w:t>Rosè</w:t>
      </w:r>
      <w:proofErr w:type="spellEnd"/>
      <w:r>
        <w:rPr>
          <w:b/>
          <w:sz w:val="22"/>
        </w:rPr>
        <w:t xml:space="preserve"> Untertöne. Dabei sorgt die enthaltene </w:t>
      </w:r>
      <w:proofErr w:type="spellStart"/>
      <w:r>
        <w:rPr>
          <w:b/>
          <w:sz w:val="22"/>
        </w:rPr>
        <w:t>Salon</w:t>
      </w:r>
      <w:r>
        <w:rPr>
          <w:sz w:val="22"/>
        </w:rPr>
        <w:t>Plex</w:t>
      </w:r>
      <w:proofErr w:type="spellEnd"/>
      <w:r>
        <w:rPr>
          <w:b/>
          <w:sz w:val="22"/>
        </w:rPr>
        <w:t>-Technologie für bis zu 80 Prozent weniger Haarbruch</w:t>
      </w:r>
      <w:r>
        <w:rPr>
          <w:b/>
          <w:sz w:val="22"/>
          <w:vertAlign w:val="superscript"/>
        </w:rPr>
        <w:footnoteReference w:id="2"/>
      </w:r>
      <w:r>
        <w:rPr>
          <w:b/>
          <w:sz w:val="22"/>
        </w:rPr>
        <w:t xml:space="preserve"> beim Colorieren.  </w:t>
      </w:r>
    </w:p>
    <w:p w:rsidR="00C76011" w:rsidRDefault="004641CF">
      <w:pPr>
        <w:spacing w:after="16"/>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180340</wp:posOffset>
                </wp:positionH>
                <wp:positionV relativeFrom="page">
                  <wp:posOffset>3780790</wp:posOffset>
                </wp:positionV>
                <wp:extent cx="179705" cy="6350"/>
                <wp:effectExtent l="0" t="0" r="0" b="0"/>
                <wp:wrapSquare wrapText="bothSides"/>
                <wp:docPr id="2687" name="Group 2687"/>
                <wp:cNvGraphicFramePr/>
                <a:graphic xmlns:a="http://schemas.openxmlformats.org/drawingml/2006/main">
                  <a:graphicData uri="http://schemas.microsoft.com/office/word/2010/wordprocessingGroup">
                    <wpg:wgp>
                      <wpg:cNvGrpSpPr/>
                      <wpg:grpSpPr>
                        <a:xfrm>
                          <a:off x="0" y="0"/>
                          <a:ext cx="179705" cy="6350"/>
                          <a:chOff x="0" y="0"/>
                          <a:chExt cx="179705" cy="6350"/>
                        </a:xfrm>
                      </wpg:grpSpPr>
                      <wps:wsp>
                        <wps:cNvPr id="15" name="Shape 15"/>
                        <wps:cNvSpPr/>
                        <wps:spPr>
                          <a:xfrm>
                            <a:off x="0" y="0"/>
                            <a:ext cx="179705" cy="0"/>
                          </a:xfrm>
                          <a:custGeom>
                            <a:avLst/>
                            <a:gdLst/>
                            <a:ahLst/>
                            <a:cxnLst/>
                            <a:rect l="0" t="0" r="0" b="0"/>
                            <a:pathLst>
                              <a:path w="179705">
                                <a:moveTo>
                                  <a:pt x="0" y="0"/>
                                </a:moveTo>
                                <a:lnTo>
                                  <a:pt x="179705" y="0"/>
                                </a:lnTo>
                              </a:path>
                            </a:pathLst>
                          </a:custGeom>
                          <a:ln w="6350" cap="flat">
                            <a:round/>
                          </a:ln>
                        </wps:spPr>
                        <wps:style>
                          <a:lnRef idx="1">
                            <a:srgbClr val="E1000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87" style="width:14.15pt;height:0.5pt;position:absolute;mso-position-horizontal-relative:page;mso-position-horizontal:absolute;margin-left:14.2pt;mso-position-vertical-relative:page;margin-top:297.7pt;" coordsize="1797,63">
                <v:shape id="Shape 15" style="position:absolute;width:1797;height:0;left:0;top:0;" coordsize="179705,0" path="m0,0l179705,0">
                  <v:stroke weight="0.5pt" endcap="flat" joinstyle="round" on="true" color="#e1000f"/>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180340</wp:posOffset>
                </wp:positionH>
                <wp:positionV relativeFrom="page">
                  <wp:posOffset>5346700</wp:posOffset>
                </wp:positionV>
                <wp:extent cx="179705" cy="6350"/>
                <wp:effectExtent l="0" t="0" r="0" b="0"/>
                <wp:wrapSquare wrapText="bothSides"/>
                <wp:docPr id="2688" name="Group 2688"/>
                <wp:cNvGraphicFramePr/>
                <a:graphic xmlns:a="http://schemas.openxmlformats.org/drawingml/2006/main">
                  <a:graphicData uri="http://schemas.microsoft.com/office/word/2010/wordprocessingGroup">
                    <wpg:wgp>
                      <wpg:cNvGrpSpPr/>
                      <wpg:grpSpPr>
                        <a:xfrm>
                          <a:off x="0" y="0"/>
                          <a:ext cx="179705" cy="6350"/>
                          <a:chOff x="0" y="0"/>
                          <a:chExt cx="179705" cy="6350"/>
                        </a:xfrm>
                      </wpg:grpSpPr>
                      <wps:wsp>
                        <wps:cNvPr id="16" name="Shape 16"/>
                        <wps:cNvSpPr/>
                        <wps:spPr>
                          <a:xfrm>
                            <a:off x="0" y="0"/>
                            <a:ext cx="179705" cy="0"/>
                          </a:xfrm>
                          <a:custGeom>
                            <a:avLst/>
                            <a:gdLst/>
                            <a:ahLst/>
                            <a:cxnLst/>
                            <a:rect l="0" t="0" r="0" b="0"/>
                            <a:pathLst>
                              <a:path w="179705">
                                <a:moveTo>
                                  <a:pt x="0" y="0"/>
                                </a:moveTo>
                                <a:lnTo>
                                  <a:pt x="179705" y="0"/>
                                </a:lnTo>
                              </a:path>
                            </a:pathLst>
                          </a:custGeom>
                          <a:ln w="6350" cap="flat">
                            <a:round/>
                          </a:ln>
                        </wps:spPr>
                        <wps:style>
                          <a:lnRef idx="1">
                            <a:srgbClr val="E1000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88" style="width:14.15pt;height:0.5pt;position:absolute;mso-position-horizontal-relative:page;mso-position-horizontal:absolute;margin-left:14.2pt;mso-position-vertical-relative:page;margin-top:421pt;" coordsize="1797,63">
                <v:shape id="Shape 16" style="position:absolute;width:1797;height:0;left:0;top:0;" coordsize="179705,0" path="m0,0l179705,0">
                  <v:stroke weight="0.5pt" endcap="flat" joinstyle="round" on="true" color="#e1000f"/>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180340</wp:posOffset>
                </wp:positionH>
                <wp:positionV relativeFrom="page">
                  <wp:posOffset>7560945</wp:posOffset>
                </wp:positionV>
                <wp:extent cx="179705" cy="6350"/>
                <wp:effectExtent l="0" t="0" r="0" b="0"/>
                <wp:wrapSquare wrapText="bothSides"/>
                <wp:docPr id="2689" name="Group 2689"/>
                <wp:cNvGraphicFramePr/>
                <a:graphic xmlns:a="http://schemas.openxmlformats.org/drawingml/2006/main">
                  <a:graphicData uri="http://schemas.microsoft.com/office/word/2010/wordprocessingGroup">
                    <wpg:wgp>
                      <wpg:cNvGrpSpPr/>
                      <wpg:grpSpPr>
                        <a:xfrm>
                          <a:off x="0" y="0"/>
                          <a:ext cx="179705" cy="6350"/>
                          <a:chOff x="0" y="0"/>
                          <a:chExt cx="179705" cy="6350"/>
                        </a:xfrm>
                      </wpg:grpSpPr>
                      <wps:wsp>
                        <wps:cNvPr id="17" name="Shape 17"/>
                        <wps:cNvSpPr/>
                        <wps:spPr>
                          <a:xfrm>
                            <a:off x="0" y="0"/>
                            <a:ext cx="179705" cy="0"/>
                          </a:xfrm>
                          <a:custGeom>
                            <a:avLst/>
                            <a:gdLst/>
                            <a:ahLst/>
                            <a:cxnLst/>
                            <a:rect l="0" t="0" r="0" b="0"/>
                            <a:pathLst>
                              <a:path w="179705">
                                <a:moveTo>
                                  <a:pt x="0" y="0"/>
                                </a:moveTo>
                                <a:lnTo>
                                  <a:pt x="179705" y="0"/>
                                </a:lnTo>
                              </a:path>
                            </a:pathLst>
                          </a:custGeom>
                          <a:ln w="6350" cap="flat">
                            <a:round/>
                          </a:ln>
                        </wps:spPr>
                        <wps:style>
                          <a:lnRef idx="1">
                            <a:srgbClr val="E1000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89" style="width:14.15pt;height:0.5pt;position:absolute;mso-position-horizontal-relative:page;mso-position-horizontal:absolute;margin-left:14.2pt;mso-position-vertical-relative:page;margin-top:595.35pt;" coordsize="1797,63">
                <v:shape id="Shape 17" style="position:absolute;width:1797;height:0;left:0;top:0;" coordsize="179705,0" path="m0,0l179705,0">
                  <v:stroke weight="0.5pt" endcap="flat" joinstyle="round" on="true" color="#e1000f"/>
                  <v:fill on="false" color="#000000" opacity="0"/>
                </v:shape>
                <w10:wrap type="square"/>
              </v:group>
            </w:pict>
          </mc:Fallback>
        </mc:AlternateContent>
      </w:r>
      <w:r>
        <w:rPr>
          <w:b/>
          <w:color w:val="FF0000"/>
          <w:sz w:val="22"/>
        </w:rPr>
        <w:t xml:space="preserve"> </w:t>
      </w:r>
    </w:p>
    <w:p w:rsidR="00C76011" w:rsidRDefault="004641CF">
      <w:pPr>
        <w:spacing w:after="10" w:line="268" w:lineRule="auto"/>
        <w:ind w:left="-5" w:right="199"/>
      </w:pPr>
      <w:proofErr w:type="spellStart"/>
      <w:r>
        <w:rPr>
          <w:b/>
          <w:sz w:val="22"/>
        </w:rPr>
        <w:t>Syoss</w:t>
      </w:r>
      <w:proofErr w:type="spellEnd"/>
      <w:r>
        <w:rPr>
          <w:b/>
          <w:sz w:val="22"/>
        </w:rPr>
        <w:t xml:space="preserve"> </w:t>
      </w:r>
      <w:proofErr w:type="gramStart"/>
      <w:r>
        <w:rPr>
          <w:b/>
          <w:sz w:val="22"/>
        </w:rPr>
        <w:t>Metallische</w:t>
      </w:r>
      <w:proofErr w:type="gramEnd"/>
      <w:r>
        <w:rPr>
          <w:b/>
          <w:sz w:val="22"/>
        </w:rPr>
        <w:t xml:space="preserve"> Rosé Untertöne sind ab sofort erhältlich.  </w:t>
      </w:r>
    </w:p>
    <w:p w:rsidR="00C76011" w:rsidRDefault="004641CF">
      <w:pPr>
        <w:spacing w:after="16"/>
        <w:ind w:left="0" w:right="0" w:firstLine="0"/>
        <w:jc w:val="left"/>
      </w:pPr>
      <w:r>
        <w:rPr>
          <w:b/>
          <w:sz w:val="22"/>
        </w:rPr>
        <w:t xml:space="preserve"> </w:t>
      </w:r>
    </w:p>
    <w:p w:rsidR="00C76011" w:rsidRDefault="004641CF">
      <w:pPr>
        <w:spacing w:after="10" w:line="268" w:lineRule="auto"/>
        <w:ind w:left="-5" w:right="183"/>
      </w:pPr>
      <w:r>
        <w:rPr>
          <w:sz w:val="22"/>
        </w:rPr>
        <w:t>Diese Haarfarben dominieren</w:t>
      </w:r>
      <w:r>
        <w:rPr>
          <w:sz w:val="22"/>
        </w:rPr>
        <w:t xml:space="preserve"> seit jeher die Köpfe vieler Frauen und sind ein zeitloser Trend: Braun und Blond. In dieser Saison stellt sich </w:t>
      </w:r>
      <w:proofErr w:type="spellStart"/>
      <w:r>
        <w:rPr>
          <w:sz w:val="22"/>
        </w:rPr>
        <w:t>Syoss</w:t>
      </w:r>
      <w:proofErr w:type="spellEnd"/>
      <w:r>
        <w:rPr>
          <w:sz w:val="22"/>
        </w:rPr>
        <w:t xml:space="preserve"> der Herausforderung, die zwei Klassiker aufzufrischen, und verpasst ihnen einen aufregenden Look mit metallisch schimmernden Details. Dami</w:t>
      </w:r>
      <w:r>
        <w:rPr>
          <w:sz w:val="22"/>
        </w:rPr>
        <w:t xml:space="preserve">t setzt </w:t>
      </w:r>
      <w:proofErr w:type="spellStart"/>
      <w:r>
        <w:rPr>
          <w:sz w:val="22"/>
        </w:rPr>
        <w:t>Syoss</w:t>
      </w:r>
      <w:proofErr w:type="spellEnd"/>
      <w:r>
        <w:rPr>
          <w:sz w:val="22"/>
        </w:rPr>
        <w:t xml:space="preserve"> den Megatrend 2018</w:t>
      </w:r>
      <w:r>
        <w:rPr>
          <w:sz w:val="22"/>
          <w:vertAlign w:val="superscript"/>
        </w:rPr>
        <w:t>1</w:t>
      </w:r>
      <w:r>
        <w:rPr>
          <w:sz w:val="22"/>
        </w:rPr>
        <w:t xml:space="preserve"> um.  </w:t>
      </w:r>
    </w:p>
    <w:p w:rsidR="00C76011" w:rsidRDefault="004641CF">
      <w:pPr>
        <w:spacing w:after="19"/>
        <w:ind w:left="0" w:right="0" w:firstLine="0"/>
        <w:jc w:val="left"/>
      </w:pPr>
      <w:r>
        <w:rPr>
          <w:sz w:val="22"/>
        </w:rPr>
        <w:t xml:space="preserve"> </w:t>
      </w:r>
    </w:p>
    <w:p w:rsidR="004641CF" w:rsidRDefault="004641CF">
      <w:pPr>
        <w:spacing w:after="10" w:line="268" w:lineRule="auto"/>
        <w:ind w:left="-5" w:right="183"/>
        <w:rPr>
          <w:b/>
          <w:sz w:val="22"/>
        </w:rPr>
      </w:pPr>
    </w:p>
    <w:p w:rsidR="004641CF" w:rsidRDefault="004641CF">
      <w:pPr>
        <w:spacing w:after="10" w:line="268" w:lineRule="auto"/>
        <w:ind w:left="-5" w:right="183"/>
        <w:rPr>
          <w:b/>
          <w:sz w:val="22"/>
        </w:rPr>
      </w:pPr>
    </w:p>
    <w:p w:rsidR="004641CF" w:rsidRDefault="004641CF">
      <w:pPr>
        <w:spacing w:after="10" w:line="268" w:lineRule="auto"/>
        <w:ind w:left="-5" w:right="183"/>
        <w:rPr>
          <w:b/>
          <w:sz w:val="22"/>
        </w:rPr>
      </w:pPr>
    </w:p>
    <w:p w:rsidR="004641CF" w:rsidRDefault="004641CF">
      <w:pPr>
        <w:spacing w:after="10" w:line="268" w:lineRule="auto"/>
        <w:ind w:left="-5" w:right="183"/>
        <w:rPr>
          <w:b/>
          <w:sz w:val="22"/>
        </w:rPr>
      </w:pPr>
    </w:p>
    <w:p w:rsidR="004641CF" w:rsidRDefault="004641CF">
      <w:pPr>
        <w:spacing w:after="10" w:line="268" w:lineRule="auto"/>
        <w:ind w:left="-5" w:right="183"/>
        <w:rPr>
          <w:b/>
          <w:sz w:val="22"/>
        </w:rPr>
      </w:pPr>
    </w:p>
    <w:p w:rsidR="004641CF" w:rsidRDefault="004641CF">
      <w:pPr>
        <w:spacing w:after="10" w:line="268" w:lineRule="auto"/>
        <w:ind w:left="-5" w:right="183"/>
        <w:rPr>
          <w:b/>
          <w:sz w:val="22"/>
        </w:rPr>
      </w:pPr>
    </w:p>
    <w:p w:rsidR="004641CF" w:rsidRDefault="004641CF">
      <w:pPr>
        <w:spacing w:after="10" w:line="268" w:lineRule="auto"/>
        <w:ind w:left="-5" w:right="183"/>
        <w:rPr>
          <w:b/>
          <w:sz w:val="22"/>
        </w:rPr>
      </w:pPr>
    </w:p>
    <w:p w:rsidR="00C76011" w:rsidRDefault="004641CF">
      <w:pPr>
        <w:spacing w:after="10" w:line="268" w:lineRule="auto"/>
        <w:ind w:left="-5" w:right="183"/>
      </w:pPr>
      <w:proofErr w:type="spellStart"/>
      <w:r>
        <w:rPr>
          <w:b/>
          <w:sz w:val="22"/>
        </w:rPr>
        <w:t>Syoss</w:t>
      </w:r>
      <w:proofErr w:type="spellEnd"/>
      <w:r>
        <w:rPr>
          <w:b/>
          <w:sz w:val="22"/>
        </w:rPr>
        <w:t xml:space="preserve"> </w:t>
      </w:r>
      <w:proofErr w:type="gramStart"/>
      <w:r>
        <w:rPr>
          <w:b/>
          <w:sz w:val="22"/>
        </w:rPr>
        <w:t>Metallische</w:t>
      </w:r>
      <w:proofErr w:type="gramEnd"/>
      <w:r>
        <w:rPr>
          <w:b/>
          <w:sz w:val="22"/>
        </w:rPr>
        <w:t xml:space="preserve"> Rosé Untertöne </w:t>
      </w:r>
      <w:r>
        <w:rPr>
          <w:sz w:val="22"/>
        </w:rPr>
        <w:t>verleihen den Mähnen von Trendsetterinnen ab sofort einen subtilen und gleichzeitig aufregenden roséfarbenen Unterton. Dafür sorgen die enthaltenen rosafarbenen Mikropigmente in den</w:t>
      </w:r>
      <w:r>
        <w:rPr>
          <w:sz w:val="22"/>
        </w:rPr>
        <w:t xml:space="preserve"> Trend-Nuancen </w:t>
      </w:r>
      <w:proofErr w:type="spellStart"/>
      <w:r>
        <w:rPr>
          <w:b/>
          <w:sz w:val="22"/>
        </w:rPr>
        <w:t>Syoss</w:t>
      </w:r>
      <w:proofErr w:type="spellEnd"/>
      <w:r>
        <w:rPr>
          <w:b/>
          <w:sz w:val="22"/>
        </w:rPr>
        <w:t xml:space="preserve"> Mauve Braun (4-82)</w:t>
      </w:r>
      <w:r>
        <w:rPr>
          <w:sz w:val="22"/>
        </w:rPr>
        <w:t xml:space="preserve">, </w:t>
      </w:r>
      <w:proofErr w:type="spellStart"/>
      <w:r>
        <w:rPr>
          <w:b/>
          <w:sz w:val="22"/>
        </w:rPr>
        <w:t>Syoss</w:t>
      </w:r>
      <w:proofErr w:type="spellEnd"/>
      <w:r>
        <w:rPr>
          <w:b/>
          <w:sz w:val="22"/>
        </w:rPr>
        <w:t xml:space="preserve"> Helles Rosé Braun (6-82)</w:t>
      </w:r>
      <w:r>
        <w:rPr>
          <w:sz w:val="22"/>
        </w:rPr>
        <w:t xml:space="preserve"> und </w:t>
      </w:r>
      <w:proofErr w:type="spellStart"/>
      <w:r>
        <w:rPr>
          <w:b/>
          <w:sz w:val="22"/>
        </w:rPr>
        <w:t>Syoss</w:t>
      </w:r>
      <w:proofErr w:type="spellEnd"/>
      <w:r>
        <w:rPr>
          <w:b/>
          <w:sz w:val="22"/>
        </w:rPr>
        <w:t xml:space="preserve"> Dunkels Perlblond (7-53).</w:t>
      </w:r>
      <w:r>
        <w:rPr>
          <w:sz w:val="22"/>
        </w:rPr>
        <w:t xml:space="preserve"> </w:t>
      </w:r>
      <w:r>
        <w:rPr>
          <w:sz w:val="22"/>
        </w:rPr>
        <w:t xml:space="preserve">Das Resultat: multitonale Farben voller Leuchtkraft und Lebendigkeit und ein </w:t>
      </w:r>
      <w:proofErr w:type="spellStart"/>
      <w:r>
        <w:rPr>
          <w:sz w:val="22"/>
        </w:rPr>
        <w:t>perligschimmerndes</w:t>
      </w:r>
      <w:proofErr w:type="spellEnd"/>
      <w:r>
        <w:rPr>
          <w:sz w:val="22"/>
        </w:rPr>
        <w:t xml:space="preserve"> Glanzfinish, dank des ausgewogenen </w:t>
      </w:r>
      <w:proofErr w:type="spellStart"/>
      <w:r>
        <w:rPr>
          <w:sz w:val="22"/>
        </w:rPr>
        <w:t>Mixes</w:t>
      </w:r>
      <w:proofErr w:type="spellEnd"/>
      <w:r>
        <w:rPr>
          <w:sz w:val="22"/>
        </w:rPr>
        <w:t xml:space="preserve"> aus warmen und kühlen Pigmenten.  </w:t>
      </w:r>
    </w:p>
    <w:p w:rsidR="00C76011" w:rsidRDefault="004641CF">
      <w:pPr>
        <w:spacing w:after="16"/>
        <w:ind w:left="0" w:right="0" w:firstLine="0"/>
        <w:jc w:val="left"/>
      </w:pPr>
      <w:r>
        <w:rPr>
          <w:sz w:val="22"/>
        </w:rPr>
        <w:t xml:space="preserve"> </w:t>
      </w:r>
    </w:p>
    <w:p w:rsidR="00C76011" w:rsidRDefault="004641CF">
      <w:pPr>
        <w:spacing w:after="10" w:line="268" w:lineRule="auto"/>
        <w:ind w:left="-5" w:right="183"/>
      </w:pPr>
      <w:r>
        <w:rPr>
          <w:sz w:val="22"/>
        </w:rPr>
        <w:t xml:space="preserve">Die in den Nuancen enthaltene innovative </w:t>
      </w:r>
      <w:proofErr w:type="spellStart"/>
      <w:r>
        <w:rPr>
          <w:b/>
          <w:sz w:val="22"/>
        </w:rPr>
        <w:t>Salon</w:t>
      </w:r>
      <w:r>
        <w:rPr>
          <w:sz w:val="22"/>
        </w:rPr>
        <w:t>Plex</w:t>
      </w:r>
      <w:proofErr w:type="spellEnd"/>
      <w:r>
        <w:rPr>
          <w:sz w:val="22"/>
        </w:rPr>
        <w:t>-Technologie sorgt für bis zu 80</w:t>
      </w:r>
      <w:r>
        <w:rPr>
          <w:sz w:val="22"/>
        </w:rPr>
        <w:t xml:space="preserve"> Prozent weniger Haarbruch.</w:t>
      </w:r>
      <w:r>
        <w:rPr>
          <w:sz w:val="22"/>
          <w:vertAlign w:val="superscript"/>
        </w:rPr>
        <w:t xml:space="preserve">2 </w:t>
      </w:r>
      <w:r>
        <w:rPr>
          <w:sz w:val="22"/>
        </w:rPr>
        <w:t>Sie gleicht Haarschäden aus und erneuert die Mikrobindungen im Inneren des Haares – für jederzeit professionelle Ergebnisse und Haare, die nicht nur gesund aussehen, sondern sich auch gesund anfühlen.</w:t>
      </w:r>
      <w:r>
        <w:rPr>
          <w:b/>
          <w:sz w:val="22"/>
        </w:rPr>
        <w:t xml:space="preserve"> </w:t>
      </w:r>
    </w:p>
    <w:p w:rsidR="00C76011" w:rsidRDefault="004641CF">
      <w:pPr>
        <w:spacing w:after="60"/>
        <w:ind w:left="0" w:right="0" w:firstLine="0"/>
        <w:jc w:val="left"/>
      </w:pPr>
      <w:r>
        <w:rPr>
          <w:b/>
          <w:sz w:val="17"/>
        </w:rPr>
        <w:t xml:space="preserve"> </w:t>
      </w:r>
    </w:p>
    <w:p w:rsidR="00C76011" w:rsidRDefault="004641CF" w:rsidP="004641CF">
      <w:pPr>
        <w:spacing w:after="0"/>
        <w:ind w:left="0" w:right="0" w:firstLine="0"/>
        <w:jc w:val="left"/>
        <w:rPr>
          <w:b/>
          <w:sz w:val="22"/>
        </w:rPr>
      </w:pPr>
      <w:proofErr w:type="spellStart"/>
      <w:r>
        <w:rPr>
          <w:b/>
          <w:sz w:val="22"/>
        </w:rPr>
        <w:t>Syoss</w:t>
      </w:r>
      <w:proofErr w:type="spellEnd"/>
      <w:r>
        <w:rPr>
          <w:b/>
          <w:sz w:val="22"/>
        </w:rPr>
        <w:t xml:space="preserve"> </w:t>
      </w:r>
      <w:proofErr w:type="gramStart"/>
      <w:r>
        <w:rPr>
          <w:b/>
          <w:sz w:val="22"/>
        </w:rPr>
        <w:t>Metallische</w:t>
      </w:r>
      <w:proofErr w:type="gramEnd"/>
      <w:r>
        <w:rPr>
          <w:b/>
          <w:sz w:val="22"/>
        </w:rPr>
        <w:t xml:space="preserve"> Rosé Untertöne sind zu einem Preis von 7,99 Euro (UVP*) im Handel erhältlich.  </w:t>
      </w:r>
    </w:p>
    <w:p w:rsidR="004641CF" w:rsidRDefault="004641CF" w:rsidP="004641CF">
      <w:pPr>
        <w:spacing w:after="0"/>
        <w:ind w:left="0" w:right="0" w:firstLine="0"/>
        <w:jc w:val="left"/>
      </w:pPr>
    </w:p>
    <w:p w:rsidR="00C76011" w:rsidRDefault="004641CF">
      <w:pPr>
        <w:spacing w:after="348"/>
        <w:ind w:left="0" w:right="0" w:firstLine="0"/>
        <w:jc w:val="left"/>
      </w:pPr>
      <w:r>
        <w:rPr>
          <w:sz w:val="18"/>
        </w:rPr>
        <w:t xml:space="preserve">*unverbindliche Preisempfehlung </w:t>
      </w:r>
    </w:p>
    <w:p w:rsidR="00C76011" w:rsidRDefault="004641CF">
      <w:pPr>
        <w:spacing w:after="58" w:line="268" w:lineRule="auto"/>
        <w:ind w:left="-5" w:right="183"/>
      </w:pPr>
      <w:r>
        <w:rPr>
          <w:sz w:val="22"/>
        </w:rPr>
        <w:t xml:space="preserve">  (4-82) Mauve Braun          </w:t>
      </w:r>
      <w:proofErr w:type="gramStart"/>
      <w:r>
        <w:rPr>
          <w:sz w:val="22"/>
        </w:rPr>
        <w:t xml:space="preserve">   (</w:t>
      </w:r>
      <w:proofErr w:type="gramEnd"/>
      <w:r>
        <w:rPr>
          <w:sz w:val="22"/>
        </w:rPr>
        <w:t xml:space="preserve">6-82) Helles Rosé Braun            (7-53) Dunkles Perlblond  </w:t>
      </w:r>
    </w:p>
    <w:p w:rsidR="00C76011" w:rsidRDefault="004641CF">
      <w:pPr>
        <w:spacing w:after="275"/>
        <w:ind w:left="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 xml:space="preserve">  </w:t>
      </w:r>
    </w:p>
    <w:p w:rsidR="00C76011" w:rsidRPr="004641CF" w:rsidRDefault="004641CF">
      <w:pPr>
        <w:ind w:left="-5" w:right="194"/>
        <w:rPr>
          <w:sz w:val="16"/>
          <w:szCs w:val="16"/>
        </w:rPr>
      </w:pPr>
      <w:r w:rsidRPr="004641CF">
        <w:rPr>
          <w:sz w:val="16"/>
          <w:szCs w:val="16"/>
        </w:rPr>
        <w:t xml:space="preserve">Verwendete Sammelbezeichnungen wie Konsumenten, Verbraucher, Mitarbeiter, Manager, Kunden, Teilnehmer oder Aktionäre sind als geschlechtsneutral anzusehen. Die Produktnamen sind eingetragene Marken. </w:t>
      </w:r>
    </w:p>
    <w:p w:rsidR="00C76011" w:rsidRPr="004641CF" w:rsidRDefault="004641CF">
      <w:pPr>
        <w:spacing w:after="53"/>
        <w:ind w:left="0" w:right="0" w:firstLine="0"/>
        <w:jc w:val="left"/>
        <w:rPr>
          <w:sz w:val="16"/>
          <w:szCs w:val="16"/>
        </w:rPr>
      </w:pPr>
      <w:r w:rsidRPr="004641CF">
        <w:rPr>
          <w:sz w:val="16"/>
          <w:szCs w:val="16"/>
        </w:rPr>
        <w:t xml:space="preserve"> </w:t>
      </w:r>
    </w:p>
    <w:p w:rsidR="00C76011" w:rsidRPr="004641CF" w:rsidRDefault="004641CF">
      <w:pPr>
        <w:ind w:left="-5" w:right="194"/>
        <w:rPr>
          <w:sz w:val="16"/>
          <w:szCs w:val="16"/>
        </w:rPr>
      </w:pPr>
      <w:r w:rsidRPr="004641CF">
        <w:rPr>
          <w:sz w:val="16"/>
          <w:szCs w:val="16"/>
        </w:rPr>
        <w:t xml:space="preserve">Fotomaterial finden Sie im Internet unter </w:t>
      </w:r>
      <w:hyperlink r:id="rId8">
        <w:r w:rsidRPr="004641CF">
          <w:rPr>
            <w:sz w:val="16"/>
            <w:szCs w:val="16"/>
          </w:rPr>
          <w:t>http://news.henkel.at</w:t>
        </w:r>
      </w:hyperlink>
      <w:hyperlink r:id="rId9">
        <w:r w:rsidRPr="004641CF">
          <w:rPr>
            <w:sz w:val="16"/>
            <w:szCs w:val="16"/>
          </w:rPr>
          <w:t>,</w:t>
        </w:r>
      </w:hyperlink>
      <w:r w:rsidRPr="004641CF">
        <w:rPr>
          <w:sz w:val="16"/>
          <w:szCs w:val="16"/>
        </w:rPr>
        <w:t xml:space="preserve"> Infos zu Schwarzkopf unter www.schwarzkopf.at und zur Kosmetikbranche (inkl. großem Serviceteil) unter www.kosmetiktransparent.at. </w:t>
      </w:r>
    </w:p>
    <w:p w:rsidR="00C76011" w:rsidRPr="004641CF" w:rsidRDefault="004641CF">
      <w:pPr>
        <w:spacing w:after="53"/>
        <w:ind w:left="0" w:right="0" w:firstLine="0"/>
        <w:jc w:val="left"/>
        <w:rPr>
          <w:sz w:val="16"/>
          <w:szCs w:val="16"/>
        </w:rPr>
      </w:pPr>
      <w:r w:rsidRPr="004641CF">
        <w:rPr>
          <w:sz w:val="16"/>
          <w:szCs w:val="16"/>
        </w:rPr>
        <w:t xml:space="preserve"> </w:t>
      </w:r>
    </w:p>
    <w:p w:rsidR="00C76011" w:rsidRPr="004641CF" w:rsidRDefault="004641CF">
      <w:pPr>
        <w:ind w:left="-5" w:right="194"/>
        <w:rPr>
          <w:sz w:val="16"/>
          <w:szCs w:val="16"/>
        </w:rPr>
      </w:pPr>
      <w:r w:rsidRPr="004641CF">
        <w:rPr>
          <w:sz w:val="16"/>
          <w:szCs w:val="16"/>
        </w:rPr>
        <w:t>Die Henkel Centra</w:t>
      </w:r>
      <w:r w:rsidRPr="004641CF">
        <w:rPr>
          <w:sz w:val="16"/>
          <w:szCs w:val="16"/>
        </w:rPr>
        <w:t xml:space="preserve">l Eastern Europe (CEE) mit Sitz in Wien trägt die Verantwortung für 32 Länder in </w:t>
      </w:r>
    </w:p>
    <w:p w:rsidR="00C76011" w:rsidRPr="004641CF" w:rsidRDefault="004641CF">
      <w:pPr>
        <w:ind w:left="-5" w:right="194"/>
        <w:rPr>
          <w:sz w:val="16"/>
          <w:szCs w:val="16"/>
        </w:rPr>
      </w:pPr>
      <w:r w:rsidRPr="004641CF">
        <w:rPr>
          <w:sz w:val="16"/>
          <w:szCs w:val="16"/>
        </w:rPr>
        <w:t xml:space="preserve">Mittel- und Osteuropa sowie in der Region Zentralasien-Kaukasus. Das Unternehmen hält eine führende </w:t>
      </w:r>
    </w:p>
    <w:p w:rsidR="00C76011" w:rsidRPr="004641CF" w:rsidRDefault="004641CF">
      <w:pPr>
        <w:ind w:left="-5" w:right="194"/>
        <w:rPr>
          <w:sz w:val="16"/>
          <w:szCs w:val="16"/>
        </w:rPr>
      </w:pPr>
      <w:r w:rsidRPr="004641CF">
        <w:rPr>
          <w:sz w:val="16"/>
          <w:szCs w:val="16"/>
        </w:rPr>
        <w:t xml:space="preserve">Marktposition in den Geschäftsbereichen </w:t>
      </w:r>
      <w:proofErr w:type="spellStart"/>
      <w:r w:rsidRPr="004641CF">
        <w:rPr>
          <w:sz w:val="16"/>
          <w:szCs w:val="16"/>
        </w:rPr>
        <w:t>Laundry</w:t>
      </w:r>
      <w:proofErr w:type="spellEnd"/>
      <w:r w:rsidRPr="004641CF">
        <w:rPr>
          <w:sz w:val="16"/>
          <w:szCs w:val="16"/>
        </w:rPr>
        <w:t xml:space="preserve"> &amp; Home Care, </w:t>
      </w:r>
      <w:proofErr w:type="spellStart"/>
      <w:r w:rsidRPr="004641CF">
        <w:rPr>
          <w:sz w:val="16"/>
          <w:szCs w:val="16"/>
        </w:rPr>
        <w:t>Adhesive</w:t>
      </w:r>
      <w:proofErr w:type="spellEnd"/>
      <w:r w:rsidRPr="004641CF">
        <w:rPr>
          <w:sz w:val="16"/>
          <w:szCs w:val="16"/>
        </w:rPr>
        <w:t xml:space="preserve"> Tec</w:t>
      </w:r>
      <w:r w:rsidRPr="004641CF">
        <w:rPr>
          <w:sz w:val="16"/>
          <w:szCs w:val="16"/>
        </w:rPr>
        <w:t xml:space="preserve">hnologies und Beauty Care. In Österreich gibt es Henkel-Produkte seit 131 Jahren. Am Standort Wien wird seit 1927 produziert. Zu den Top-Marken von Henkel in Österreich zählen Blue Star, </w:t>
      </w:r>
      <w:proofErr w:type="spellStart"/>
      <w:r w:rsidRPr="004641CF">
        <w:rPr>
          <w:sz w:val="16"/>
          <w:szCs w:val="16"/>
        </w:rPr>
        <w:t>Cimsec</w:t>
      </w:r>
      <w:proofErr w:type="spellEnd"/>
      <w:r w:rsidRPr="004641CF">
        <w:rPr>
          <w:sz w:val="16"/>
          <w:szCs w:val="16"/>
        </w:rPr>
        <w:t xml:space="preserve">, Fa, Loctite, </w:t>
      </w:r>
      <w:proofErr w:type="spellStart"/>
      <w:r w:rsidRPr="004641CF">
        <w:rPr>
          <w:sz w:val="16"/>
          <w:szCs w:val="16"/>
        </w:rPr>
        <w:t>Pattex</w:t>
      </w:r>
      <w:proofErr w:type="spellEnd"/>
      <w:r w:rsidRPr="004641CF">
        <w:rPr>
          <w:sz w:val="16"/>
          <w:szCs w:val="16"/>
        </w:rPr>
        <w:t xml:space="preserve">, Persil, Schwarzkopf, </w:t>
      </w:r>
      <w:proofErr w:type="spellStart"/>
      <w:r w:rsidRPr="004641CF">
        <w:rPr>
          <w:sz w:val="16"/>
          <w:szCs w:val="16"/>
        </w:rPr>
        <w:t>Somat</w:t>
      </w:r>
      <w:proofErr w:type="spellEnd"/>
      <w:r w:rsidRPr="004641CF">
        <w:rPr>
          <w:sz w:val="16"/>
          <w:szCs w:val="16"/>
        </w:rPr>
        <w:t xml:space="preserve"> und </w:t>
      </w:r>
      <w:proofErr w:type="spellStart"/>
      <w:r w:rsidRPr="004641CF">
        <w:rPr>
          <w:sz w:val="16"/>
          <w:szCs w:val="16"/>
        </w:rPr>
        <w:t>Syoss</w:t>
      </w:r>
      <w:proofErr w:type="spellEnd"/>
      <w:r w:rsidRPr="004641CF">
        <w:rPr>
          <w:sz w:val="16"/>
          <w:szCs w:val="16"/>
        </w:rPr>
        <w:t xml:space="preserve">. </w:t>
      </w:r>
    </w:p>
    <w:p w:rsidR="00C76011" w:rsidRPr="004641CF" w:rsidRDefault="004641CF">
      <w:pPr>
        <w:spacing w:after="53"/>
        <w:ind w:left="0" w:right="0" w:firstLine="0"/>
        <w:jc w:val="left"/>
        <w:rPr>
          <w:sz w:val="16"/>
          <w:szCs w:val="16"/>
        </w:rPr>
      </w:pPr>
      <w:r w:rsidRPr="004641CF">
        <w:rPr>
          <w:sz w:val="16"/>
          <w:szCs w:val="16"/>
        </w:rPr>
        <w:t xml:space="preserve"> </w:t>
      </w:r>
    </w:p>
    <w:p w:rsidR="00C76011" w:rsidRPr="004641CF" w:rsidRDefault="004641CF">
      <w:pPr>
        <w:ind w:left="-5" w:right="194"/>
        <w:rPr>
          <w:sz w:val="16"/>
          <w:szCs w:val="16"/>
        </w:rPr>
      </w:pPr>
      <w:r w:rsidRPr="004641CF">
        <w:rPr>
          <w:sz w:val="16"/>
          <w:szCs w:val="16"/>
        </w:rPr>
        <w:t>Henkel verfügt weltweit über ein ausgewogenes und diversifiziertes Portfolio. Mit starken Marken, Innovationen und Technologien hält das Unternehmen mit seinen drei Unternehmensbereichen führende Marktpositionen – sowohl im Industrie- als auch im Konsumen</w:t>
      </w:r>
      <w:r w:rsidRPr="004641CF">
        <w:rPr>
          <w:sz w:val="16"/>
          <w:szCs w:val="16"/>
        </w:rPr>
        <w:t xml:space="preserve">tengeschäft: So ist Henkel </w:t>
      </w:r>
      <w:proofErr w:type="spellStart"/>
      <w:r w:rsidRPr="004641CF">
        <w:rPr>
          <w:sz w:val="16"/>
          <w:szCs w:val="16"/>
        </w:rPr>
        <w:t>Adhesive</w:t>
      </w:r>
      <w:proofErr w:type="spellEnd"/>
      <w:r w:rsidRPr="004641CF">
        <w:rPr>
          <w:sz w:val="16"/>
          <w:szCs w:val="16"/>
        </w:rPr>
        <w:t xml:space="preserve"> Technologies globaler Marktführer im Klebstoffbereich. Auch mit den Unternehmensbereichen </w:t>
      </w:r>
      <w:proofErr w:type="spellStart"/>
      <w:r w:rsidRPr="004641CF">
        <w:rPr>
          <w:sz w:val="16"/>
          <w:szCs w:val="16"/>
        </w:rPr>
        <w:t>Laundry</w:t>
      </w:r>
      <w:proofErr w:type="spellEnd"/>
      <w:r w:rsidRPr="004641CF">
        <w:rPr>
          <w:sz w:val="16"/>
          <w:szCs w:val="16"/>
        </w:rPr>
        <w:t xml:space="preserve"> &amp; Home Care und Beauty Care ist das Unternehmen in vielen Märkten und Kategorien führend. Henkel wurde 1876 gegründet und </w:t>
      </w:r>
      <w:r w:rsidRPr="004641CF">
        <w:rPr>
          <w:sz w:val="16"/>
          <w:szCs w:val="16"/>
        </w:rPr>
        <w:t>blickt auf eine über 140-jährige Erfolgsgeschichte zurück. Im Geschäftsjahr 2017 erzielte Henkel einen Umsatz von 20 Mrd. Euro und ein bereinigtes betriebliches Ergebnis von rund 3,5 Mrd. Euro. Allein Loctite, Schwarzkopf und Persil, die jeweiligen Top-Mar</w:t>
      </w:r>
      <w:r w:rsidRPr="004641CF">
        <w:rPr>
          <w:sz w:val="16"/>
          <w:szCs w:val="16"/>
        </w:rPr>
        <w:t xml:space="preserve">ken der </w:t>
      </w:r>
      <w:r w:rsidRPr="004641CF">
        <w:rPr>
          <w:sz w:val="16"/>
          <w:szCs w:val="16"/>
        </w:rPr>
        <w:t xml:space="preserve">drei </w:t>
      </w:r>
      <w:r w:rsidRPr="004641CF">
        <w:rPr>
          <w:sz w:val="16"/>
          <w:szCs w:val="16"/>
        </w:rPr>
        <w:t xml:space="preserve">Unternehmensbereiche, </w:t>
      </w:r>
      <w:r w:rsidRPr="004641CF">
        <w:rPr>
          <w:sz w:val="16"/>
          <w:szCs w:val="16"/>
        </w:rPr>
        <w:t>erzielten</w:t>
      </w:r>
      <w:r>
        <w:rPr>
          <w:sz w:val="16"/>
          <w:szCs w:val="16"/>
        </w:rPr>
        <w:t xml:space="preserve"> </w:t>
      </w:r>
      <w:r w:rsidRPr="004641CF">
        <w:rPr>
          <w:sz w:val="16"/>
          <w:szCs w:val="16"/>
        </w:rPr>
        <w:t xml:space="preserve">dabei </w:t>
      </w:r>
      <w:r w:rsidRPr="004641CF">
        <w:rPr>
          <w:sz w:val="16"/>
          <w:szCs w:val="16"/>
        </w:rPr>
        <w:t xml:space="preserve">einen </w:t>
      </w:r>
      <w:r w:rsidRPr="004641CF">
        <w:rPr>
          <w:sz w:val="16"/>
          <w:szCs w:val="16"/>
        </w:rPr>
        <w:t xml:space="preserve">Umsatz </w:t>
      </w:r>
      <w:bookmarkStart w:id="0" w:name="_GoBack"/>
      <w:bookmarkEnd w:id="0"/>
      <w:proofErr w:type="gramStart"/>
      <w:r w:rsidRPr="004641CF">
        <w:rPr>
          <w:sz w:val="16"/>
          <w:szCs w:val="16"/>
        </w:rPr>
        <w:t xml:space="preserve">von  </w:t>
      </w:r>
      <w:r w:rsidRPr="004641CF">
        <w:rPr>
          <w:sz w:val="16"/>
          <w:szCs w:val="16"/>
        </w:rPr>
        <w:t>6</w:t>
      </w:r>
      <w:proofErr w:type="gramEnd"/>
      <w:r w:rsidRPr="004641CF">
        <w:rPr>
          <w:sz w:val="16"/>
          <w:szCs w:val="16"/>
        </w:rPr>
        <w:t>,4 Mrd. Euro. Henkel beschäftigt weltweit mehr als 53.000 Mitarbeiter, die ein vielfältiges Team bilden – verbunden durch eine starke Unternehmenskultur, einen gemeinsamen Untern</w:t>
      </w:r>
      <w:r w:rsidRPr="004641CF">
        <w:rPr>
          <w:sz w:val="16"/>
          <w:szCs w:val="16"/>
        </w:rPr>
        <w:t xml:space="preserve">ehmenszweck und gemeinsame Werte. Die führende Rolle von Henkel im Bereich Nachhaltigkeit wird durch viele </w:t>
      </w:r>
      <w:r w:rsidRPr="004641CF">
        <w:rPr>
          <w:sz w:val="16"/>
          <w:szCs w:val="16"/>
        </w:rPr>
        <w:lastRenderedPageBreak/>
        <w:t xml:space="preserve">internationale Indizes und Rankings bestätigt. Die Vorzugsaktien von Henkel sind im DAX notiert. Weitere Informationen finden Sie unter </w:t>
      </w:r>
      <w:hyperlink r:id="rId10">
        <w:r w:rsidRPr="004641CF">
          <w:rPr>
            <w:sz w:val="16"/>
            <w:szCs w:val="16"/>
          </w:rPr>
          <w:t>www.henkel.de</w:t>
        </w:r>
      </w:hyperlink>
      <w:hyperlink r:id="rId11">
        <w:r w:rsidRPr="004641CF">
          <w:rPr>
            <w:sz w:val="16"/>
            <w:szCs w:val="16"/>
          </w:rPr>
          <w:t>.</w:t>
        </w:r>
      </w:hyperlink>
      <w:r w:rsidRPr="004641CF">
        <w:rPr>
          <w:sz w:val="16"/>
          <w:szCs w:val="16"/>
        </w:rPr>
        <w:t xml:space="preserve"> </w:t>
      </w:r>
    </w:p>
    <w:p w:rsidR="00C76011" w:rsidRPr="004641CF" w:rsidRDefault="004641CF">
      <w:pPr>
        <w:spacing w:after="12"/>
        <w:ind w:left="0" w:right="0" w:firstLine="0"/>
        <w:jc w:val="left"/>
        <w:rPr>
          <w:sz w:val="16"/>
          <w:szCs w:val="16"/>
        </w:rPr>
      </w:pPr>
      <w:r w:rsidRPr="004641CF">
        <w:rPr>
          <w:b/>
          <w:sz w:val="16"/>
          <w:szCs w:val="16"/>
        </w:rPr>
        <w:t xml:space="preserve"> </w:t>
      </w:r>
    </w:p>
    <w:p w:rsidR="00C76011" w:rsidRPr="004641CF" w:rsidRDefault="004641CF">
      <w:pPr>
        <w:spacing w:after="12"/>
        <w:ind w:left="0" w:right="0" w:firstLine="0"/>
        <w:jc w:val="left"/>
        <w:rPr>
          <w:sz w:val="16"/>
          <w:szCs w:val="16"/>
        </w:rPr>
      </w:pPr>
      <w:r w:rsidRPr="004641CF">
        <w:rPr>
          <w:sz w:val="16"/>
          <w:szCs w:val="16"/>
        </w:rPr>
        <w:t xml:space="preserve"> </w:t>
      </w:r>
    </w:p>
    <w:p w:rsidR="00C76011" w:rsidRPr="004641CF" w:rsidRDefault="004641CF">
      <w:pPr>
        <w:tabs>
          <w:tab w:val="center" w:pos="2195"/>
          <w:tab w:val="center" w:pos="5177"/>
        </w:tabs>
        <w:spacing w:after="18"/>
        <w:ind w:left="-15" w:right="0" w:firstLine="0"/>
        <w:jc w:val="left"/>
        <w:rPr>
          <w:sz w:val="16"/>
          <w:szCs w:val="16"/>
        </w:rPr>
      </w:pPr>
      <w:r w:rsidRPr="004641CF">
        <w:rPr>
          <w:sz w:val="16"/>
          <w:szCs w:val="16"/>
        </w:rPr>
        <w:t xml:space="preserve">Kontakt </w:t>
      </w:r>
      <w:r w:rsidRPr="004641CF">
        <w:rPr>
          <w:sz w:val="16"/>
          <w:szCs w:val="16"/>
        </w:rPr>
        <w:tab/>
        <w:t xml:space="preserve">Mag. Michael Sgiarovello </w:t>
      </w:r>
      <w:r w:rsidRPr="004641CF">
        <w:rPr>
          <w:sz w:val="16"/>
          <w:szCs w:val="16"/>
        </w:rPr>
        <w:tab/>
      </w:r>
      <w:r>
        <w:rPr>
          <w:sz w:val="16"/>
          <w:szCs w:val="16"/>
        </w:rPr>
        <w:t xml:space="preserve">    </w:t>
      </w:r>
      <w:r w:rsidRPr="004641CF">
        <w:rPr>
          <w:sz w:val="16"/>
          <w:szCs w:val="16"/>
        </w:rPr>
        <w:t xml:space="preserve">Daniela Sykora </w:t>
      </w:r>
    </w:p>
    <w:p w:rsidR="00C76011" w:rsidRPr="004641CF" w:rsidRDefault="004641CF">
      <w:pPr>
        <w:tabs>
          <w:tab w:val="center" w:pos="2044"/>
          <w:tab w:val="center" w:pos="5465"/>
        </w:tabs>
        <w:spacing w:after="21"/>
        <w:ind w:left="-15" w:right="0" w:firstLine="0"/>
        <w:jc w:val="left"/>
        <w:rPr>
          <w:sz w:val="16"/>
          <w:szCs w:val="16"/>
        </w:rPr>
      </w:pPr>
      <w:r w:rsidRPr="004641CF">
        <w:rPr>
          <w:sz w:val="16"/>
          <w:szCs w:val="16"/>
        </w:rPr>
        <w:t xml:space="preserve">Telefon </w:t>
      </w:r>
      <w:r w:rsidRPr="004641CF">
        <w:rPr>
          <w:sz w:val="16"/>
          <w:szCs w:val="16"/>
        </w:rPr>
        <w:tab/>
        <w:t xml:space="preserve">+43 (0)1 711 04-2744 </w:t>
      </w:r>
      <w:r w:rsidRPr="004641CF">
        <w:rPr>
          <w:sz w:val="16"/>
          <w:szCs w:val="16"/>
        </w:rPr>
        <w:tab/>
        <w:t xml:space="preserve">+43 (0)1 711 04-2254 </w:t>
      </w:r>
    </w:p>
    <w:p w:rsidR="00C76011" w:rsidRPr="004641CF" w:rsidRDefault="004641CF">
      <w:pPr>
        <w:tabs>
          <w:tab w:val="center" w:pos="2044"/>
          <w:tab w:val="center" w:pos="5465"/>
        </w:tabs>
        <w:ind w:left="-15" w:right="0" w:firstLine="0"/>
        <w:jc w:val="left"/>
        <w:rPr>
          <w:sz w:val="16"/>
          <w:szCs w:val="16"/>
        </w:rPr>
      </w:pPr>
      <w:r w:rsidRPr="004641CF">
        <w:rPr>
          <w:sz w:val="16"/>
          <w:szCs w:val="16"/>
        </w:rPr>
        <w:t xml:space="preserve">Telefax </w:t>
      </w:r>
      <w:r w:rsidRPr="004641CF">
        <w:rPr>
          <w:sz w:val="16"/>
          <w:szCs w:val="16"/>
        </w:rPr>
        <w:tab/>
        <w:t xml:space="preserve">+43 (0)1 711 04-2650 </w:t>
      </w:r>
      <w:r w:rsidRPr="004641CF">
        <w:rPr>
          <w:sz w:val="16"/>
          <w:szCs w:val="16"/>
        </w:rPr>
        <w:tab/>
        <w:t xml:space="preserve">+43 (0)1 711 04-2650 </w:t>
      </w:r>
    </w:p>
    <w:p w:rsidR="00C76011" w:rsidRPr="004641CF" w:rsidRDefault="004641CF">
      <w:pPr>
        <w:tabs>
          <w:tab w:val="center" w:pos="5660"/>
        </w:tabs>
        <w:ind w:left="-15" w:right="0" w:firstLine="0"/>
        <w:jc w:val="left"/>
        <w:rPr>
          <w:sz w:val="16"/>
          <w:szCs w:val="16"/>
        </w:rPr>
      </w:pPr>
      <w:r w:rsidRPr="004641CF">
        <w:rPr>
          <w:sz w:val="16"/>
          <w:szCs w:val="16"/>
        </w:rPr>
        <w:t>E-Mail</w:t>
      </w:r>
      <w:r w:rsidRPr="004641CF">
        <w:rPr>
          <w:sz w:val="16"/>
          <w:szCs w:val="16"/>
        </w:rPr>
        <w:t xml:space="preserve">      </w:t>
      </w:r>
      <w:r>
        <w:rPr>
          <w:sz w:val="16"/>
          <w:szCs w:val="16"/>
        </w:rPr>
        <w:t xml:space="preserve">            </w:t>
      </w:r>
      <w:r w:rsidRPr="004641CF">
        <w:rPr>
          <w:sz w:val="16"/>
          <w:szCs w:val="16"/>
        </w:rPr>
        <w:t xml:space="preserve"> michael.sgiarovello@henkel.com </w:t>
      </w:r>
      <w:r w:rsidRPr="004641CF">
        <w:rPr>
          <w:sz w:val="16"/>
          <w:szCs w:val="16"/>
        </w:rPr>
        <w:tab/>
        <w:t xml:space="preserve">   daniela.sykora@henkel.com </w:t>
      </w:r>
    </w:p>
    <w:p w:rsidR="00C76011" w:rsidRPr="004641CF" w:rsidRDefault="004641CF">
      <w:pPr>
        <w:spacing w:after="9"/>
        <w:ind w:left="0" w:right="0" w:firstLine="0"/>
        <w:jc w:val="left"/>
        <w:rPr>
          <w:sz w:val="16"/>
          <w:szCs w:val="16"/>
        </w:rPr>
      </w:pPr>
      <w:r w:rsidRPr="004641CF">
        <w:rPr>
          <w:sz w:val="16"/>
          <w:szCs w:val="16"/>
        </w:rPr>
        <w:t xml:space="preserve"> </w:t>
      </w:r>
    </w:p>
    <w:p w:rsidR="00C76011" w:rsidRDefault="004641CF">
      <w:pPr>
        <w:spacing w:after="667"/>
        <w:ind w:left="0" w:right="0" w:firstLine="0"/>
        <w:jc w:val="left"/>
      </w:pPr>
      <w:r>
        <w:t xml:space="preserve"> </w:t>
      </w:r>
    </w:p>
    <w:p w:rsidR="00C76011" w:rsidRDefault="004641CF">
      <w:pPr>
        <w:spacing w:after="7"/>
        <w:ind w:left="0" w:right="0" w:firstLine="0"/>
        <w:jc w:val="left"/>
      </w:pPr>
      <w:r>
        <w:rPr>
          <w:b/>
          <w:sz w:val="14"/>
        </w:rPr>
        <w:t xml:space="preserve"> </w:t>
      </w:r>
    </w:p>
    <w:p w:rsidR="00C76011" w:rsidRDefault="004641CF">
      <w:pPr>
        <w:tabs>
          <w:tab w:val="center" w:pos="8782"/>
        </w:tabs>
        <w:spacing w:after="0"/>
        <w:ind w:left="0" w:right="0" w:firstLine="0"/>
        <w:jc w:val="left"/>
      </w:pPr>
      <w:r>
        <w:rPr>
          <w:b/>
          <w:sz w:val="14"/>
        </w:rPr>
        <w:t xml:space="preserve"> </w:t>
      </w:r>
      <w:r>
        <w:rPr>
          <w:b/>
          <w:sz w:val="14"/>
        </w:rPr>
        <w:tab/>
      </w:r>
      <w:r>
        <w:rPr>
          <w:sz w:val="14"/>
        </w:rPr>
        <w:t xml:space="preserve">Seite 2/2 </w:t>
      </w:r>
    </w:p>
    <w:sectPr w:rsidR="00C76011">
      <w:footnotePr>
        <w:numRestart w:val="eachPage"/>
      </w:footnotePr>
      <w:pgSz w:w="11906" w:h="16841"/>
      <w:pgMar w:top="891" w:right="1213" w:bottom="338" w:left="14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641CF">
      <w:pPr>
        <w:spacing w:after="0" w:line="240" w:lineRule="auto"/>
      </w:pPr>
      <w:r>
        <w:separator/>
      </w:r>
    </w:p>
  </w:endnote>
  <w:endnote w:type="continuationSeparator" w:id="0">
    <w:p w:rsidR="00000000" w:rsidRDefault="0046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011" w:rsidRDefault="004641CF">
      <w:pPr>
        <w:spacing w:after="118"/>
        <w:ind w:left="0" w:right="0" w:firstLine="0"/>
        <w:jc w:val="left"/>
      </w:pPr>
      <w:r>
        <w:separator/>
      </w:r>
    </w:p>
  </w:footnote>
  <w:footnote w:type="continuationSeparator" w:id="0">
    <w:p w:rsidR="00C76011" w:rsidRDefault="004641CF">
      <w:pPr>
        <w:spacing w:after="118"/>
        <w:ind w:left="0" w:right="0" w:firstLine="0"/>
        <w:jc w:val="left"/>
      </w:pPr>
      <w:r>
        <w:continuationSeparator/>
      </w:r>
    </w:p>
  </w:footnote>
  <w:footnote w:id="1">
    <w:p w:rsidR="00C76011" w:rsidRPr="004641CF" w:rsidRDefault="004641CF">
      <w:pPr>
        <w:pStyle w:val="footnotedescription"/>
        <w:spacing w:after="118"/>
        <w:rPr>
          <w:lang w:val="en-US"/>
        </w:rPr>
      </w:pPr>
      <w:r>
        <w:rPr>
          <w:rStyle w:val="footnotemark"/>
        </w:rPr>
        <w:footnoteRef/>
      </w:r>
      <w:r w:rsidRPr="004641CF">
        <w:rPr>
          <w:lang w:val="en-US"/>
        </w:rPr>
        <w:t xml:space="preserve"> Quelle: BEAUTYSTREAIIIS – Inside inspiration intelligence – Forecast SS 2018. </w:t>
      </w:r>
    </w:p>
  </w:footnote>
  <w:footnote w:id="2">
    <w:p w:rsidR="00C76011" w:rsidRDefault="004641CF">
      <w:pPr>
        <w:pStyle w:val="footnotedescription"/>
      </w:pPr>
      <w:r>
        <w:rPr>
          <w:rStyle w:val="footnotemark"/>
        </w:rPr>
        <w:footnoteRef/>
      </w:r>
      <w:r>
        <w:t xml:space="preserve"> </w:t>
      </w:r>
      <w:r>
        <w:t>im Vergleich zu unbehandeltem Haar</w:t>
      </w:r>
      <w:r>
        <w:rPr>
          <w:sz w:val="24"/>
        </w:rPr>
        <w:t xml:space="preserve">. </w:t>
      </w:r>
    </w:p>
    <w:p w:rsidR="00C76011" w:rsidRDefault="004641CF">
      <w:pPr>
        <w:pStyle w:val="footnotedescription"/>
        <w:spacing w:after="801"/>
      </w:pPr>
      <w:r>
        <w:rPr>
          <w:sz w:val="24"/>
        </w:rPr>
        <w:t xml:space="preserve"> </w:t>
      </w:r>
    </w:p>
    <w:p w:rsidR="00C76011" w:rsidRDefault="004641CF">
      <w:pPr>
        <w:pStyle w:val="footnotedescription"/>
        <w:spacing w:after="0"/>
        <w:ind w:right="203"/>
        <w:jc w:val="right"/>
      </w:pPr>
      <w:r>
        <w:rPr>
          <w:sz w:val="14"/>
        </w:rPr>
        <w:t>Seite 1/2</w:t>
      </w:r>
      <w:r>
        <w:rPr>
          <w:b/>
          <w:sz w:val="14"/>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011"/>
    <w:rsid w:val="004641CF"/>
    <w:rsid w:val="00C760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56F85"/>
  <w15:docId w15:val="{5EAC1D6A-B849-420E-B1EC-0874418D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49"/>
      <w:ind w:left="10" w:right="209" w:hanging="10"/>
      <w:jc w:val="both"/>
    </w:pPr>
    <w:rPr>
      <w:rFonts w:ascii="Arial" w:eastAsia="Arial" w:hAnsi="Arial" w:cs="Arial"/>
      <w:color w:val="00000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10"/>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6"/>
      <w:vertAlign w:val="superscript"/>
    </w:rPr>
  </w:style>
  <w:style w:type="paragraph" w:styleId="Sprechblasentext">
    <w:name w:val="Balloon Text"/>
    <w:basedOn w:val="Standard"/>
    <w:link w:val="SprechblasentextZchn"/>
    <w:uiPriority w:val="99"/>
    <w:semiHidden/>
    <w:unhideWhenUsed/>
    <w:rsid w:val="004641C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41CF"/>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enkel.de/" TargetMode="External"/><Relationship Id="rId5" Type="http://schemas.openxmlformats.org/officeDocument/2006/relationships/endnotes" Target="endnotes.xml"/><Relationship Id="rId10" Type="http://schemas.openxmlformats.org/officeDocument/2006/relationships/hyperlink" Target="http://www.henkel.de/" TargetMode="External"/><Relationship Id="rId4" Type="http://schemas.openxmlformats.org/officeDocument/2006/relationships/footnotes" Target="footnotes.xml"/><Relationship Id="rId9" Type="http://schemas.openxmlformats.org/officeDocument/2006/relationships/hyperlink" Target="http://news.henkel.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cp:lastModifiedBy>Daniela Sykora (ext)</cp:lastModifiedBy>
  <cp:revision>2</cp:revision>
  <cp:lastPrinted>2018-04-20T09:05:00Z</cp:lastPrinted>
  <dcterms:created xsi:type="dcterms:W3CDTF">2018-04-20T09:06:00Z</dcterms:created>
  <dcterms:modified xsi:type="dcterms:W3CDTF">2018-04-20T09:06:00Z</dcterms:modified>
</cp:coreProperties>
</file>