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41B2A" w:rsidRPr="00DE7267" w:rsidRDefault="003310A3" w:rsidP="00C41B2A">
      <w:pPr>
        <w:pStyle w:val="Standard12pt"/>
        <w:jc w:val="right"/>
      </w:pPr>
      <w:bookmarkStart w:id="0" w:name="_GoBack"/>
      <w:bookmarkEnd w:id="0"/>
      <w:r>
        <w:t xml:space="preserve">09 </w:t>
      </w:r>
      <w:r w:rsidR="00D32DB8">
        <w:t>mai</w:t>
      </w:r>
      <w:r w:rsidR="00C41B2A" w:rsidRPr="00DE7267">
        <w:t xml:space="preserve"> 201</w:t>
      </w:r>
      <w:r w:rsidR="002F4146" w:rsidRPr="00DE7267">
        <w:t>8</w:t>
      </w:r>
    </w:p>
    <w:p w:rsidR="00D32DB8" w:rsidRDefault="00D32DB8" w:rsidP="00487ACA">
      <w:pPr>
        <w:spacing w:after="160" w:line="259" w:lineRule="auto"/>
        <w:rPr>
          <w:b/>
          <w:sz w:val="22"/>
          <w:u w:val="single"/>
        </w:rPr>
      </w:pPr>
    </w:p>
    <w:p w:rsidR="00D32DB8" w:rsidRPr="00435097" w:rsidRDefault="00C10277" w:rsidP="00C0734F">
      <w:pPr>
        <w:autoSpaceDE w:val="0"/>
        <w:autoSpaceDN w:val="0"/>
        <w:adjustRightInd w:val="0"/>
        <w:spacing w:line="360" w:lineRule="auto"/>
        <w:jc w:val="both"/>
        <w:rPr>
          <w:sz w:val="24"/>
        </w:rPr>
      </w:pPr>
      <w:r>
        <w:rPr>
          <w:sz w:val="24"/>
        </w:rPr>
        <w:t xml:space="preserve">Résultats du premier trimestre 2018 : </w:t>
      </w:r>
      <w:r w:rsidR="00D32DB8">
        <w:rPr>
          <w:sz w:val="24"/>
        </w:rPr>
        <w:t xml:space="preserve">évolution positive malgré des difficultés de livraison </w:t>
      </w:r>
      <w:r>
        <w:rPr>
          <w:sz w:val="24"/>
        </w:rPr>
        <w:t xml:space="preserve">en Amérique du Nord </w:t>
      </w:r>
      <w:r w:rsidR="00D32DB8">
        <w:rPr>
          <w:sz w:val="24"/>
        </w:rPr>
        <w:t>dans le</w:t>
      </w:r>
      <w:r w:rsidR="00E328BA">
        <w:rPr>
          <w:sz w:val="24"/>
        </w:rPr>
        <w:t>s</w:t>
      </w:r>
      <w:r w:rsidR="00D32DB8">
        <w:rPr>
          <w:sz w:val="24"/>
        </w:rPr>
        <w:t xml:space="preserve"> secteur</w:t>
      </w:r>
      <w:r w:rsidR="00E328BA">
        <w:rPr>
          <w:sz w:val="24"/>
        </w:rPr>
        <w:t>s</w:t>
      </w:r>
      <w:r w:rsidR="00D32DB8">
        <w:rPr>
          <w:sz w:val="24"/>
        </w:rPr>
        <w:t xml:space="preserve"> de</w:t>
      </w:r>
      <w:r>
        <w:rPr>
          <w:sz w:val="24"/>
        </w:rPr>
        <w:t xml:space="preserve">s biens de grande </w:t>
      </w:r>
      <w:r w:rsidR="00D32DB8">
        <w:rPr>
          <w:sz w:val="24"/>
        </w:rPr>
        <w:t>consommation</w:t>
      </w:r>
      <w:r>
        <w:rPr>
          <w:sz w:val="24"/>
        </w:rPr>
        <w:t xml:space="preserve">. </w:t>
      </w:r>
      <w:r w:rsidR="003F647B">
        <w:rPr>
          <w:sz w:val="24"/>
        </w:rPr>
        <w:t xml:space="preserve">   </w:t>
      </w:r>
      <w:r>
        <w:rPr>
          <w:sz w:val="24"/>
        </w:rPr>
        <w:t>D</w:t>
      </w:r>
      <w:r w:rsidR="00D32DB8">
        <w:rPr>
          <w:sz w:val="24"/>
        </w:rPr>
        <w:t>es effets de change défavorables</w:t>
      </w:r>
      <w:r w:rsidR="005A06F1">
        <w:rPr>
          <w:sz w:val="24"/>
        </w:rPr>
        <w:t xml:space="preserve"> </w:t>
      </w:r>
      <w:r w:rsidR="00D32DB8">
        <w:rPr>
          <w:sz w:val="24"/>
        </w:rPr>
        <w:t>affectent le trimestre</w:t>
      </w:r>
      <w:r>
        <w:rPr>
          <w:sz w:val="24"/>
        </w:rPr>
        <w:t>.</w:t>
      </w:r>
    </w:p>
    <w:p w:rsidR="00D32DB8" w:rsidRPr="00D32DB8" w:rsidRDefault="00D32DB8" w:rsidP="00D32DB8">
      <w:pPr>
        <w:autoSpaceDE w:val="0"/>
        <w:autoSpaceDN w:val="0"/>
        <w:adjustRightInd w:val="0"/>
        <w:spacing w:line="240" w:lineRule="auto"/>
        <w:jc w:val="both"/>
        <w:rPr>
          <w:sz w:val="24"/>
        </w:rPr>
      </w:pPr>
    </w:p>
    <w:p w:rsidR="00D32DB8" w:rsidRPr="00D32DB8" w:rsidRDefault="00D32DB8" w:rsidP="00D32DB8">
      <w:pPr>
        <w:pStyle w:val="Titre1"/>
        <w:rPr>
          <w:sz w:val="34"/>
          <w:szCs w:val="34"/>
        </w:rPr>
      </w:pPr>
      <w:r w:rsidRPr="00D32DB8">
        <w:rPr>
          <w:sz w:val="34"/>
          <w:szCs w:val="34"/>
        </w:rPr>
        <w:t>Henkel</w:t>
      </w:r>
      <w:r w:rsidR="005A06F1">
        <w:rPr>
          <w:sz w:val="34"/>
          <w:szCs w:val="34"/>
        </w:rPr>
        <w:t xml:space="preserve"> </w:t>
      </w:r>
      <w:proofErr w:type="spellStart"/>
      <w:r w:rsidRPr="00D32DB8">
        <w:rPr>
          <w:sz w:val="34"/>
          <w:szCs w:val="34"/>
        </w:rPr>
        <w:t>enregistre</w:t>
      </w:r>
      <w:proofErr w:type="spellEnd"/>
      <w:r w:rsidRPr="00D32DB8">
        <w:rPr>
          <w:sz w:val="34"/>
          <w:szCs w:val="34"/>
        </w:rPr>
        <w:t xml:space="preserve"> </w:t>
      </w:r>
      <w:proofErr w:type="spellStart"/>
      <w:r w:rsidRPr="00D32DB8">
        <w:rPr>
          <w:sz w:val="34"/>
          <w:szCs w:val="34"/>
        </w:rPr>
        <w:t>une</w:t>
      </w:r>
      <w:proofErr w:type="spellEnd"/>
      <w:r w:rsidRPr="00D32DB8">
        <w:rPr>
          <w:sz w:val="34"/>
          <w:szCs w:val="34"/>
        </w:rPr>
        <w:t xml:space="preserve"> </w:t>
      </w:r>
      <w:proofErr w:type="spellStart"/>
      <w:r w:rsidRPr="00D32DB8">
        <w:rPr>
          <w:sz w:val="34"/>
          <w:szCs w:val="34"/>
        </w:rPr>
        <w:t>croissance</w:t>
      </w:r>
      <w:proofErr w:type="spellEnd"/>
      <w:r w:rsidRPr="00D32DB8">
        <w:rPr>
          <w:sz w:val="34"/>
          <w:szCs w:val="34"/>
        </w:rPr>
        <w:t xml:space="preserve"> </w:t>
      </w:r>
      <w:proofErr w:type="spellStart"/>
      <w:r w:rsidRPr="00D32DB8">
        <w:rPr>
          <w:sz w:val="34"/>
          <w:szCs w:val="34"/>
        </w:rPr>
        <w:t>organique</w:t>
      </w:r>
      <w:proofErr w:type="spellEnd"/>
      <w:r w:rsidRPr="00D32DB8">
        <w:rPr>
          <w:sz w:val="34"/>
          <w:szCs w:val="34"/>
        </w:rPr>
        <w:t xml:space="preserve"> des </w:t>
      </w:r>
      <w:proofErr w:type="spellStart"/>
      <w:r w:rsidRPr="00D32DB8">
        <w:rPr>
          <w:sz w:val="34"/>
          <w:szCs w:val="34"/>
        </w:rPr>
        <w:t>ventes</w:t>
      </w:r>
      <w:proofErr w:type="spellEnd"/>
      <w:r w:rsidRPr="00D32DB8">
        <w:rPr>
          <w:sz w:val="34"/>
          <w:szCs w:val="34"/>
        </w:rPr>
        <w:t xml:space="preserve"> positive et </w:t>
      </w:r>
      <w:proofErr w:type="spellStart"/>
      <w:r w:rsidR="00C10277">
        <w:rPr>
          <w:sz w:val="34"/>
          <w:szCs w:val="34"/>
        </w:rPr>
        <w:t>améliore</w:t>
      </w:r>
      <w:proofErr w:type="spellEnd"/>
      <w:r w:rsidR="00C10277">
        <w:rPr>
          <w:sz w:val="34"/>
          <w:szCs w:val="34"/>
        </w:rPr>
        <w:t xml:space="preserve"> </w:t>
      </w:r>
      <w:proofErr w:type="spellStart"/>
      <w:r w:rsidR="00C10277">
        <w:rPr>
          <w:sz w:val="34"/>
          <w:szCs w:val="34"/>
        </w:rPr>
        <w:t>sa</w:t>
      </w:r>
      <w:proofErr w:type="spellEnd"/>
      <w:r w:rsidR="00C10277">
        <w:rPr>
          <w:sz w:val="34"/>
          <w:szCs w:val="34"/>
        </w:rPr>
        <w:t xml:space="preserve"> </w:t>
      </w:r>
      <w:proofErr w:type="spellStart"/>
      <w:r w:rsidR="00C10277">
        <w:rPr>
          <w:sz w:val="34"/>
          <w:szCs w:val="34"/>
        </w:rPr>
        <w:t>marge</w:t>
      </w:r>
      <w:proofErr w:type="spellEnd"/>
      <w:r w:rsidRPr="00D32DB8">
        <w:rPr>
          <w:sz w:val="34"/>
          <w:szCs w:val="34"/>
        </w:rPr>
        <w:t xml:space="preserve"> et </w:t>
      </w:r>
      <w:proofErr w:type="spellStart"/>
      <w:r w:rsidRPr="00D32DB8">
        <w:rPr>
          <w:sz w:val="34"/>
          <w:szCs w:val="34"/>
        </w:rPr>
        <w:t>son</w:t>
      </w:r>
      <w:proofErr w:type="spellEnd"/>
      <w:r w:rsidRPr="00D32DB8">
        <w:rPr>
          <w:sz w:val="34"/>
          <w:szCs w:val="34"/>
        </w:rPr>
        <w:t xml:space="preserve"> EPS</w:t>
      </w:r>
    </w:p>
    <w:p w:rsidR="00D32DB8" w:rsidRPr="00D32DB8" w:rsidRDefault="00D32DB8" w:rsidP="00D32DB8"/>
    <w:p w:rsidR="00D32DB8" w:rsidRPr="00E81313" w:rsidRDefault="00D32DB8" w:rsidP="00D32DB8">
      <w:pPr>
        <w:numPr>
          <w:ilvl w:val="0"/>
          <w:numId w:val="1"/>
        </w:numPr>
        <w:autoSpaceDE w:val="0"/>
        <w:autoSpaceDN w:val="0"/>
        <w:adjustRightInd w:val="0"/>
        <w:spacing w:line="360" w:lineRule="auto"/>
        <w:rPr>
          <w:b/>
          <w:sz w:val="24"/>
        </w:rPr>
      </w:pPr>
      <w:bookmarkStart w:id="1" w:name="_Hlk513195024"/>
      <w:r>
        <w:rPr>
          <w:b/>
          <w:sz w:val="24"/>
        </w:rPr>
        <w:t>Des ventes de 4 835 millions d'</w:t>
      </w:r>
      <w:r w:rsidR="00C10277">
        <w:rPr>
          <w:b/>
          <w:sz w:val="24"/>
        </w:rPr>
        <w:t>EUR</w:t>
      </w:r>
      <w:r>
        <w:rPr>
          <w:b/>
          <w:sz w:val="24"/>
        </w:rPr>
        <w:t> : croissance organique de +1,1 %,</w:t>
      </w:r>
      <w:r w:rsidR="00C0734F">
        <w:rPr>
          <w:b/>
          <w:sz w:val="24"/>
        </w:rPr>
        <w:t xml:space="preserve"> </w:t>
      </w:r>
      <w:r>
        <w:rPr>
          <w:b/>
          <w:sz w:val="24"/>
        </w:rPr>
        <w:t xml:space="preserve">valeur nominale </w:t>
      </w:r>
      <w:r w:rsidR="00C10277">
        <w:rPr>
          <w:b/>
          <w:sz w:val="24"/>
        </w:rPr>
        <w:t>à</w:t>
      </w:r>
      <w:r>
        <w:rPr>
          <w:b/>
          <w:sz w:val="24"/>
        </w:rPr>
        <w:t xml:space="preserve"> -4,5 % en raison d'effets de change </w:t>
      </w:r>
      <w:r w:rsidR="00E7279F">
        <w:rPr>
          <w:b/>
          <w:sz w:val="24"/>
        </w:rPr>
        <w:t>négatifs</w:t>
      </w:r>
      <w:r>
        <w:rPr>
          <w:b/>
          <w:sz w:val="24"/>
        </w:rPr>
        <w:t xml:space="preserve"> de 8,6 %</w:t>
      </w:r>
      <w:r w:rsidR="003F647B">
        <w:rPr>
          <w:b/>
          <w:sz w:val="24"/>
        </w:rPr>
        <w:t xml:space="preserve"> </w:t>
      </w:r>
      <w:r w:rsidR="00C10277">
        <w:rPr>
          <w:b/>
          <w:sz w:val="24"/>
        </w:rPr>
        <w:t>;</w:t>
      </w:r>
    </w:p>
    <w:p w:rsidR="00D32DB8" w:rsidRPr="00435097" w:rsidRDefault="00D32DB8" w:rsidP="003F647B">
      <w:pPr>
        <w:numPr>
          <w:ilvl w:val="0"/>
          <w:numId w:val="1"/>
        </w:numPr>
        <w:tabs>
          <w:tab w:val="num" w:pos="284"/>
        </w:tabs>
        <w:autoSpaceDE w:val="0"/>
        <w:autoSpaceDN w:val="0"/>
        <w:adjustRightInd w:val="0"/>
        <w:spacing w:line="360" w:lineRule="auto"/>
        <w:ind w:right="-284"/>
        <w:jc w:val="both"/>
        <w:rPr>
          <w:b/>
          <w:sz w:val="24"/>
        </w:rPr>
      </w:pPr>
      <w:r>
        <w:rPr>
          <w:b/>
          <w:sz w:val="24"/>
        </w:rPr>
        <w:t>Poursuite de l'amélioration de la marge EBIT* : +50 points de base à 17,4 %</w:t>
      </w:r>
      <w:r w:rsidR="003F647B">
        <w:rPr>
          <w:b/>
          <w:sz w:val="24"/>
        </w:rPr>
        <w:t xml:space="preserve"> </w:t>
      </w:r>
      <w:r w:rsidR="00C10277">
        <w:rPr>
          <w:b/>
          <w:sz w:val="24"/>
        </w:rPr>
        <w:t>;</w:t>
      </w:r>
    </w:p>
    <w:p w:rsidR="00D32DB8" w:rsidRDefault="00D32DB8" w:rsidP="00D32DB8">
      <w:pPr>
        <w:numPr>
          <w:ilvl w:val="0"/>
          <w:numId w:val="1"/>
        </w:numPr>
        <w:autoSpaceDE w:val="0"/>
        <w:autoSpaceDN w:val="0"/>
        <w:adjustRightInd w:val="0"/>
        <w:spacing w:line="360" w:lineRule="auto"/>
        <w:jc w:val="both"/>
        <w:rPr>
          <w:b/>
          <w:sz w:val="24"/>
        </w:rPr>
      </w:pPr>
      <w:r>
        <w:rPr>
          <w:b/>
          <w:sz w:val="24"/>
        </w:rPr>
        <w:t>Croissance du résultat par action préférentielle* : +1,4 % à 1,43 </w:t>
      </w:r>
      <w:r w:rsidR="00C10277">
        <w:rPr>
          <w:b/>
          <w:sz w:val="24"/>
        </w:rPr>
        <w:t>EUR</w:t>
      </w:r>
    </w:p>
    <w:p w:rsidR="00D32DB8" w:rsidRDefault="003F647B" w:rsidP="00D32DB8">
      <w:pPr>
        <w:autoSpaceDE w:val="0"/>
        <w:autoSpaceDN w:val="0"/>
        <w:adjustRightInd w:val="0"/>
        <w:spacing w:line="360" w:lineRule="auto"/>
        <w:ind w:left="720"/>
        <w:jc w:val="both"/>
        <w:rPr>
          <w:b/>
          <w:sz w:val="24"/>
        </w:rPr>
      </w:pPr>
      <w:proofErr w:type="gramStart"/>
      <w:r>
        <w:rPr>
          <w:b/>
          <w:sz w:val="24"/>
        </w:rPr>
        <w:t>i</w:t>
      </w:r>
      <w:r w:rsidR="00C10277">
        <w:rPr>
          <w:b/>
          <w:sz w:val="24"/>
        </w:rPr>
        <w:t>mpactée</w:t>
      </w:r>
      <w:proofErr w:type="gramEnd"/>
      <w:r w:rsidR="00C10277">
        <w:rPr>
          <w:b/>
          <w:sz w:val="24"/>
        </w:rPr>
        <w:t xml:space="preserve"> par des </w:t>
      </w:r>
      <w:r w:rsidR="00D32DB8">
        <w:rPr>
          <w:b/>
          <w:sz w:val="24"/>
        </w:rPr>
        <w:t xml:space="preserve">effets de change </w:t>
      </w:r>
      <w:r w:rsidR="00C10277">
        <w:rPr>
          <w:b/>
          <w:sz w:val="24"/>
        </w:rPr>
        <w:t>négatifs</w:t>
      </w:r>
      <w:r w:rsidR="00D32DB8">
        <w:rPr>
          <w:b/>
          <w:sz w:val="24"/>
        </w:rPr>
        <w:t xml:space="preserve"> de 6,4 %</w:t>
      </w:r>
      <w:r>
        <w:rPr>
          <w:b/>
          <w:sz w:val="24"/>
        </w:rPr>
        <w:t xml:space="preserve"> </w:t>
      </w:r>
      <w:r w:rsidR="00C10277">
        <w:rPr>
          <w:b/>
          <w:sz w:val="24"/>
        </w:rPr>
        <w:t>;</w:t>
      </w:r>
    </w:p>
    <w:p w:rsidR="00D32DB8" w:rsidRPr="00C10277" w:rsidRDefault="00C10277" w:rsidP="00C10277">
      <w:pPr>
        <w:numPr>
          <w:ilvl w:val="0"/>
          <w:numId w:val="1"/>
        </w:numPr>
        <w:autoSpaceDE w:val="0"/>
        <w:autoSpaceDN w:val="0"/>
        <w:adjustRightInd w:val="0"/>
        <w:spacing w:line="360" w:lineRule="auto"/>
        <w:jc w:val="both"/>
        <w:rPr>
          <w:b/>
          <w:sz w:val="24"/>
        </w:rPr>
      </w:pPr>
      <w:r>
        <w:rPr>
          <w:b/>
          <w:sz w:val="24"/>
        </w:rPr>
        <w:t>Livraisons en Amérique du Nord : e</w:t>
      </w:r>
      <w:r w:rsidR="00D32DB8">
        <w:rPr>
          <w:b/>
          <w:sz w:val="24"/>
        </w:rPr>
        <w:t xml:space="preserve">n bonne voie pour </w:t>
      </w:r>
      <w:r>
        <w:rPr>
          <w:b/>
          <w:sz w:val="24"/>
        </w:rPr>
        <w:t>un retour</w:t>
      </w:r>
      <w:r w:rsidR="00D32DB8">
        <w:rPr>
          <w:b/>
          <w:sz w:val="24"/>
        </w:rPr>
        <w:t xml:space="preserve"> à des niveaux de service normaux </w:t>
      </w:r>
      <w:r w:rsidR="00D32DB8" w:rsidRPr="00C10277">
        <w:rPr>
          <w:b/>
          <w:sz w:val="24"/>
        </w:rPr>
        <w:t>au cours du deuxième trimestre</w:t>
      </w:r>
      <w:r w:rsidR="003F647B">
        <w:rPr>
          <w:b/>
          <w:sz w:val="24"/>
        </w:rPr>
        <w:t xml:space="preserve"> </w:t>
      </w:r>
      <w:r>
        <w:rPr>
          <w:b/>
          <w:sz w:val="24"/>
        </w:rPr>
        <w:t>;</w:t>
      </w:r>
      <w:r w:rsidR="00D32DB8" w:rsidRPr="00C10277">
        <w:rPr>
          <w:b/>
          <w:sz w:val="24"/>
        </w:rPr>
        <w:t xml:space="preserve"> </w:t>
      </w:r>
    </w:p>
    <w:p w:rsidR="00D32DB8" w:rsidRDefault="00D32DB8" w:rsidP="00D32DB8">
      <w:pPr>
        <w:numPr>
          <w:ilvl w:val="0"/>
          <w:numId w:val="1"/>
        </w:numPr>
        <w:autoSpaceDE w:val="0"/>
        <w:autoSpaceDN w:val="0"/>
        <w:adjustRightInd w:val="0"/>
        <w:spacing w:line="360" w:lineRule="auto"/>
        <w:jc w:val="both"/>
        <w:rPr>
          <w:b/>
          <w:sz w:val="24"/>
        </w:rPr>
      </w:pPr>
      <w:r>
        <w:rPr>
          <w:b/>
          <w:sz w:val="24"/>
        </w:rPr>
        <w:t>Confirmation des perspectives pour l'exercice 2018</w:t>
      </w:r>
      <w:r w:rsidR="00C10277">
        <w:rPr>
          <w:b/>
          <w:sz w:val="24"/>
        </w:rPr>
        <w:t>.</w:t>
      </w:r>
      <w:bookmarkEnd w:id="1"/>
    </w:p>
    <w:p w:rsidR="00B948E4" w:rsidRPr="00B948E4" w:rsidRDefault="00B948E4" w:rsidP="00B948E4">
      <w:pPr>
        <w:autoSpaceDE w:val="0"/>
        <w:autoSpaceDN w:val="0"/>
        <w:adjustRightInd w:val="0"/>
        <w:spacing w:line="360" w:lineRule="auto"/>
        <w:ind w:left="720"/>
        <w:jc w:val="both"/>
        <w:rPr>
          <w:b/>
          <w:sz w:val="24"/>
        </w:rPr>
      </w:pPr>
    </w:p>
    <w:p w:rsidR="00D32DB8" w:rsidRDefault="00E328BA" w:rsidP="00D32DB8">
      <w:pPr>
        <w:autoSpaceDE w:val="0"/>
        <w:autoSpaceDN w:val="0"/>
        <w:adjustRightInd w:val="0"/>
        <w:spacing w:line="360" w:lineRule="auto"/>
        <w:jc w:val="both"/>
        <w:rPr>
          <w:b/>
          <w:sz w:val="24"/>
        </w:rPr>
      </w:pPr>
      <w:r>
        <w:rPr>
          <w:noProof/>
        </w:rPr>
        <mc:AlternateContent>
          <mc:Choice Requires="wps">
            <w:drawing>
              <wp:anchor distT="45720" distB="45720" distL="114300" distR="114300" simplePos="0" relativeHeight="251659264" behindDoc="0" locked="0" layoutInCell="1" allowOverlap="1" wp14:anchorId="301B92E6" wp14:editId="2CDF3D80">
                <wp:simplePos x="0" y="0"/>
                <wp:positionH relativeFrom="margin">
                  <wp:align>center</wp:align>
                </wp:positionH>
                <wp:positionV relativeFrom="paragraph">
                  <wp:posOffset>3006090</wp:posOffset>
                </wp:positionV>
                <wp:extent cx="5712460" cy="243840"/>
                <wp:effectExtent l="0" t="0" r="2540" b="3810"/>
                <wp:wrapNone/>
                <wp:docPr id="14" name="Zone de texte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2460" cy="2438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32DB8" w:rsidRPr="00D746F6" w:rsidRDefault="00D32DB8" w:rsidP="00D32DB8">
                            <w:pPr>
                              <w:spacing w:line="276" w:lineRule="auto"/>
                              <w:jc w:val="both"/>
                              <w:rPr>
                                <w:sz w:val="16"/>
                                <w:szCs w:val="16"/>
                              </w:rPr>
                            </w:pPr>
                            <w:r>
                              <w:rPr>
                                <w:sz w:val="16"/>
                                <w:szCs w:val="16"/>
                              </w:rPr>
                              <w:t>* Après ajustement des produits et des dépenses exceptionnels ainsi que des dépenses pour restructuration.</w:t>
                            </w:r>
                          </w:p>
                        </w:txbxContent>
                      </wps:txbx>
                      <wps:bodyPr rot="0" vert="horz" wrap="square" lIns="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301B92E6" id="_x0000_t202" coordsize="21600,21600" o:spt="202" path="m,l,21600r21600,l21600,xe">
                <v:stroke joinstyle="miter"/>
                <v:path gradientshapeok="t" o:connecttype="rect"/>
              </v:shapetype>
              <v:shape id="Zone de texte 14" o:spid="_x0000_s1026" type="#_x0000_t202" style="position:absolute;left:0;text-align:left;margin-left:0;margin-top:236.7pt;width:449.8pt;height:19.2pt;z-index:251659264;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" stroked="f">
                <v:textbox inset="0">
                  <w:txbxContent>
                    <w:p w:rsidR="00D32DB8" w:rsidRPr="00D746F6" w:rsidRDefault="00D32DB8" w:rsidP="00D32DB8">
                      <w:pPr>
                        <w:spacing w:line="276" w:lineRule="auto"/>
                        <w:jc w:val="both"/>
                        <w:rPr>
                          <w:sz w:val="16"/>
                          <w:szCs w:val="16"/>
                        </w:rPr>
                      </w:pPr>
                      <w:r>
                        <w:rPr>
                          <w:sz w:val="16"/>
                          <w:szCs w:val="16"/>
                        </w:rPr>
                        <w:t>* Après ajustement des produits et des dépenses exceptionnels ainsi que des dépenses pour restructuration.</w:t>
                      </w:r>
                    </w:p>
                  </w:txbxContent>
                </v:textbox>
                <w10:wrap anchorx="margin"/>
              </v:shape>
            </w:pict>
          </mc:Fallback>
        </mc:AlternateContent>
      </w:r>
      <w:r w:rsidR="00D32DB8">
        <w:rPr>
          <w:b/>
          <w:sz w:val="24"/>
        </w:rPr>
        <w:t xml:space="preserve">Düsseldorf – « Henkel a enregistré une évolution positive au cours du premier trimestre malgré des difficultés de livraison </w:t>
      </w:r>
      <w:r w:rsidR="007C4DC4">
        <w:rPr>
          <w:b/>
          <w:sz w:val="24"/>
        </w:rPr>
        <w:t>dans</w:t>
      </w:r>
      <w:r w:rsidR="00D32DB8">
        <w:rPr>
          <w:b/>
          <w:sz w:val="24"/>
        </w:rPr>
        <w:t xml:space="preserve"> le</w:t>
      </w:r>
      <w:r>
        <w:rPr>
          <w:b/>
          <w:sz w:val="24"/>
        </w:rPr>
        <w:t>s</w:t>
      </w:r>
      <w:r w:rsidR="00D32DB8">
        <w:rPr>
          <w:b/>
          <w:sz w:val="24"/>
        </w:rPr>
        <w:t xml:space="preserve"> secteur</w:t>
      </w:r>
      <w:r>
        <w:rPr>
          <w:b/>
          <w:sz w:val="24"/>
        </w:rPr>
        <w:t>s</w:t>
      </w:r>
      <w:r w:rsidR="00D32DB8">
        <w:rPr>
          <w:b/>
          <w:sz w:val="24"/>
        </w:rPr>
        <w:t xml:space="preserve"> de</w:t>
      </w:r>
      <w:r w:rsidR="007C4DC4">
        <w:rPr>
          <w:b/>
          <w:sz w:val="24"/>
        </w:rPr>
        <w:t>s biens de grande</w:t>
      </w:r>
      <w:r w:rsidR="00D32DB8">
        <w:rPr>
          <w:b/>
          <w:sz w:val="24"/>
        </w:rPr>
        <w:t xml:space="preserve"> consommation en Amérique du Nord. La croissance organique des ventes a augmenté, tout comme la marge EBIT ajustée. Nous avons amélioré notre résultat par action préférentielle après ajustement malgré des effets de change très défavorables. Ces performances nous permettent de confirmer nos perspectives pour l'exercice 2018. Nous nous engageons à poursuivre notre croissance rentable », a </w:t>
      </w:r>
      <w:r w:rsidR="007C4DC4">
        <w:rPr>
          <w:b/>
          <w:sz w:val="24"/>
        </w:rPr>
        <w:t>indiqué</w:t>
      </w:r>
      <w:r w:rsidR="00D32DB8">
        <w:rPr>
          <w:b/>
          <w:sz w:val="24"/>
        </w:rPr>
        <w:t xml:space="preserve"> Hans Van </w:t>
      </w:r>
      <w:proofErr w:type="spellStart"/>
      <w:r w:rsidR="00D32DB8">
        <w:rPr>
          <w:b/>
          <w:sz w:val="24"/>
        </w:rPr>
        <w:t>Bylen</w:t>
      </w:r>
      <w:proofErr w:type="spellEnd"/>
      <w:r w:rsidR="00D32DB8">
        <w:rPr>
          <w:b/>
          <w:sz w:val="24"/>
        </w:rPr>
        <w:t>, Président du Comité de Direction de Henkel.</w:t>
      </w:r>
    </w:p>
    <w:p w:rsidR="00D32DB8" w:rsidRDefault="00D32DB8" w:rsidP="00D32DB8">
      <w:pPr>
        <w:autoSpaceDE w:val="0"/>
        <w:autoSpaceDN w:val="0"/>
        <w:adjustRightInd w:val="0"/>
        <w:spacing w:line="360" w:lineRule="auto"/>
        <w:jc w:val="both"/>
        <w:rPr>
          <w:b/>
          <w:sz w:val="24"/>
        </w:rPr>
      </w:pPr>
      <w:r>
        <w:br w:type="page"/>
      </w:r>
      <w:r>
        <w:rPr>
          <w:b/>
          <w:sz w:val="24"/>
        </w:rPr>
        <w:lastRenderedPageBreak/>
        <w:t xml:space="preserve">« Au cours du premier trimestre, nous avons été confrontés à des effets de change exceptionnellement défavorables qui ont affecté notre chiffre d'affaires à hauteur de 8,6 %, soit 440 millions </w:t>
      </w:r>
      <w:r w:rsidR="002B5568">
        <w:rPr>
          <w:b/>
          <w:sz w:val="24"/>
        </w:rPr>
        <w:t>d’EUR</w:t>
      </w:r>
      <w:r>
        <w:rPr>
          <w:b/>
          <w:sz w:val="24"/>
        </w:rPr>
        <w:t xml:space="preserve"> environ. Notre résultat d'exploitation et notre résultat par action ont également </w:t>
      </w:r>
      <w:r w:rsidR="002B5568">
        <w:rPr>
          <w:b/>
          <w:sz w:val="24"/>
        </w:rPr>
        <w:t>été affectés par</w:t>
      </w:r>
      <w:r>
        <w:rPr>
          <w:b/>
          <w:sz w:val="24"/>
        </w:rPr>
        <w:t xml:space="preserve"> cette situation », a expliqué Hans Van </w:t>
      </w:r>
      <w:proofErr w:type="spellStart"/>
      <w:r>
        <w:rPr>
          <w:b/>
          <w:sz w:val="24"/>
        </w:rPr>
        <w:t>Bylen</w:t>
      </w:r>
      <w:proofErr w:type="spellEnd"/>
      <w:r>
        <w:rPr>
          <w:b/>
          <w:sz w:val="24"/>
        </w:rPr>
        <w:t>.</w:t>
      </w:r>
    </w:p>
    <w:p w:rsidR="00D32DB8" w:rsidRPr="00D32DB8" w:rsidRDefault="00D32DB8" w:rsidP="00D32DB8">
      <w:pPr>
        <w:autoSpaceDE w:val="0"/>
        <w:autoSpaceDN w:val="0"/>
        <w:adjustRightInd w:val="0"/>
        <w:spacing w:line="360" w:lineRule="auto"/>
        <w:jc w:val="both"/>
        <w:rPr>
          <w:b/>
          <w:sz w:val="24"/>
        </w:rPr>
      </w:pPr>
    </w:p>
    <w:p w:rsidR="00D32DB8" w:rsidRDefault="00D32DB8" w:rsidP="00D32DB8">
      <w:pPr>
        <w:autoSpaceDE w:val="0"/>
        <w:autoSpaceDN w:val="0"/>
        <w:adjustRightInd w:val="0"/>
        <w:spacing w:line="360" w:lineRule="auto"/>
        <w:jc w:val="both"/>
        <w:rPr>
          <w:b/>
          <w:bCs/>
          <w:sz w:val="24"/>
        </w:rPr>
      </w:pPr>
      <w:r>
        <w:rPr>
          <w:b/>
          <w:sz w:val="24"/>
        </w:rPr>
        <w:t>« </w:t>
      </w:r>
      <w:r w:rsidR="002B5568">
        <w:rPr>
          <w:b/>
          <w:sz w:val="24"/>
        </w:rPr>
        <w:t>Dans</w:t>
      </w:r>
      <w:r>
        <w:rPr>
          <w:b/>
          <w:sz w:val="24"/>
        </w:rPr>
        <w:t xml:space="preserve"> le secteur des adhésifs, nous avons enregistré une croissance organique des ventes très solide. D'un autre côté, les ventes des secteurs d'activité Laundry &amp; Home Care et Beauty Care ont </w:t>
      </w:r>
      <w:r w:rsidR="002B5568">
        <w:rPr>
          <w:b/>
          <w:sz w:val="24"/>
        </w:rPr>
        <w:t>été en retrait</w:t>
      </w:r>
      <w:r>
        <w:rPr>
          <w:b/>
          <w:sz w:val="24"/>
        </w:rPr>
        <w:t xml:space="preserve"> par rapport à l'année dernière, principalement en raison des difficultés de livraison rencontrées </w:t>
      </w:r>
      <w:r w:rsidR="002B5568">
        <w:rPr>
          <w:b/>
          <w:sz w:val="24"/>
        </w:rPr>
        <w:t>dans</w:t>
      </w:r>
      <w:r>
        <w:rPr>
          <w:b/>
          <w:sz w:val="24"/>
        </w:rPr>
        <w:t xml:space="preserve"> le</w:t>
      </w:r>
      <w:r w:rsidR="00E328BA">
        <w:rPr>
          <w:b/>
          <w:sz w:val="24"/>
        </w:rPr>
        <w:t>s</w:t>
      </w:r>
      <w:r>
        <w:rPr>
          <w:b/>
          <w:sz w:val="24"/>
        </w:rPr>
        <w:t xml:space="preserve"> secteur</w:t>
      </w:r>
      <w:r w:rsidR="00E328BA">
        <w:rPr>
          <w:b/>
          <w:sz w:val="24"/>
        </w:rPr>
        <w:t>s</w:t>
      </w:r>
      <w:r>
        <w:rPr>
          <w:b/>
          <w:sz w:val="24"/>
        </w:rPr>
        <w:t xml:space="preserve"> </w:t>
      </w:r>
      <w:r w:rsidR="002B5568">
        <w:rPr>
          <w:b/>
          <w:sz w:val="24"/>
        </w:rPr>
        <w:t>des biens de grande</w:t>
      </w:r>
      <w:r>
        <w:rPr>
          <w:b/>
          <w:sz w:val="24"/>
        </w:rPr>
        <w:t xml:space="preserve"> consommation en Amérique du Nord</w:t>
      </w:r>
      <w:r w:rsidR="002B5568">
        <w:rPr>
          <w:b/>
          <w:sz w:val="24"/>
        </w:rPr>
        <w:t>,</w:t>
      </w:r>
      <w:r>
        <w:rPr>
          <w:b/>
          <w:sz w:val="24"/>
        </w:rPr>
        <w:t xml:space="preserve"> dont nous av</w:t>
      </w:r>
      <w:r w:rsidR="002B5568">
        <w:rPr>
          <w:b/>
          <w:sz w:val="24"/>
        </w:rPr>
        <w:t>i</w:t>
      </w:r>
      <w:r>
        <w:rPr>
          <w:b/>
          <w:sz w:val="24"/>
        </w:rPr>
        <w:t>ons fait part en mars</w:t>
      </w:r>
      <w:r w:rsidR="002B5568">
        <w:rPr>
          <w:b/>
          <w:sz w:val="24"/>
        </w:rPr>
        <w:t xml:space="preserve"> dernier</w:t>
      </w:r>
      <w:r>
        <w:rPr>
          <w:b/>
          <w:sz w:val="24"/>
        </w:rPr>
        <w:t> », a poursuivi Hans Van </w:t>
      </w:r>
      <w:proofErr w:type="spellStart"/>
      <w:r>
        <w:rPr>
          <w:b/>
          <w:sz w:val="24"/>
        </w:rPr>
        <w:t>Bylen</w:t>
      </w:r>
      <w:proofErr w:type="spellEnd"/>
      <w:r>
        <w:rPr>
          <w:b/>
          <w:sz w:val="24"/>
        </w:rPr>
        <w:t>.</w:t>
      </w:r>
      <w:r>
        <w:rPr>
          <w:b/>
          <w:bCs/>
          <w:sz w:val="24"/>
        </w:rPr>
        <w:t xml:space="preserve"> « Nous sommes en bonne voie pour revenir à des niveaux de service normaux au cours du deuxième trimestre. »</w:t>
      </w:r>
    </w:p>
    <w:p w:rsidR="00D32DB8" w:rsidRPr="00D32DB8" w:rsidRDefault="00D32DB8" w:rsidP="00D32DB8">
      <w:pPr>
        <w:autoSpaceDE w:val="0"/>
        <w:autoSpaceDN w:val="0"/>
        <w:adjustRightInd w:val="0"/>
        <w:spacing w:line="360" w:lineRule="auto"/>
        <w:jc w:val="both"/>
        <w:rPr>
          <w:rFonts w:cs="Arial"/>
          <w:b/>
          <w:bCs/>
          <w:sz w:val="24"/>
          <w:lang w:eastAsia="de-DE"/>
        </w:rPr>
      </w:pPr>
    </w:p>
    <w:p w:rsidR="00D32DB8" w:rsidRPr="001A42FA" w:rsidRDefault="00D32DB8" w:rsidP="00D32DB8">
      <w:pPr>
        <w:autoSpaceDE w:val="0"/>
        <w:autoSpaceDN w:val="0"/>
        <w:adjustRightInd w:val="0"/>
        <w:spacing w:after="120" w:line="360" w:lineRule="auto"/>
        <w:jc w:val="both"/>
        <w:rPr>
          <w:b/>
          <w:sz w:val="24"/>
        </w:rPr>
      </w:pPr>
      <w:r>
        <w:rPr>
          <w:b/>
          <w:bCs/>
          <w:sz w:val="24"/>
        </w:rPr>
        <w:t>Développement des ventes et d</w:t>
      </w:r>
      <w:r w:rsidR="002B5568">
        <w:rPr>
          <w:b/>
          <w:bCs/>
          <w:sz w:val="24"/>
        </w:rPr>
        <w:t xml:space="preserve">u résultat </w:t>
      </w:r>
      <w:r>
        <w:rPr>
          <w:b/>
          <w:bCs/>
          <w:sz w:val="24"/>
        </w:rPr>
        <w:t>au premier trimestre 2018</w:t>
      </w:r>
    </w:p>
    <w:p w:rsidR="00D32DB8" w:rsidRPr="00314BAE" w:rsidRDefault="00D32DB8" w:rsidP="00D32DB8">
      <w:pPr>
        <w:autoSpaceDE w:val="0"/>
        <w:autoSpaceDN w:val="0"/>
        <w:adjustRightInd w:val="0"/>
        <w:spacing w:line="360" w:lineRule="auto"/>
        <w:jc w:val="both"/>
        <w:rPr>
          <w:rFonts w:cs="Arial"/>
          <w:b/>
          <w:sz w:val="24"/>
        </w:rPr>
      </w:pPr>
      <w:r>
        <w:rPr>
          <w:sz w:val="24"/>
        </w:rPr>
        <w:t xml:space="preserve">Au cours du premier trimestre 2018, les </w:t>
      </w:r>
      <w:r>
        <w:rPr>
          <w:b/>
          <w:sz w:val="24"/>
        </w:rPr>
        <w:t>ventes</w:t>
      </w:r>
      <w:r>
        <w:rPr>
          <w:sz w:val="24"/>
        </w:rPr>
        <w:t xml:space="preserve"> ont atteint 4 835 millions d'</w:t>
      </w:r>
      <w:r w:rsidR="002B5568">
        <w:rPr>
          <w:sz w:val="24"/>
        </w:rPr>
        <w:t>EUR</w:t>
      </w:r>
      <w:r>
        <w:rPr>
          <w:sz w:val="24"/>
        </w:rPr>
        <w:t xml:space="preserve">. </w:t>
      </w:r>
      <w:r>
        <w:rPr>
          <w:b/>
          <w:sz w:val="24"/>
        </w:rPr>
        <w:t>Organiquement</w:t>
      </w:r>
      <w:r>
        <w:rPr>
          <w:sz w:val="24"/>
        </w:rPr>
        <w:t>, c'est-à-dire après ajustement des effets de change et des acquisitions/désinvestissements, Henkel a enregistré une croissance de 1,1 %. Des effets de change défavorables ont affecté les ventes à hauteur de 8,6 %. Les acquisitions et les désinvestissements ont contribué à hauteur de 3,0 %. En valeur nominale, les ventes sont inférieures de 4,5 % à celles du même trimestre l'an dernier.</w:t>
      </w:r>
    </w:p>
    <w:p w:rsidR="00D32DB8" w:rsidRPr="00D32DB8" w:rsidRDefault="00D32DB8" w:rsidP="00D32DB8">
      <w:pPr>
        <w:autoSpaceDE w:val="0"/>
        <w:autoSpaceDN w:val="0"/>
        <w:adjustRightInd w:val="0"/>
        <w:spacing w:line="360" w:lineRule="auto"/>
        <w:jc w:val="both"/>
        <w:rPr>
          <w:rFonts w:cs="Arial"/>
          <w:sz w:val="24"/>
        </w:rPr>
      </w:pPr>
    </w:p>
    <w:p w:rsidR="00D32DB8" w:rsidRPr="00314BAE" w:rsidRDefault="00D32DB8" w:rsidP="00D32DB8">
      <w:pPr>
        <w:autoSpaceDE w:val="0"/>
        <w:autoSpaceDN w:val="0"/>
        <w:adjustRightInd w:val="0"/>
        <w:spacing w:line="360" w:lineRule="auto"/>
        <w:jc w:val="both"/>
        <w:rPr>
          <w:rFonts w:cs="Arial"/>
          <w:sz w:val="24"/>
        </w:rPr>
      </w:pPr>
      <w:r>
        <w:rPr>
          <w:sz w:val="24"/>
        </w:rPr>
        <w:t xml:space="preserve">Le secteur d'activité </w:t>
      </w:r>
      <w:proofErr w:type="spellStart"/>
      <w:r>
        <w:rPr>
          <w:b/>
          <w:sz w:val="24"/>
        </w:rPr>
        <w:t>Adhesive</w:t>
      </w:r>
      <w:proofErr w:type="spellEnd"/>
      <w:r>
        <w:rPr>
          <w:b/>
          <w:sz w:val="24"/>
        </w:rPr>
        <w:t xml:space="preserve"> Technologies</w:t>
      </w:r>
      <w:r>
        <w:rPr>
          <w:sz w:val="24"/>
        </w:rPr>
        <w:t xml:space="preserve"> a enregistré une très forte croissance organique de ses ventes de 4,7 %. En raison des difficultés de livraison rencontrées </w:t>
      </w:r>
      <w:r w:rsidR="002B5568">
        <w:rPr>
          <w:sz w:val="24"/>
        </w:rPr>
        <w:t>dans</w:t>
      </w:r>
      <w:r>
        <w:rPr>
          <w:sz w:val="24"/>
        </w:rPr>
        <w:t xml:space="preserve"> le</w:t>
      </w:r>
      <w:r w:rsidR="00E328BA">
        <w:rPr>
          <w:sz w:val="24"/>
        </w:rPr>
        <w:t>s</w:t>
      </w:r>
      <w:r>
        <w:rPr>
          <w:sz w:val="24"/>
        </w:rPr>
        <w:t xml:space="preserve"> secteur</w:t>
      </w:r>
      <w:r w:rsidR="00E328BA">
        <w:rPr>
          <w:sz w:val="24"/>
        </w:rPr>
        <w:t>s</w:t>
      </w:r>
      <w:r>
        <w:rPr>
          <w:sz w:val="24"/>
        </w:rPr>
        <w:t xml:space="preserve"> de</w:t>
      </w:r>
      <w:r w:rsidR="002B5568">
        <w:rPr>
          <w:sz w:val="24"/>
        </w:rPr>
        <w:t>s biens de grande</w:t>
      </w:r>
      <w:r>
        <w:rPr>
          <w:sz w:val="24"/>
        </w:rPr>
        <w:t xml:space="preserve"> consommation en Amérique du Nord, les ventes du secteur d'activité </w:t>
      </w:r>
      <w:r>
        <w:rPr>
          <w:b/>
          <w:sz w:val="24"/>
        </w:rPr>
        <w:t>Beauty Care</w:t>
      </w:r>
      <w:r>
        <w:rPr>
          <w:sz w:val="24"/>
        </w:rPr>
        <w:t xml:space="preserve"> étaient organiquement 4,3 % en dessous du niveau de l'an dernier. Le secteur d'activité</w:t>
      </w:r>
      <w:r>
        <w:rPr>
          <w:b/>
          <w:sz w:val="24"/>
        </w:rPr>
        <w:t xml:space="preserve"> Laundry &amp; Home Care</w:t>
      </w:r>
      <w:r>
        <w:rPr>
          <w:sz w:val="24"/>
        </w:rPr>
        <w:t xml:space="preserve"> a enregistré une légère baisse de croissance de ses ventes organiques de 0,7 %. </w:t>
      </w:r>
    </w:p>
    <w:p w:rsidR="00D32DB8" w:rsidRPr="00D32DB8" w:rsidRDefault="00D32DB8" w:rsidP="00D32DB8">
      <w:pPr>
        <w:autoSpaceDE w:val="0"/>
        <w:autoSpaceDN w:val="0"/>
        <w:adjustRightInd w:val="0"/>
        <w:spacing w:line="360" w:lineRule="auto"/>
        <w:jc w:val="both"/>
        <w:rPr>
          <w:rFonts w:cs="Arial"/>
          <w:sz w:val="24"/>
        </w:rPr>
      </w:pPr>
    </w:p>
    <w:p w:rsidR="00D32DB8" w:rsidRDefault="00D32DB8" w:rsidP="00D32DB8">
      <w:pPr>
        <w:autoSpaceDE w:val="0"/>
        <w:autoSpaceDN w:val="0"/>
        <w:adjustRightInd w:val="0"/>
        <w:spacing w:line="360" w:lineRule="auto"/>
        <w:jc w:val="both"/>
        <w:rPr>
          <w:rFonts w:cs="Arial"/>
          <w:sz w:val="24"/>
        </w:rPr>
      </w:pPr>
      <w:r>
        <w:rPr>
          <w:sz w:val="24"/>
        </w:rPr>
        <w:t xml:space="preserve">Les </w:t>
      </w:r>
      <w:r>
        <w:rPr>
          <w:b/>
          <w:sz w:val="24"/>
        </w:rPr>
        <w:t>marchés émergents</w:t>
      </w:r>
      <w:r>
        <w:rPr>
          <w:sz w:val="24"/>
        </w:rPr>
        <w:t xml:space="preserve"> ont encore réalisé une contribution à la croissance organique du Groupe supérieure à la moyenne, avec une très forte hausse de 6,9 %. En raison</w:t>
      </w:r>
      <w:r w:rsidR="00B948E4">
        <w:rPr>
          <w:sz w:val="24"/>
        </w:rPr>
        <w:t xml:space="preserve"> </w:t>
      </w:r>
      <w:r>
        <w:rPr>
          <w:sz w:val="24"/>
        </w:rPr>
        <w:lastRenderedPageBreak/>
        <w:t xml:space="preserve">des difficultés de livraison rencontrées </w:t>
      </w:r>
      <w:r w:rsidR="007A2FCC">
        <w:rPr>
          <w:sz w:val="24"/>
        </w:rPr>
        <w:t>dans</w:t>
      </w:r>
      <w:r>
        <w:rPr>
          <w:sz w:val="24"/>
        </w:rPr>
        <w:t xml:space="preserve"> le</w:t>
      </w:r>
      <w:r w:rsidR="00E328BA">
        <w:rPr>
          <w:sz w:val="24"/>
        </w:rPr>
        <w:t>s</w:t>
      </w:r>
      <w:r>
        <w:rPr>
          <w:sz w:val="24"/>
        </w:rPr>
        <w:t xml:space="preserve"> secteur</w:t>
      </w:r>
      <w:r w:rsidR="00E328BA">
        <w:rPr>
          <w:sz w:val="24"/>
        </w:rPr>
        <w:t>s</w:t>
      </w:r>
      <w:r>
        <w:rPr>
          <w:sz w:val="24"/>
        </w:rPr>
        <w:t xml:space="preserve"> de</w:t>
      </w:r>
      <w:r w:rsidR="007A2FCC">
        <w:rPr>
          <w:sz w:val="24"/>
        </w:rPr>
        <w:t>s biens de grande</w:t>
      </w:r>
      <w:r>
        <w:rPr>
          <w:sz w:val="24"/>
        </w:rPr>
        <w:t xml:space="preserve"> consommation en Amérique du Nord, les ventes organiques dans les </w:t>
      </w:r>
      <w:r>
        <w:rPr>
          <w:b/>
          <w:sz w:val="24"/>
        </w:rPr>
        <w:t xml:space="preserve">marchés </w:t>
      </w:r>
      <w:r w:rsidR="002B5568">
        <w:rPr>
          <w:b/>
          <w:sz w:val="24"/>
        </w:rPr>
        <w:t>matures</w:t>
      </w:r>
      <w:r>
        <w:rPr>
          <w:sz w:val="24"/>
        </w:rPr>
        <w:t xml:space="preserve"> ont terminé en baisse de 2,8 %.</w:t>
      </w:r>
    </w:p>
    <w:p w:rsidR="00D32DB8" w:rsidRPr="00D32DB8" w:rsidRDefault="00D32DB8" w:rsidP="00D32DB8">
      <w:pPr>
        <w:autoSpaceDE w:val="0"/>
        <w:autoSpaceDN w:val="0"/>
        <w:adjustRightInd w:val="0"/>
        <w:spacing w:line="360" w:lineRule="auto"/>
        <w:jc w:val="both"/>
        <w:rPr>
          <w:rFonts w:cs="Arial"/>
          <w:sz w:val="24"/>
        </w:rPr>
      </w:pPr>
    </w:p>
    <w:p w:rsidR="00D32DB8" w:rsidRPr="00FD006A" w:rsidRDefault="00D32DB8" w:rsidP="00D32DB8">
      <w:pPr>
        <w:autoSpaceDE w:val="0"/>
        <w:autoSpaceDN w:val="0"/>
        <w:adjustRightInd w:val="0"/>
        <w:spacing w:line="360" w:lineRule="auto"/>
        <w:jc w:val="both"/>
        <w:rPr>
          <w:rFonts w:cs="Arial"/>
          <w:sz w:val="24"/>
        </w:rPr>
      </w:pPr>
      <w:r>
        <w:rPr>
          <w:sz w:val="24"/>
        </w:rPr>
        <w:t xml:space="preserve">En </w:t>
      </w:r>
      <w:r>
        <w:rPr>
          <w:b/>
          <w:sz w:val="24"/>
        </w:rPr>
        <w:t>Europe de l'Ouest</w:t>
      </w:r>
      <w:r>
        <w:rPr>
          <w:sz w:val="24"/>
        </w:rPr>
        <w:t>, les ventes ont progressé organiquement de 0,2 %. L'</w:t>
      </w:r>
      <w:r>
        <w:rPr>
          <w:b/>
          <w:bCs/>
          <w:sz w:val="24"/>
        </w:rPr>
        <w:t>Europe de l'Est</w:t>
      </w:r>
      <w:r>
        <w:rPr>
          <w:sz w:val="24"/>
        </w:rPr>
        <w:t xml:space="preserve"> a enregistré une croissance organique de 7,6 %. Dans la région </w:t>
      </w:r>
      <w:r>
        <w:rPr>
          <w:b/>
          <w:sz w:val="24"/>
        </w:rPr>
        <w:t>Afrique/Moyen-Orient,</w:t>
      </w:r>
      <w:r>
        <w:rPr>
          <w:bCs/>
          <w:sz w:val="24"/>
        </w:rPr>
        <w:t xml:space="preserve"> </w:t>
      </w:r>
      <w:r>
        <w:rPr>
          <w:sz w:val="24"/>
        </w:rPr>
        <w:t xml:space="preserve">les ventes ont augmenté organiquement de 8,6 %. En raison des difficultés de livraison rencontrées </w:t>
      </w:r>
      <w:r w:rsidR="00B948E4">
        <w:rPr>
          <w:sz w:val="24"/>
        </w:rPr>
        <w:t>dans</w:t>
      </w:r>
      <w:r>
        <w:rPr>
          <w:sz w:val="24"/>
        </w:rPr>
        <w:t xml:space="preserve"> les secteurs</w:t>
      </w:r>
      <w:r w:rsidR="00B948E4">
        <w:rPr>
          <w:sz w:val="24"/>
        </w:rPr>
        <w:t xml:space="preserve"> des biens de grande</w:t>
      </w:r>
      <w:r>
        <w:rPr>
          <w:sz w:val="24"/>
        </w:rPr>
        <w:t xml:space="preserve"> consommation, les ventes en </w:t>
      </w:r>
      <w:r>
        <w:rPr>
          <w:b/>
          <w:sz w:val="24"/>
        </w:rPr>
        <w:t>Amérique du Nord</w:t>
      </w:r>
      <w:r>
        <w:rPr>
          <w:sz w:val="24"/>
        </w:rPr>
        <w:t xml:space="preserve"> ont baissé organiquement de 6,5 %.</w:t>
      </w:r>
      <w:r>
        <w:rPr>
          <w:b/>
          <w:bCs/>
          <w:sz w:val="24"/>
        </w:rPr>
        <w:t xml:space="preserve"> </w:t>
      </w:r>
      <w:r>
        <w:rPr>
          <w:bCs/>
          <w:sz w:val="24"/>
        </w:rPr>
        <w:t>L’</w:t>
      </w:r>
      <w:r>
        <w:rPr>
          <w:b/>
          <w:bCs/>
          <w:sz w:val="24"/>
        </w:rPr>
        <w:t>Amérique latine</w:t>
      </w:r>
      <w:r>
        <w:rPr>
          <w:bCs/>
          <w:sz w:val="24"/>
        </w:rPr>
        <w:t xml:space="preserve"> a réalisé une croissance organique de 7,3</w:t>
      </w:r>
      <w:r>
        <w:rPr>
          <w:sz w:val="24"/>
        </w:rPr>
        <w:t xml:space="preserve"> %, et dans la région </w:t>
      </w:r>
      <w:r>
        <w:rPr>
          <w:b/>
          <w:sz w:val="24"/>
        </w:rPr>
        <w:t>Asie-Pacifique</w:t>
      </w:r>
      <w:r>
        <w:rPr>
          <w:sz w:val="24"/>
        </w:rPr>
        <w:t>, les ventes ont organiquement augmenté de 4,2 %.</w:t>
      </w:r>
    </w:p>
    <w:p w:rsidR="00D32DB8" w:rsidRPr="00D32DB8" w:rsidRDefault="00D32DB8" w:rsidP="00D32DB8">
      <w:pPr>
        <w:autoSpaceDE w:val="0"/>
        <w:autoSpaceDN w:val="0"/>
        <w:adjustRightInd w:val="0"/>
        <w:spacing w:line="360" w:lineRule="auto"/>
        <w:jc w:val="both"/>
        <w:rPr>
          <w:rFonts w:cs="Arial"/>
          <w:sz w:val="24"/>
        </w:rPr>
      </w:pPr>
    </w:p>
    <w:p w:rsidR="00D32DB8" w:rsidRDefault="00D32DB8" w:rsidP="00D32DB8">
      <w:pPr>
        <w:autoSpaceDE w:val="0"/>
        <w:autoSpaceDN w:val="0"/>
        <w:adjustRightInd w:val="0"/>
        <w:spacing w:line="360" w:lineRule="auto"/>
        <w:jc w:val="both"/>
        <w:rPr>
          <w:rFonts w:cs="Arial"/>
          <w:sz w:val="24"/>
        </w:rPr>
      </w:pPr>
      <w:r>
        <w:rPr>
          <w:sz w:val="24"/>
        </w:rPr>
        <w:t xml:space="preserve">Le </w:t>
      </w:r>
      <w:r>
        <w:rPr>
          <w:b/>
          <w:sz w:val="24"/>
        </w:rPr>
        <w:t xml:space="preserve">résultat </w:t>
      </w:r>
      <w:r w:rsidR="00B948E4">
        <w:rPr>
          <w:b/>
          <w:sz w:val="24"/>
        </w:rPr>
        <w:t>d’exploitation</w:t>
      </w:r>
      <w:r>
        <w:rPr>
          <w:b/>
          <w:sz w:val="24"/>
        </w:rPr>
        <w:t xml:space="preserve"> ajusté (EBIT)</w:t>
      </w:r>
      <w:r>
        <w:rPr>
          <w:sz w:val="24"/>
        </w:rPr>
        <w:t xml:space="preserve"> s'est établi à 842 millions d’</w:t>
      </w:r>
      <w:r w:rsidR="00B948E4">
        <w:rPr>
          <w:sz w:val="24"/>
        </w:rPr>
        <w:t>EUR</w:t>
      </w:r>
      <w:r>
        <w:rPr>
          <w:sz w:val="24"/>
        </w:rPr>
        <w:t>, soit 1,4 % de moins qu'au premier trimestre 2017 (854 millions d'</w:t>
      </w:r>
      <w:r w:rsidR="00B948E4">
        <w:rPr>
          <w:sz w:val="24"/>
        </w:rPr>
        <w:t>EUR</w:t>
      </w:r>
      <w:r>
        <w:rPr>
          <w:sz w:val="24"/>
        </w:rPr>
        <w:t>). Les devises ont eu un impact négatif de 6,2 %.</w:t>
      </w:r>
    </w:p>
    <w:p w:rsidR="00D32DB8" w:rsidRPr="00D32DB8" w:rsidRDefault="00D32DB8" w:rsidP="00D32DB8">
      <w:pPr>
        <w:autoSpaceDE w:val="0"/>
        <w:autoSpaceDN w:val="0"/>
        <w:adjustRightInd w:val="0"/>
        <w:spacing w:line="360" w:lineRule="auto"/>
        <w:jc w:val="both"/>
        <w:rPr>
          <w:sz w:val="24"/>
        </w:rPr>
      </w:pPr>
    </w:p>
    <w:p w:rsidR="00D32DB8" w:rsidRPr="00FD006A" w:rsidRDefault="00D32DB8" w:rsidP="00D32DB8">
      <w:pPr>
        <w:autoSpaceDE w:val="0"/>
        <w:autoSpaceDN w:val="0"/>
        <w:adjustRightInd w:val="0"/>
        <w:spacing w:line="360" w:lineRule="auto"/>
        <w:jc w:val="both"/>
        <w:rPr>
          <w:rFonts w:cs="Arial"/>
          <w:sz w:val="24"/>
        </w:rPr>
      </w:pPr>
      <w:r>
        <w:rPr>
          <w:sz w:val="24"/>
        </w:rPr>
        <w:t xml:space="preserve">La </w:t>
      </w:r>
      <w:r>
        <w:rPr>
          <w:b/>
          <w:sz w:val="24"/>
        </w:rPr>
        <w:t xml:space="preserve">rentabilité des ventes ajustée (EBIT) </w:t>
      </w:r>
      <w:r>
        <w:rPr>
          <w:sz w:val="24"/>
        </w:rPr>
        <w:t xml:space="preserve">a augmenté de 0,5 point pour atteindre 17,4 %. </w:t>
      </w:r>
    </w:p>
    <w:p w:rsidR="00D32DB8" w:rsidRPr="00D32DB8" w:rsidRDefault="00D32DB8" w:rsidP="00D32DB8">
      <w:pPr>
        <w:autoSpaceDE w:val="0"/>
        <w:autoSpaceDN w:val="0"/>
        <w:adjustRightInd w:val="0"/>
        <w:spacing w:line="360" w:lineRule="auto"/>
        <w:jc w:val="both"/>
        <w:rPr>
          <w:rFonts w:cs="Arial"/>
          <w:b/>
          <w:sz w:val="24"/>
        </w:rPr>
      </w:pPr>
    </w:p>
    <w:p w:rsidR="00D32DB8" w:rsidRPr="003B51DA" w:rsidRDefault="00D32DB8" w:rsidP="00D32DB8">
      <w:pPr>
        <w:autoSpaceDE w:val="0"/>
        <w:autoSpaceDN w:val="0"/>
        <w:adjustRightInd w:val="0"/>
        <w:spacing w:line="360" w:lineRule="auto"/>
        <w:jc w:val="both"/>
        <w:rPr>
          <w:rFonts w:cs="Arial"/>
          <w:sz w:val="24"/>
        </w:rPr>
      </w:pPr>
      <w:r>
        <w:rPr>
          <w:sz w:val="24"/>
        </w:rPr>
        <w:t xml:space="preserve">Le </w:t>
      </w:r>
      <w:r>
        <w:rPr>
          <w:b/>
          <w:sz w:val="24"/>
        </w:rPr>
        <w:t>résultat par action préférentielle après ajustement</w:t>
      </w:r>
      <w:r>
        <w:rPr>
          <w:sz w:val="24"/>
        </w:rPr>
        <w:t xml:space="preserve"> a augmenté de 1,4 %, passant de 1,41 </w:t>
      </w:r>
      <w:r w:rsidR="00B948E4">
        <w:rPr>
          <w:sz w:val="24"/>
        </w:rPr>
        <w:t>EUR</w:t>
      </w:r>
      <w:r>
        <w:rPr>
          <w:sz w:val="24"/>
        </w:rPr>
        <w:t xml:space="preserve"> à 1,43 </w:t>
      </w:r>
      <w:r w:rsidR="00B948E4">
        <w:rPr>
          <w:sz w:val="24"/>
        </w:rPr>
        <w:t>EUR</w:t>
      </w:r>
      <w:r>
        <w:rPr>
          <w:sz w:val="24"/>
        </w:rPr>
        <w:t xml:space="preserve">. La croissance de l'EPS a </w:t>
      </w:r>
      <w:r w:rsidR="00B948E4">
        <w:rPr>
          <w:sz w:val="24"/>
        </w:rPr>
        <w:t xml:space="preserve">été impactée négativement par les </w:t>
      </w:r>
      <w:r>
        <w:rPr>
          <w:sz w:val="24"/>
        </w:rPr>
        <w:t>effets de change de 6,4 %.</w:t>
      </w:r>
    </w:p>
    <w:p w:rsidR="00D32DB8" w:rsidRPr="00D32DB8" w:rsidRDefault="00D32DB8" w:rsidP="00D32DB8">
      <w:pPr>
        <w:autoSpaceDE w:val="0"/>
        <w:autoSpaceDN w:val="0"/>
        <w:adjustRightInd w:val="0"/>
        <w:spacing w:line="360" w:lineRule="auto"/>
        <w:jc w:val="both"/>
        <w:rPr>
          <w:rFonts w:cs="Arial"/>
          <w:sz w:val="24"/>
        </w:rPr>
      </w:pPr>
    </w:p>
    <w:p w:rsidR="00D32DB8" w:rsidRPr="00060D73" w:rsidRDefault="00D32DB8" w:rsidP="00D32DB8">
      <w:pPr>
        <w:autoSpaceDE w:val="0"/>
        <w:autoSpaceDN w:val="0"/>
        <w:adjustRightInd w:val="0"/>
        <w:spacing w:line="360" w:lineRule="auto"/>
        <w:jc w:val="both"/>
        <w:rPr>
          <w:sz w:val="24"/>
        </w:rPr>
      </w:pPr>
      <w:r>
        <w:rPr>
          <w:sz w:val="24"/>
        </w:rPr>
        <w:t xml:space="preserve">Avec 6,2 %, le </w:t>
      </w:r>
      <w:r>
        <w:rPr>
          <w:b/>
          <w:sz w:val="24"/>
        </w:rPr>
        <w:t>rapport du fonds de roulement net et des ventes</w:t>
      </w:r>
      <w:r>
        <w:rPr>
          <w:sz w:val="24"/>
        </w:rPr>
        <w:t xml:space="preserve"> a dépassé le niveau du premier trimestre 2017 (4,9 %).</w:t>
      </w:r>
    </w:p>
    <w:p w:rsidR="00D32DB8" w:rsidRPr="00D32DB8" w:rsidRDefault="00D32DB8" w:rsidP="00D32DB8">
      <w:pPr>
        <w:autoSpaceDE w:val="0"/>
        <w:autoSpaceDN w:val="0"/>
        <w:adjustRightInd w:val="0"/>
        <w:spacing w:line="360" w:lineRule="auto"/>
        <w:jc w:val="both"/>
        <w:rPr>
          <w:sz w:val="24"/>
        </w:rPr>
      </w:pPr>
    </w:p>
    <w:p w:rsidR="00D32DB8" w:rsidRDefault="00D32DB8" w:rsidP="00B948E4">
      <w:pPr>
        <w:autoSpaceDE w:val="0"/>
        <w:autoSpaceDN w:val="0"/>
        <w:adjustRightInd w:val="0"/>
        <w:spacing w:line="360" w:lineRule="auto"/>
        <w:jc w:val="both"/>
        <w:rPr>
          <w:sz w:val="24"/>
        </w:rPr>
      </w:pPr>
      <w:r>
        <w:rPr>
          <w:sz w:val="24"/>
        </w:rPr>
        <w:t xml:space="preserve">Au 31 mars 2018, la </w:t>
      </w:r>
      <w:r>
        <w:rPr>
          <w:b/>
          <w:bCs/>
          <w:sz w:val="24"/>
        </w:rPr>
        <w:t xml:space="preserve">position financière nette </w:t>
      </w:r>
      <w:r>
        <w:rPr>
          <w:sz w:val="24"/>
        </w:rPr>
        <w:t xml:space="preserve">de Henkel s'établissait à </w:t>
      </w:r>
      <w:r>
        <w:rPr>
          <w:sz w:val="24"/>
        </w:rPr>
        <w:br/>
        <w:t>-3 247 millions d'</w:t>
      </w:r>
      <w:r w:rsidR="00B948E4">
        <w:rPr>
          <w:sz w:val="24"/>
        </w:rPr>
        <w:t>EUR</w:t>
      </w:r>
      <w:r>
        <w:rPr>
          <w:sz w:val="24"/>
        </w:rPr>
        <w:t xml:space="preserve"> (31 décembre 2017 : -3 225 millions d'</w:t>
      </w:r>
      <w:r w:rsidR="00B948E4">
        <w:rPr>
          <w:sz w:val="24"/>
        </w:rPr>
        <w:t>EUR</w:t>
      </w:r>
      <w:r>
        <w:rPr>
          <w:sz w:val="24"/>
        </w:rPr>
        <w:t>).</w:t>
      </w:r>
    </w:p>
    <w:p w:rsidR="00890E1A" w:rsidRPr="00B948E4" w:rsidRDefault="00890E1A" w:rsidP="00B948E4">
      <w:pPr>
        <w:autoSpaceDE w:val="0"/>
        <w:autoSpaceDN w:val="0"/>
        <w:adjustRightInd w:val="0"/>
        <w:spacing w:line="360" w:lineRule="auto"/>
        <w:jc w:val="both"/>
        <w:rPr>
          <w:sz w:val="24"/>
        </w:rPr>
      </w:pPr>
    </w:p>
    <w:p w:rsidR="00D32DB8" w:rsidRPr="00D12F90" w:rsidRDefault="00D32DB8" w:rsidP="00D32DB8">
      <w:pPr>
        <w:autoSpaceDE w:val="0"/>
        <w:autoSpaceDN w:val="0"/>
        <w:adjustRightInd w:val="0"/>
        <w:spacing w:after="120" w:line="360" w:lineRule="auto"/>
        <w:jc w:val="both"/>
        <w:rPr>
          <w:b/>
          <w:sz w:val="24"/>
        </w:rPr>
      </w:pPr>
      <w:r>
        <w:rPr>
          <w:b/>
          <w:sz w:val="24"/>
        </w:rPr>
        <w:t>Développement des secteurs d'activité</w:t>
      </w:r>
    </w:p>
    <w:p w:rsidR="00D32DB8" w:rsidRDefault="00D32DB8" w:rsidP="00D32DB8">
      <w:pPr>
        <w:autoSpaceDE w:val="0"/>
        <w:autoSpaceDN w:val="0"/>
        <w:adjustRightInd w:val="0"/>
        <w:spacing w:line="360" w:lineRule="auto"/>
        <w:jc w:val="both"/>
        <w:rPr>
          <w:rFonts w:cs="Arial"/>
          <w:sz w:val="24"/>
        </w:rPr>
      </w:pPr>
      <w:r>
        <w:rPr>
          <w:sz w:val="24"/>
        </w:rPr>
        <w:t xml:space="preserve">Le secteur d'activité </w:t>
      </w:r>
      <w:proofErr w:type="spellStart"/>
      <w:r>
        <w:rPr>
          <w:b/>
          <w:sz w:val="24"/>
        </w:rPr>
        <w:t>Adhesive</w:t>
      </w:r>
      <w:proofErr w:type="spellEnd"/>
      <w:r>
        <w:rPr>
          <w:b/>
          <w:sz w:val="24"/>
        </w:rPr>
        <w:t xml:space="preserve"> Technologies</w:t>
      </w:r>
      <w:r>
        <w:rPr>
          <w:sz w:val="24"/>
        </w:rPr>
        <w:t xml:space="preserve"> a réalisé une très forte </w:t>
      </w:r>
      <w:r>
        <w:rPr>
          <w:b/>
          <w:sz w:val="24"/>
        </w:rPr>
        <w:t>croissance</w:t>
      </w:r>
      <w:r>
        <w:rPr>
          <w:sz w:val="24"/>
        </w:rPr>
        <w:t xml:space="preserve"> </w:t>
      </w:r>
      <w:r>
        <w:rPr>
          <w:b/>
          <w:sz w:val="24"/>
        </w:rPr>
        <w:t>organique des ventes</w:t>
      </w:r>
      <w:r>
        <w:rPr>
          <w:sz w:val="24"/>
        </w:rPr>
        <w:t xml:space="preserve"> de 4,7 % au cours du premier trimestre. Nominalement, les </w:t>
      </w:r>
      <w:r>
        <w:rPr>
          <w:sz w:val="24"/>
        </w:rPr>
        <w:lastRenderedPageBreak/>
        <w:t>ventes ont atteint 2 270 millions d’</w:t>
      </w:r>
      <w:r w:rsidR="00B948E4">
        <w:rPr>
          <w:sz w:val="24"/>
        </w:rPr>
        <w:t>EUR</w:t>
      </w:r>
      <w:r>
        <w:rPr>
          <w:sz w:val="24"/>
        </w:rPr>
        <w:t>, contre 2 295 millions d'</w:t>
      </w:r>
      <w:r w:rsidR="00B948E4">
        <w:rPr>
          <w:sz w:val="24"/>
        </w:rPr>
        <w:t>EUR</w:t>
      </w:r>
      <w:r>
        <w:rPr>
          <w:sz w:val="24"/>
        </w:rPr>
        <w:t xml:space="preserve"> au même trimestre de l'année précédente. Le </w:t>
      </w:r>
      <w:r>
        <w:rPr>
          <w:b/>
          <w:sz w:val="24"/>
        </w:rPr>
        <w:t xml:space="preserve">résultat </w:t>
      </w:r>
      <w:r w:rsidR="00B948E4">
        <w:rPr>
          <w:b/>
          <w:sz w:val="24"/>
        </w:rPr>
        <w:t>d’exploitation</w:t>
      </w:r>
      <w:r>
        <w:rPr>
          <w:b/>
          <w:sz w:val="24"/>
        </w:rPr>
        <w:t xml:space="preserve"> ajusté</w:t>
      </w:r>
      <w:r>
        <w:rPr>
          <w:sz w:val="24"/>
        </w:rPr>
        <w:t xml:space="preserve"> a atteint 410 millions d'</w:t>
      </w:r>
      <w:r w:rsidR="00E328BA">
        <w:rPr>
          <w:sz w:val="24"/>
        </w:rPr>
        <w:t>EUR</w:t>
      </w:r>
      <w:r>
        <w:rPr>
          <w:sz w:val="24"/>
        </w:rPr>
        <w:t xml:space="preserve">, soit une légère baisse par rapport au premier trimestre 2017. Avec 18,1 %, la </w:t>
      </w:r>
      <w:r>
        <w:rPr>
          <w:b/>
          <w:sz w:val="24"/>
        </w:rPr>
        <w:t>rentabilité des ventes ajustée</w:t>
      </w:r>
      <w:r>
        <w:rPr>
          <w:sz w:val="24"/>
        </w:rPr>
        <w:t xml:space="preserve"> est restée stable par rapport au même trimestre l'an dernier.</w:t>
      </w:r>
    </w:p>
    <w:p w:rsidR="00D32DB8" w:rsidRPr="00D32DB8" w:rsidRDefault="00D32DB8" w:rsidP="00D32DB8">
      <w:pPr>
        <w:autoSpaceDE w:val="0"/>
        <w:autoSpaceDN w:val="0"/>
        <w:adjustRightInd w:val="0"/>
        <w:spacing w:line="360" w:lineRule="auto"/>
        <w:jc w:val="both"/>
        <w:rPr>
          <w:rFonts w:cs="Arial"/>
          <w:sz w:val="24"/>
        </w:rPr>
      </w:pPr>
    </w:p>
    <w:p w:rsidR="00D32DB8" w:rsidRDefault="00D32DB8" w:rsidP="00D32DB8">
      <w:pPr>
        <w:autoSpaceDE w:val="0"/>
        <w:autoSpaceDN w:val="0"/>
        <w:adjustRightInd w:val="0"/>
        <w:spacing w:line="360" w:lineRule="auto"/>
        <w:jc w:val="both"/>
        <w:rPr>
          <w:rFonts w:cs="Arial"/>
          <w:color w:val="000000"/>
          <w:sz w:val="24"/>
        </w:rPr>
      </w:pPr>
      <w:r>
        <w:rPr>
          <w:sz w:val="24"/>
        </w:rPr>
        <w:t xml:space="preserve">Les </w:t>
      </w:r>
      <w:r>
        <w:rPr>
          <w:b/>
          <w:sz w:val="24"/>
        </w:rPr>
        <w:t>ventes</w:t>
      </w:r>
      <w:r>
        <w:rPr>
          <w:sz w:val="24"/>
        </w:rPr>
        <w:t xml:space="preserve"> du secteur d'activité </w:t>
      </w:r>
      <w:r>
        <w:rPr>
          <w:b/>
          <w:bCs/>
          <w:sz w:val="24"/>
        </w:rPr>
        <w:t>Beauty Care</w:t>
      </w:r>
      <w:r>
        <w:rPr>
          <w:sz w:val="24"/>
        </w:rPr>
        <w:t xml:space="preserve"> ont baissé organiquement de 4,3 % au cours du premier trimestre. Sans les difficultés de livraison rencontrées en Amérique du Nord, les ventes auraient globalement été au niveau de l'an dernier. En valeur nominale, les ventes ont atteint 965 millions d’</w:t>
      </w:r>
      <w:r w:rsidR="00B948E4">
        <w:rPr>
          <w:sz w:val="24"/>
        </w:rPr>
        <w:t>EUR</w:t>
      </w:r>
      <w:r>
        <w:rPr>
          <w:sz w:val="24"/>
        </w:rPr>
        <w:t>, contre 1 011 millions d'</w:t>
      </w:r>
      <w:r w:rsidR="00B948E4">
        <w:rPr>
          <w:sz w:val="24"/>
        </w:rPr>
        <w:t>EUR</w:t>
      </w:r>
      <w:r>
        <w:rPr>
          <w:sz w:val="24"/>
        </w:rPr>
        <w:t xml:space="preserve"> au même trimestre de l'année précédente. Le </w:t>
      </w:r>
      <w:r>
        <w:rPr>
          <w:b/>
          <w:sz w:val="24"/>
        </w:rPr>
        <w:t xml:space="preserve">résultat </w:t>
      </w:r>
      <w:r w:rsidR="00B948E4">
        <w:rPr>
          <w:b/>
          <w:sz w:val="24"/>
        </w:rPr>
        <w:t>d’exploitation</w:t>
      </w:r>
      <w:r>
        <w:rPr>
          <w:b/>
          <w:sz w:val="24"/>
        </w:rPr>
        <w:t xml:space="preserve"> ajusté</w:t>
      </w:r>
      <w:r>
        <w:rPr>
          <w:sz w:val="24"/>
        </w:rPr>
        <w:t xml:space="preserve"> a atteint 161 millions d'</w:t>
      </w:r>
      <w:r w:rsidR="00B948E4">
        <w:rPr>
          <w:sz w:val="24"/>
        </w:rPr>
        <w:t>EUR</w:t>
      </w:r>
      <w:r>
        <w:rPr>
          <w:sz w:val="24"/>
        </w:rPr>
        <w:t xml:space="preserve">, soit une baisse de 4,6 % par rapport au même trimestre l'an dernier. La </w:t>
      </w:r>
      <w:r>
        <w:rPr>
          <w:b/>
          <w:sz w:val="24"/>
        </w:rPr>
        <w:t>rentabilité des ventes ajustée</w:t>
      </w:r>
      <w:r>
        <w:rPr>
          <w:sz w:val="24"/>
        </w:rPr>
        <w:t xml:space="preserve"> est restée stable à 16,7 %.</w:t>
      </w:r>
      <w:r>
        <w:t xml:space="preserve"> </w:t>
      </w:r>
    </w:p>
    <w:p w:rsidR="00D32DB8" w:rsidRPr="00D32DB8" w:rsidRDefault="00D32DB8" w:rsidP="00D32DB8">
      <w:pPr>
        <w:spacing w:line="360" w:lineRule="auto"/>
        <w:jc w:val="both"/>
        <w:rPr>
          <w:rFonts w:cs="Arial"/>
          <w:color w:val="000000"/>
          <w:sz w:val="24"/>
        </w:rPr>
      </w:pPr>
    </w:p>
    <w:p w:rsidR="00D32DB8" w:rsidRPr="00E343DF" w:rsidRDefault="00D32DB8" w:rsidP="00D32DB8">
      <w:pPr>
        <w:spacing w:line="360" w:lineRule="auto"/>
        <w:jc w:val="both"/>
        <w:rPr>
          <w:rFonts w:cs="Arial"/>
          <w:i/>
          <w:color w:val="7F7F7F"/>
          <w:sz w:val="24"/>
        </w:rPr>
      </w:pPr>
      <w:r>
        <w:rPr>
          <w:sz w:val="24"/>
        </w:rPr>
        <w:t xml:space="preserve">Organiquement, les </w:t>
      </w:r>
      <w:r>
        <w:rPr>
          <w:b/>
          <w:sz w:val="24"/>
        </w:rPr>
        <w:t>ventes</w:t>
      </w:r>
      <w:r>
        <w:rPr>
          <w:sz w:val="24"/>
        </w:rPr>
        <w:t xml:space="preserve"> du secteur d'activité </w:t>
      </w:r>
      <w:r>
        <w:rPr>
          <w:b/>
          <w:bCs/>
          <w:sz w:val="24"/>
        </w:rPr>
        <w:t>Laundry &amp; Home Care</w:t>
      </w:r>
      <w:r>
        <w:rPr>
          <w:sz w:val="24"/>
        </w:rPr>
        <w:t xml:space="preserve"> ont légèrement baissé avec -0,7 % au premier trimestre. Sans les difficultés de livraison rencontrées en Amérique du Nord, le secteur Laundry &amp; Home Care aurait enregistré une solide hausse de ses ventes. Nominalement, les ventes ont atteint 1 569 millions d’</w:t>
      </w:r>
      <w:r w:rsidR="00B948E4">
        <w:rPr>
          <w:sz w:val="24"/>
        </w:rPr>
        <w:t>EUR</w:t>
      </w:r>
      <w:r>
        <w:rPr>
          <w:sz w:val="24"/>
        </w:rPr>
        <w:t>, contre 1 726 millions d'</w:t>
      </w:r>
      <w:r w:rsidR="00B948E4">
        <w:rPr>
          <w:sz w:val="24"/>
        </w:rPr>
        <w:t>EUR</w:t>
      </w:r>
      <w:r>
        <w:rPr>
          <w:sz w:val="24"/>
        </w:rPr>
        <w:t xml:space="preserve"> au même trimestre de l'année précédente. En s'établissant à 291 millions d'</w:t>
      </w:r>
      <w:r w:rsidR="00B948E4">
        <w:rPr>
          <w:sz w:val="24"/>
        </w:rPr>
        <w:t>EUR</w:t>
      </w:r>
      <w:r>
        <w:rPr>
          <w:sz w:val="24"/>
        </w:rPr>
        <w:t xml:space="preserve">, le </w:t>
      </w:r>
      <w:r>
        <w:rPr>
          <w:b/>
          <w:sz w:val="24"/>
        </w:rPr>
        <w:t xml:space="preserve">résultat </w:t>
      </w:r>
      <w:r w:rsidR="00B948E4">
        <w:rPr>
          <w:b/>
          <w:sz w:val="24"/>
        </w:rPr>
        <w:t>d’exploitation</w:t>
      </w:r>
      <w:r>
        <w:rPr>
          <w:b/>
          <w:sz w:val="24"/>
        </w:rPr>
        <w:t xml:space="preserve"> ajusté</w:t>
      </w:r>
      <w:r>
        <w:rPr>
          <w:sz w:val="24"/>
        </w:rPr>
        <w:t xml:space="preserve"> est inférieur de 2,5 % à celui du premier trimestre 2017. La </w:t>
      </w:r>
      <w:r>
        <w:rPr>
          <w:b/>
          <w:sz w:val="24"/>
        </w:rPr>
        <w:t>rentabilité des ventes ajustée</w:t>
      </w:r>
      <w:r>
        <w:rPr>
          <w:sz w:val="24"/>
        </w:rPr>
        <w:t xml:space="preserve"> s'est </w:t>
      </w:r>
      <w:proofErr w:type="gramStart"/>
      <w:r>
        <w:rPr>
          <w:sz w:val="24"/>
        </w:rPr>
        <w:t>améliorée</w:t>
      </w:r>
      <w:proofErr w:type="gramEnd"/>
      <w:r>
        <w:rPr>
          <w:sz w:val="24"/>
        </w:rPr>
        <w:t xml:space="preserve"> de 1,2 point pour atteindre 18,5 %.</w:t>
      </w:r>
    </w:p>
    <w:p w:rsidR="00D32DB8" w:rsidRPr="00D32DB8" w:rsidRDefault="00D32DB8" w:rsidP="00D32DB8">
      <w:pPr>
        <w:autoSpaceDE w:val="0"/>
        <w:autoSpaceDN w:val="0"/>
        <w:adjustRightInd w:val="0"/>
        <w:spacing w:after="120" w:line="360" w:lineRule="auto"/>
        <w:jc w:val="both"/>
        <w:rPr>
          <w:b/>
          <w:sz w:val="24"/>
        </w:rPr>
      </w:pPr>
    </w:p>
    <w:p w:rsidR="003F647B" w:rsidRDefault="003F647B" w:rsidP="00D32DB8">
      <w:pPr>
        <w:autoSpaceDE w:val="0"/>
        <w:autoSpaceDN w:val="0"/>
        <w:adjustRightInd w:val="0"/>
        <w:spacing w:line="360" w:lineRule="auto"/>
        <w:jc w:val="both"/>
        <w:rPr>
          <w:b/>
          <w:sz w:val="24"/>
        </w:rPr>
      </w:pPr>
      <w:r>
        <w:rPr>
          <w:b/>
          <w:sz w:val="24"/>
        </w:rPr>
        <w:t>Confirmation des perspectives pour l'exercice 2018</w:t>
      </w:r>
    </w:p>
    <w:p w:rsidR="00D32DB8" w:rsidRPr="00294D0B" w:rsidRDefault="00D32DB8" w:rsidP="00D32DB8">
      <w:pPr>
        <w:autoSpaceDE w:val="0"/>
        <w:autoSpaceDN w:val="0"/>
        <w:adjustRightInd w:val="0"/>
        <w:spacing w:line="360" w:lineRule="auto"/>
        <w:jc w:val="both"/>
        <w:rPr>
          <w:sz w:val="24"/>
        </w:rPr>
      </w:pPr>
      <w:r>
        <w:rPr>
          <w:bCs/>
          <w:sz w:val="24"/>
        </w:rPr>
        <w:t>Henkel s'attend à ce que le contexte du marché reste volatil et incertain au cours de l'année. Les importantes fluctuations monétaires vont se poursuivre. Henkel prévoit toujours un affaiblissement du dollar américain face à l'euro par rapport à 2017, et certaines devises importantes dans les marchés émergents pourraient également être touchées. En outre, les prix des matières premières et des emballages devraient continuer à augmenter par rapport à l'an dernier.</w:t>
      </w:r>
    </w:p>
    <w:p w:rsidR="00D32DB8" w:rsidRPr="00D32DB8" w:rsidRDefault="00D32DB8" w:rsidP="00D32DB8">
      <w:pPr>
        <w:autoSpaceDE w:val="0"/>
        <w:autoSpaceDN w:val="0"/>
        <w:adjustRightInd w:val="0"/>
        <w:spacing w:line="360" w:lineRule="auto"/>
        <w:jc w:val="both"/>
        <w:rPr>
          <w:sz w:val="24"/>
        </w:rPr>
      </w:pPr>
    </w:p>
    <w:p w:rsidR="00D32DB8" w:rsidRPr="00294D0B" w:rsidRDefault="00D32DB8" w:rsidP="00D32DB8">
      <w:pPr>
        <w:autoSpaceDE w:val="0"/>
        <w:autoSpaceDN w:val="0"/>
        <w:adjustRightInd w:val="0"/>
        <w:spacing w:line="360" w:lineRule="auto"/>
        <w:jc w:val="both"/>
        <w:rPr>
          <w:rFonts w:cs="Arial"/>
          <w:bCs/>
          <w:sz w:val="24"/>
        </w:rPr>
      </w:pPr>
      <w:r>
        <w:rPr>
          <w:sz w:val="24"/>
        </w:rPr>
        <w:t xml:space="preserve">Henkel a confirmé ses dernières </w:t>
      </w:r>
      <w:r w:rsidR="00B948E4">
        <w:rPr>
          <w:sz w:val="24"/>
        </w:rPr>
        <w:t>perspectives</w:t>
      </w:r>
      <w:r>
        <w:rPr>
          <w:sz w:val="24"/>
        </w:rPr>
        <w:t xml:space="preserve"> de mars 2018 concernant l'exercice 2018.</w:t>
      </w:r>
      <w:r>
        <w:rPr>
          <w:bCs/>
          <w:sz w:val="24"/>
        </w:rPr>
        <w:t xml:space="preserve"> Henkel </w:t>
      </w:r>
      <w:r w:rsidR="00B948E4">
        <w:rPr>
          <w:bCs/>
          <w:sz w:val="24"/>
        </w:rPr>
        <w:t>s’attend à</w:t>
      </w:r>
      <w:r>
        <w:rPr>
          <w:bCs/>
          <w:sz w:val="24"/>
        </w:rPr>
        <w:t xml:space="preserve"> une croissance organique des ventes comprise entre 2 et 4 %, avec </w:t>
      </w:r>
      <w:r>
        <w:rPr>
          <w:bCs/>
          <w:sz w:val="24"/>
        </w:rPr>
        <w:lastRenderedPageBreak/>
        <w:t xml:space="preserve">une croissance de cet ordre pour les secteurs d'activité </w:t>
      </w:r>
      <w:proofErr w:type="spellStart"/>
      <w:r>
        <w:rPr>
          <w:bCs/>
          <w:sz w:val="24"/>
        </w:rPr>
        <w:t>Adhesive</w:t>
      </w:r>
      <w:proofErr w:type="spellEnd"/>
      <w:r>
        <w:rPr>
          <w:bCs/>
          <w:sz w:val="24"/>
        </w:rPr>
        <w:t> Technologies et Laundry &amp; Home Care et une croissance comprise entre 0 et 2 % pour le secteur Beauty Care. En ce qui concerne la rentabilité des ventes ajustée (EBIT), Henkel s’attend à ce qu’elle augmente et dépasse 17,5 % grâce aux résultats des trois secteurs d’activité. Tenant compte des incertitudes sur le marché des changes</w:t>
      </w:r>
      <w:bookmarkStart w:id="2" w:name="_Hlk506915760"/>
      <w:r>
        <w:rPr>
          <w:bCs/>
          <w:sz w:val="24"/>
        </w:rPr>
        <w:t>, et notamment de la tendance du dollar américain</w:t>
      </w:r>
      <w:bookmarkEnd w:id="2"/>
      <w:r>
        <w:rPr>
          <w:bCs/>
          <w:sz w:val="24"/>
        </w:rPr>
        <w:t xml:space="preserve">, Henkel table sur une augmentation du résultat ajusté par action préférentielle en euros comprise entre 5 et 8 %. </w:t>
      </w:r>
    </w:p>
    <w:p w:rsidR="00D32DB8" w:rsidRDefault="00D32DB8" w:rsidP="00487ACA">
      <w:pPr>
        <w:spacing w:after="160" w:line="259" w:lineRule="auto"/>
        <w:rPr>
          <w:b/>
          <w:sz w:val="22"/>
          <w:u w:val="single"/>
        </w:rPr>
      </w:pPr>
    </w:p>
    <w:p w:rsidR="002F4146" w:rsidRDefault="00AA32FF" w:rsidP="00C0734F">
      <w:pPr>
        <w:spacing w:after="160" w:line="259" w:lineRule="auto"/>
      </w:pPr>
      <w:r w:rsidRPr="00595B97">
        <w:rPr>
          <w:b/>
          <w:sz w:val="22"/>
          <w:u w:val="single"/>
        </w:rPr>
        <w:t>Ce communiqué de presse en français est une traduction de la version originale.</w:t>
      </w:r>
    </w:p>
    <w:p w:rsidR="00B948E4" w:rsidRDefault="00B948E4" w:rsidP="00D32DB8">
      <w:pPr>
        <w:spacing w:line="276" w:lineRule="auto"/>
        <w:jc w:val="both"/>
        <w:rPr>
          <w:b/>
          <w:bCs/>
        </w:rPr>
      </w:pPr>
    </w:p>
    <w:p w:rsidR="00D32DB8" w:rsidRPr="0012578B" w:rsidRDefault="00D32DB8" w:rsidP="00D32DB8">
      <w:pPr>
        <w:spacing w:line="276" w:lineRule="auto"/>
        <w:jc w:val="both"/>
        <w:rPr>
          <w:rFonts w:ascii="Calibri" w:hAnsi="Calibri"/>
          <w:szCs w:val="20"/>
          <w:lang w:eastAsia="zh-CN"/>
        </w:rPr>
      </w:pPr>
      <w:r w:rsidRPr="0012578B">
        <w:rPr>
          <w:b/>
          <w:bCs/>
        </w:rPr>
        <w:t>A propos d</w:t>
      </w:r>
      <w:r>
        <w:rPr>
          <w:b/>
          <w:bCs/>
        </w:rPr>
        <w:t>e Henkel</w:t>
      </w:r>
    </w:p>
    <w:p w:rsidR="00D32DB8" w:rsidRPr="00CE0ECB" w:rsidRDefault="00D32DB8" w:rsidP="00D32DB8">
      <w:pPr>
        <w:jc w:val="both"/>
      </w:pPr>
      <w:r>
        <w:t>Henkel est présent dans le monde entier avec un portefeuille d’activités diversifié et bien équilibré. L'entreprise détient des positions mondiales fortes dans ses trois secteurs, auprès des industriels comme des consommateurs, grâce à ses</w:t>
      </w:r>
      <w:r>
        <w:rPr>
          <w:color w:val="00B050"/>
        </w:rPr>
        <w:t xml:space="preserve"> </w:t>
      </w:r>
      <w:r>
        <w:t xml:space="preserve">marques puissantes, ses innovations et ses technologies. Le secteur </w:t>
      </w:r>
      <w:proofErr w:type="spellStart"/>
      <w:r>
        <w:t>Adhesive</w:t>
      </w:r>
      <w:proofErr w:type="spellEnd"/>
      <w:r>
        <w:t xml:space="preserve"> Technologies est leader mondial des adhésifs – sur tous ses segments industriels dans le monde. Avec ses activités</w:t>
      </w:r>
      <w:r>
        <w:rPr>
          <w:color w:val="00B050"/>
        </w:rPr>
        <w:t xml:space="preserve"> </w:t>
      </w:r>
      <w:r>
        <w:t>Laundry &amp; Home Care et Beauty Care, Henkel détient des positions de</w:t>
      </w:r>
      <w:r>
        <w:rPr>
          <w:color w:val="00B050"/>
        </w:rPr>
        <w:t xml:space="preserve"> </w:t>
      </w:r>
      <w:r>
        <w:t>leader</w:t>
      </w:r>
      <w:r>
        <w:rPr>
          <w:color w:val="00B050"/>
        </w:rPr>
        <w:t xml:space="preserve"> </w:t>
      </w:r>
      <w:r>
        <w:t>sur un grand nombre de marchés et de catégories dans</w:t>
      </w:r>
      <w:r>
        <w:rPr>
          <w:color w:val="00B050"/>
        </w:rPr>
        <w:t xml:space="preserve"> </w:t>
      </w:r>
      <w:r>
        <w:t>le</w:t>
      </w:r>
      <w:r>
        <w:rPr>
          <w:color w:val="00B050"/>
        </w:rPr>
        <w:t xml:space="preserve"> </w:t>
      </w:r>
      <w:r>
        <w:t xml:space="preserve">monde. Créé en 1876, Henkel s'appuie sur plus de 140 ans de réussite. En 2017, le Groupe a réalisé un chiffre d’affaires de 20 milliards d’euros et un résultat d’exploitation ajusté de 3,5 milliards d’euros. Les premières marques mondiales de chacune des trois branches d’activités – </w:t>
      </w:r>
      <w:proofErr w:type="spellStart"/>
      <w:r>
        <w:t>Loctite</w:t>
      </w:r>
      <w:proofErr w:type="spellEnd"/>
      <w:r>
        <w:t>, Schwarzkopf, Persil (Le Chat en France) – ont généré au total un chiffre d’affaires de plus de 6,4 milliards d’euros. Henkel emploie plus de 53 000 personnes à travers le monde – une équipe passionnée, riche de sa grande diversité,</w:t>
      </w:r>
      <w:r>
        <w:rPr>
          <w:color w:val="00B050"/>
        </w:rPr>
        <w:t xml:space="preserve"> </w:t>
      </w:r>
      <w:r>
        <w:t>unie par une culture forte, la</w:t>
      </w:r>
      <w:r>
        <w:rPr>
          <w:color w:val="00B050"/>
        </w:rPr>
        <w:t xml:space="preserve"> </w:t>
      </w:r>
      <w:r>
        <w:t>volonté</w:t>
      </w:r>
      <w:r>
        <w:rPr>
          <w:color w:val="00B050"/>
        </w:rPr>
        <w:t xml:space="preserve"> </w:t>
      </w:r>
      <w:r>
        <w:t>de créer ensemble de la valeur durable et des valeurs d’entreprise partagées. Reconnu comme un leader en matière de développement durable, Henkel détient</w:t>
      </w:r>
      <w:r>
        <w:rPr>
          <w:color w:val="00B050"/>
        </w:rPr>
        <w:t xml:space="preserve"> </w:t>
      </w:r>
      <w:r>
        <w:t>des</w:t>
      </w:r>
      <w:r>
        <w:rPr>
          <w:color w:val="00B050"/>
        </w:rPr>
        <w:t xml:space="preserve"> </w:t>
      </w:r>
      <w:r>
        <w:t>positions</w:t>
      </w:r>
      <w:r>
        <w:rPr>
          <w:color w:val="00B050"/>
        </w:rPr>
        <w:t xml:space="preserve"> </w:t>
      </w:r>
      <w:r>
        <w:t>de</w:t>
      </w:r>
      <w:r>
        <w:rPr>
          <w:color w:val="00B050"/>
        </w:rPr>
        <w:t xml:space="preserve"> </w:t>
      </w:r>
      <w:r>
        <w:t>premier</w:t>
      </w:r>
      <w:r>
        <w:rPr>
          <w:color w:val="00B050"/>
        </w:rPr>
        <w:t xml:space="preserve"> </w:t>
      </w:r>
      <w:r>
        <w:t>plan</w:t>
      </w:r>
      <w:r>
        <w:rPr>
          <w:color w:val="00B050"/>
        </w:rPr>
        <w:t xml:space="preserve"> </w:t>
      </w:r>
      <w:r>
        <w:t>dans différents</w:t>
      </w:r>
      <w:r>
        <w:rPr>
          <w:color w:val="00B050"/>
        </w:rPr>
        <w:t xml:space="preserve"> </w:t>
      </w:r>
      <w:r>
        <w:t xml:space="preserve">classements et indices internationaux. Les actions préférentielles Henkel sont listées à l’indice boursier allemand DAX. Pour en savoir plus, rendez-vous sur </w:t>
      </w:r>
      <w:hyperlink r:id="rId7" w:history="1">
        <w:r>
          <w:rPr>
            <w:rStyle w:val="Lienhypertexte"/>
          </w:rPr>
          <w:t>www.henkel.fr</w:t>
        </w:r>
      </w:hyperlink>
      <w:r>
        <w:rPr>
          <w:color w:val="00B050"/>
        </w:rPr>
        <w:t>.</w:t>
      </w:r>
    </w:p>
    <w:p w:rsidR="00D32DB8" w:rsidRPr="00D32DB8" w:rsidRDefault="00D32DB8" w:rsidP="00AA32FF">
      <w:pPr>
        <w:spacing w:line="240" w:lineRule="auto"/>
        <w:jc w:val="both"/>
        <w:rPr>
          <w:sz w:val="16"/>
        </w:rPr>
      </w:pPr>
    </w:p>
    <w:p w:rsidR="00AA32FF" w:rsidRPr="00A22E62" w:rsidRDefault="00AA32FF" w:rsidP="00AA32FF">
      <w:pPr>
        <w:spacing w:line="240" w:lineRule="auto"/>
        <w:jc w:val="both"/>
        <w:rPr>
          <w:bCs/>
          <w:sz w:val="16"/>
        </w:rPr>
      </w:pPr>
      <w:r>
        <w:rPr>
          <w:sz w:val="16"/>
        </w:rPr>
        <w:t>Ce document contient des prévisions fondées sur les estimations et suppositions établies par la direction d’entreprise de Henkel AG &amp; Co.</w:t>
      </w:r>
      <w:r>
        <w:rPr>
          <w:color w:val="000000"/>
          <w:sz w:val="16"/>
        </w:rPr>
        <w:t xml:space="preserve"> </w:t>
      </w:r>
      <w:proofErr w:type="spellStart"/>
      <w:r>
        <w:rPr>
          <w:color w:val="000000"/>
          <w:sz w:val="16"/>
        </w:rPr>
        <w:t>KGaA</w:t>
      </w:r>
      <w:proofErr w:type="spellEnd"/>
      <w:r>
        <w:rPr>
          <w:color w:val="000000"/>
          <w:sz w:val="16"/>
        </w:rPr>
        <w:t xml:space="preserve">. Les prévisions sont caractérisées par l’emploi de termes tels </w:t>
      </w:r>
      <w:proofErr w:type="gramStart"/>
      <w:r>
        <w:rPr>
          <w:color w:val="000000"/>
          <w:sz w:val="16"/>
        </w:rPr>
        <w:t>que attendre</w:t>
      </w:r>
      <w:proofErr w:type="gramEnd"/>
      <w:r>
        <w:rPr>
          <w:color w:val="000000"/>
          <w:sz w:val="16"/>
        </w:rPr>
        <w:t xml:space="preserve">, avoir l’intention, planning, prédiction, supposer, croire, estimer, anticiper, prévoir, etc. De telles affirmations ne doivent pas être conçues comme une quelconque garantie que ces prévisions vont se réaliser. La performance et les résultats futurs effectivement réalisés par Henkel AG &amp; Co. </w:t>
      </w:r>
      <w:proofErr w:type="spellStart"/>
      <w:r>
        <w:rPr>
          <w:color w:val="000000"/>
          <w:sz w:val="16"/>
        </w:rPr>
        <w:t>KGaA</w:t>
      </w:r>
      <w:proofErr w:type="spellEnd"/>
      <w:r>
        <w:rPr>
          <w:color w:val="000000"/>
          <w:sz w:val="16"/>
        </w:rPr>
        <w:t xml:space="preserve"> et ses filiales comportent de nombreux risques et incertitudes et peuvent par conséquent diverger sensiblement des prévisions initiales. Nombre de ces facteurs échappent au contrôle direct de Henkel et ne peuvent être évalués avec précision à l’avance, à commencer par l’environnement économique futur, et les actions des concurrents et d’autres acteurs impliqués sur les marchés. Henkel n’a pas l’intention de mettre à jour les prévisions et ne le fera jamais.</w:t>
      </w:r>
    </w:p>
    <w:p w:rsidR="00AA32FF" w:rsidRPr="00A22E62" w:rsidRDefault="00AA32FF" w:rsidP="00AA32FF">
      <w:pPr>
        <w:spacing w:line="240" w:lineRule="auto"/>
        <w:jc w:val="both"/>
        <w:rPr>
          <w:rFonts w:cs="Arial"/>
          <w:b/>
          <w:szCs w:val="20"/>
          <w:u w:val="single"/>
        </w:rPr>
      </w:pPr>
    </w:p>
    <w:p w:rsidR="00AA32FF" w:rsidRPr="004A58AC" w:rsidRDefault="00AA32FF" w:rsidP="00AA32FF">
      <w:pPr>
        <w:tabs>
          <w:tab w:val="left" w:pos="709"/>
          <w:tab w:val="left" w:pos="4536"/>
          <w:tab w:val="left" w:pos="5245"/>
        </w:tabs>
        <w:spacing w:line="240" w:lineRule="auto"/>
        <w:rPr>
          <w:szCs w:val="20"/>
        </w:rPr>
      </w:pPr>
    </w:p>
    <w:p w:rsidR="00C41B2A" w:rsidRDefault="00C41B2A" w:rsidP="00C41B2A">
      <w:pPr>
        <w:rPr>
          <w:rFonts w:cs="Arial"/>
          <w:b/>
          <w:szCs w:val="20"/>
          <w:u w:val="single"/>
        </w:rPr>
      </w:pPr>
      <w:r>
        <w:rPr>
          <w:rFonts w:cs="Arial"/>
          <w:b/>
          <w:szCs w:val="20"/>
          <w:u w:val="single"/>
        </w:rPr>
        <w:t>Contacts presse</w:t>
      </w:r>
    </w:p>
    <w:tbl>
      <w:tblPr>
        <w:tblW w:w="0" w:type="auto"/>
        <w:tblLook w:val="04A0" w:firstRow="1" w:lastRow="0" w:firstColumn="1" w:lastColumn="0" w:noHBand="0" w:noVBand="1"/>
      </w:tblPr>
      <w:tblGrid>
        <w:gridCol w:w="4606"/>
        <w:gridCol w:w="4606"/>
      </w:tblGrid>
      <w:tr w:rsidR="00C41B2A" w:rsidTr="001A6561">
        <w:tc>
          <w:tcPr>
            <w:tcW w:w="4606" w:type="dxa"/>
          </w:tcPr>
          <w:p w:rsidR="00C41B2A" w:rsidRDefault="00C41B2A" w:rsidP="00C41B2A">
            <w:pPr>
              <w:ind w:left="-108"/>
              <w:rPr>
                <w:rFonts w:cs="Arial"/>
                <w:szCs w:val="20"/>
              </w:rPr>
            </w:pPr>
            <w:r>
              <w:rPr>
                <w:rFonts w:cs="Arial"/>
                <w:szCs w:val="20"/>
              </w:rPr>
              <w:t>Henkel</w:t>
            </w:r>
            <w:r>
              <w:rPr>
                <w:rFonts w:cs="Arial"/>
                <w:szCs w:val="20"/>
              </w:rPr>
              <w:br/>
              <w:t>Stéphanie Coignard</w:t>
            </w:r>
            <w:r>
              <w:rPr>
                <w:rFonts w:cs="Arial"/>
                <w:szCs w:val="20"/>
              </w:rPr>
              <w:br/>
              <w:t>Tél : 01 46 84 92 23</w:t>
            </w:r>
            <w:r>
              <w:rPr>
                <w:rFonts w:cs="Arial"/>
                <w:szCs w:val="20"/>
              </w:rPr>
              <w:br/>
            </w:r>
            <w:hyperlink r:id="rId8" w:history="1">
              <w:r w:rsidRPr="00C84C82">
                <w:rPr>
                  <w:rStyle w:val="Lienhypertexte"/>
                  <w:szCs w:val="20"/>
                </w:rPr>
                <w:t>stephanie.coignard@henkel.com</w:t>
              </w:r>
            </w:hyperlink>
          </w:p>
        </w:tc>
        <w:tc>
          <w:tcPr>
            <w:tcW w:w="4606" w:type="dxa"/>
            <w:hideMark/>
          </w:tcPr>
          <w:p w:rsidR="00C41B2A" w:rsidRDefault="00C41B2A" w:rsidP="001A6561">
            <w:pPr>
              <w:rPr>
                <w:rFonts w:cs="Arial"/>
                <w:color w:val="0000FF"/>
                <w:szCs w:val="20"/>
                <w:u w:val="single"/>
              </w:rPr>
            </w:pPr>
            <w:r>
              <w:rPr>
                <w:rFonts w:cs="Arial"/>
                <w:szCs w:val="20"/>
              </w:rPr>
              <w:t xml:space="preserve">Agence </w:t>
            </w:r>
            <w:proofErr w:type="spellStart"/>
            <w:r>
              <w:rPr>
                <w:rFonts w:cs="Arial"/>
                <w:szCs w:val="20"/>
              </w:rPr>
              <w:t>Burson</w:t>
            </w:r>
            <w:proofErr w:type="spellEnd"/>
            <w:r>
              <w:rPr>
                <w:rFonts w:cs="Arial"/>
                <w:szCs w:val="20"/>
              </w:rPr>
              <w:t xml:space="preserve"> </w:t>
            </w:r>
            <w:proofErr w:type="spellStart"/>
            <w:r>
              <w:rPr>
                <w:rFonts w:cs="Arial"/>
                <w:szCs w:val="20"/>
              </w:rPr>
              <w:t>Marsteller</w:t>
            </w:r>
            <w:proofErr w:type="spellEnd"/>
            <w:r>
              <w:rPr>
                <w:rFonts w:cs="Arial"/>
                <w:szCs w:val="20"/>
              </w:rPr>
              <w:t xml:space="preserve"> </w:t>
            </w:r>
            <w:proofErr w:type="spellStart"/>
            <w:r>
              <w:rPr>
                <w:rFonts w:cs="Arial"/>
                <w:szCs w:val="20"/>
              </w:rPr>
              <w:t>i&amp;e</w:t>
            </w:r>
            <w:proofErr w:type="spellEnd"/>
            <w:r>
              <w:rPr>
                <w:rFonts w:cs="Arial"/>
                <w:szCs w:val="20"/>
              </w:rPr>
              <w:br/>
              <w:t>Paolo Ghilardi</w:t>
            </w:r>
            <w:r>
              <w:rPr>
                <w:rFonts w:cs="Arial"/>
                <w:szCs w:val="20"/>
              </w:rPr>
              <w:br/>
              <w:t xml:space="preserve">Tél : 01 56 03 </w:t>
            </w:r>
            <w:r w:rsidR="0091256A">
              <w:rPr>
                <w:rFonts w:cs="Arial"/>
                <w:szCs w:val="20"/>
              </w:rPr>
              <w:t>13 02</w:t>
            </w:r>
            <w:r>
              <w:rPr>
                <w:rFonts w:cs="Arial"/>
                <w:szCs w:val="20"/>
              </w:rPr>
              <w:br/>
            </w:r>
            <w:hyperlink r:id="rId9" w:history="1">
              <w:r>
                <w:rPr>
                  <w:rStyle w:val="Lienhypertexte"/>
                  <w:szCs w:val="20"/>
                </w:rPr>
                <w:t>paolo.ghilardi@bm.com</w:t>
              </w:r>
            </w:hyperlink>
          </w:p>
        </w:tc>
      </w:tr>
    </w:tbl>
    <w:p w:rsidR="002F4146" w:rsidRPr="008A32A5" w:rsidRDefault="002F4146" w:rsidP="002F4146">
      <w:pPr>
        <w:tabs>
          <w:tab w:val="left" w:pos="0"/>
          <w:tab w:val="left" w:pos="360"/>
          <w:tab w:val="left" w:pos="1080"/>
          <w:tab w:val="left" w:pos="1800"/>
          <w:tab w:val="left" w:pos="2520"/>
          <w:tab w:val="left" w:pos="3240"/>
          <w:tab w:val="left" w:pos="3960"/>
        </w:tabs>
        <w:autoSpaceDE w:val="0"/>
        <w:autoSpaceDN w:val="0"/>
        <w:adjustRightInd w:val="0"/>
        <w:spacing w:line="240" w:lineRule="auto"/>
        <w:jc w:val="both"/>
        <w:rPr>
          <w:rFonts w:cs="Arial"/>
          <w:szCs w:val="20"/>
        </w:rPr>
      </w:pPr>
    </w:p>
    <w:p w:rsidR="002F4146" w:rsidRPr="0091256A" w:rsidRDefault="00D31373" w:rsidP="002F4146">
      <w:pPr>
        <w:autoSpaceDE w:val="0"/>
        <w:autoSpaceDN w:val="0"/>
        <w:rPr>
          <w:rFonts w:ascii="Calibri" w:hAnsi="Calibri" w:cs="Calibri"/>
          <w:sz w:val="22"/>
          <w:szCs w:val="22"/>
        </w:rPr>
      </w:pPr>
      <w:hyperlink r:id="rId10" w:history="1">
        <w:r w:rsidR="002F4146" w:rsidRPr="0091256A">
          <w:rPr>
            <w:color w:val="0000FF"/>
            <w:u w:val="single"/>
          </w:rPr>
          <w:t>www.henkel.com/press</w:t>
        </w:r>
      </w:hyperlink>
    </w:p>
    <w:p w:rsidR="00AA32FF" w:rsidRPr="00C0734F" w:rsidRDefault="00D31373" w:rsidP="00C0734F">
      <w:pPr>
        <w:autoSpaceDE w:val="0"/>
        <w:autoSpaceDN w:val="0"/>
      </w:pPr>
      <w:hyperlink r:id="rId11" w:history="1">
        <w:r w:rsidR="002F4146" w:rsidRPr="0091256A">
          <w:rPr>
            <w:color w:val="0000FF"/>
            <w:u w:val="single"/>
          </w:rPr>
          <w:t>www.henkel.com/ir</w:t>
        </w:r>
      </w:hyperlink>
    </w:p>
    <w:sectPr w:rsidR="00AA32FF" w:rsidRPr="00C0734F" w:rsidSect="00C0734F">
      <w:headerReference w:type="default" r:id="rId12"/>
      <w:footerReference w:type="default" r:id="rId13"/>
      <w:headerReference w:type="first" r:id="rId14"/>
      <w:footerReference w:type="first" r:id="rId15"/>
      <w:pgSz w:w="11907" w:h="16840" w:code="9"/>
      <w:pgMar w:top="510" w:right="1275" w:bottom="1985" w:left="1418" w:header="720" w:footer="94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4567E" w:rsidRDefault="00E4567E">
      <w:pPr>
        <w:spacing w:line="240" w:lineRule="auto"/>
      </w:pPr>
      <w:r>
        <w:separator/>
      </w:r>
    </w:p>
  </w:endnote>
  <w:endnote w:type="continuationSeparator" w:id="0">
    <w:p w:rsidR="00E4567E" w:rsidRDefault="00E4567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onsolas">
    <w:panose1 w:val="020B0609020204030204"/>
    <w:charset w:val="00"/>
    <w:family w:val="modern"/>
    <w:pitch w:val="fixed"/>
    <w:sig w:usb0="E10002FF" w:usb1="4000FCFF" w:usb2="00000009"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4964" w:rsidRDefault="00D31373">
    <w:pPr>
      <w:pStyle w:val="Pieddepage"/>
      <w:tabs>
        <w:tab w:val="clear" w:pos="7083"/>
        <w:tab w:val="clear" w:pos="8640"/>
        <w:tab w:val="right" w:pos="9057"/>
      </w:tabs>
    </w:pPr>
  </w:p>
  <w:p w:rsidR="00027FA3" w:rsidRPr="00BA1B20" w:rsidRDefault="00C41B2A">
    <w:pPr>
      <w:pStyle w:val="Pieddepage"/>
      <w:tabs>
        <w:tab w:val="clear" w:pos="7083"/>
        <w:tab w:val="clear" w:pos="8640"/>
        <w:tab w:val="right" w:pos="9057"/>
      </w:tabs>
      <w:rPr>
        <w:b w:val="0"/>
        <w:color w:val="auto"/>
        <w:sz w:val="14"/>
        <w:szCs w:val="14"/>
      </w:rPr>
    </w:pPr>
    <w:r>
      <w:tab/>
    </w:r>
    <w:r>
      <w:rPr>
        <w:b w:val="0"/>
        <w:color w:val="auto"/>
        <w:sz w:val="14"/>
      </w:rPr>
      <w:t xml:space="preserve">Page </w:t>
    </w:r>
    <w:r w:rsidRPr="00BA1B20">
      <w:rPr>
        <w:b w:val="0"/>
        <w:color w:val="auto"/>
        <w:sz w:val="14"/>
        <w:szCs w:val="14"/>
      </w:rPr>
      <w:fldChar w:fldCharType="begin"/>
    </w:r>
    <w:r w:rsidRPr="00BA1B20">
      <w:rPr>
        <w:b w:val="0"/>
        <w:color w:val="auto"/>
        <w:sz w:val="14"/>
        <w:szCs w:val="14"/>
      </w:rPr>
      <w:instrText xml:space="preserve"> PAGE  \* Arabic  \* MERGEFORMAT </w:instrText>
    </w:r>
    <w:r w:rsidRPr="00BA1B20">
      <w:rPr>
        <w:b w:val="0"/>
        <w:color w:val="auto"/>
        <w:sz w:val="14"/>
        <w:szCs w:val="14"/>
      </w:rPr>
      <w:fldChar w:fldCharType="separate"/>
    </w:r>
    <w:r w:rsidR="00D31373">
      <w:rPr>
        <w:b w:val="0"/>
        <w:noProof/>
        <w:color w:val="auto"/>
        <w:sz w:val="14"/>
        <w:szCs w:val="14"/>
      </w:rPr>
      <w:t>5</w:t>
    </w:r>
    <w:r w:rsidRPr="00BA1B20">
      <w:rPr>
        <w:b w:val="0"/>
        <w:color w:val="auto"/>
        <w:sz w:val="14"/>
        <w:szCs w:val="14"/>
      </w:rPr>
      <w:fldChar w:fldCharType="end"/>
    </w:r>
    <w:r>
      <w:rPr>
        <w:b w:val="0"/>
        <w:color w:val="auto"/>
        <w:sz w:val="14"/>
      </w:rPr>
      <w:t>/</w:t>
    </w:r>
    <w:r w:rsidR="00D31373">
      <w:fldChar w:fldCharType="begin"/>
    </w:r>
    <w:r w:rsidR="00D31373">
      <w:instrText xml:space="preserve"> NUMPAGES  \* Arabic  \* MERGEFORMAT </w:instrText>
    </w:r>
    <w:r w:rsidR="00D31373">
      <w:fldChar w:fldCharType="separate"/>
    </w:r>
    <w:r w:rsidR="00D31373" w:rsidRPr="00D31373">
      <w:rPr>
        <w:b w:val="0"/>
        <w:noProof/>
        <w:color w:val="auto"/>
        <w:sz w:val="14"/>
        <w:szCs w:val="14"/>
      </w:rPr>
      <w:t>5</w:t>
    </w:r>
    <w:r w:rsidR="00D31373">
      <w:rPr>
        <w:b w:val="0"/>
        <w:noProof/>
        <w:color w:val="auto"/>
        <w:sz w:val="14"/>
        <w:szCs w:val="1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0E20" w:rsidRDefault="00C41B2A" w:rsidP="00D50E20">
    <w:pPr>
      <w:pStyle w:val="Pieddepage"/>
      <w:jc w:val="distribute"/>
      <w:rPr>
        <w:b w:val="0"/>
      </w:rPr>
    </w:pPr>
    <w:r w:rsidRPr="006A44FB">
      <w:rPr>
        <w:b w:val="0"/>
        <w:noProof/>
      </w:rPr>
      <w:drawing>
        <wp:inline distT="0" distB="0" distL="0" distR="0" wp14:anchorId="0A325332" wp14:editId="47AE5232">
          <wp:extent cx="5781675" cy="304800"/>
          <wp:effectExtent l="0" t="0" r="0" b="0"/>
          <wp:docPr id="3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81675" cy="304800"/>
                  </a:xfrm>
                  <a:prstGeom prst="rect">
                    <a:avLst/>
                  </a:prstGeom>
                  <a:noFill/>
                  <a:ln>
                    <a:noFill/>
                  </a:ln>
                </pic:spPr>
              </pic:pic>
            </a:graphicData>
          </a:graphic>
        </wp:inline>
      </w:drawing>
    </w:r>
  </w:p>
  <w:p w:rsidR="00093716" w:rsidRDefault="00D31373" w:rsidP="00093716">
    <w:pPr>
      <w:pStyle w:val="Pieddepage"/>
      <w:jc w:val="distribute"/>
      <w:rPr>
        <w:b w:val="0"/>
      </w:rPr>
    </w:pPr>
  </w:p>
  <w:p w:rsidR="00656125" w:rsidRPr="004A4699" w:rsidRDefault="00D31373" w:rsidP="00093716">
    <w:pPr>
      <w:pStyle w:val="Pieddepage"/>
      <w:jc w:val="center"/>
      <w:rPr>
        <w:color w:val="auto"/>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4567E" w:rsidRDefault="00E4567E">
      <w:pPr>
        <w:spacing w:line="240" w:lineRule="auto"/>
      </w:pPr>
      <w:r>
        <w:separator/>
      </w:r>
    </w:p>
  </w:footnote>
  <w:footnote w:type="continuationSeparator" w:id="0">
    <w:p w:rsidR="00E4567E" w:rsidRDefault="00E4567E">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7FA3" w:rsidRDefault="00C41B2A">
    <w:pPr>
      <w:pStyle w:val="En-tte"/>
      <w:spacing w:after="567" w:line="280" w:lineRule="exact"/>
      <w:jc w:val="right"/>
    </w:pPr>
    <w:r>
      <w:rPr>
        <w:noProof/>
      </w:rPr>
      <mc:AlternateContent>
        <mc:Choice Requires="wpg">
          <w:drawing>
            <wp:anchor distT="0" distB="0" distL="114300" distR="114300" simplePos="0" relativeHeight="251660288" behindDoc="0" locked="0" layoutInCell="1" allowOverlap="1">
              <wp:simplePos x="0" y="0"/>
              <wp:positionH relativeFrom="page">
                <wp:posOffset>180340</wp:posOffset>
              </wp:positionH>
              <wp:positionV relativeFrom="page">
                <wp:posOffset>3780790</wp:posOffset>
              </wp:positionV>
              <wp:extent cx="183515" cy="3796030"/>
              <wp:effectExtent l="0" t="0" r="26035" b="13970"/>
              <wp:wrapNone/>
              <wp:docPr id="8" name="Groupe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3515" cy="3796030"/>
                        <a:chOff x="0" y="5954"/>
                        <a:chExt cx="283" cy="5953"/>
                      </a:xfrm>
                    </wpg:grpSpPr>
                    <wps:wsp>
                      <wps:cNvPr id="9" name="Line 2"/>
                      <wps:cNvCnPr>
                        <a:cxnSpLocks noChangeShapeType="1"/>
                      </wps:cNvCnPr>
                      <wps:spPr bwMode="auto">
                        <a:xfrm>
                          <a:off x="0" y="5954"/>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s:wsp>
                      <wps:cNvPr id="10" name="Line 3"/>
                      <wps:cNvCnPr>
                        <a:cxnSpLocks noChangeShapeType="1"/>
                      </wps:cNvCnPr>
                      <wps:spPr bwMode="auto">
                        <a:xfrm>
                          <a:off x="0" y="8420"/>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s:wsp>
                      <wps:cNvPr id="11" name="Line 4"/>
                      <wps:cNvCnPr>
                        <a:cxnSpLocks noChangeShapeType="1"/>
                      </wps:cNvCnPr>
                      <wps:spPr bwMode="auto">
                        <a:xfrm>
                          <a:off x="0" y="11907"/>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363898C" id="Groupe 8" o:spid="_x0000_s1026" style="position:absolute;margin-left:14.2pt;margin-top:297.7pt;width:14.45pt;height:298.9pt;z-index:251660288;mso-position-horizontal-relative:page;mso-position-vertical-relative:page" coordorigin=",5954" coordsize="283,59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">
              <v:line id="Line 2" o:spid="_x0000_s1027" style="position:absolute;visibility:visible;mso-wrap-style:square" from="0,5954" to="283,59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HpumcIAAADaAAAADwAAAGRycy9kb3ducmV2LnhtbESPwWrCQBCG74W+wzIFb3VTD2Kjq0io&#10;IooHU8XrmB2TYHY2ZNcYfXpXKPQ4M///Dd9k1plKtNS40rKCr34EgjizuuRcwf538TkC4Tyyxsoy&#10;KbiTg9n0/W2CsbY33lGb+lwECLsYFRTe17GULivIoOvbmjjczrYx6MPY5FI3eAtwU8lBFA2lwZLD&#10;hwJrSgrKLunVBIrdrjeP09L+aE9dkmbp8dAmSvU+uvkYRNj5//Bfe6UVfMNLJWiAnD4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cHpumcIAAADaAAAADwAAAAAAAAAAAAAA&#10;AAChAgAAZHJzL2Rvd25yZXYueG1sUEsFBgAAAAAEAAQA+QAAAJADAAAAAA==&#10;" strokecolor="#e1000f" strokeweight=".5pt"/>
              <v:line id="Line 3" o:spid="_x0000_s1028" style="position:absolute;visibility:visible;mso-wrap-style:square" from="0,8420" to="283,84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FSkiMMAAADbAAAADwAAAGRycy9kb3ducmV2LnhtbESPT2vCQBDF74LfYRmhN93oQUrqKhJU&#10;iqUH05Zep9kxCWZnQ3Yb03565yB4mzd/fu/NajO4RvXUhdqzgfksAUVceFtzaeDzYz99BhUissXG&#10;Mxn4owCb9Xi0wtT6K5+oz2OpBMIhRQNVjG2qdSgqchhmviWW2dl3DqPIrtS2w6vAXaMXSbLUDmsW&#10;hwpbyioqLvmvE4p/P779/xz8zkYasrzIv7/6zJinybB9ASW9+Fi+X79aiS/p5RcpQK9v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hUpIjDAAAA2wAAAA8AAAAAAAAAAAAA&#10;AAAAoQIAAGRycy9kb3ducmV2LnhtbFBLBQYAAAAABAAEAPkAAACRAwAAAAA=&#10;" strokecolor="#e1000f" strokeweight=".5pt"/>
              <v:line id="Line 4" o:spid="_x0000_s1029" style="position:absolute;visibility:visible;mso-wrap-style:square" from="0,11907" to="283,119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xgBE8QAAADbAAAADwAAAGRycy9kb3ducmV2LnhtbESPQWvCQBCF7wX/wzKCt7rRg5ToKiWo&#10;iNJD00qv0+w0CWZnQ3aNsb++Uyj0Nm/em29mVpvBNaqnLtSeDcymCSjiwtuaSwPvb7vHJ1AhIlts&#10;PJOBOwXYrEcPK0ytv/Er9XkslUA4pGigirFNtQ5FRQ7D1LfE4n35zmEU2ZXadngTuGv0PEkW2mHN&#10;sqHClrKKikt+dULxL8fT9+feb22kIcuL/OPcZ8ZMxsPzEpT04n/4b/pg5fwZ/P4iBej1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3GAETxAAAANsAAAAPAAAAAAAAAAAA&#10;AAAAAKECAABkcnMvZG93bnJldi54bWxQSwUGAAAAAAQABAD5AAAAkgMAAAAA&#10;" strokecolor="#e1000f" strokeweight=".5pt"/>
              <w10:wrap anchorx="page" anchory="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7FA3" w:rsidRDefault="00C41B2A" w:rsidP="00A847F3">
    <w:pPr>
      <w:pStyle w:val="En-tte"/>
      <w:tabs>
        <w:tab w:val="clear" w:pos="4320"/>
        <w:tab w:val="clear" w:pos="8640"/>
        <w:tab w:val="left" w:pos="1275"/>
      </w:tabs>
      <w:spacing w:line="2155" w:lineRule="exact"/>
      <w:rPr>
        <w:b/>
        <w:bCs/>
        <w:sz w:val="36"/>
        <w:szCs w:val="36"/>
      </w:rPr>
    </w:pPr>
    <w:r>
      <w:rPr>
        <w:noProof/>
      </w:rPr>
      <w:drawing>
        <wp:anchor distT="0" distB="0" distL="114300" distR="114300" simplePos="0" relativeHeight="251661312" behindDoc="0" locked="1" layoutInCell="1" allowOverlap="1" wp14:anchorId="61348927" wp14:editId="377E7A9B">
          <wp:simplePos x="0" y="0"/>
          <wp:positionH relativeFrom="margin">
            <wp:posOffset>5050790</wp:posOffset>
          </wp:positionH>
          <wp:positionV relativeFrom="page">
            <wp:posOffset>571500</wp:posOffset>
          </wp:positionV>
          <wp:extent cx="1097915" cy="611505"/>
          <wp:effectExtent l="0" t="0" r="0" b="0"/>
          <wp:wrapNone/>
          <wp:docPr id="30"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97915" cy="611505"/>
                  </a:xfrm>
                  <a:prstGeom prst="rect">
                    <a:avLst/>
                  </a:prstGeom>
                  <a:noFill/>
                  <a:ln>
                    <a:noFill/>
                  </a:ln>
                </pic:spPr>
              </pic:pic>
            </a:graphicData>
          </a:graphic>
          <wp14:sizeRelH relativeFrom="margin">
            <wp14:pctWidth>0</wp14:pctWidth>
          </wp14:sizeRelH>
          <wp14:sizeRelV relativeFrom="margin">
            <wp14:pctHeight>0</wp14:pctHeight>
          </wp14:sizeRelV>
        </wp:anchor>
      </w:drawing>
    </w:r>
    <w:r>
      <w:rPr>
        <w:b/>
        <w:bCs/>
        <w:sz w:val="36"/>
        <w:szCs w:val="36"/>
      </w:rPr>
      <w:tab/>
    </w:r>
  </w:p>
  <w:p w:rsidR="00027FA3" w:rsidRDefault="00C41B2A">
    <w:pPr>
      <w:pStyle w:val="En-tte"/>
      <w:tabs>
        <w:tab w:val="clear" w:pos="8640"/>
      </w:tabs>
      <w:spacing w:line="420" w:lineRule="atLeast"/>
      <w:jc w:val="right"/>
      <w:rPr>
        <w:b/>
        <w:bCs/>
        <w:sz w:val="36"/>
        <w:szCs w:val="36"/>
      </w:rPr>
    </w:pPr>
    <w:r>
      <w:rPr>
        <w:noProof/>
      </w:rPr>
      <mc:AlternateContent>
        <mc:Choice Requires="wpg">
          <w:drawing>
            <wp:anchor distT="0" distB="0" distL="114300" distR="114300" simplePos="0" relativeHeight="251659264" behindDoc="0" locked="0" layoutInCell="1" allowOverlap="1">
              <wp:simplePos x="0" y="0"/>
              <wp:positionH relativeFrom="page">
                <wp:posOffset>180340</wp:posOffset>
              </wp:positionH>
              <wp:positionV relativeFrom="page">
                <wp:posOffset>3780790</wp:posOffset>
              </wp:positionV>
              <wp:extent cx="179705" cy="3780155"/>
              <wp:effectExtent l="0" t="0" r="29845" b="10795"/>
              <wp:wrapNone/>
              <wp:docPr id="1" name="Groupe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705" cy="3780155"/>
                        <a:chOff x="0" y="5954"/>
                        <a:chExt cx="283" cy="5953"/>
                      </a:xfrm>
                    </wpg:grpSpPr>
                    <wps:wsp>
                      <wps:cNvPr id="2" name="Line 6"/>
                      <wps:cNvCnPr>
                        <a:cxnSpLocks noChangeShapeType="1"/>
                      </wps:cNvCnPr>
                      <wps:spPr bwMode="auto">
                        <a:xfrm>
                          <a:off x="0" y="5954"/>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s:wsp>
                      <wps:cNvPr id="3" name="Line 7"/>
                      <wps:cNvCnPr>
                        <a:cxnSpLocks noChangeShapeType="1"/>
                      </wps:cNvCnPr>
                      <wps:spPr bwMode="auto">
                        <a:xfrm>
                          <a:off x="0" y="8420"/>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s:wsp>
                      <wps:cNvPr id="7" name="Line 8"/>
                      <wps:cNvCnPr>
                        <a:cxnSpLocks noChangeShapeType="1"/>
                      </wps:cNvCnPr>
                      <wps:spPr bwMode="auto">
                        <a:xfrm>
                          <a:off x="0" y="11907"/>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E03BE2F" id="Groupe 1" o:spid="_x0000_s1026" style="position:absolute;margin-left:14.2pt;margin-top:297.7pt;width:14.15pt;height:297.65pt;z-index:251659264;mso-position-horizontal-relative:page;mso-position-vertical-relative:page" coordorigin=",5954" coordsize="283,59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">
              <v:line id="Line 6" o:spid="_x0000_s1027" style="position:absolute;visibility:visible;mso-wrap-style:square" from="0,5954" to="283,59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nvBB8IAAADaAAAADwAAAGRycy9kb3ducmV2LnhtbESPwWrCQBCG74W+wzIFb3VTESnRVSRU&#10;EcWDqeJ1zI5JMDsbsmuMPr0rFHqcmf//hm8y60wlWmpcaVnBVz8CQZxZXXKuYP+7+PwG4Tyyxsoy&#10;KbiTg9n0/W2CsbY33lGb+lwECLsYFRTe17GULivIoOvbmjjczrYx6MPY5FI3eAtwU8lBFI2kwZLD&#10;hwJrSgrKLunVBIrdrjeP09L+aE9dkmbp8dAmSvU+uvkYRNj5//Bfe6UVDOGlEjRATp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nnvBB8IAAADaAAAADwAAAAAAAAAAAAAA&#10;AAChAgAAZHJzL2Rvd25yZXYueG1sUEsFBgAAAAAEAAQA+QAAAJADAAAAAA==&#10;" strokecolor="#e1000f" strokeweight=".5pt"/>
              <v:line id="Line 7" o:spid="_x0000_s1028" style="position:absolute;visibility:visible;mso-wrap-style:square" from="0,8420" to="283,84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eX668MAAADaAAAADwAAAGRycy9kb3ducmV2LnhtbESPwWrCQBCG7wXfYRmhN93oIZToJpSg&#10;Uio9NCq9TrPTJJidDdltEvv03YLQ48z8/zd822wyrRiod41lBatlBIK4tLrhSsH5tF88gXAeWWNr&#10;mRTcyEGWzh62mGg78jsNha9EgLBLUEHtfZdI6cqaDLql7YjD7cv2Bn0Y+0rqHscAN61cR1EsDTYc&#10;PtTYUV5TeS2+TaDYt9fjz+fB7rSnKS/K4uMy5Eo9zqfnDYiw8//he/tFK4jhTyVogEx/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Hl+uvDAAAA2gAAAA8AAAAAAAAAAAAA&#10;AAAAoQIAAGRycy9kb3ducmV2LnhtbFBLBQYAAAAABAAEAPkAAACRAwAAAAA=&#10;" strokecolor="#e1000f" strokeweight=".5pt"/>
              <v:line id="Line 8" o:spid="_x0000_s1029" style="position:absolute;visibility:visible;mso-wrap-style:square" from="0,11907" to="283,119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qlfcMIAAADaAAAADwAAAGRycy9kb3ducmV2LnhtbESPwWrCQBCG74W+wzIFb3VTD1qiq0io&#10;IooHU8XrmB2TYHY2ZNcYfXpXKPQ4M///Dd9k1plKtNS40rKCr34EgjizuuRcwf538fkNwnlkjZVl&#10;UnAnB7Pp+9sEY21vvKM29bkIEHYxKii8r2MpXVaQQde3NXG4nW1j0IexyaVu8BbgppKDKBpKgyWH&#10;DwXWlBSUXdKrCRS7XW8ep6X90Z66JM3S46FNlOp9dPMxiLDz/+G/9korGMFLJWiAnD4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bqlfcMIAAADaAAAADwAAAAAAAAAAAAAA&#10;AAChAgAAZHJzL2Rvd25yZXYueG1sUEsFBgAAAAAEAAQA+QAAAJADAAAAAA==&#10;" strokecolor="#e1000f" strokeweight=".5pt"/>
              <w10:wrap anchorx="page" anchory="page"/>
            </v:group>
          </w:pict>
        </mc:Fallback>
      </mc:AlternateContent>
    </w:r>
    <w:r>
      <w:rPr>
        <w:b/>
        <w:sz w:val="36"/>
      </w:rPr>
      <w:t>Communiqué de presse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570FC8"/>
    <w:multiLevelType w:val="hybridMultilevel"/>
    <w:tmpl w:val="453ECC82"/>
    <w:lvl w:ilvl="0" w:tplc="04070001">
      <w:start w:val="1"/>
      <w:numFmt w:val="bullet"/>
      <w:lvlText w:val=""/>
      <w:lvlJc w:val="left"/>
      <w:pPr>
        <w:tabs>
          <w:tab w:val="num" w:pos="720"/>
        </w:tabs>
        <w:ind w:left="720" w:hanging="360"/>
      </w:pPr>
      <w:rPr>
        <w:rFonts w:ascii="Symbol" w:hAnsi="Symbol" w:hint="default"/>
      </w:rPr>
    </w:lvl>
    <w:lvl w:ilvl="1" w:tplc="04070003">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2F16E15"/>
    <w:multiLevelType w:val="hybridMultilevel"/>
    <w:tmpl w:val="DBD875EC"/>
    <w:lvl w:ilvl="0" w:tplc="040C0001">
      <w:start w:val="1"/>
      <w:numFmt w:val="bullet"/>
      <w:lvlText w:val=""/>
      <w:lvlJc w:val="left"/>
      <w:pPr>
        <w:ind w:left="1958" w:hanging="360"/>
      </w:pPr>
      <w:rPr>
        <w:rFonts w:ascii="Symbol" w:hAnsi="Symbol" w:hint="default"/>
      </w:rPr>
    </w:lvl>
    <w:lvl w:ilvl="1" w:tplc="040C0003">
      <w:start w:val="1"/>
      <w:numFmt w:val="bullet"/>
      <w:lvlText w:val="o"/>
      <w:lvlJc w:val="left"/>
      <w:pPr>
        <w:ind w:left="2678" w:hanging="360"/>
      </w:pPr>
      <w:rPr>
        <w:rFonts w:ascii="Courier New" w:hAnsi="Courier New" w:cs="Courier New" w:hint="default"/>
      </w:rPr>
    </w:lvl>
    <w:lvl w:ilvl="2" w:tplc="040C0005">
      <w:start w:val="1"/>
      <w:numFmt w:val="bullet"/>
      <w:lvlText w:val=""/>
      <w:lvlJc w:val="left"/>
      <w:pPr>
        <w:ind w:left="3398" w:hanging="360"/>
      </w:pPr>
      <w:rPr>
        <w:rFonts w:ascii="Wingdings" w:hAnsi="Wingdings" w:hint="default"/>
      </w:rPr>
    </w:lvl>
    <w:lvl w:ilvl="3" w:tplc="040C0001" w:tentative="1">
      <w:start w:val="1"/>
      <w:numFmt w:val="bullet"/>
      <w:lvlText w:val=""/>
      <w:lvlJc w:val="left"/>
      <w:pPr>
        <w:ind w:left="4118" w:hanging="360"/>
      </w:pPr>
      <w:rPr>
        <w:rFonts w:ascii="Symbol" w:hAnsi="Symbol" w:hint="default"/>
      </w:rPr>
    </w:lvl>
    <w:lvl w:ilvl="4" w:tplc="040C0003" w:tentative="1">
      <w:start w:val="1"/>
      <w:numFmt w:val="bullet"/>
      <w:lvlText w:val="o"/>
      <w:lvlJc w:val="left"/>
      <w:pPr>
        <w:ind w:left="4838" w:hanging="360"/>
      </w:pPr>
      <w:rPr>
        <w:rFonts w:ascii="Courier New" w:hAnsi="Courier New" w:cs="Courier New" w:hint="default"/>
      </w:rPr>
    </w:lvl>
    <w:lvl w:ilvl="5" w:tplc="040C0005" w:tentative="1">
      <w:start w:val="1"/>
      <w:numFmt w:val="bullet"/>
      <w:lvlText w:val=""/>
      <w:lvlJc w:val="left"/>
      <w:pPr>
        <w:ind w:left="5558" w:hanging="360"/>
      </w:pPr>
      <w:rPr>
        <w:rFonts w:ascii="Wingdings" w:hAnsi="Wingdings" w:hint="default"/>
      </w:rPr>
    </w:lvl>
    <w:lvl w:ilvl="6" w:tplc="040C0001" w:tentative="1">
      <w:start w:val="1"/>
      <w:numFmt w:val="bullet"/>
      <w:lvlText w:val=""/>
      <w:lvlJc w:val="left"/>
      <w:pPr>
        <w:ind w:left="6278" w:hanging="360"/>
      </w:pPr>
      <w:rPr>
        <w:rFonts w:ascii="Symbol" w:hAnsi="Symbol" w:hint="default"/>
      </w:rPr>
    </w:lvl>
    <w:lvl w:ilvl="7" w:tplc="040C0003" w:tentative="1">
      <w:start w:val="1"/>
      <w:numFmt w:val="bullet"/>
      <w:lvlText w:val="o"/>
      <w:lvlJc w:val="left"/>
      <w:pPr>
        <w:ind w:left="6998" w:hanging="360"/>
      </w:pPr>
      <w:rPr>
        <w:rFonts w:ascii="Courier New" w:hAnsi="Courier New" w:cs="Courier New" w:hint="default"/>
      </w:rPr>
    </w:lvl>
    <w:lvl w:ilvl="8" w:tplc="040C0005" w:tentative="1">
      <w:start w:val="1"/>
      <w:numFmt w:val="bullet"/>
      <w:lvlText w:val=""/>
      <w:lvlJc w:val="left"/>
      <w:pPr>
        <w:ind w:left="7718" w:hanging="360"/>
      </w:pPr>
      <w:rPr>
        <w:rFonts w:ascii="Wingdings" w:hAnsi="Wingdings" w:hint="default"/>
      </w:rPr>
    </w:lvl>
  </w:abstractNum>
  <w:abstractNum w:abstractNumId="2" w15:restartNumberingAfterBreak="0">
    <w:nsid w:val="69D14C32"/>
    <w:multiLevelType w:val="hybridMultilevel"/>
    <w:tmpl w:val="C8CA6710"/>
    <w:lvl w:ilvl="0" w:tplc="686EC1C2">
      <w:numFmt w:val="bullet"/>
      <w:lvlText w:val=""/>
      <w:lvlJc w:val="left"/>
      <w:pPr>
        <w:ind w:left="1598" w:hanging="360"/>
      </w:pPr>
      <w:rPr>
        <w:rFonts w:ascii="Symbol" w:eastAsia="Symbol" w:hAnsi="Symbol" w:cs="Symbol" w:hint="default"/>
        <w:sz w:val="24"/>
        <w:szCs w:val="24"/>
      </w:rPr>
    </w:lvl>
    <w:lvl w:ilvl="1" w:tplc="E258F100">
      <w:numFmt w:val="bullet"/>
      <w:lvlText w:val="•"/>
      <w:lvlJc w:val="left"/>
      <w:pPr>
        <w:ind w:left="2502" w:hanging="360"/>
      </w:pPr>
      <w:rPr>
        <w:rFonts w:hint="default"/>
      </w:rPr>
    </w:lvl>
    <w:lvl w:ilvl="2" w:tplc="1D6AB07C">
      <w:numFmt w:val="bullet"/>
      <w:lvlText w:val="•"/>
      <w:lvlJc w:val="left"/>
      <w:pPr>
        <w:ind w:left="3404" w:hanging="360"/>
      </w:pPr>
      <w:rPr>
        <w:rFonts w:hint="default"/>
      </w:rPr>
    </w:lvl>
    <w:lvl w:ilvl="3" w:tplc="F66AE87C">
      <w:numFmt w:val="bullet"/>
      <w:lvlText w:val="•"/>
      <w:lvlJc w:val="left"/>
      <w:pPr>
        <w:ind w:left="4307" w:hanging="360"/>
      </w:pPr>
      <w:rPr>
        <w:rFonts w:hint="default"/>
      </w:rPr>
    </w:lvl>
    <w:lvl w:ilvl="4" w:tplc="9B5ED042">
      <w:numFmt w:val="bullet"/>
      <w:lvlText w:val="•"/>
      <w:lvlJc w:val="left"/>
      <w:pPr>
        <w:ind w:left="5209" w:hanging="360"/>
      </w:pPr>
      <w:rPr>
        <w:rFonts w:hint="default"/>
      </w:rPr>
    </w:lvl>
    <w:lvl w:ilvl="5" w:tplc="2DBE5696">
      <w:numFmt w:val="bullet"/>
      <w:lvlText w:val="•"/>
      <w:lvlJc w:val="left"/>
      <w:pPr>
        <w:ind w:left="6112" w:hanging="360"/>
      </w:pPr>
      <w:rPr>
        <w:rFonts w:hint="default"/>
      </w:rPr>
    </w:lvl>
    <w:lvl w:ilvl="6" w:tplc="16C6094E">
      <w:numFmt w:val="bullet"/>
      <w:lvlText w:val="•"/>
      <w:lvlJc w:val="left"/>
      <w:pPr>
        <w:ind w:left="7014" w:hanging="360"/>
      </w:pPr>
      <w:rPr>
        <w:rFonts w:hint="default"/>
      </w:rPr>
    </w:lvl>
    <w:lvl w:ilvl="7" w:tplc="52FAC6B6">
      <w:numFmt w:val="bullet"/>
      <w:lvlText w:val="•"/>
      <w:lvlJc w:val="left"/>
      <w:pPr>
        <w:ind w:left="7917" w:hanging="360"/>
      </w:pPr>
      <w:rPr>
        <w:rFonts w:hint="default"/>
      </w:rPr>
    </w:lvl>
    <w:lvl w:ilvl="8" w:tplc="B19C2A18">
      <w:numFmt w:val="bullet"/>
      <w:lvlText w:val="•"/>
      <w:lvlJc w:val="left"/>
      <w:pPr>
        <w:ind w:left="8819" w:hanging="360"/>
      </w:pPr>
      <w:rPr>
        <w:rFont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2"/>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1B2A"/>
    <w:rsid w:val="000B2838"/>
    <w:rsid w:val="000B2D8E"/>
    <w:rsid w:val="0012138B"/>
    <w:rsid w:val="00196DA9"/>
    <w:rsid w:val="001C4D6E"/>
    <w:rsid w:val="00223648"/>
    <w:rsid w:val="002B5568"/>
    <w:rsid w:val="002F4146"/>
    <w:rsid w:val="002F4AB5"/>
    <w:rsid w:val="0031586C"/>
    <w:rsid w:val="00322DE0"/>
    <w:rsid w:val="003310A3"/>
    <w:rsid w:val="00343D7F"/>
    <w:rsid w:val="00346069"/>
    <w:rsid w:val="003930E3"/>
    <w:rsid w:val="003D0A1F"/>
    <w:rsid w:val="003F647B"/>
    <w:rsid w:val="004725F3"/>
    <w:rsid w:val="00483C2E"/>
    <w:rsid w:val="00487ACA"/>
    <w:rsid w:val="004A15DE"/>
    <w:rsid w:val="004A58AC"/>
    <w:rsid w:val="004D38EE"/>
    <w:rsid w:val="004E0055"/>
    <w:rsid w:val="00520158"/>
    <w:rsid w:val="00552D43"/>
    <w:rsid w:val="00561FAA"/>
    <w:rsid w:val="005846BF"/>
    <w:rsid w:val="005A06F1"/>
    <w:rsid w:val="005A68D8"/>
    <w:rsid w:val="005B1B91"/>
    <w:rsid w:val="005C4F9A"/>
    <w:rsid w:val="005E41AE"/>
    <w:rsid w:val="005F15D1"/>
    <w:rsid w:val="00635A66"/>
    <w:rsid w:val="006726B4"/>
    <w:rsid w:val="006A71CC"/>
    <w:rsid w:val="00784649"/>
    <w:rsid w:val="00791F2A"/>
    <w:rsid w:val="007A29F6"/>
    <w:rsid w:val="007A2FCC"/>
    <w:rsid w:val="007C2E60"/>
    <w:rsid w:val="007C4DC4"/>
    <w:rsid w:val="007D02CA"/>
    <w:rsid w:val="007D45A7"/>
    <w:rsid w:val="00814794"/>
    <w:rsid w:val="008202D6"/>
    <w:rsid w:val="00833E06"/>
    <w:rsid w:val="008400AC"/>
    <w:rsid w:val="00890E1A"/>
    <w:rsid w:val="008A32A5"/>
    <w:rsid w:val="008A4F70"/>
    <w:rsid w:val="008B3DAA"/>
    <w:rsid w:val="008B6242"/>
    <w:rsid w:val="008C61BD"/>
    <w:rsid w:val="0091256A"/>
    <w:rsid w:val="00921FA9"/>
    <w:rsid w:val="0097190A"/>
    <w:rsid w:val="009A2EC7"/>
    <w:rsid w:val="009C003A"/>
    <w:rsid w:val="009E03B8"/>
    <w:rsid w:val="00A00996"/>
    <w:rsid w:val="00A016C0"/>
    <w:rsid w:val="00A42F13"/>
    <w:rsid w:val="00AA32FF"/>
    <w:rsid w:val="00AE28BF"/>
    <w:rsid w:val="00B20705"/>
    <w:rsid w:val="00B22037"/>
    <w:rsid w:val="00B40C13"/>
    <w:rsid w:val="00B948E4"/>
    <w:rsid w:val="00BE029E"/>
    <w:rsid w:val="00BE1915"/>
    <w:rsid w:val="00BF00A8"/>
    <w:rsid w:val="00BF5410"/>
    <w:rsid w:val="00C0734F"/>
    <w:rsid w:val="00C10277"/>
    <w:rsid w:val="00C36D5E"/>
    <w:rsid w:val="00C41B2A"/>
    <w:rsid w:val="00C5115E"/>
    <w:rsid w:val="00C846C8"/>
    <w:rsid w:val="00D0338A"/>
    <w:rsid w:val="00D31373"/>
    <w:rsid w:val="00D32DB8"/>
    <w:rsid w:val="00D7308C"/>
    <w:rsid w:val="00D83A64"/>
    <w:rsid w:val="00D86AA4"/>
    <w:rsid w:val="00DB6D28"/>
    <w:rsid w:val="00DE7267"/>
    <w:rsid w:val="00DE7A2C"/>
    <w:rsid w:val="00E328BA"/>
    <w:rsid w:val="00E4567E"/>
    <w:rsid w:val="00E7279F"/>
    <w:rsid w:val="00EE5AB9"/>
    <w:rsid w:val="00F462CF"/>
    <w:rsid w:val="00F64D5F"/>
    <w:rsid w:val="00F655F9"/>
    <w:rsid w:val="00FA0B42"/>
    <w:rsid w:val="00FB690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7038DB90-9CA8-4C19-946E-6332E45CD3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41B2A"/>
    <w:pPr>
      <w:spacing w:after="0" w:line="260" w:lineRule="atLeast"/>
    </w:pPr>
    <w:rPr>
      <w:rFonts w:ascii="Arial" w:eastAsia="Times New Roman" w:hAnsi="Arial" w:cs="Times New Roman"/>
      <w:sz w:val="20"/>
      <w:szCs w:val="24"/>
      <w:lang w:eastAsia="fr-FR"/>
    </w:rPr>
  </w:style>
  <w:style w:type="paragraph" w:styleId="Titre1">
    <w:name w:val="heading 1"/>
    <w:basedOn w:val="Normal"/>
    <w:next w:val="Normal"/>
    <w:link w:val="Titre1Car"/>
    <w:uiPriority w:val="99"/>
    <w:qFormat/>
    <w:rsid w:val="00AA32FF"/>
    <w:pPr>
      <w:keepNext/>
      <w:spacing w:line="420" w:lineRule="atLeast"/>
      <w:outlineLvl w:val="0"/>
    </w:pPr>
    <w:rPr>
      <w:rFonts w:cs="Arial"/>
      <w:b/>
      <w:bCs/>
      <w:kern w:val="32"/>
      <w:sz w:val="36"/>
      <w:szCs w:val="32"/>
      <w:lang w:val="de-DE"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rsid w:val="00C41B2A"/>
    <w:pPr>
      <w:tabs>
        <w:tab w:val="center" w:pos="4320"/>
        <w:tab w:val="right" w:pos="8640"/>
      </w:tabs>
    </w:pPr>
  </w:style>
  <w:style w:type="character" w:customStyle="1" w:styleId="En-tteCar">
    <w:name w:val="En-tête Car"/>
    <w:basedOn w:val="Policepardfaut"/>
    <w:link w:val="En-tte"/>
    <w:uiPriority w:val="99"/>
    <w:rsid w:val="00C41B2A"/>
    <w:rPr>
      <w:rFonts w:ascii="Arial" w:eastAsia="Times New Roman" w:hAnsi="Arial" w:cs="Times New Roman"/>
      <w:sz w:val="20"/>
      <w:szCs w:val="24"/>
      <w:lang w:eastAsia="fr-FR"/>
    </w:rPr>
  </w:style>
  <w:style w:type="paragraph" w:styleId="Pieddepage">
    <w:name w:val="footer"/>
    <w:basedOn w:val="Normal"/>
    <w:link w:val="PieddepageCar"/>
    <w:uiPriority w:val="99"/>
    <w:rsid w:val="00C41B2A"/>
    <w:pPr>
      <w:tabs>
        <w:tab w:val="right" w:pos="7083"/>
        <w:tab w:val="right" w:pos="8640"/>
      </w:tabs>
      <w:spacing w:line="180" w:lineRule="atLeast"/>
    </w:pPr>
    <w:rPr>
      <w:b/>
      <w:color w:val="E1000F"/>
      <w:sz w:val="24"/>
      <w:szCs w:val="20"/>
    </w:rPr>
  </w:style>
  <w:style w:type="character" w:customStyle="1" w:styleId="PieddepageCar">
    <w:name w:val="Pied de page Car"/>
    <w:basedOn w:val="Policepardfaut"/>
    <w:link w:val="Pieddepage"/>
    <w:uiPriority w:val="99"/>
    <w:rsid w:val="00C41B2A"/>
    <w:rPr>
      <w:rFonts w:ascii="Arial" w:eastAsia="Times New Roman" w:hAnsi="Arial" w:cs="Times New Roman"/>
      <w:b/>
      <w:color w:val="E1000F"/>
      <w:sz w:val="24"/>
      <w:szCs w:val="20"/>
      <w:lang w:eastAsia="fr-FR"/>
    </w:rPr>
  </w:style>
  <w:style w:type="paragraph" w:customStyle="1" w:styleId="Standard12pt">
    <w:name w:val="Standard_12pt"/>
    <w:basedOn w:val="Normal"/>
    <w:rsid w:val="00C41B2A"/>
    <w:pPr>
      <w:spacing w:line="300" w:lineRule="atLeast"/>
    </w:pPr>
    <w:rPr>
      <w:sz w:val="24"/>
    </w:rPr>
  </w:style>
  <w:style w:type="character" w:styleId="Lienhypertexte">
    <w:name w:val="Hyperlink"/>
    <w:basedOn w:val="Policepardfaut"/>
    <w:uiPriority w:val="99"/>
    <w:rsid w:val="00C41B2A"/>
    <w:rPr>
      <w:rFonts w:cs="Times New Roman"/>
      <w:color w:val="0000FF"/>
      <w:u w:val="single"/>
    </w:rPr>
  </w:style>
  <w:style w:type="paragraph" w:styleId="Textebrut">
    <w:name w:val="Plain Text"/>
    <w:basedOn w:val="Normal"/>
    <w:link w:val="TextebrutCar"/>
    <w:uiPriority w:val="99"/>
    <w:unhideWhenUsed/>
    <w:rsid w:val="00C41B2A"/>
    <w:pPr>
      <w:spacing w:line="240" w:lineRule="auto"/>
    </w:pPr>
    <w:rPr>
      <w:rFonts w:ascii="Consolas" w:hAnsi="Consolas"/>
      <w:sz w:val="21"/>
      <w:szCs w:val="21"/>
      <w:lang w:eastAsia="en-US"/>
    </w:rPr>
  </w:style>
  <w:style w:type="character" w:customStyle="1" w:styleId="TextebrutCar">
    <w:name w:val="Texte brut Car"/>
    <w:basedOn w:val="Policepardfaut"/>
    <w:link w:val="Textebrut"/>
    <w:uiPriority w:val="99"/>
    <w:rsid w:val="00C41B2A"/>
    <w:rPr>
      <w:rFonts w:ascii="Consolas" w:eastAsia="Times New Roman" w:hAnsi="Consolas" w:cs="Times New Roman"/>
      <w:sz w:val="21"/>
      <w:szCs w:val="21"/>
    </w:rPr>
  </w:style>
  <w:style w:type="paragraph" w:styleId="Textedebulles">
    <w:name w:val="Balloon Text"/>
    <w:basedOn w:val="Normal"/>
    <w:link w:val="TextedebullesCar"/>
    <w:uiPriority w:val="99"/>
    <w:semiHidden/>
    <w:unhideWhenUsed/>
    <w:rsid w:val="00343D7F"/>
    <w:pPr>
      <w:spacing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343D7F"/>
    <w:rPr>
      <w:rFonts w:ascii="Segoe UI" w:eastAsia="Times New Roman" w:hAnsi="Segoe UI" w:cs="Segoe UI"/>
      <w:sz w:val="18"/>
      <w:szCs w:val="18"/>
      <w:lang w:eastAsia="fr-FR"/>
    </w:rPr>
  </w:style>
  <w:style w:type="character" w:customStyle="1" w:styleId="Titre1Car">
    <w:name w:val="Titre 1 Car"/>
    <w:basedOn w:val="Policepardfaut"/>
    <w:link w:val="Titre1"/>
    <w:uiPriority w:val="99"/>
    <w:rsid w:val="00AA32FF"/>
    <w:rPr>
      <w:rFonts w:ascii="Arial" w:eastAsia="Times New Roman" w:hAnsi="Arial" w:cs="Arial"/>
      <w:b/>
      <w:bCs/>
      <w:kern w:val="32"/>
      <w:sz w:val="36"/>
      <w:szCs w:val="32"/>
      <w:lang w:val="de-DE"/>
    </w:rPr>
  </w:style>
  <w:style w:type="paragraph" w:styleId="Paragraphedeliste">
    <w:name w:val="List Paragraph"/>
    <w:basedOn w:val="Normal"/>
    <w:uiPriority w:val="1"/>
    <w:qFormat/>
    <w:rsid w:val="00520158"/>
    <w:pPr>
      <w:ind w:left="720"/>
      <w:contextualSpacing/>
    </w:pPr>
  </w:style>
  <w:style w:type="paragraph" w:styleId="Corpsdetexte">
    <w:name w:val="Body Text"/>
    <w:basedOn w:val="Normal"/>
    <w:link w:val="CorpsdetexteCar"/>
    <w:uiPriority w:val="1"/>
    <w:qFormat/>
    <w:rsid w:val="007D45A7"/>
    <w:pPr>
      <w:widowControl w:val="0"/>
      <w:autoSpaceDE w:val="0"/>
      <w:autoSpaceDN w:val="0"/>
      <w:spacing w:line="240" w:lineRule="auto"/>
    </w:pPr>
    <w:rPr>
      <w:rFonts w:eastAsia="Arial" w:cs="Arial"/>
      <w:sz w:val="24"/>
      <w:lang w:eastAsia="en-US"/>
    </w:rPr>
  </w:style>
  <w:style w:type="character" w:customStyle="1" w:styleId="CorpsdetexteCar">
    <w:name w:val="Corps de texte Car"/>
    <w:basedOn w:val="Policepardfaut"/>
    <w:link w:val="Corpsdetexte"/>
    <w:uiPriority w:val="1"/>
    <w:rsid w:val="007D45A7"/>
    <w:rPr>
      <w:rFonts w:ascii="Arial" w:eastAsia="Arial" w:hAnsi="Arial" w:cs="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3383989">
      <w:bodyDiv w:val="1"/>
      <w:marLeft w:val="0"/>
      <w:marRight w:val="0"/>
      <w:marTop w:val="0"/>
      <w:marBottom w:val="0"/>
      <w:divBdr>
        <w:top w:val="none" w:sz="0" w:space="0" w:color="auto"/>
        <w:left w:val="none" w:sz="0" w:space="0" w:color="auto"/>
        <w:bottom w:val="none" w:sz="0" w:space="0" w:color="auto"/>
        <w:right w:val="none" w:sz="0" w:space="0" w:color="auto"/>
      </w:divBdr>
    </w:div>
    <w:div w:id="616571686">
      <w:bodyDiv w:val="1"/>
      <w:marLeft w:val="0"/>
      <w:marRight w:val="0"/>
      <w:marTop w:val="0"/>
      <w:marBottom w:val="0"/>
      <w:divBdr>
        <w:top w:val="none" w:sz="0" w:space="0" w:color="auto"/>
        <w:left w:val="none" w:sz="0" w:space="0" w:color="auto"/>
        <w:bottom w:val="none" w:sz="0" w:space="0" w:color="auto"/>
        <w:right w:val="none" w:sz="0" w:space="0" w:color="auto"/>
      </w:divBdr>
    </w:div>
    <w:div w:id="6948430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tephanie.coignard@henkel.com"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henkel.fr" TargetMode="Externa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henkel.de/ir"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www.henkel.de/presse" TargetMode="External"/><Relationship Id="rId4" Type="http://schemas.openxmlformats.org/officeDocument/2006/relationships/webSettings" Target="webSettings.xml"/><Relationship Id="rId9" Type="http://schemas.openxmlformats.org/officeDocument/2006/relationships/hyperlink" Target="mailto:paolo.ghilardi@bm.com" TargetMode="Externa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1701</Words>
  <Characters>9358</Characters>
  <Application>Microsoft Office Word</Application>
  <DocSecurity>0</DocSecurity>
  <Lines>77</Lines>
  <Paragraphs>22</Paragraphs>
  <ScaleCrop>false</ScaleCrop>
  <HeadingPairs>
    <vt:vector size="2" baseType="variant">
      <vt:variant>
        <vt:lpstr>Titre</vt:lpstr>
      </vt:variant>
      <vt:variant>
        <vt:i4>1</vt:i4>
      </vt:variant>
    </vt:vector>
  </HeadingPairs>
  <TitlesOfParts>
    <vt:vector size="1" baseType="lpstr">
      <vt:lpstr/>
    </vt:vector>
  </TitlesOfParts>
  <Company>Henkel AG &amp; Co. KGaA</Company>
  <LinksUpToDate>false</LinksUpToDate>
  <CharactersWithSpaces>11037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Coignard</dc:creator>
  <cp:keywords/>
  <dc:description/>
  <cp:lastModifiedBy>Camille Marland</cp:lastModifiedBy>
  <cp:revision>2</cp:revision>
  <cp:lastPrinted>2018-05-09T11:38:00Z</cp:lastPrinted>
  <dcterms:created xsi:type="dcterms:W3CDTF">2018-05-09T12:04:00Z</dcterms:created>
  <dcterms:modified xsi:type="dcterms:W3CDTF">2018-05-09T12:04:00Z</dcterms:modified>
</cp:coreProperties>
</file>