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7A9" w:rsidRPr="00B61B5E" w:rsidRDefault="00FA57A9" w:rsidP="00FA57A9">
      <w:pPr>
        <w:pStyle w:val="Standard12pt"/>
        <w:spacing w:before="120"/>
        <w:jc w:val="right"/>
      </w:pPr>
      <w:r>
        <w:t>15 novembre 2018</w:t>
      </w:r>
    </w:p>
    <w:p w:rsidR="00D32DB8" w:rsidRDefault="00D32DB8" w:rsidP="00487ACA">
      <w:pPr>
        <w:spacing w:after="160" w:line="259" w:lineRule="auto"/>
        <w:rPr>
          <w:b/>
          <w:sz w:val="22"/>
          <w:u w:val="single"/>
        </w:rPr>
      </w:pPr>
    </w:p>
    <w:p w:rsidR="00FA57A9" w:rsidRDefault="00886EF8" w:rsidP="00FA57A9">
      <w:pPr>
        <w:autoSpaceDE w:val="0"/>
        <w:autoSpaceDN w:val="0"/>
        <w:adjustRightInd w:val="0"/>
        <w:spacing w:line="360" w:lineRule="auto"/>
        <w:jc w:val="both"/>
        <w:rPr>
          <w:sz w:val="24"/>
        </w:rPr>
      </w:pPr>
      <w:r>
        <w:rPr>
          <w:sz w:val="24"/>
        </w:rPr>
        <w:t>Henkel c</w:t>
      </w:r>
      <w:r w:rsidR="00FA57A9">
        <w:rPr>
          <w:sz w:val="24"/>
        </w:rPr>
        <w:t>onfirm</w:t>
      </w:r>
      <w:r>
        <w:rPr>
          <w:sz w:val="24"/>
        </w:rPr>
        <w:t>e s</w:t>
      </w:r>
      <w:r w:rsidR="00FA57A9">
        <w:rPr>
          <w:sz w:val="24"/>
        </w:rPr>
        <w:t xml:space="preserve">es </w:t>
      </w:r>
      <w:r>
        <w:rPr>
          <w:sz w:val="24"/>
        </w:rPr>
        <w:t xml:space="preserve">perspectives </w:t>
      </w:r>
      <w:r w:rsidR="00FA57A9">
        <w:rPr>
          <w:sz w:val="24"/>
        </w:rPr>
        <w:t>pour 2018</w:t>
      </w:r>
    </w:p>
    <w:p w:rsidR="00FA57A9" w:rsidRPr="00016134" w:rsidRDefault="00FA57A9" w:rsidP="00FA57A9">
      <w:pPr>
        <w:autoSpaceDE w:val="0"/>
        <w:autoSpaceDN w:val="0"/>
        <w:adjustRightInd w:val="0"/>
        <w:spacing w:line="240" w:lineRule="auto"/>
        <w:jc w:val="both"/>
        <w:rPr>
          <w:sz w:val="24"/>
        </w:rPr>
      </w:pPr>
    </w:p>
    <w:p w:rsidR="00FA57A9" w:rsidRPr="000918F1" w:rsidRDefault="00FA57A9" w:rsidP="00FA57A9">
      <w:pPr>
        <w:pStyle w:val="Heading1"/>
      </w:pPr>
      <w:r>
        <w:t xml:space="preserve">Henkel enregistre une bonne </w:t>
      </w:r>
      <w:r w:rsidR="00886EF8">
        <w:t>performance</w:t>
      </w:r>
      <w:r>
        <w:t xml:space="preserve"> au troisième trimestre</w:t>
      </w:r>
    </w:p>
    <w:p w:rsidR="00FA57A9" w:rsidRPr="00016134" w:rsidRDefault="00FA57A9" w:rsidP="00FA57A9">
      <w:pPr>
        <w:pStyle w:val="Heading1"/>
      </w:pPr>
    </w:p>
    <w:p w:rsidR="00FA57A9" w:rsidRPr="00886EF8" w:rsidRDefault="00886EF8" w:rsidP="00886EF8">
      <w:pPr>
        <w:numPr>
          <w:ilvl w:val="0"/>
          <w:numId w:val="1"/>
        </w:numPr>
        <w:tabs>
          <w:tab w:val="clear" w:pos="720"/>
          <w:tab w:val="num" w:pos="426"/>
        </w:tabs>
        <w:autoSpaceDE w:val="0"/>
        <w:autoSpaceDN w:val="0"/>
        <w:adjustRightInd w:val="0"/>
        <w:spacing w:line="360" w:lineRule="auto"/>
        <w:ind w:left="426" w:right="-142" w:hanging="426"/>
        <w:rPr>
          <w:b/>
          <w:sz w:val="24"/>
        </w:rPr>
      </w:pPr>
      <w:r>
        <w:rPr>
          <w:b/>
          <w:sz w:val="24"/>
          <w:lang w:val="de-DE"/>
        </w:rPr>
        <w:t xml:space="preserve">Croissance des ventes à </w:t>
      </w:r>
      <w:r w:rsidR="00FA57A9">
        <w:rPr>
          <w:b/>
          <w:sz w:val="24"/>
        </w:rPr>
        <w:t>5 037 millions d'EUR</w:t>
      </w:r>
      <w:r w:rsidR="00FA57A9" w:rsidRPr="00886EF8">
        <w:rPr>
          <w:b/>
          <w:sz w:val="24"/>
        </w:rPr>
        <w:t>, croissance organique de 2,7 %</w:t>
      </w:r>
    </w:p>
    <w:p w:rsidR="00FA57A9" w:rsidRPr="00C725BB" w:rsidRDefault="00FA57A9" w:rsidP="00FA57A9">
      <w:pPr>
        <w:numPr>
          <w:ilvl w:val="0"/>
          <w:numId w:val="1"/>
        </w:numPr>
        <w:tabs>
          <w:tab w:val="clear" w:pos="720"/>
          <w:tab w:val="num" w:pos="426"/>
        </w:tabs>
        <w:autoSpaceDE w:val="0"/>
        <w:autoSpaceDN w:val="0"/>
        <w:adjustRightInd w:val="0"/>
        <w:spacing w:line="360" w:lineRule="auto"/>
        <w:ind w:left="426" w:hanging="426"/>
        <w:rPr>
          <w:b/>
          <w:sz w:val="24"/>
        </w:rPr>
      </w:pPr>
      <w:r>
        <w:rPr>
          <w:b/>
          <w:sz w:val="24"/>
        </w:rPr>
        <w:t xml:space="preserve">Amélioration de l’EBIT* : +3,3 % à 926 millions d’EUR </w:t>
      </w:r>
    </w:p>
    <w:p w:rsidR="00FA57A9" w:rsidRPr="000918F1" w:rsidRDefault="00FA57A9" w:rsidP="00FA57A9">
      <w:pPr>
        <w:numPr>
          <w:ilvl w:val="0"/>
          <w:numId w:val="1"/>
        </w:numPr>
        <w:tabs>
          <w:tab w:val="clear" w:pos="720"/>
          <w:tab w:val="num" w:pos="426"/>
        </w:tabs>
        <w:autoSpaceDE w:val="0"/>
        <w:autoSpaceDN w:val="0"/>
        <w:adjustRightInd w:val="0"/>
        <w:spacing w:line="360" w:lineRule="auto"/>
        <w:ind w:left="426" w:hanging="426"/>
        <w:rPr>
          <w:b/>
          <w:sz w:val="24"/>
        </w:rPr>
      </w:pPr>
      <w:r>
        <w:rPr>
          <w:b/>
          <w:sz w:val="24"/>
        </w:rPr>
        <w:t>Poursuite de l’amélioration de la marge EBIT* : +40 points de base à 18,4 %</w:t>
      </w:r>
    </w:p>
    <w:p w:rsidR="00FA57A9" w:rsidRPr="004C684B" w:rsidRDefault="00FA57A9" w:rsidP="00FA57A9">
      <w:pPr>
        <w:numPr>
          <w:ilvl w:val="0"/>
          <w:numId w:val="1"/>
        </w:numPr>
        <w:tabs>
          <w:tab w:val="clear" w:pos="720"/>
          <w:tab w:val="num" w:pos="426"/>
        </w:tabs>
        <w:autoSpaceDE w:val="0"/>
        <w:autoSpaceDN w:val="0"/>
        <w:adjustRightInd w:val="0"/>
        <w:spacing w:line="360" w:lineRule="auto"/>
        <w:ind w:left="426" w:hanging="426"/>
        <w:rPr>
          <w:b/>
          <w:sz w:val="24"/>
        </w:rPr>
      </w:pPr>
      <w:r>
        <w:rPr>
          <w:b/>
          <w:sz w:val="24"/>
        </w:rPr>
        <w:t>Croissance du résultat par action préférentielle (EPS)* : +2,6 % à 1,58 EUR</w:t>
      </w:r>
    </w:p>
    <w:p w:rsidR="00FA57A9" w:rsidRPr="00016134" w:rsidRDefault="00FA57A9" w:rsidP="00FA57A9">
      <w:pPr>
        <w:autoSpaceDE w:val="0"/>
        <w:autoSpaceDN w:val="0"/>
        <w:adjustRightInd w:val="0"/>
        <w:spacing w:line="360" w:lineRule="auto"/>
        <w:jc w:val="both"/>
        <w:rPr>
          <w:b/>
          <w:sz w:val="24"/>
        </w:rPr>
      </w:pPr>
    </w:p>
    <w:p w:rsidR="00FA57A9" w:rsidRDefault="00FA57A9" w:rsidP="00FA57A9">
      <w:pPr>
        <w:autoSpaceDE w:val="0"/>
        <w:autoSpaceDN w:val="0"/>
        <w:adjustRightInd w:val="0"/>
        <w:spacing w:line="360" w:lineRule="auto"/>
        <w:jc w:val="both"/>
        <w:rPr>
          <w:b/>
          <w:sz w:val="24"/>
        </w:rPr>
      </w:pPr>
      <w:r>
        <w:rPr>
          <w:b/>
          <w:sz w:val="24"/>
        </w:rPr>
        <w:t xml:space="preserve">Düsseldorf – « Henkel enregistre une bonne </w:t>
      </w:r>
      <w:r w:rsidR="00886EF8">
        <w:rPr>
          <w:b/>
          <w:sz w:val="24"/>
        </w:rPr>
        <w:t>performance</w:t>
      </w:r>
      <w:r>
        <w:rPr>
          <w:b/>
          <w:sz w:val="24"/>
        </w:rPr>
        <w:t xml:space="preserve"> au troisième trimestre. Dans un environnement de marché toujours difficile</w:t>
      </w:r>
      <w:r w:rsidR="00886EF8">
        <w:rPr>
          <w:b/>
          <w:sz w:val="24"/>
        </w:rPr>
        <w:t xml:space="preserve"> -</w:t>
      </w:r>
      <w:r>
        <w:rPr>
          <w:b/>
          <w:sz w:val="24"/>
        </w:rPr>
        <w:t xml:space="preserve"> turbulences sur les marchés des changes</w:t>
      </w:r>
      <w:r w:rsidR="00886EF8">
        <w:rPr>
          <w:b/>
          <w:sz w:val="24"/>
        </w:rPr>
        <w:t xml:space="preserve">, </w:t>
      </w:r>
      <w:r>
        <w:rPr>
          <w:b/>
          <w:sz w:val="24"/>
        </w:rPr>
        <w:t>hausse des prix des matières premières, nous continuons d’augmenter nos ventes, nos bénéfices et notre rentabilité. Nos trois secteurs d'activité ont contribué à cette évolution positive », déclare Hans Van Bylen, Président du Comité de direction de Henkel. « </w:t>
      </w:r>
      <w:r w:rsidR="00886EF8">
        <w:rPr>
          <w:b/>
          <w:sz w:val="24"/>
        </w:rPr>
        <w:t>La bonne</w:t>
      </w:r>
      <w:r>
        <w:rPr>
          <w:b/>
          <w:sz w:val="24"/>
        </w:rPr>
        <w:t xml:space="preserve"> croissance organique des ventes a </w:t>
      </w:r>
      <w:r w:rsidR="00886EF8">
        <w:rPr>
          <w:b/>
          <w:sz w:val="24"/>
        </w:rPr>
        <w:t>principalement</w:t>
      </w:r>
      <w:r>
        <w:rPr>
          <w:b/>
          <w:sz w:val="24"/>
        </w:rPr>
        <w:t xml:space="preserve"> été portée par le secteur d’activité Adhesive Technologies. Les ventes ont également progressé organiquement dans les secteurs des biens de</w:t>
      </w:r>
      <w:r w:rsidR="00886EF8">
        <w:rPr>
          <w:b/>
          <w:sz w:val="24"/>
        </w:rPr>
        <w:t xml:space="preserve"> grande</w:t>
      </w:r>
      <w:r>
        <w:rPr>
          <w:b/>
          <w:sz w:val="24"/>
        </w:rPr>
        <w:t xml:space="preserve"> consommation. »</w:t>
      </w:r>
    </w:p>
    <w:p w:rsidR="00FA57A9" w:rsidRPr="00016134" w:rsidRDefault="00FA57A9" w:rsidP="00FA57A9">
      <w:pPr>
        <w:autoSpaceDE w:val="0"/>
        <w:autoSpaceDN w:val="0"/>
        <w:adjustRightInd w:val="0"/>
        <w:spacing w:line="360" w:lineRule="auto"/>
        <w:jc w:val="both"/>
        <w:rPr>
          <w:b/>
          <w:sz w:val="24"/>
        </w:rPr>
      </w:pPr>
    </w:p>
    <w:p w:rsidR="00886EF8" w:rsidRDefault="00FA57A9" w:rsidP="00FA57A9">
      <w:pPr>
        <w:autoSpaceDE w:val="0"/>
        <w:autoSpaceDN w:val="0"/>
        <w:adjustRightInd w:val="0"/>
        <w:spacing w:line="360" w:lineRule="auto"/>
        <w:jc w:val="both"/>
        <w:rPr>
          <w:sz w:val="16"/>
          <w:szCs w:val="16"/>
        </w:rPr>
      </w:pPr>
      <w:r>
        <w:rPr>
          <w:b/>
          <w:noProof/>
          <w:sz w:val="24"/>
        </w:rPr>
        <mc:AlternateContent>
          <mc:Choice Requires="wps">
            <w:drawing>
              <wp:anchor distT="45720" distB="45720" distL="114300" distR="114300" simplePos="0" relativeHeight="251659264" behindDoc="1" locked="0" layoutInCell="1" allowOverlap="1">
                <wp:simplePos x="0" y="0"/>
                <wp:positionH relativeFrom="column">
                  <wp:posOffset>-16964</wp:posOffset>
                </wp:positionH>
                <wp:positionV relativeFrom="paragraph">
                  <wp:posOffset>1348831</wp:posOffset>
                </wp:positionV>
                <wp:extent cx="5520690" cy="224155"/>
                <wp:effectExtent l="0" t="0" r="0" b="4445"/>
                <wp:wrapTight wrapText="bothSides">
                  <wp:wrapPolygon edited="0">
                    <wp:start x="-37" y="0"/>
                    <wp:lineTo x="-37" y="20682"/>
                    <wp:lineTo x="21600" y="20682"/>
                    <wp:lineTo x="21600" y="0"/>
                    <wp:lineTo x="-37" y="0"/>
                  </wp:wrapPolygon>
                </wp:wrapTight>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7A9" w:rsidRPr="00ED5A2D" w:rsidRDefault="00FA57A9" w:rsidP="00FA57A9">
                            <w:pPr>
                              <w:autoSpaceDE w:val="0"/>
                              <w:autoSpaceDN w:val="0"/>
                              <w:adjustRightInd w:val="0"/>
                              <w:spacing w:line="360" w:lineRule="auto"/>
                              <w:jc w:val="both"/>
                              <w:rPr>
                                <w:sz w:val="16"/>
                                <w:szCs w:val="16"/>
                              </w:rPr>
                            </w:pPr>
                            <w:r>
                              <w:rPr>
                                <w:sz w:val="16"/>
                                <w:szCs w:val="16"/>
                              </w:rPr>
                              <w:t>* Après ajustement des produits et des dépenses exceptionnels ainsi que des dépenses pour restructuration.</w:t>
                            </w:r>
                          </w:p>
                          <w:p w:rsidR="00FA57A9" w:rsidRPr="00016134" w:rsidRDefault="00FA57A9" w:rsidP="00FA57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1.35pt;margin-top:106.2pt;width:434.7pt;height:1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" stroked="f">
                <v:textbox>
                  <w:txbxContent>
                    <w:p w:rsidR="00FA57A9" w:rsidRPr="00ED5A2D" w:rsidRDefault="00FA57A9" w:rsidP="00FA57A9">
                      <w:pPr>
                        <w:autoSpaceDE w:val="0"/>
                        <w:autoSpaceDN w:val="0"/>
                        <w:adjustRightInd w:val="0"/>
                        <w:spacing w:line="360" w:lineRule="auto"/>
                        <w:jc w:val="both"/>
                        <w:rPr>
                          <w:sz w:val="16"/>
                          <w:szCs w:val="16"/>
                        </w:rPr>
                      </w:pPr>
                      <w:r>
                        <w:rPr>
                          <w:sz w:val="16"/>
                          <w:szCs w:val="16"/>
                        </w:rPr>
                        <w:t>* Après ajustement des produits et des dépenses exceptionnels ainsi que des dépenses pour restructuration.</w:t>
                      </w:r>
                    </w:p>
                    <w:p w:rsidR="00FA57A9" w:rsidRPr="00016134" w:rsidRDefault="00FA57A9" w:rsidP="00FA57A9"/>
                  </w:txbxContent>
                </v:textbox>
                <w10:wrap type="tight"/>
              </v:shape>
            </w:pict>
          </mc:Fallback>
        </mc:AlternateContent>
      </w:r>
      <w:r>
        <w:rPr>
          <w:b/>
          <w:sz w:val="24"/>
        </w:rPr>
        <w:t>« Au cours des neuf premiers mois de 2018, nous avons dû faire face à un contexte économique difficile.</w:t>
      </w:r>
      <w:r w:rsidR="00886EF8">
        <w:rPr>
          <w:b/>
          <w:sz w:val="24"/>
        </w:rPr>
        <w:t xml:space="preserve"> En raison d’effets de change défavorables, l</w:t>
      </w:r>
      <w:r>
        <w:rPr>
          <w:b/>
          <w:sz w:val="24"/>
        </w:rPr>
        <w:t xml:space="preserve">e chiffre d’affaires du Groupe a baissé de plus de 900 millions d’euros pendant </w:t>
      </w:r>
      <w:r>
        <w:rPr>
          <w:b/>
          <w:sz w:val="24"/>
        </w:rPr>
        <w:lastRenderedPageBreak/>
        <w:t>cette période. Malgré cela, nous avons continué à assurer une croissance</w:t>
      </w:r>
      <w:r w:rsidR="00886EF8">
        <w:rPr>
          <w:b/>
          <w:sz w:val="24"/>
        </w:rPr>
        <w:t xml:space="preserve"> rentable.</w:t>
      </w:r>
      <w:r w:rsidR="00886EF8">
        <w:rPr>
          <w:sz w:val="16"/>
          <w:szCs w:val="16"/>
        </w:rPr>
        <w:t xml:space="preserve"> </w:t>
      </w:r>
    </w:p>
    <w:p w:rsidR="00FA57A9" w:rsidRPr="00886EF8" w:rsidRDefault="00FA57A9" w:rsidP="00FA57A9">
      <w:pPr>
        <w:autoSpaceDE w:val="0"/>
        <w:autoSpaceDN w:val="0"/>
        <w:adjustRightInd w:val="0"/>
        <w:spacing w:line="360" w:lineRule="auto"/>
        <w:jc w:val="both"/>
        <w:rPr>
          <w:sz w:val="16"/>
          <w:szCs w:val="16"/>
        </w:rPr>
      </w:pPr>
      <w:r>
        <w:rPr>
          <w:b/>
          <w:sz w:val="24"/>
        </w:rPr>
        <w:t>Nous sommes engagés à poursuivre la mise en œuvre de nos priorités stratégiques », ajoute Hans Van Bylen.</w:t>
      </w:r>
      <w:r>
        <w:rPr>
          <w:b/>
          <w:bCs/>
          <w:sz w:val="24"/>
        </w:rPr>
        <w:t xml:space="preserve"> </w:t>
      </w:r>
    </w:p>
    <w:p w:rsidR="00FA57A9" w:rsidRDefault="00FA57A9" w:rsidP="00FA57A9">
      <w:pPr>
        <w:autoSpaceDE w:val="0"/>
        <w:autoSpaceDN w:val="0"/>
        <w:adjustRightInd w:val="0"/>
        <w:spacing w:line="360" w:lineRule="auto"/>
        <w:jc w:val="both"/>
        <w:rPr>
          <w:b/>
          <w:bCs/>
          <w:sz w:val="24"/>
        </w:rPr>
      </w:pPr>
    </w:p>
    <w:p w:rsidR="00FA57A9" w:rsidRDefault="007A0D65" w:rsidP="00FA57A9">
      <w:pPr>
        <w:autoSpaceDE w:val="0"/>
        <w:autoSpaceDN w:val="0"/>
        <w:adjustRightInd w:val="0"/>
        <w:spacing w:line="360" w:lineRule="auto"/>
        <w:jc w:val="both"/>
        <w:rPr>
          <w:b/>
          <w:sz w:val="24"/>
        </w:rPr>
      </w:pPr>
      <w:r>
        <w:rPr>
          <w:b/>
          <w:sz w:val="24"/>
        </w:rPr>
        <w:t>Perspectives pour 2018 confirmées</w:t>
      </w:r>
    </w:p>
    <w:p w:rsidR="00FA57A9" w:rsidRPr="00401A12" w:rsidRDefault="00FA57A9" w:rsidP="00FA57A9">
      <w:pPr>
        <w:autoSpaceDE w:val="0"/>
        <w:autoSpaceDN w:val="0"/>
        <w:adjustRightInd w:val="0"/>
        <w:spacing w:line="360" w:lineRule="auto"/>
        <w:jc w:val="both"/>
        <w:rPr>
          <w:b/>
          <w:sz w:val="24"/>
        </w:rPr>
      </w:pPr>
    </w:p>
    <w:p w:rsidR="00FA57A9" w:rsidRPr="00401A12" w:rsidRDefault="00FA57A9" w:rsidP="00FA57A9">
      <w:pPr>
        <w:autoSpaceDE w:val="0"/>
        <w:autoSpaceDN w:val="0"/>
        <w:adjustRightInd w:val="0"/>
        <w:spacing w:line="360" w:lineRule="auto"/>
        <w:jc w:val="both"/>
        <w:rPr>
          <w:b/>
          <w:sz w:val="24"/>
        </w:rPr>
      </w:pPr>
      <w:r>
        <w:rPr>
          <w:b/>
          <w:sz w:val="24"/>
        </w:rPr>
        <w:t xml:space="preserve">Henkel confirme ses perspectives pour l’exercice 2018. L’entreprise </w:t>
      </w:r>
      <w:r w:rsidR="007A0D65">
        <w:rPr>
          <w:b/>
          <w:sz w:val="24"/>
        </w:rPr>
        <w:t xml:space="preserve">continue de </w:t>
      </w:r>
      <w:r>
        <w:rPr>
          <w:b/>
          <w:sz w:val="24"/>
        </w:rPr>
        <w:t>s’attend</w:t>
      </w:r>
      <w:r w:rsidR="007A0D65">
        <w:rPr>
          <w:b/>
          <w:sz w:val="24"/>
        </w:rPr>
        <w:t>re</w:t>
      </w:r>
      <w:r>
        <w:rPr>
          <w:b/>
          <w:sz w:val="24"/>
        </w:rPr>
        <w:t xml:space="preserve"> à une croissance organique des ventes comprise entre 2 et 4 % </w:t>
      </w:r>
      <w:r w:rsidR="007A0D65">
        <w:rPr>
          <w:b/>
          <w:sz w:val="24"/>
        </w:rPr>
        <w:t>au niveau d</w:t>
      </w:r>
      <w:r>
        <w:rPr>
          <w:b/>
          <w:sz w:val="24"/>
        </w:rPr>
        <w:t>u Groupe. Henkel confirme ses attentes concernant la croissance organique des ventes du secteur d’activité Adhesive Technologies</w:t>
      </w:r>
      <w:r w:rsidR="007A0D65">
        <w:rPr>
          <w:b/>
          <w:sz w:val="24"/>
        </w:rPr>
        <w:t> :</w:t>
      </w:r>
      <w:r>
        <w:rPr>
          <w:b/>
          <w:sz w:val="24"/>
        </w:rPr>
        <w:t xml:space="preserve"> elle devrait être de 4 à 5 %. Pour le secteur d'activité Beauty Care, Henkel confirme ses attentes : une croissance organique positive, comprise entre 0 et 2 %. Dans le secteur d’activité Laundry &amp; Home Care</w:t>
      </w:r>
      <w:r w:rsidR="007B661B">
        <w:rPr>
          <w:b/>
          <w:sz w:val="24"/>
        </w:rPr>
        <w:t>,</w:t>
      </w:r>
      <w:r>
        <w:rPr>
          <w:b/>
          <w:sz w:val="24"/>
        </w:rPr>
        <w:t xml:space="preserve"> la croissance devrait rester comprise entre 2 et 4 %.</w:t>
      </w:r>
    </w:p>
    <w:p w:rsidR="00FA57A9" w:rsidRPr="00016134" w:rsidRDefault="00FA57A9" w:rsidP="00FA57A9">
      <w:pPr>
        <w:autoSpaceDE w:val="0"/>
        <w:autoSpaceDN w:val="0"/>
        <w:adjustRightInd w:val="0"/>
        <w:spacing w:line="360" w:lineRule="auto"/>
        <w:jc w:val="both"/>
        <w:rPr>
          <w:b/>
          <w:sz w:val="24"/>
        </w:rPr>
      </w:pPr>
    </w:p>
    <w:p w:rsidR="00FA57A9" w:rsidRPr="00401A12" w:rsidRDefault="00FA57A9" w:rsidP="00FA57A9">
      <w:pPr>
        <w:autoSpaceDE w:val="0"/>
        <w:autoSpaceDN w:val="0"/>
        <w:adjustRightInd w:val="0"/>
        <w:spacing w:line="360" w:lineRule="auto"/>
        <w:jc w:val="both"/>
        <w:rPr>
          <w:b/>
          <w:sz w:val="24"/>
        </w:rPr>
      </w:pPr>
      <w:r>
        <w:rPr>
          <w:b/>
          <w:sz w:val="24"/>
        </w:rPr>
        <w:t>En ce qui concerne la rentabilité des ventes ajustée (EBIT), Henkel s'attend toujours à une hausse par rapport à l'année précédente, à environ 18 %. Les trois secteurs d'activité devraient contribuer à cette évolution positive. Henkel confirme également que la croissance du résultat ajusté par action préférentielle devrait être comprise entre 3 et 6 %.</w:t>
      </w:r>
    </w:p>
    <w:p w:rsidR="00FA57A9" w:rsidRPr="00016134" w:rsidRDefault="00FA57A9" w:rsidP="00FA57A9">
      <w:pPr>
        <w:spacing w:after="120" w:line="276" w:lineRule="auto"/>
        <w:jc w:val="both"/>
        <w:rPr>
          <w:bCs/>
        </w:rPr>
      </w:pPr>
    </w:p>
    <w:p w:rsidR="00FA57A9" w:rsidRPr="004B2F6D" w:rsidRDefault="00FA57A9" w:rsidP="00FA57A9">
      <w:pPr>
        <w:autoSpaceDE w:val="0"/>
        <w:autoSpaceDN w:val="0"/>
        <w:adjustRightInd w:val="0"/>
        <w:spacing w:after="120" w:line="360" w:lineRule="auto"/>
        <w:jc w:val="both"/>
        <w:rPr>
          <w:b/>
          <w:sz w:val="24"/>
        </w:rPr>
      </w:pPr>
      <w:r>
        <w:rPr>
          <w:b/>
          <w:sz w:val="24"/>
        </w:rPr>
        <w:t xml:space="preserve">Développement des ventes et du résultat au troisième trimestre 2018 </w:t>
      </w:r>
    </w:p>
    <w:p w:rsidR="00FA57A9" w:rsidRDefault="00FA57A9" w:rsidP="00FA57A9">
      <w:pPr>
        <w:autoSpaceDE w:val="0"/>
        <w:autoSpaceDN w:val="0"/>
        <w:adjustRightInd w:val="0"/>
        <w:spacing w:line="360" w:lineRule="auto"/>
        <w:jc w:val="both"/>
        <w:rPr>
          <w:rFonts w:cs="Arial"/>
          <w:sz w:val="24"/>
        </w:rPr>
      </w:pPr>
      <w:r>
        <w:rPr>
          <w:sz w:val="24"/>
        </w:rPr>
        <w:t xml:space="preserve">Atteignant 5 037 millions d'EUR, </w:t>
      </w:r>
      <w:r>
        <w:rPr>
          <w:b/>
          <w:sz w:val="24"/>
        </w:rPr>
        <w:t>les ventes</w:t>
      </w:r>
      <w:r>
        <w:rPr>
          <w:sz w:val="24"/>
        </w:rPr>
        <w:t xml:space="preserve"> du troisième trimestre 2018 ont progressé nominalement de </w:t>
      </w:r>
      <w:r w:rsidR="00260D5E">
        <w:rPr>
          <w:sz w:val="24"/>
        </w:rPr>
        <w:t>1.1 %</w:t>
      </w:r>
      <w:r>
        <w:rPr>
          <w:sz w:val="24"/>
        </w:rPr>
        <w:t xml:space="preserve"> par rapport au même trimestre de l'année précédente. </w:t>
      </w:r>
      <w:r>
        <w:rPr>
          <w:b/>
          <w:sz w:val="24"/>
        </w:rPr>
        <w:t>Organiquement</w:t>
      </w:r>
      <w:r>
        <w:rPr>
          <w:sz w:val="24"/>
        </w:rPr>
        <w:t xml:space="preserve">, c'est-à-dire après ajustement des effets liés aux opérations de change et aux acquisitions/désinvestissements, Henkel a enregistré une bonne croissance de 2,7 %. Les acquisitions et les désinvestissements ont contribué à hauteur de 1,6 %. Les effets de change ont </w:t>
      </w:r>
      <w:r w:rsidR="007B661B">
        <w:rPr>
          <w:sz w:val="24"/>
        </w:rPr>
        <w:t>eu un impact négatif sur</w:t>
      </w:r>
      <w:r>
        <w:rPr>
          <w:sz w:val="24"/>
        </w:rPr>
        <w:t xml:space="preserve"> le chiffre d’affaires à hauteur de -3,2 %.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rFonts w:cs="Arial"/>
          <w:sz w:val="24"/>
        </w:rPr>
      </w:pPr>
      <w:r>
        <w:rPr>
          <w:b/>
          <w:sz w:val="24"/>
        </w:rPr>
        <w:lastRenderedPageBreak/>
        <w:t>Adhesive Technologies</w:t>
      </w:r>
      <w:r>
        <w:rPr>
          <w:sz w:val="24"/>
        </w:rPr>
        <w:t xml:space="preserve"> a enregistré une forte croissance organique de ses ventes, de 3,8 %. </w:t>
      </w:r>
      <w:r>
        <w:rPr>
          <w:b/>
          <w:bCs/>
          <w:sz w:val="24"/>
        </w:rPr>
        <w:t>Beauty Care</w:t>
      </w:r>
      <w:r>
        <w:rPr>
          <w:sz w:val="24"/>
        </w:rPr>
        <w:t xml:space="preserve"> a </w:t>
      </w:r>
      <w:r w:rsidR="007B661B">
        <w:rPr>
          <w:sz w:val="24"/>
        </w:rPr>
        <w:t>enregistré</w:t>
      </w:r>
      <w:r>
        <w:rPr>
          <w:sz w:val="24"/>
        </w:rPr>
        <w:t xml:space="preserve"> une croissance organique de 0,5 %. </w:t>
      </w:r>
      <w:r>
        <w:rPr>
          <w:b/>
          <w:sz w:val="24"/>
        </w:rPr>
        <w:t>Laundry &amp; Home Care</w:t>
      </w:r>
      <w:r>
        <w:rPr>
          <w:sz w:val="24"/>
        </w:rPr>
        <w:t xml:space="preserve"> a enregistré une bonne croissance organique, à hauteur de 2,5 %.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rFonts w:cs="Arial"/>
          <w:sz w:val="24"/>
        </w:rPr>
      </w:pPr>
      <w:r>
        <w:rPr>
          <w:sz w:val="24"/>
        </w:rPr>
        <w:t xml:space="preserve">Les </w:t>
      </w:r>
      <w:r>
        <w:rPr>
          <w:b/>
          <w:sz w:val="24"/>
        </w:rPr>
        <w:t>marchés émergents</w:t>
      </w:r>
      <w:r>
        <w:rPr>
          <w:sz w:val="24"/>
        </w:rPr>
        <w:t xml:space="preserve"> ont </w:t>
      </w:r>
      <w:r w:rsidR="007B661B">
        <w:rPr>
          <w:sz w:val="24"/>
        </w:rPr>
        <w:t>à nouveau</w:t>
      </w:r>
      <w:r>
        <w:rPr>
          <w:sz w:val="24"/>
        </w:rPr>
        <w:t xml:space="preserve"> réalisé une contribution à la croissance organique du Groupe supérieure à la moyenne, avec une très forte augmentation des ventes de 6,8 %. Les </w:t>
      </w:r>
      <w:r>
        <w:rPr>
          <w:b/>
          <w:bCs/>
          <w:sz w:val="24"/>
        </w:rPr>
        <w:t>marchés matures</w:t>
      </w:r>
      <w:r>
        <w:rPr>
          <w:sz w:val="24"/>
        </w:rPr>
        <w:t xml:space="preserve"> sont quant à eux </w:t>
      </w:r>
      <w:r w:rsidR="007B661B">
        <w:rPr>
          <w:sz w:val="24"/>
        </w:rPr>
        <w:t xml:space="preserve">pratiquement </w:t>
      </w:r>
      <w:r>
        <w:rPr>
          <w:sz w:val="24"/>
        </w:rPr>
        <w:t xml:space="preserve">stables par rapport au même trimestre de l’année dernière </w:t>
      </w:r>
      <w:r w:rsidR="007B661B">
        <w:rPr>
          <w:sz w:val="24"/>
        </w:rPr>
        <w:t>et</w:t>
      </w:r>
      <w:r>
        <w:rPr>
          <w:sz w:val="24"/>
        </w:rPr>
        <w:t xml:space="preserve"> enregistrent une évolution organique des ventes de -0,1 %.</w:t>
      </w:r>
    </w:p>
    <w:p w:rsidR="00FA57A9" w:rsidRPr="00016134" w:rsidRDefault="00FA57A9" w:rsidP="00FA57A9">
      <w:pPr>
        <w:autoSpaceDE w:val="0"/>
        <w:autoSpaceDN w:val="0"/>
        <w:adjustRightInd w:val="0"/>
        <w:spacing w:line="360" w:lineRule="auto"/>
        <w:jc w:val="both"/>
        <w:rPr>
          <w:rFonts w:cs="Arial"/>
          <w:sz w:val="24"/>
        </w:rPr>
      </w:pPr>
    </w:p>
    <w:p w:rsidR="00FA57A9" w:rsidRPr="00FD006A" w:rsidRDefault="00FA57A9" w:rsidP="00FA57A9">
      <w:pPr>
        <w:autoSpaceDE w:val="0"/>
        <w:autoSpaceDN w:val="0"/>
        <w:adjustRightInd w:val="0"/>
        <w:spacing w:line="360" w:lineRule="auto"/>
        <w:jc w:val="both"/>
        <w:rPr>
          <w:rFonts w:cs="Arial"/>
          <w:sz w:val="24"/>
        </w:rPr>
      </w:pPr>
      <w:r>
        <w:rPr>
          <w:sz w:val="24"/>
        </w:rPr>
        <w:t xml:space="preserve">En </w:t>
      </w:r>
      <w:r>
        <w:rPr>
          <w:b/>
          <w:sz w:val="24"/>
        </w:rPr>
        <w:t>Europe de l’Ouest</w:t>
      </w:r>
      <w:r>
        <w:rPr>
          <w:sz w:val="24"/>
        </w:rPr>
        <w:t xml:space="preserve"> les ventes ont légèrement progressé, avec une croissance organique de 0,6 %. L'</w:t>
      </w:r>
      <w:r>
        <w:rPr>
          <w:b/>
          <w:bCs/>
          <w:sz w:val="24"/>
        </w:rPr>
        <w:t>Europe de l'Est</w:t>
      </w:r>
      <w:r>
        <w:rPr>
          <w:sz w:val="24"/>
        </w:rPr>
        <w:t xml:space="preserve"> a enregistré une croissance organique des ventes significative, à hauteur de 7,1 %. La région </w:t>
      </w:r>
      <w:r>
        <w:rPr>
          <w:b/>
          <w:sz w:val="24"/>
        </w:rPr>
        <w:t>Afrique/Moyen-Orient</w:t>
      </w:r>
      <w:r>
        <w:rPr>
          <w:sz w:val="24"/>
        </w:rPr>
        <w:t xml:space="preserve"> a atteint une croissance organique des ventes à deux chiffres, 13,1 %. En </w:t>
      </w:r>
      <w:r>
        <w:rPr>
          <w:b/>
          <w:sz w:val="24"/>
        </w:rPr>
        <w:t>Amérique du Nord</w:t>
      </w:r>
      <w:r>
        <w:rPr>
          <w:sz w:val="24"/>
        </w:rPr>
        <w:t xml:space="preserve"> les ventes ont légèrement baissé, de -0,8 %.</w:t>
      </w:r>
      <w:r>
        <w:rPr>
          <w:b/>
          <w:bCs/>
          <w:sz w:val="24"/>
        </w:rPr>
        <w:t xml:space="preserve"> </w:t>
      </w:r>
      <w:r>
        <w:rPr>
          <w:bCs/>
          <w:sz w:val="24"/>
        </w:rPr>
        <w:t>L’</w:t>
      </w:r>
      <w:r>
        <w:rPr>
          <w:b/>
          <w:bCs/>
          <w:sz w:val="24"/>
        </w:rPr>
        <w:t>Amérique latine</w:t>
      </w:r>
      <w:r>
        <w:rPr>
          <w:bCs/>
          <w:sz w:val="24"/>
        </w:rPr>
        <w:t xml:space="preserve"> a réalisé une croissance organique à deux chiffres </w:t>
      </w:r>
      <w:r w:rsidR="007B661B">
        <w:rPr>
          <w:bCs/>
          <w:sz w:val="24"/>
        </w:rPr>
        <w:t xml:space="preserve">de </w:t>
      </w:r>
      <w:r>
        <w:rPr>
          <w:bCs/>
          <w:sz w:val="24"/>
        </w:rPr>
        <w:t>11,5</w:t>
      </w:r>
      <w:r>
        <w:rPr>
          <w:sz w:val="24"/>
        </w:rPr>
        <w:t xml:space="preserve"> % et dans la région </w:t>
      </w:r>
      <w:r>
        <w:rPr>
          <w:b/>
          <w:sz w:val="24"/>
        </w:rPr>
        <w:t>Asie-Pacifique</w:t>
      </w:r>
      <w:r>
        <w:rPr>
          <w:sz w:val="24"/>
        </w:rPr>
        <w:t>, les ventes ont organiquement progressé de 1,2 %.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rFonts w:cs="Arial"/>
          <w:sz w:val="24"/>
        </w:rPr>
      </w:pPr>
      <w:r>
        <w:rPr>
          <w:sz w:val="24"/>
        </w:rPr>
        <w:t xml:space="preserve">Le </w:t>
      </w:r>
      <w:r>
        <w:rPr>
          <w:b/>
          <w:bCs/>
          <w:sz w:val="24"/>
        </w:rPr>
        <w:t>résultat d'exploitation ajusté (EBIT)</w:t>
      </w:r>
      <w:r>
        <w:rPr>
          <w:sz w:val="24"/>
        </w:rPr>
        <w:t xml:space="preserve"> a augmenté de 3,3 %. passant de 897 millions d'EUR à 926 millions d'EUR en un an.</w:t>
      </w:r>
    </w:p>
    <w:p w:rsidR="00FA57A9" w:rsidRPr="00016134" w:rsidRDefault="00FA57A9" w:rsidP="00FA57A9">
      <w:pPr>
        <w:autoSpaceDE w:val="0"/>
        <w:autoSpaceDN w:val="0"/>
        <w:adjustRightInd w:val="0"/>
        <w:spacing w:line="360" w:lineRule="auto"/>
        <w:jc w:val="both"/>
        <w:rPr>
          <w:sz w:val="24"/>
        </w:rPr>
      </w:pPr>
    </w:p>
    <w:p w:rsidR="00FA57A9" w:rsidRPr="00FD006A" w:rsidRDefault="00FA57A9" w:rsidP="00FA57A9">
      <w:pPr>
        <w:autoSpaceDE w:val="0"/>
        <w:autoSpaceDN w:val="0"/>
        <w:adjustRightInd w:val="0"/>
        <w:spacing w:line="360" w:lineRule="auto"/>
        <w:jc w:val="both"/>
        <w:rPr>
          <w:rFonts w:cs="Arial"/>
          <w:sz w:val="24"/>
        </w:rPr>
      </w:pPr>
      <w:r>
        <w:rPr>
          <w:sz w:val="24"/>
        </w:rPr>
        <w:t xml:space="preserve">La </w:t>
      </w:r>
      <w:r>
        <w:rPr>
          <w:b/>
          <w:bCs/>
          <w:sz w:val="24"/>
        </w:rPr>
        <w:t xml:space="preserve">rentabilité des ventes ajustée (EBIT) </w:t>
      </w:r>
      <w:r>
        <w:rPr>
          <w:sz w:val="24"/>
        </w:rPr>
        <w:t xml:space="preserve">a progressé de 0,4 point pour atteindre 18,4 %. </w:t>
      </w:r>
    </w:p>
    <w:p w:rsidR="00FA57A9" w:rsidRPr="00016134" w:rsidRDefault="00FA57A9" w:rsidP="00FA57A9">
      <w:pPr>
        <w:autoSpaceDE w:val="0"/>
        <w:autoSpaceDN w:val="0"/>
        <w:adjustRightInd w:val="0"/>
        <w:spacing w:line="360" w:lineRule="auto"/>
        <w:jc w:val="both"/>
        <w:rPr>
          <w:rFonts w:cs="Arial"/>
          <w:b/>
          <w:sz w:val="24"/>
        </w:rPr>
      </w:pPr>
    </w:p>
    <w:p w:rsidR="00FA57A9" w:rsidRPr="0071477A" w:rsidRDefault="00FA57A9" w:rsidP="00FA57A9">
      <w:pPr>
        <w:autoSpaceDE w:val="0"/>
        <w:autoSpaceDN w:val="0"/>
        <w:adjustRightInd w:val="0"/>
        <w:spacing w:line="360" w:lineRule="auto"/>
        <w:jc w:val="both"/>
        <w:rPr>
          <w:rFonts w:cs="Arial"/>
          <w:sz w:val="24"/>
        </w:rPr>
      </w:pPr>
      <w:r>
        <w:rPr>
          <w:sz w:val="24"/>
        </w:rPr>
        <w:t xml:space="preserve">Le </w:t>
      </w:r>
      <w:r>
        <w:rPr>
          <w:b/>
          <w:sz w:val="24"/>
        </w:rPr>
        <w:t>résultat par action préférentielle après ajustement</w:t>
      </w:r>
      <w:r>
        <w:rPr>
          <w:sz w:val="24"/>
        </w:rPr>
        <w:t xml:space="preserve"> a augmenté de 2,6 % : il est ainsi passé de 1,54 EUR au troisième trimestre 2017 à 1,58 EUR au troisième trimestre 2018.</w:t>
      </w:r>
    </w:p>
    <w:p w:rsidR="00FA57A9" w:rsidRPr="00016134" w:rsidRDefault="00FA57A9" w:rsidP="00FA57A9">
      <w:pPr>
        <w:autoSpaceDE w:val="0"/>
        <w:autoSpaceDN w:val="0"/>
        <w:adjustRightInd w:val="0"/>
        <w:spacing w:line="360" w:lineRule="auto"/>
        <w:jc w:val="both"/>
        <w:rPr>
          <w:sz w:val="24"/>
        </w:rPr>
      </w:pPr>
    </w:p>
    <w:p w:rsidR="00FA57A9" w:rsidRDefault="00FA57A9" w:rsidP="00FA57A9">
      <w:pPr>
        <w:autoSpaceDE w:val="0"/>
        <w:autoSpaceDN w:val="0"/>
        <w:adjustRightInd w:val="0"/>
        <w:spacing w:line="360" w:lineRule="auto"/>
        <w:jc w:val="both"/>
        <w:rPr>
          <w:sz w:val="24"/>
        </w:rPr>
      </w:pPr>
      <w:r>
        <w:rPr>
          <w:sz w:val="24"/>
        </w:rPr>
        <w:t xml:space="preserve">S’établissant à 6,6 %, le </w:t>
      </w:r>
      <w:r>
        <w:rPr>
          <w:b/>
          <w:bCs/>
          <w:sz w:val="24"/>
        </w:rPr>
        <w:t>rapport du fonds de roulement net et des ventes</w:t>
      </w:r>
      <w:r>
        <w:rPr>
          <w:sz w:val="24"/>
        </w:rPr>
        <w:t xml:space="preserve"> a dépassé le niveau du troisième trimestre 2017 (5,6 %).</w:t>
      </w:r>
    </w:p>
    <w:p w:rsidR="00FA57A9" w:rsidRPr="00016134" w:rsidRDefault="00FA57A9" w:rsidP="00FA57A9">
      <w:pPr>
        <w:autoSpaceDE w:val="0"/>
        <w:autoSpaceDN w:val="0"/>
        <w:adjustRightInd w:val="0"/>
        <w:spacing w:line="360" w:lineRule="auto"/>
        <w:jc w:val="both"/>
        <w:rPr>
          <w:sz w:val="24"/>
        </w:rPr>
      </w:pPr>
    </w:p>
    <w:p w:rsidR="00FA57A9" w:rsidRDefault="00FA57A9" w:rsidP="00FA57A9">
      <w:pPr>
        <w:autoSpaceDE w:val="0"/>
        <w:autoSpaceDN w:val="0"/>
        <w:adjustRightInd w:val="0"/>
        <w:spacing w:after="120" w:line="360" w:lineRule="auto"/>
        <w:jc w:val="both"/>
        <w:rPr>
          <w:b/>
          <w:sz w:val="24"/>
        </w:rPr>
      </w:pPr>
      <w:r>
        <w:rPr>
          <w:b/>
          <w:sz w:val="24"/>
        </w:rPr>
        <w:t>Développement des secteurs d'activité</w:t>
      </w:r>
    </w:p>
    <w:p w:rsidR="00FA57A9" w:rsidRDefault="00FA57A9" w:rsidP="00FA57A9">
      <w:pPr>
        <w:autoSpaceDE w:val="0"/>
        <w:autoSpaceDN w:val="0"/>
        <w:adjustRightInd w:val="0"/>
        <w:spacing w:line="360" w:lineRule="auto"/>
        <w:jc w:val="both"/>
        <w:rPr>
          <w:rFonts w:cs="Arial"/>
          <w:sz w:val="24"/>
        </w:rPr>
      </w:pPr>
      <w:r>
        <w:rPr>
          <w:sz w:val="24"/>
        </w:rPr>
        <w:lastRenderedPageBreak/>
        <w:t xml:space="preserve">Le secteur d'activité </w:t>
      </w:r>
      <w:r>
        <w:rPr>
          <w:b/>
          <w:sz w:val="24"/>
        </w:rPr>
        <w:t>Adhesive Technologies</w:t>
      </w:r>
      <w:r>
        <w:rPr>
          <w:sz w:val="24"/>
        </w:rPr>
        <w:t xml:space="preserve"> a réalisé une solide </w:t>
      </w:r>
      <w:r>
        <w:rPr>
          <w:b/>
          <w:sz w:val="24"/>
        </w:rPr>
        <w:t>croissance organique des ventes</w:t>
      </w:r>
      <w:r>
        <w:rPr>
          <w:sz w:val="24"/>
        </w:rPr>
        <w:t xml:space="preserve"> de 3,8 % au cours du troisième trimestre. En valeur nominale, les ventes sont restées stables par rapport à celles du même trimestre l'an dernier, atteignant 2 373 millions d'EUR. Le </w:t>
      </w:r>
      <w:r>
        <w:rPr>
          <w:b/>
          <w:bCs/>
          <w:sz w:val="24"/>
        </w:rPr>
        <w:t>résultat d'exploitation ajusté</w:t>
      </w:r>
      <w:r>
        <w:rPr>
          <w:sz w:val="24"/>
        </w:rPr>
        <w:t xml:space="preserve"> a augmenté de 2,7 % à 466 millions d'EUR. La </w:t>
      </w:r>
      <w:r>
        <w:rPr>
          <w:b/>
          <w:sz w:val="24"/>
        </w:rPr>
        <w:t>rentabilité des ventes ajustée</w:t>
      </w:r>
      <w:r>
        <w:rPr>
          <w:sz w:val="24"/>
        </w:rPr>
        <w:t xml:space="preserve"> a enregistré une très forte hausse de 0,5 point pour atteindre 19,6 %.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sz w:val="24"/>
        </w:rPr>
      </w:pPr>
      <w:r>
        <w:rPr>
          <w:sz w:val="24"/>
        </w:rPr>
        <w:t xml:space="preserve">Le secteur d'activité </w:t>
      </w:r>
      <w:r>
        <w:rPr>
          <w:b/>
          <w:bCs/>
          <w:sz w:val="24"/>
        </w:rPr>
        <w:t>Beauty Care</w:t>
      </w:r>
      <w:r>
        <w:rPr>
          <w:sz w:val="24"/>
        </w:rPr>
        <w:t xml:space="preserve"> a lui aussi progressé, avec une </w:t>
      </w:r>
      <w:r>
        <w:rPr>
          <w:b/>
          <w:sz w:val="24"/>
        </w:rPr>
        <w:t>croissance organique des ventes</w:t>
      </w:r>
      <w:r>
        <w:rPr>
          <w:sz w:val="24"/>
        </w:rPr>
        <w:t xml:space="preserve"> de 0,5 %. En valeur nominale les ventes ont augmenté de 5,5 %, atteignant 993 millions d'EUR. Le </w:t>
      </w:r>
      <w:r>
        <w:rPr>
          <w:b/>
          <w:sz w:val="24"/>
        </w:rPr>
        <w:t>résultat d'exploitation ajusté</w:t>
      </w:r>
      <w:r>
        <w:rPr>
          <w:sz w:val="24"/>
        </w:rPr>
        <w:t xml:space="preserve"> a augmenté de 6,7 % à 182 millions d'EUR. S’établissant à 18,3 %, la </w:t>
      </w:r>
      <w:r>
        <w:rPr>
          <w:b/>
          <w:sz w:val="24"/>
        </w:rPr>
        <w:t>rentabilité des ventes ajustée</w:t>
      </w:r>
      <w:r>
        <w:rPr>
          <w:sz w:val="24"/>
        </w:rPr>
        <w:t xml:space="preserve"> a progressé de 0,2 point.</w:t>
      </w:r>
    </w:p>
    <w:p w:rsidR="007B661B" w:rsidRDefault="007B661B" w:rsidP="00FA57A9">
      <w:pPr>
        <w:autoSpaceDE w:val="0"/>
        <w:autoSpaceDN w:val="0"/>
        <w:adjustRightInd w:val="0"/>
        <w:spacing w:line="360" w:lineRule="auto"/>
        <w:jc w:val="both"/>
        <w:rPr>
          <w:rFonts w:cs="Arial"/>
          <w:color w:val="000000"/>
          <w:sz w:val="24"/>
        </w:rPr>
      </w:pPr>
    </w:p>
    <w:p w:rsidR="00FA57A9" w:rsidRPr="00EE0D53" w:rsidRDefault="00FA57A9" w:rsidP="00FA57A9">
      <w:pPr>
        <w:spacing w:line="360" w:lineRule="auto"/>
        <w:jc w:val="both"/>
        <w:rPr>
          <w:rFonts w:cs="Arial"/>
          <w:i/>
          <w:color w:val="7F7F7F"/>
          <w:sz w:val="24"/>
        </w:rPr>
      </w:pPr>
      <w:r>
        <w:rPr>
          <w:sz w:val="24"/>
        </w:rPr>
        <w:t xml:space="preserve">Le secteur d'activité </w:t>
      </w:r>
      <w:r>
        <w:rPr>
          <w:b/>
          <w:bCs/>
          <w:sz w:val="24"/>
        </w:rPr>
        <w:t>Laundry &amp; Home Care</w:t>
      </w:r>
      <w:r>
        <w:rPr>
          <w:sz w:val="24"/>
        </w:rPr>
        <w:t xml:space="preserve"> a généré une bonne </w:t>
      </w:r>
      <w:r>
        <w:rPr>
          <w:b/>
          <w:sz w:val="24"/>
        </w:rPr>
        <w:t>croissance organique des ventes</w:t>
      </w:r>
      <w:r>
        <w:rPr>
          <w:sz w:val="24"/>
        </w:rPr>
        <w:t xml:space="preserve"> de 2,5 % au troisième trimestre. En valeur nominale, les ventes ont augmenté de 0,3 % pour atteindre 1 641 millions d'EUR. À 294 millions d'euros, le </w:t>
      </w:r>
      <w:r>
        <w:rPr>
          <w:b/>
          <w:bCs/>
          <w:sz w:val="24"/>
        </w:rPr>
        <w:t>résultat opérationnel ajusté</w:t>
      </w:r>
      <w:r>
        <w:rPr>
          <w:sz w:val="24"/>
        </w:rPr>
        <w:t xml:space="preserve"> est au niveau du troisième trimestre 2017.</w:t>
      </w:r>
      <w:r>
        <w:rPr>
          <w:color w:val="000000"/>
          <w:sz w:val="24"/>
        </w:rPr>
        <w:t xml:space="preserve"> </w:t>
      </w:r>
      <w:r>
        <w:rPr>
          <w:sz w:val="24"/>
        </w:rPr>
        <w:t xml:space="preserve">À 17,9 %, la </w:t>
      </w:r>
      <w:r>
        <w:rPr>
          <w:b/>
          <w:sz w:val="24"/>
        </w:rPr>
        <w:t>rentabilité des ventes ajustée</w:t>
      </w:r>
      <w:r>
        <w:rPr>
          <w:sz w:val="24"/>
        </w:rPr>
        <w:t xml:space="preserve"> n’a pas évolué, elle est restée stable par rapport au même trimestre de l’an passé.</w:t>
      </w:r>
    </w:p>
    <w:p w:rsidR="00FA57A9" w:rsidRPr="00016134" w:rsidRDefault="00FA57A9" w:rsidP="00FA57A9">
      <w:pPr>
        <w:autoSpaceDE w:val="0"/>
        <w:autoSpaceDN w:val="0"/>
        <w:adjustRightInd w:val="0"/>
        <w:spacing w:line="360" w:lineRule="auto"/>
        <w:jc w:val="both"/>
        <w:rPr>
          <w:b/>
          <w:sz w:val="24"/>
        </w:rPr>
      </w:pPr>
    </w:p>
    <w:p w:rsidR="00FA57A9" w:rsidRPr="009350CB" w:rsidRDefault="007B661B" w:rsidP="00FA57A9">
      <w:pPr>
        <w:autoSpaceDE w:val="0"/>
        <w:autoSpaceDN w:val="0"/>
        <w:adjustRightInd w:val="0"/>
        <w:spacing w:after="120" w:line="360" w:lineRule="auto"/>
        <w:jc w:val="both"/>
        <w:rPr>
          <w:b/>
          <w:sz w:val="24"/>
        </w:rPr>
      </w:pPr>
      <w:r>
        <w:rPr>
          <w:b/>
          <w:sz w:val="24"/>
        </w:rPr>
        <w:t>B</w:t>
      </w:r>
      <w:r w:rsidR="00FA57A9">
        <w:rPr>
          <w:b/>
          <w:sz w:val="24"/>
        </w:rPr>
        <w:t>onnes performances commerciales au cours des neuf premiers mois de 2018</w:t>
      </w:r>
    </w:p>
    <w:p w:rsidR="00FA57A9" w:rsidRDefault="00FA57A9" w:rsidP="00FA57A9">
      <w:pPr>
        <w:autoSpaceDE w:val="0"/>
        <w:autoSpaceDN w:val="0"/>
        <w:adjustRightInd w:val="0"/>
        <w:spacing w:line="360" w:lineRule="auto"/>
        <w:jc w:val="both"/>
        <w:rPr>
          <w:rFonts w:cs="Arial"/>
          <w:sz w:val="24"/>
        </w:rPr>
      </w:pPr>
      <w:r>
        <w:rPr>
          <w:sz w:val="24"/>
        </w:rPr>
        <w:t xml:space="preserve">Au cours des neuf premiers mois de 2018, Henkel a généré 15 015 millions d’EUR de </w:t>
      </w:r>
      <w:r>
        <w:rPr>
          <w:b/>
          <w:sz w:val="24"/>
        </w:rPr>
        <w:t>ventes</w:t>
      </w:r>
      <w:r>
        <w:rPr>
          <w:sz w:val="24"/>
        </w:rPr>
        <w:t xml:space="preserve">. </w:t>
      </w:r>
      <w:r>
        <w:rPr>
          <w:b/>
          <w:sz w:val="24"/>
        </w:rPr>
        <w:t>Organiquement</w:t>
      </w:r>
      <w:r>
        <w:rPr>
          <w:sz w:val="24"/>
        </w:rPr>
        <w:t xml:space="preserve">, c'est-à-dire après ajustement des effets liés aux opérations de change et aux acquisitions/désinvestissements, Henkel a enregistré une bonne croissance de 2,4 %. Les effets de change ont </w:t>
      </w:r>
      <w:r w:rsidR="00260D5E">
        <w:rPr>
          <w:sz w:val="24"/>
        </w:rPr>
        <w:t xml:space="preserve">eu un impact négatif sur </w:t>
      </w:r>
      <w:r>
        <w:rPr>
          <w:sz w:val="24"/>
        </w:rPr>
        <w:t>le chiffre d’affaires à hauteur de -6,0 %.</w:t>
      </w:r>
    </w:p>
    <w:p w:rsidR="00FA57A9" w:rsidRPr="00016134" w:rsidRDefault="00FA57A9" w:rsidP="00FA57A9">
      <w:pPr>
        <w:autoSpaceDE w:val="0"/>
        <w:autoSpaceDN w:val="0"/>
        <w:adjustRightInd w:val="0"/>
        <w:spacing w:line="360" w:lineRule="auto"/>
        <w:jc w:val="both"/>
        <w:rPr>
          <w:rFonts w:cs="Arial"/>
          <w:b/>
          <w:bCs/>
          <w:sz w:val="24"/>
          <w:lang w:eastAsia="de-DE"/>
        </w:rPr>
      </w:pPr>
    </w:p>
    <w:p w:rsidR="00FA57A9" w:rsidRDefault="00FA57A9" w:rsidP="00FA57A9">
      <w:pPr>
        <w:autoSpaceDE w:val="0"/>
        <w:autoSpaceDN w:val="0"/>
        <w:adjustRightInd w:val="0"/>
        <w:spacing w:line="360" w:lineRule="auto"/>
        <w:jc w:val="both"/>
        <w:rPr>
          <w:rFonts w:cs="Arial"/>
          <w:sz w:val="24"/>
        </w:rPr>
      </w:pPr>
      <w:r>
        <w:rPr>
          <w:sz w:val="24"/>
        </w:rPr>
        <w:t xml:space="preserve">Le </w:t>
      </w:r>
      <w:r>
        <w:rPr>
          <w:b/>
          <w:bCs/>
          <w:sz w:val="24"/>
        </w:rPr>
        <w:t xml:space="preserve">résultat d'exploitation ajusté </w:t>
      </w:r>
      <w:r>
        <w:rPr>
          <w:sz w:val="24"/>
        </w:rPr>
        <w:t xml:space="preserve">a augmenté de 1,3 %, passant de 2 660 millions d’EUR à 2 694 millions d'EUR. </w:t>
      </w:r>
    </w:p>
    <w:p w:rsidR="00FA57A9" w:rsidRPr="00016134" w:rsidRDefault="00FA57A9" w:rsidP="00FA57A9">
      <w:pPr>
        <w:autoSpaceDE w:val="0"/>
        <w:autoSpaceDN w:val="0"/>
        <w:adjustRightInd w:val="0"/>
        <w:spacing w:line="360" w:lineRule="auto"/>
        <w:jc w:val="both"/>
        <w:rPr>
          <w:rFonts w:cs="Arial"/>
          <w:sz w:val="24"/>
          <w:lang w:eastAsia="de-DE"/>
        </w:rPr>
      </w:pPr>
    </w:p>
    <w:p w:rsidR="00FA57A9" w:rsidRDefault="00FA57A9" w:rsidP="00FA57A9">
      <w:pPr>
        <w:autoSpaceDE w:val="0"/>
        <w:autoSpaceDN w:val="0"/>
        <w:adjustRightInd w:val="0"/>
        <w:spacing w:line="360" w:lineRule="auto"/>
        <w:jc w:val="both"/>
        <w:rPr>
          <w:rFonts w:cs="Arial"/>
          <w:sz w:val="24"/>
        </w:rPr>
      </w:pPr>
      <w:r>
        <w:rPr>
          <w:sz w:val="24"/>
        </w:rPr>
        <w:t xml:space="preserve">La </w:t>
      </w:r>
      <w:r>
        <w:rPr>
          <w:b/>
          <w:sz w:val="24"/>
        </w:rPr>
        <w:t>rentabilité des ventes ajustée</w:t>
      </w:r>
      <w:r>
        <w:rPr>
          <w:sz w:val="24"/>
        </w:rPr>
        <w:t xml:space="preserve"> a enregistré une évolution positive, passant de 17,6 % à 17,9 %.</w:t>
      </w:r>
    </w:p>
    <w:p w:rsidR="00FA57A9" w:rsidRPr="00016134" w:rsidRDefault="00FA57A9" w:rsidP="00FA57A9">
      <w:pPr>
        <w:autoSpaceDE w:val="0"/>
        <w:autoSpaceDN w:val="0"/>
        <w:adjustRightInd w:val="0"/>
        <w:spacing w:line="360" w:lineRule="auto"/>
        <w:jc w:val="both"/>
        <w:rPr>
          <w:rFonts w:cs="Arial"/>
          <w:b/>
          <w:bCs/>
          <w:sz w:val="24"/>
          <w:lang w:eastAsia="de-DE"/>
        </w:rPr>
      </w:pPr>
    </w:p>
    <w:p w:rsidR="00FA57A9" w:rsidRPr="003B51DA" w:rsidRDefault="00FA57A9" w:rsidP="00FA57A9">
      <w:pPr>
        <w:autoSpaceDE w:val="0"/>
        <w:autoSpaceDN w:val="0"/>
        <w:adjustRightInd w:val="0"/>
        <w:spacing w:line="360" w:lineRule="auto"/>
        <w:jc w:val="both"/>
        <w:rPr>
          <w:rFonts w:cs="Arial"/>
          <w:sz w:val="24"/>
        </w:rPr>
      </w:pPr>
      <w:r>
        <w:rPr>
          <w:sz w:val="24"/>
        </w:rPr>
        <w:t xml:space="preserve">Le </w:t>
      </w:r>
      <w:r>
        <w:rPr>
          <w:b/>
          <w:bCs/>
          <w:sz w:val="24"/>
        </w:rPr>
        <w:t>résultat par action préférentielle après ajustement</w:t>
      </w:r>
      <w:r>
        <w:rPr>
          <w:sz w:val="24"/>
        </w:rPr>
        <w:t xml:space="preserve"> a augmenté de 2,0 %, passant de 4,50 EUR à 4,59 EUR. </w:t>
      </w:r>
    </w:p>
    <w:p w:rsidR="00FA57A9" w:rsidRPr="00016134" w:rsidRDefault="00FA57A9" w:rsidP="00FA57A9">
      <w:pPr>
        <w:autoSpaceDE w:val="0"/>
        <w:autoSpaceDN w:val="0"/>
        <w:adjustRightInd w:val="0"/>
        <w:spacing w:line="360" w:lineRule="auto"/>
        <w:jc w:val="both"/>
        <w:rPr>
          <w:rFonts w:cs="Arial"/>
          <w:sz w:val="24"/>
          <w:lang w:eastAsia="de-DE"/>
        </w:rPr>
      </w:pPr>
    </w:p>
    <w:p w:rsidR="00FA57A9" w:rsidRDefault="00FA57A9" w:rsidP="00FA57A9">
      <w:pPr>
        <w:autoSpaceDE w:val="0"/>
        <w:autoSpaceDN w:val="0"/>
        <w:adjustRightInd w:val="0"/>
        <w:spacing w:line="360" w:lineRule="auto"/>
        <w:jc w:val="both"/>
        <w:rPr>
          <w:rFonts w:cs="Arial"/>
          <w:sz w:val="24"/>
        </w:rPr>
      </w:pPr>
      <w:r>
        <w:rPr>
          <w:sz w:val="24"/>
        </w:rPr>
        <w:t xml:space="preserve">Au cours des neuf premiers mois de 2018, le secteur d'activité </w:t>
      </w:r>
      <w:r>
        <w:rPr>
          <w:b/>
          <w:sz w:val="24"/>
        </w:rPr>
        <w:t xml:space="preserve">Adhesive Technologies </w:t>
      </w:r>
      <w:r>
        <w:rPr>
          <w:sz w:val="24"/>
        </w:rPr>
        <w:t xml:space="preserve">a réalisé une très forte croissance organique des ventes de 4,6 %. La rentabilité des ventes ajustée a progressé pour s’établir à 18,9 %. </w:t>
      </w:r>
    </w:p>
    <w:p w:rsidR="00FA57A9" w:rsidRPr="00016134" w:rsidRDefault="00FA57A9" w:rsidP="00FA57A9">
      <w:pPr>
        <w:autoSpaceDE w:val="0"/>
        <w:autoSpaceDN w:val="0"/>
        <w:adjustRightInd w:val="0"/>
        <w:spacing w:line="360" w:lineRule="auto"/>
        <w:jc w:val="both"/>
        <w:rPr>
          <w:rFonts w:cs="Arial"/>
          <w:sz w:val="24"/>
        </w:rPr>
      </w:pPr>
    </w:p>
    <w:p w:rsidR="00FA57A9" w:rsidRPr="001A30DE" w:rsidRDefault="00260D5E" w:rsidP="00FA57A9">
      <w:pPr>
        <w:autoSpaceDE w:val="0"/>
        <w:autoSpaceDN w:val="0"/>
        <w:adjustRightInd w:val="0"/>
        <w:spacing w:line="360" w:lineRule="auto"/>
        <w:jc w:val="both"/>
        <w:rPr>
          <w:rFonts w:cs="Arial"/>
          <w:sz w:val="24"/>
        </w:rPr>
      </w:pPr>
      <w:r>
        <w:rPr>
          <w:color w:val="000000"/>
          <w:sz w:val="24"/>
        </w:rPr>
        <w:t>D</w:t>
      </w:r>
      <w:r w:rsidR="00FA57A9">
        <w:rPr>
          <w:color w:val="000000"/>
          <w:sz w:val="24"/>
        </w:rPr>
        <w:t xml:space="preserve">es </w:t>
      </w:r>
      <w:r>
        <w:rPr>
          <w:color w:val="000000"/>
          <w:sz w:val="24"/>
        </w:rPr>
        <w:t>difficultés</w:t>
      </w:r>
      <w:r w:rsidR="00FA57A9">
        <w:rPr>
          <w:color w:val="000000"/>
          <w:sz w:val="24"/>
        </w:rPr>
        <w:t xml:space="preserve"> de livraison</w:t>
      </w:r>
      <w:r>
        <w:rPr>
          <w:color w:val="000000"/>
          <w:sz w:val="24"/>
        </w:rPr>
        <w:t xml:space="preserve"> en Amérique du Nord</w:t>
      </w:r>
      <w:r w:rsidR="00FA57A9">
        <w:rPr>
          <w:color w:val="000000"/>
          <w:sz w:val="24"/>
        </w:rPr>
        <w:t xml:space="preserve"> ont eu un effet négatif sur les performances des secteurs des biens de</w:t>
      </w:r>
      <w:r>
        <w:rPr>
          <w:color w:val="000000"/>
          <w:sz w:val="24"/>
        </w:rPr>
        <w:t xml:space="preserve"> grande</w:t>
      </w:r>
      <w:r w:rsidR="00FA57A9">
        <w:rPr>
          <w:color w:val="000000"/>
          <w:sz w:val="24"/>
        </w:rPr>
        <w:t xml:space="preserve"> consommation. </w:t>
      </w:r>
      <w:r w:rsidR="00FA57A9">
        <w:rPr>
          <w:sz w:val="24"/>
        </w:rPr>
        <w:t xml:space="preserve">Le secteur d'activité </w:t>
      </w:r>
      <w:r w:rsidR="00FA57A9">
        <w:rPr>
          <w:b/>
          <w:bCs/>
          <w:sz w:val="24"/>
        </w:rPr>
        <w:t>Beauty Care</w:t>
      </w:r>
      <w:r w:rsidR="00FA57A9">
        <w:rPr>
          <w:sz w:val="24"/>
        </w:rPr>
        <w:t xml:space="preserve"> a vu ses ventes organiques légèrement baisser de -1,2 % par rapport au même trimestre de l’année précédente. La rentabilité des ventes ajustée a progressé pour s’établir à 17,7 %. Le secteur d'activité </w:t>
      </w:r>
      <w:r w:rsidR="00FA57A9">
        <w:rPr>
          <w:b/>
          <w:bCs/>
          <w:sz w:val="24"/>
        </w:rPr>
        <w:t>Laundry &amp; Home Care</w:t>
      </w:r>
      <w:r w:rsidR="00FA57A9">
        <w:rPr>
          <w:sz w:val="24"/>
        </w:rPr>
        <w:t xml:space="preserve"> a réalisé une bonne croissance organique des ventes de 1,6 %. </w:t>
      </w:r>
      <w:r w:rsidR="00FA57A9">
        <w:rPr>
          <w:color w:val="000000"/>
          <w:sz w:val="24"/>
        </w:rPr>
        <w:t>La rentabilité des ventes ajustée a enregistré une très forte hausse, s'établissant à 18,1 %.</w:t>
      </w:r>
    </w:p>
    <w:p w:rsidR="00260D5E" w:rsidRDefault="00FA57A9" w:rsidP="00260D5E">
      <w:pPr>
        <w:autoSpaceDE w:val="0"/>
        <w:autoSpaceDN w:val="0"/>
        <w:adjustRightInd w:val="0"/>
        <w:spacing w:line="360" w:lineRule="auto"/>
        <w:rPr>
          <w:sz w:val="24"/>
        </w:rPr>
      </w:pPr>
      <w:r>
        <w:rPr>
          <w:sz w:val="24"/>
        </w:rPr>
        <w:t xml:space="preserve">Au 30 septembre 2018, la </w:t>
      </w:r>
      <w:r>
        <w:rPr>
          <w:b/>
          <w:bCs/>
          <w:sz w:val="24"/>
        </w:rPr>
        <w:t xml:space="preserve">position financière nette </w:t>
      </w:r>
      <w:r>
        <w:rPr>
          <w:sz w:val="24"/>
        </w:rPr>
        <w:t>de Henkel s'établissait à</w:t>
      </w:r>
      <w:r w:rsidR="00260D5E">
        <w:rPr>
          <w:sz w:val="24"/>
        </w:rPr>
        <w:t xml:space="preserve"> </w:t>
      </w:r>
    </w:p>
    <w:p w:rsidR="00FA57A9" w:rsidRPr="00260D5E" w:rsidRDefault="00FA57A9" w:rsidP="00260D5E">
      <w:pPr>
        <w:autoSpaceDE w:val="0"/>
        <w:autoSpaceDN w:val="0"/>
        <w:adjustRightInd w:val="0"/>
        <w:spacing w:line="360" w:lineRule="auto"/>
        <w:rPr>
          <w:sz w:val="24"/>
        </w:rPr>
      </w:pPr>
      <w:r>
        <w:rPr>
          <w:sz w:val="24"/>
        </w:rPr>
        <w:t>-3 248 millions d'EUR (31 décembre 2017 : -3 225 millions d'EUR).</w:t>
      </w:r>
    </w:p>
    <w:p w:rsidR="00FA57A9" w:rsidRPr="00016134" w:rsidRDefault="00FA57A9" w:rsidP="00FA57A9">
      <w:pPr>
        <w:spacing w:after="120" w:line="276" w:lineRule="auto"/>
        <w:jc w:val="both"/>
        <w:rPr>
          <w:b/>
          <w:bCs/>
        </w:rPr>
      </w:pPr>
    </w:p>
    <w:p w:rsidR="002F4146" w:rsidRDefault="00AA32FF" w:rsidP="00C0734F">
      <w:pPr>
        <w:spacing w:after="160" w:line="259" w:lineRule="auto"/>
      </w:pPr>
      <w:r w:rsidRPr="00595B97">
        <w:rPr>
          <w:b/>
          <w:sz w:val="22"/>
          <w:u w:val="single"/>
        </w:rPr>
        <w:t>Ce communiqué de presse en français est une traduction de la version originale.</w:t>
      </w:r>
    </w:p>
    <w:p w:rsidR="00B948E4" w:rsidRDefault="00B948E4" w:rsidP="00D32DB8">
      <w:pPr>
        <w:spacing w:line="276" w:lineRule="auto"/>
        <w:jc w:val="both"/>
        <w:rPr>
          <w:b/>
          <w:bCs/>
        </w:rPr>
      </w:pPr>
    </w:p>
    <w:p w:rsidR="00D32DB8" w:rsidRPr="0012578B" w:rsidRDefault="00D32DB8" w:rsidP="00D32DB8">
      <w:pPr>
        <w:spacing w:line="276" w:lineRule="auto"/>
        <w:jc w:val="both"/>
        <w:rPr>
          <w:rFonts w:ascii="Calibri" w:hAnsi="Calibri"/>
          <w:szCs w:val="20"/>
          <w:lang w:eastAsia="zh-CN"/>
        </w:rPr>
      </w:pPr>
      <w:r w:rsidRPr="0012578B">
        <w:rPr>
          <w:b/>
          <w:bCs/>
        </w:rPr>
        <w:t>A propos d</w:t>
      </w:r>
      <w:r>
        <w:rPr>
          <w:b/>
          <w:bCs/>
        </w:rPr>
        <w:t>e Henkel</w:t>
      </w:r>
    </w:p>
    <w:p w:rsidR="00D32DB8" w:rsidRPr="00CE0ECB" w:rsidRDefault="00D32DB8" w:rsidP="00D32DB8">
      <w:pPr>
        <w:jc w:val="both"/>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marques puissantes, ses innovations et ses technologies. Le secteur Adhesive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 xml:space="preserve">monde. Créé en 1876, Henkel s'appuie sur plus de 140 ans de réussite. En 2017, le Groupe a réalisé un chiffre d’affaires de 20 milliards d’euros et un résultat d’exploitation ajusté de 3,5 milliards d’euros. Les premières marques mondiales de chacune des trois branches d’activités – </w:t>
      </w:r>
      <w:proofErr w:type="spellStart"/>
      <w:r>
        <w:t>Loctite</w:t>
      </w:r>
      <w:proofErr w:type="spellEnd"/>
      <w:r>
        <w:t>, Schwarzkopf, Persil</w:t>
      </w:r>
      <w:r w:rsidR="009148D0">
        <w:t xml:space="preserve"> </w:t>
      </w:r>
      <w:r>
        <w:t>– ont généré au total un chiffre d’affaires de plus de 6,4 milliards d’euros.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classements et indices internationaux. Les actions préférentielles Henkel sont listées à l’indice boursier allemand DAX. Pour en savoir plus, rendez-vous sur</w:t>
      </w:r>
      <w:r w:rsidR="009148D0">
        <w:t xml:space="preserve"> henkel.com.</w:t>
      </w:r>
    </w:p>
    <w:p w:rsidR="00D32DB8" w:rsidRPr="00D32DB8" w:rsidRDefault="00D32DB8" w:rsidP="00AA32FF">
      <w:pPr>
        <w:spacing w:line="240" w:lineRule="auto"/>
        <w:jc w:val="both"/>
        <w:rPr>
          <w:sz w:val="16"/>
        </w:rPr>
      </w:pPr>
    </w:p>
    <w:p w:rsidR="00AA32FF" w:rsidRPr="00A22E62" w:rsidRDefault="00AA32FF" w:rsidP="00AA32FF">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KGaA. Les prévisions sont caractérisées par l’emploi de termes tels que attendre,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KGaA et ses filiales comportent de nombreux risques et incertitudes et peuvent par conséquent diverger sensiblement des prévisions initiales. </w:t>
      </w:r>
      <w:r>
        <w:rPr>
          <w:color w:val="000000"/>
          <w:sz w:val="16"/>
        </w:rPr>
        <w:lastRenderedPageBreak/>
        <w:t>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AA32FF" w:rsidRPr="00A22E62" w:rsidRDefault="00AA32FF" w:rsidP="00AA32FF">
      <w:pPr>
        <w:spacing w:line="240" w:lineRule="auto"/>
        <w:jc w:val="both"/>
        <w:rPr>
          <w:rFonts w:cs="Arial"/>
          <w:b/>
          <w:szCs w:val="20"/>
          <w:u w:val="single"/>
        </w:rPr>
      </w:pPr>
    </w:p>
    <w:p w:rsidR="00AA32FF" w:rsidRPr="004A58AC" w:rsidRDefault="00AA32FF" w:rsidP="00AA32FF">
      <w:pPr>
        <w:tabs>
          <w:tab w:val="left" w:pos="709"/>
          <w:tab w:val="left" w:pos="4536"/>
          <w:tab w:val="left" w:pos="5245"/>
        </w:tabs>
        <w:spacing w:line="240" w:lineRule="auto"/>
        <w:rPr>
          <w:szCs w:val="20"/>
        </w:rPr>
      </w:pPr>
    </w:p>
    <w:p w:rsidR="00260D5E" w:rsidRDefault="00260D5E" w:rsidP="00C41B2A">
      <w:pPr>
        <w:rPr>
          <w:rFonts w:cs="Arial"/>
          <w:b/>
          <w:szCs w:val="20"/>
          <w:u w:val="single"/>
        </w:rPr>
      </w:pPr>
    </w:p>
    <w:p w:rsidR="00260D5E" w:rsidRDefault="00260D5E" w:rsidP="00C41B2A">
      <w:pPr>
        <w:rPr>
          <w:rFonts w:cs="Arial"/>
          <w:b/>
          <w:szCs w:val="20"/>
          <w:u w:val="single"/>
        </w:rPr>
      </w:pPr>
    </w:p>
    <w:p w:rsidR="00C41B2A" w:rsidRDefault="00C41B2A" w:rsidP="00C41B2A">
      <w:pPr>
        <w:rPr>
          <w:rFonts w:cs="Arial"/>
          <w:b/>
          <w:szCs w:val="20"/>
          <w:u w:val="single"/>
        </w:rPr>
      </w:pPr>
      <w:r>
        <w:rPr>
          <w:rFonts w:cs="Arial"/>
          <w:b/>
          <w:szCs w:val="20"/>
          <w:u w:val="single"/>
        </w:rPr>
        <w:t>Contact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Pr="009148D0" w:rsidRDefault="00C41B2A" w:rsidP="00C41B2A">
            <w:pPr>
              <w:ind w:left="-108"/>
              <w:rPr>
                <w:rFonts w:cs="Arial"/>
                <w:szCs w:val="20"/>
                <w:lang w:val="nl-BE"/>
              </w:rPr>
            </w:pPr>
            <w:r w:rsidRPr="009148D0">
              <w:rPr>
                <w:rFonts w:cs="Arial"/>
                <w:szCs w:val="20"/>
                <w:lang w:val="nl-BE"/>
              </w:rPr>
              <w:t>Henkel</w:t>
            </w:r>
            <w:r w:rsidRPr="009148D0">
              <w:rPr>
                <w:rFonts w:cs="Arial"/>
                <w:szCs w:val="20"/>
                <w:lang w:val="nl-BE"/>
              </w:rPr>
              <w:br/>
            </w:r>
            <w:r w:rsidR="009148D0" w:rsidRPr="009148D0">
              <w:rPr>
                <w:rFonts w:cs="Arial"/>
                <w:szCs w:val="20"/>
                <w:lang w:val="nl-BE"/>
              </w:rPr>
              <w:t>E</w:t>
            </w:r>
            <w:r w:rsidR="009148D0">
              <w:rPr>
                <w:rFonts w:cs="Arial"/>
                <w:szCs w:val="20"/>
                <w:lang w:val="nl-BE"/>
              </w:rPr>
              <w:t>ls Bruyninckx</w:t>
            </w:r>
            <w:r w:rsidRPr="009148D0">
              <w:rPr>
                <w:rFonts w:cs="Arial"/>
                <w:szCs w:val="20"/>
                <w:lang w:val="nl-BE"/>
              </w:rPr>
              <w:br/>
            </w:r>
            <w:proofErr w:type="gramStart"/>
            <w:r w:rsidRPr="009148D0">
              <w:rPr>
                <w:rFonts w:cs="Arial"/>
                <w:szCs w:val="20"/>
                <w:lang w:val="nl-BE"/>
              </w:rPr>
              <w:t>Tél :</w:t>
            </w:r>
            <w:proofErr w:type="gramEnd"/>
            <w:r w:rsidRPr="009148D0">
              <w:rPr>
                <w:rFonts w:cs="Arial"/>
                <w:szCs w:val="20"/>
                <w:lang w:val="nl-BE"/>
              </w:rPr>
              <w:t xml:space="preserve"> 0</w:t>
            </w:r>
            <w:r w:rsidR="009148D0">
              <w:rPr>
                <w:rFonts w:cs="Arial"/>
                <w:szCs w:val="20"/>
                <w:lang w:val="nl-BE"/>
              </w:rPr>
              <w:t>2/421 28 84</w:t>
            </w:r>
            <w:r w:rsidRPr="009148D0">
              <w:rPr>
                <w:rFonts w:cs="Arial"/>
                <w:szCs w:val="20"/>
                <w:lang w:val="nl-BE"/>
              </w:rPr>
              <w:br/>
            </w:r>
            <w:r w:rsidR="009148D0" w:rsidRPr="009148D0">
              <w:rPr>
                <w:rStyle w:val="Hyperlink"/>
                <w:szCs w:val="20"/>
                <w:lang w:val="nl-BE"/>
              </w:rPr>
              <w:t>e</w:t>
            </w:r>
            <w:r w:rsidR="009148D0" w:rsidRPr="009148D0">
              <w:rPr>
                <w:rStyle w:val="Hyperlink"/>
                <w:lang w:val="nl-BE"/>
              </w:rPr>
              <w:t>ls.bruyninckx@hen</w:t>
            </w:r>
            <w:r w:rsidR="009148D0">
              <w:rPr>
                <w:rStyle w:val="Hyperlink"/>
                <w:lang w:val="nl-BE"/>
              </w:rPr>
              <w:t>kel.com</w:t>
            </w:r>
          </w:p>
        </w:tc>
        <w:tc>
          <w:tcPr>
            <w:tcW w:w="4606" w:type="dxa"/>
            <w:hideMark/>
          </w:tcPr>
          <w:p w:rsidR="00C41B2A" w:rsidRDefault="00C41B2A" w:rsidP="001A6561">
            <w:pPr>
              <w:rPr>
                <w:rFonts w:cs="Arial"/>
                <w:color w:val="0000FF"/>
                <w:szCs w:val="20"/>
                <w:u w:val="single"/>
              </w:rPr>
            </w:pPr>
          </w:p>
        </w:tc>
      </w:tr>
    </w:tbl>
    <w:p w:rsidR="002F4146" w:rsidRDefault="002F4146"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0472BB" w:rsidRDefault="000472BB"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EF13F2" w:rsidRPr="00EF13F2" w:rsidRDefault="00BF3197" w:rsidP="00EF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20"/>
        </w:rPr>
      </w:pPr>
      <w:r w:rsidRPr="00BF3197">
        <w:rPr>
          <w:rFonts w:cs="Arial"/>
          <w:color w:val="000000"/>
          <w:szCs w:val="20"/>
        </w:rPr>
        <w:t>Le</w:t>
      </w:r>
      <w:r>
        <w:rPr>
          <w:rFonts w:cs="Arial"/>
          <w:color w:val="000000"/>
          <w:szCs w:val="20"/>
        </w:rPr>
        <w:t>s informations</w:t>
      </w:r>
      <w:r w:rsidR="00EF13F2" w:rsidRPr="00EF13F2">
        <w:rPr>
          <w:rFonts w:cs="Arial"/>
          <w:color w:val="000000"/>
          <w:szCs w:val="20"/>
        </w:rPr>
        <w:t xml:space="preserve"> </w:t>
      </w:r>
      <w:r>
        <w:rPr>
          <w:rFonts w:cs="Arial"/>
          <w:color w:val="000000"/>
          <w:szCs w:val="20"/>
        </w:rPr>
        <w:t xml:space="preserve">relatives au </w:t>
      </w:r>
      <w:r w:rsidR="00FA57A9">
        <w:rPr>
          <w:rFonts w:cs="Arial"/>
          <w:color w:val="000000"/>
          <w:szCs w:val="20"/>
        </w:rPr>
        <w:t>troisième</w:t>
      </w:r>
      <w:r w:rsidR="00EF13F2" w:rsidRPr="00EF13F2">
        <w:rPr>
          <w:rFonts w:cs="Arial"/>
          <w:color w:val="000000"/>
          <w:szCs w:val="20"/>
        </w:rPr>
        <w:t xml:space="preserve"> trimestre 2018</w:t>
      </w:r>
      <w:r>
        <w:rPr>
          <w:rFonts w:cs="Arial"/>
          <w:color w:val="000000"/>
          <w:szCs w:val="20"/>
        </w:rPr>
        <w:t xml:space="preserve">, </w:t>
      </w:r>
      <w:r w:rsidR="00AE7A54">
        <w:rPr>
          <w:rFonts w:cs="Arial"/>
          <w:color w:val="000000"/>
          <w:szCs w:val="20"/>
        </w:rPr>
        <w:t xml:space="preserve">des </w:t>
      </w:r>
      <w:r w:rsidR="00EF13F2" w:rsidRPr="00EF13F2">
        <w:rPr>
          <w:rFonts w:cs="Arial"/>
          <w:color w:val="000000"/>
          <w:szCs w:val="20"/>
        </w:rPr>
        <w:t xml:space="preserve">documents </w:t>
      </w:r>
      <w:r>
        <w:rPr>
          <w:rFonts w:cs="Arial"/>
          <w:color w:val="000000"/>
          <w:szCs w:val="20"/>
        </w:rPr>
        <w:t xml:space="preserve">à </w:t>
      </w:r>
      <w:r w:rsidR="00EF13F2" w:rsidRPr="00EF13F2">
        <w:rPr>
          <w:rFonts w:cs="Arial"/>
          <w:color w:val="000000"/>
          <w:szCs w:val="20"/>
        </w:rPr>
        <w:t>télécharge</w:t>
      </w:r>
      <w:r>
        <w:rPr>
          <w:rFonts w:cs="Arial"/>
          <w:color w:val="000000"/>
          <w:szCs w:val="20"/>
        </w:rPr>
        <w:t xml:space="preserve">r </w:t>
      </w:r>
      <w:r w:rsidR="00EF13F2" w:rsidRPr="00EF13F2">
        <w:rPr>
          <w:rFonts w:cs="Arial"/>
          <w:color w:val="000000"/>
          <w:szCs w:val="20"/>
        </w:rPr>
        <w:t>ainsi que le lien vers la téléconférence peuvent être consultés sur Internet à l’adresse suivante</w:t>
      </w:r>
      <w:r w:rsidR="00AE7A54">
        <w:rPr>
          <w:rFonts w:cs="Arial"/>
          <w:color w:val="000000"/>
          <w:szCs w:val="20"/>
        </w:rPr>
        <w:t xml:space="preserve"> </w:t>
      </w:r>
      <w:r w:rsidR="00EF13F2" w:rsidRPr="00EF13F2">
        <w:rPr>
          <w:rFonts w:cs="Arial"/>
          <w:color w:val="000000"/>
          <w:szCs w:val="20"/>
        </w:rPr>
        <w:t>:</w:t>
      </w:r>
    </w:p>
    <w:p w:rsidR="00EF13F2" w:rsidRPr="00EF13F2" w:rsidRDefault="00EF13F2" w:rsidP="000472BB">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rPr>
      </w:pPr>
    </w:p>
    <w:p w:rsidR="000472BB" w:rsidRPr="00EF13F2" w:rsidRDefault="000472BB"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BD3B58" w:rsidRPr="006D4DA3" w:rsidRDefault="009148D0" w:rsidP="00BD3B58">
      <w:pPr>
        <w:autoSpaceDE w:val="0"/>
        <w:autoSpaceDN w:val="0"/>
        <w:rPr>
          <w:rFonts w:ascii="Calibri" w:hAnsi="Calibri" w:cs="Calibri"/>
          <w:sz w:val="22"/>
          <w:szCs w:val="22"/>
        </w:rPr>
      </w:pPr>
      <w:hyperlink r:id="rId7" w:history="1">
        <w:r w:rsidR="00BD3B58" w:rsidRPr="006D4DA3">
          <w:rPr>
            <w:color w:val="0000FF"/>
            <w:u w:val="single"/>
          </w:rPr>
          <w:t>www.henkel.com/press</w:t>
        </w:r>
      </w:hyperlink>
    </w:p>
    <w:p w:rsidR="00222F2B" w:rsidRPr="0021774A" w:rsidRDefault="009148D0" w:rsidP="00BD3B58">
      <w:pPr>
        <w:autoSpaceDE w:val="0"/>
        <w:autoSpaceDN w:val="0"/>
      </w:pPr>
      <w:hyperlink r:id="rId8" w:history="1">
        <w:r w:rsidR="00BD3B58" w:rsidRPr="006D4DA3">
          <w:rPr>
            <w:color w:val="0000FF"/>
            <w:u w:val="single"/>
          </w:rPr>
          <w:t>www.henkel.com/ir</w:t>
        </w:r>
      </w:hyperlink>
    </w:p>
    <w:p w:rsidR="00222F2B" w:rsidRDefault="00222F2B" w:rsidP="00C0734F">
      <w:pPr>
        <w:autoSpaceDE w:val="0"/>
        <w:autoSpaceDN w:val="0"/>
      </w:pPr>
    </w:p>
    <w:p w:rsidR="00767593" w:rsidRPr="00C0734F" w:rsidRDefault="00767593" w:rsidP="00C0734F">
      <w:pPr>
        <w:autoSpaceDE w:val="0"/>
        <w:autoSpaceDN w:val="0"/>
      </w:pPr>
      <w:bookmarkStart w:id="0" w:name="_GoBack"/>
      <w:bookmarkEnd w:id="0"/>
    </w:p>
    <w:sectPr w:rsidR="00767593" w:rsidRPr="00C0734F" w:rsidSect="00BD3B58">
      <w:headerReference w:type="default" r:id="rId9"/>
      <w:footerReference w:type="default" r:id="rId10"/>
      <w:headerReference w:type="first" r:id="rId11"/>
      <w:footerReference w:type="first" r:id="rId12"/>
      <w:pgSz w:w="11907" w:h="16840" w:code="9"/>
      <w:pgMar w:top="510" w:right="1275" w:bottom="1843"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C5D" w:rsidRDefault="00141C5D">
      <w:pPr>
        <w:spacing w:line="240" w:lineRule="auto"/>
      </w:pPr>
      <w:r>
        <w:separator/>
      </w:r>
    </w:p>
  </w:endnote>
  <w:endnote w:type="continuationSeparator" w:id="0">
    <w:p w:rsidR="00141C5D" w:rsidRDefault="00141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9148D0">
    <w:pPr>
      <w:pStyle w:val="Footer"/>
      <w:tabs>
        <w:tab w:val="clear" w:pos="7083"/>
        <w:tab w:val="clear" w:pos="8640"/>
        <w:tab w:val="right" w:pos="9057"/>
      </w:tabs>
    </w:pPr>
  </w:p>
  <w:p w:rsidR="00027FA3" w:rsidRPr="00BA1B20" w:rsidRDefault="00C41B2A">
    <w:pPr>
      <w:pStyle w:val="Footer"/>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5A06F1">
      <w:rPr>
        <w:b w:val="0"/>
        <w:noProof/>
        <w:color w:val="auto"/>
        <w:sz w:val="14"/>
        <w:szCs w:val="14"/>
      </w:rPr>
      <w:t>5</w:t>
    </w:r>
    <w:r w:rsidRPr="00BA1B20">
      <w:rPr>
        <w:b w:val="0"/>
        <w:color w:val="auto"/>
        <w:sz w:val="14"/>
        <w:szCs w:val="14"/>
      </w:rPr>
      <w:fldChar w:fldCharType="end"/>
    </w:r>
    <w:r>
      <w:rPr>
        <w:b w:val="0"/>
        <w:color w:val="auto"/>
        <w:sz w:val="14"/>
      </w:rPr>
      <w:t>/</w:t>
    </w:r>
    <w:r w:rsidR="00A8376D">
      <w:rPr>
        <w:b w:val="0"/>
        <w:noProof/>
        <w:color w:val="auto"/>
        <w:sz w:val="14"/>
        <w:szCs w:val="14"/>
      </w:rPr>
      <w:fldChar w:fldCharType="begin"/>
    </w:r>
    <w:r w:rsidR="00A8376D">
      <w:rPr>
        <w:b w:val="0"/>
        <w:noProof/>
        <w:color w:val="auto"/>
        <w:sz w:val="14"/>
        <w:szCs w:val="14"/>
      </w:rPr>
      <w:instrText xml:space="preserve"> NUMPAGES  \* Arabic  \* MERGEFORMAT </w:instrText>
    </w:r>
    <w:r w:rsidR="00A8376D">
      <w:rPr>
        <w:b w:val="0"/>
        <w:noProof/>
        <w:color w:val="auto"/>
        <w:sz w:val="14"/>
        <w:szCs w:val="14"/>
      </w:rPr>
      <w:fldChar w:fldCharType="separate"/>
    </w:r>
    <w:r w:rsidR="005A06F1" w:rsidRPr="005A06F1">
      <w:rPr>
        <w:b w:val="0"/>
        <w:noProof/>
        <w:color w:val="auto"/>
        <w:sz w:val="14"/>
        <w:szCs w:val="14"/>
      </w:rPr>
      <w:t>5</w:t>
    </w:r>
    <w:r w:rsidR="00A8376D">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9148D0" w:rsidP="00D50E20">
    <w:pPr>
      <w:pStyle w:val="Footer"/>
      <w:jc w:val="distribute"/>
      <w:rPr>
        <w:b w:val="0"/>
      </w:rPr>
    </w:pPr>
    <w:r w:rsidRPr="00D2633D">
      <w:rPr>
        <w:noProof/>
        <w:lang w:val="nl-NL" w:eastAsia="nl-NL"/>
      </w:rPr>
      <w:drawing>
        <wp:inline distT="0" distB="0" distL="0" distR="0">
          <wp:extent cx="5016500" cy="533400"/>
          <wp:effectExtent l="0" t="0" r="0" b="0"/>
          <wp:docPr id="4" name="Picture 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0" cy="533400"/>
                  </a:xfrm>
                  <a:prstGeom prst="rect">
                    <a:avLst/>
                  </a:prstGeom>
                  <a:noFill/>
                  <a:ln>
                    <a:noFill/>
                  </a:ln>
                </pic:spPr>
              </pic:pic>
            </a:graphicData>
          </a:graphic>
        </wp:inline>
      </w:drawing>
    </w:r>
  </w:p>
  <w:p w:rsidR="00093716" w:rsidRDefault="009148D0" w:rsidP="00093716">
    <w:pPr>
      <w:pStyle w:val="Footer"/>
      <w:jc w:val="distribute"/>
      <w:rPr>
        <w:b w:val="0"/>
      </w:rPr>
    </w:pPr>
  </w:p>
  <w:p w:rsidR="00656125" w:rsidRPr="004A4699" w:rsidRDefault="009148D0" w:rsidP="00093716">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C5D" w:rsidRDefault="00141C5D">
      <w:pPr>
        <w:spacing w:line="240" w:lineRule="auto"/>
      </w:pPr>
      <w:r>
        <w:separator/>
      </w:r>
    </w:p>
  </w:footnote>
  <w:footnote w:type="continuationSeparator" w:id="0">
    <w:p w:rsidR="00141C5D" w:rsidRDefault="00141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Header"/>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Header"/>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Header"/>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16E15"/>
    <w:multiLevelType w:val="hybridMultilevel"/>
    <w:tmpl w:val="DBD875EC"/>
    <w:lvl w:ilvl="0" w:tplc="040C0001">
      <w:start w:val="1"/>
      <w:numFmt w:val="bullet"/>
      <w:lvlText w:val=""/>
      <w:lvlJc w:val="left"/>
      <w:pPr>
        <w:ind w:left="1958" w:hanging="360"/>
      </w:pPr>
      <w:rPr>
        <w:rFonts w:ascii="Symbol" w:hAnsi="Symbol" w:hint="default"/>
      </w:rPr>
    </w:lvl>
    <w:lvl w:ilvl="1" w:tplc="040C0003">
      <w:start w:val="1"/>
      <w:numFmt w:val="bullet"/>
      <w:lvlText w:val="o"/>
      <w:lvlJc w:val="left"/>
      <w:pPr>
        <w:ind w:left="2678" w:hanging="360"/>
      </w:pPr>
      <w:rPr>
        <w:rFonts w:ascii="Courier New" w:hAnsi="Courier New" w:cs="Courier New" w:hint="default"/>
      </w:rPr>
    </w:lvl>
    <w:lvl w:ilvl="2" w:tplc="040C0005">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2" w15:restartNumberingAfterBreak="0">
    <w:nsid w:val="69D14C32"/>
    <w:multiLevelType w:val="hybridMultilevel"/>
    <w:tmpl w:val="C8CA6710"/>
    <w:lvl w:ilvl="0" w:tplc="686EC1C2">
      <w:numFmt w:val="bullet"/>
      <w:lvlText w:val=""/>
      <w:lvlJc w:val="left"/>
      <w:pPr>
        <w:ind w:left="1598" w:hanging="360"/>
      </w:pPr>
      <w:rPr>
        <w:rFonts w:ascii="Symbol" w:eastAsia="Symbol" w:hAnsi="Symbol" w:cs="Symbol" w:hint="default"/>
        <w:sz w:val="24"/>
        <w:szCs w:val="24"/>
      </w:rPr>
    </w:lvl>
    <w:lvl w:ilvl="1" w:tplc="E258F100">
      <w:numFmt w:val="bullet"/>
      <w:lvlText w:val="•"/>
      <w:lvlJc w:val="left"/>
      <w:pPr>
        <w:ind w:left="2502" w:hanging="360"/>
      </w:pPr>
      <w:rPr>
        <w:rFonts w:hint="default"/>
      </w:rPr>
    </w:lvl>
    <w:lvl w:ilvl="2" w:tplc="1D6AB07C">
      <w:numFmt w:val="bullet"/>
      <w:lvlText w:val="•"/>
      <w:lvlJc w:val="left"/>
      <w:pPr>
        <w:ind w:left="3404" w:hanging="360"/>
      </w:pPr>
      <w:rPr>
        <w:rFonts w:hint="default"/>
      </w:rPr>
    </w:lvl>
    <w:lvl w:ilvl="3" w:tplc="F66AE87C">
      <w:numFmt w:val="bullet"/>
      <w:lvlText w:val="•"/>
      <w:lvlJc w:val="left"/>
      <w:pPr>
        <w:ind w:left="4307" w:hanging="360"/>
      </w:pPr>
      <w:rPr>
        <w:rFonts w:hint="default"/>
      </w:rPr>
    </w:lvl>
    <w:lvl w:ilvl="4" w:tplc="9B5ED042">
      <w:numFmt w:val="bullet"/>
      <w:lvlText w:val="•"/>
      <w:lvlJc w:val="left"/>
      <w:pPr>
        <w:ind w:left="5209" w:hanging="360"/>
      </w:pPr>
      <w:rPr>
        <w:rFonts w:hint="default"/>
      </w:rPr>
    </w:lvl>
    <w:lvl w:ilvl="5" w:tplc="2DBE5696">
      <w:numFmt w:val="bullet"/>
      <w:lvlText w:val="•"/>
      <w:lvlJc w:val="left"/>
      <w:pPr>
        <w:ind w:left="6112" w:hanging="360"/>
      </w:pPr>
      <w:rPr>
        <w:rFonts w:hint="default"/>
      </w:rPr>
    </w:lvl>
    <w:lvl w:ilvl="6" w:tplc="16C6094E">
      <w:numFmt w:val="bullet"/>
      <w:lvlText w:val="•"/>
      <w:lvlJc w:val="left"/>
      <w:pPr>
        <w:ind w:left="7014" w:hanging="360"/>
      </w:pPr>
      <w:rPr>
        <w:rFonts w:hint="default"/>
      </w:rPr>
    </w:lvl>
    <w:lvl w:ilvl="7" w:tplc="52FAC6B6">
      <w:numFmt w:val="bullet"/>
      <w:lvlText w:val="•"/>
      <w:lvlJc w:val="left"/>
      <w:pPr>
        <w:ind w:left="7917" w:hanging="360"/>
      </w:pPr>
      <w:rPr>
        <w:rFonts w:hint="default"/>
      </w:rPr>
    </w:lvl>
    <w:lvl w:ilvl="8" w:tplc="B19C2A18">
      <w:numFmt w:val="bullet"/>
      <w:lvlText w:val="•"/>
      <w:lvlJc w:val="left"/>
      <w:pPr>
        <w:ind w:left="881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077DC"/>
    <w:rsid w:val="00035B7B"/>
    <w:rsid w:val="000472BB"/>
    <w:rsid w:val="000B2838"/>
    <w:rsid w:val="000B2D8E"/>
    <w:rsid w:val="00116F6B"/>
    <w:rsid w:val="0012138B"/>
    <w:rsid w:val="00141C5D"/>
    <w:rsid w:val="00192BD3"/>
    <w:rsid w:val="00196DA9"/>
    <w:rsid w:val="001C4D6E"/>
    <w:rsid w:val="001F674B"/>
    <w:rsid w:val="002023C1"/>
    <w:rsid w:val="0021774A"/>
    <w:rsid w:val="00222F2B"/>
    <w:rsid w:val="00223648"/>
    <w:rsid w:val="00260D5E"/>
    <w:rsid w:val="00286F88"/>
    <w:rsid w:val="002B2064"/>
    <w:rsid w:val="002B5568"/>
    <w:rsid w:val="002F4146"/>
    <w:rsid w:val="002F4AB5"/>
    <w:rsid w:val="0031586C"/>
    <w:rsid w:val="00322DE0"/>
    <w:rsid w:val="003310A3"/>
    <w:rsid w:val="00343D7F"/>
    <w:rsid w:val="0036454B"/>
    <w:rsid w:val="003930E3"/>
    <w:rsid w:val="003B7E95"/>
    <w:rsid w:val="003D0A1F"/>
    <w:rsid w:val="003F647B"/>
    <w:rsid w:val="004343CD"/>
    <w:rsid w:val="00440E54"/>
    <w:rsid w:val="004725F3"/>
    <w:rsid w:val="00483C2E"/>
    <w:rsid w:val="00487ACA"/>
    <w:rsid w:val="004A15DE"/>
    <w:rsid w:val="004A58AC"/>
    <w:rsid w:val="004D38EE"/>
    <w:rsid w:val="004E0055"/>
    <w:rsid w:val="004E4BFA"/>
    <w:rsid w:val="004F1073"/>
    <w:rsid w:val="00520158"/>
    <w:rsid w:val="00545DD6"/>
    <w:rsid w:val="00552D43"/>
    <w:rsid w:val="00561FAA"/>
    <w:rsid w:val="005846BF"/>
    <w:rsid w:val="005A06F1"/>
    <w:rsid w:val="005A68D8"/>
    <w:rsid w:val="005B1B91"/>
    <w:rsid w:val="005C4F9A"/>
    <w:rsid w:val="005E41AE"/>
    <w:rsid w:val="005F15D1"/>
    <w:rsid w:val="00635A66"/>
    <w:rsid w:val="0065657C"/>
    <w:rsid w:val="00672095"/>
    <w:rsid w:val="006726B4"/>
    <w:rsid w:val="00694442"/>
    <w:rsid w:val="006A71CC"/>
    <w:rsid w:val="006D61CD"/>
    <w:rsid w:val="006E5C75"/>
    <w:rsid w:val="007551E1"/>
    <w:rsid w:val="00767593"/>
    <w:rsid w:val="00784649"/>
    <w:rsid w:val="00791F2A"/>
    <w:rsid w:val="00792765"/>
    <w:rsid w:val="007A0D65"/>
    <w:rsid w:val="007A29F6"/>
    <w:rsid w:val="007A2FCC"/>
    <w:rsid w:val="007B661B"/>
    <w:rsid w:val="007C2E60"/>
    <w:rsid w:val="007C4DC4"/>
    <w:rsid w:val="007D02CA"/>
    <w:rsid w:val="007D45A7"/>
    <w:rsid w:val="00814794"/>
    <w:rsid w:val="008202D6"/>
    <w:rsid w:val="00827A4E"/>
    <w:rsid w:val="00833E06"/>
    <w:rsid w:val="008400AC"/>
    <w:rsid w:val="00886EF8"/>
    <w:rsid w:val="00890E1A"/>
    <w:rsid w:val="008A32A5"/>
    <w:rsid w:val="008A4F70"/>
    <w:rsid w:val="008B3DAA"/>
    <w:rsid w:val="008B6242"/>
    <w:rsid w:val="008C61BD"/>
    <w:rsid w:val="008E5BEA"/>
    <w:rsid w:val="0091256A"/>
    <w:rsid w:val="009148D0"/>
    <w:rsid w:val="00921FA9"/>
    <w:rsid w:val="0097190A"/>
    <w:rsid w:val="009A2EC7"/>
    <w:rsid w:val="009C003A"/>
    <w:rsid w:val="009E03B8"/>
    <w:rsid w:val="00A00996"/>
    <w:rsid w:val="00A016C0"/>
    <w:rsid w:val="00A42F13"/>
    <w:rsid w:val="00A6543A"/>
    <w:rsid w:val="00A8376D"/>
    <w:rsid w:val="00AA32FF"/>
    <w:rsid w:val="00AE28BF"/>
    <w:rsid w:val="00AE7A54"/>
    <w:rsid w:val="00AF3033"/>
    <w:rsid w:val="00B17037"/>
    <w:rsid w:val="00B20705"/>
    <w:rsid w:val="00B22037"/>
    <w:rsid w:val="00B40C13"/>
    <w:rsid w:val="00B948E4"/>
    <w:rsid w:val="00BD3B58"/>
    <w:rsid w:val="00BE029E"/>
    <w:rsid w:val="00BE1915"/>
    <w:rsid w:val="00BF00A8"/>
    <w:rsid w:val="00BF3197"/>
    <w:rsid w:val="00BF5410"/>
    <w:rsid w:val="00C0734F"/>
    <w:rsid w:val="00C10277"/>
    <w:rsid w:val="00C36D5E"/>
    <w:rsid w:val="00C41B2A"/>
    <w:rsid w:val="00C5115E"/>
    <w:rsid w:val="00C82D69"/>
    <w:rsid w:val="00C846C8"/>
    <w:rsid w:val="00CA4DE0"/>
    <w:rsid w:val="00D0338A"/>
    <w:rsid w:val="00D11A2D"/>
    <w:rsid w:val="00D32DB8"/>
    <w:rsid w:val="00D7308C"/>
    <w:rsid w:val="00D83A64"/>
    <w:rsid w:val="00D86AA4"/>
    <w:rsid w:val="00D95438"/>
    <w:rsid w:val="00DA0276"/>
    <w:rsid w:val="00DB6D28"/>
    <w:rsid w:val="00DD7DC8"/>
    <w:rsid w:val="00DE7267"/>
    <w:rsid w:val="00DE7A2C"/>
    <w:rsid w:val="00E328BA"/>
    <w:rsid w:val="00E4567E"/>
    <w:rsid w:val="00E7279F"/>
    <w:rsid w:val="00EA7C27"/>
    <w:rsid w:val="00EE5AB9"/>
    <w:rsid w:val="00EF13F2"/>
    <w:rsid w:val="00F462CF"/>
    <w:rsid w:val="00F64D5F"/>
    <w:rsid w:val="00F655F9"/>
    <w:rsid w:val="00F81163"/>
    <w:rsid w:val="00FA0B42"/>
    <w:rsid w:val="00FA57A9"/>
    <w:rsid w:val="00FB2ECB"/>
    <w:rsid w:val="00FB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60A0F"/>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Heading1">
    <w:name w:val="heading 1"/>
    <w:basedOn w:val="Normal"/>
    <w:next w:val="Normal"/>
    <w:link w:val="Heading1Char"/>
    <w:uiPriority w:val="99"/>
    <w:qFormat/>
    <w:rsid w:val="00AA32FF"/>
    <w:pPr>
      <w:keepNext/>
      <w:spacing w:line="420" w:lineRule="atLeast"/>
      <w:outlineLvl w:val="0"/>
    </w:pPr>
    <w:rPr>
      <w:rFonts w:cs="Arial"/>
      <w:b/>
      <w:bCs/>
      <w:kern w:val="32"/>
      <w:sz w:val="36"/>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B2A"/>
    <w:pPr>
      <w:tabs>
        <w:tab w:val="center" w:pos="4320"/>
        <w:tab w:val="right" w:pos="8640"/>
      </w:tabs>
    </w:pPr>
  </w:style>
  <w:style w:type="character" w:customStyle="1" w:styleId="HeaderChar">
    <w:name w:val="Header Char"/>
    <w:basedOn w:val="DefaultParagraphFont"/>
    <w:link w:val="Header"/>
    <w:uiPriority w:val="99"/>
    <w:rsid w:val="00C41B2A"/>
    <w:rPr>
      <w:rFonts w:ascii="Arial" w:eastAsia="Times New Roman" w:hAnsi="Arial" w:cs="Times New Roman"/>
      <w:sz w:val="20"/>
      <w:szCs w:val="24"/>
      <w:lang w:eastAsia="fr-FR"/>
    </w:rPr>
  </w:style>
  <w:style w:type="paragraph" w:styleId="Footer">
    <w:name w:val="footer"/>
    <w:basedOn w:val="Normal"/>
    <w:link w:val="FooterChar"/>
    <w:uiPriority w:val="99"/>
    <w:rsid w:val="00C41B2A"/>
    <w:pPr>
      <w:tabs>
        <w:tab w:val="right" w:pos="7083"/>
        <w:tab w:val="right" w:pos="8640"/>
      </w:tabs>
      <w:spacing w:line="180" w:lineRule="atLeast"/>
    </w:pPr>
    <w:rPr>
      <w:b/>
      <w:color w:val="E1000F"/>
      <w:sz w:val="24"/>
      <w:szCs w:val="20"/>
    </w:rPr>
  </w:style>
  <w:style w:type="character" w:customStyle="1" w:styleId="FooterChar">
    <w:name w:val="Footer Char"/>
    <w:basedOn w:val="DefaultParagraphFont"/>
    <w:link w:val="Footer"/>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Hyperlink">
    <w:name w:val="Hyperlink"/>
    <w:basedOn w:val="DefaultParagraphFont"/>
    <w:uiPriority w:val="99"/>
    <w:rsid w:val="00C41B2A"/>
    <w:rPr>
      <w:rFonts w:cs="Times New Roman"/>
      <w:color w:val="0000FF"/>
      <w:u w:val="single"/>
    </w:rPr>
  </w:style>
  <w:style w:type="paragraph" w:styleId="PlainText">
    <w:name w:val="Plain Text"/>
    <w:basedOn w:val="Normal"/>
    <w:link w:val="PlainTextChar"/>
    <w:uiPriority w:val="99"/>
    <w:unhideWhenUsed/>
    <w:rsid w:val="00C41B2A"/>
    <w:pPr>
      <w:spacing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rsid w:val="00C41B2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343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7F"/>
    <w:rPr>
      <w:rFonts w:ascii="Segoe UI" w:eastAsia="Times New Roman" w:hAnsi="Segoe UI" w:cs="Segoe UI"/>
      <w:sz w:val="18"/>
      <w:szCs w:val="18"/>
      <w:lang w:eastAsia="fr-FR"/>
    </w:rPr>
  </w:style>
  <w:style w:type="character" w:customStyle="1" w:styleId="Heading1Char">
    <w:name w:val="Heading 1 Char"/>
    <w:basedOn w:val="DefaultParagraphFont"/>
    <w:link w:val="Heading1"/>
    <w:uiPriority w:val="99"/>
    <w:rsid w:val="00AA32FF"/>
    <w:rPr>
      <w:rFonts w:ascii="Arial" w:eastAsia="Times New Roman" w:hAnsi="Arial" w:cs="Arial"/>
      <w:b/>
      <w:bCs/>
      <w:kern w:val="32"/>
      <w:sz w:val="36"/>
      <w:szCs w:val="32"/>
      <w:lang w:val="de-DE"/>
    </w:rPr>
  </w:style>
  <w:style w:type="paragraph" w:styleId="ListParagraph">
    <w:name w:val="List Paragraph"/>
    <w:basedOn w:val="Normal"/>
    <w:uiPriority w:val="1"/>
    <w:qFormat/>
    <w:rsid w:val="00520158"/>
    <w:pPr>
      <w:ind w:left="720"/>
      <w:contextualSpacing/>
    </w:pPr>
  </w:style>
  <w:style w:type="paragraph" w:styleId="BodyText">
    <w:name w:val="Body Text"/>
    <w:basedOn w:val="Normal"/>
    <w:link w:val="BodyTextChar"/>
    <w:uiPriority w:val="1"/>
    <w:qFormat/>
    <w:rsid w:val="007D45A7"/>
    <w:pPr>
      <w:widowControl w:val="0"/>
      <w:autoSpaceDE w:val="0"/>
      <w:autoSpaceDN w:val="0"/>
      <w:spacing w:line="240" w:lineRule="auto"/>
    </w:pPr>
    <w:rPr>
      <w:rFonts w:eastAsia="Arial" w:cs="Arial"/>
      <w:sz w:val="24"/>
      <w:lang w:eastAsia="en-US"/>
    </w:rPr>
  </w:style>
  <w:style w:type="character" w:customStyle="1" w:styleId="BodyTextChar">
    <w:name w:val="Body Text Char"/>
    <w:basedOn w:val="DefaultParagraphFont"/>
    <w:link w:val="BodyText"/>
    <w:uiPriority w:val="1"/>
    <w:rsid w:val="007D45A7"/>
    <w:rPr>
      <w:rFonts w:ascii="Arial" w:eastAsia="Arial" w:hAnsi="Arial" w:cs="Arial"/>
      <w:sz w:val="24"/>
      <w:szCs w:val="24"/>
    </w:rPr>
  </w:style>
  <w:style w:type="paragraph" w:styleId="HTMLPreformatted">
    <w:name w:val="HTML Preformatted"/>
    <w:basedOn w:val="Normal"/>
    <w:link w:val="HTMLPreformattedChar"/>
    <w:uiPriority w:val="99"/>
    <w:semiHidden/>
    <w:unhideWhenUsed/>
    <w:rsid w:val="00EF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F13F2"/>
    <w:rPr>
      <w:rFonts w:ascii="Courier New" w:eastAsia="Times New Roman" w:hAnsi="Courier New" w:cs="Courier New"/>
      <w:sz w:val="20"/>
      <w:szCs w:val="20"/>
      <w:lang w:eastAsia="fr-FR"/>
    </w:rPr>
  </w:style>
  <w:style w:type="character" w:styleId="UnresolvedMention">
    <w:name w:val="Unresolved Mention"/>
    <w:basedOn w:val="DefaultParagraphFont"/>
    <w:uiPriority w:val="99"/>
    <w:semiHidden/>
    <w:unhideWhenUsed/>
    <w:rsid w:val="00914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569461062">
      <w:bodyDiv w:val="1"/>
      <w:marLeft w:val="0"/>
      <w:marRight w:val="0"/>
      <w:marTop w:val="0"/>
      <w:marBottom w:val="0"/>
      <w:divBdr>
        <w:top w:val="none" w:sz="0" w:space="0" w:color="auto"/>
        <w:left w:val="none" w:sz="0" w:space="0" w:color="auto"/>
        <w:bottom w:val="none" w:sz="0" w:space="0" w:color="auto"/>
        <w:right w:val="none" w:sz="0" w:space="0" w:color="auto"/>
      </w:divBdr>
      <w:divsChild>
        <w:div w:id="2082635305">
          <w:marLeft w:val="0"/>
          <w:marRight w:val="0"/>
          <w:marTop w:val="0"/>
          <w:marBottom w:val="0"/>
          <w:divBdr>
            <w:top w:val="none" w:sz="0" w:space="0" w:color="auto"/>
            <w:left w:val="none" w:sz="0" w:space="0" w:color="auto"/>
            <w:bottom w:val="none" w:sz="0" w:space="0" w:color="auto"/>
            <w:right w:val="none" w:sz="0" w:space="0" w:color="auto"/>
          </w:divBdr>
          <w:divsChild>
            <w:div w:id="343631118">
              <w:marLeft w:val="0"/>
              <w:marRight w:val="0"/>
              <w:marTop w:val="0"/>
              <w:marBottom w:val="0"/>
              <w:divBdr>
                <w:top w:val="none" w:sz="0" w:space="0" w:color="auto"/>
                <w:left w:val="none" w:sz="0" w:space="0" w:color="auto"/>
                <w:bottom w:val="none" w:sz="0" w:space="0" w:color="auto"/>
                <w:right w:val="none" w:sz="0" w:space="0" w:color="auto"/>
              </w:divBdr>
              <w:divsChild>
                <w:div w:id="1502156542">
                  <w:marLeft w:val="0"/>
                  <w:marRight w:val="0"/>
                  <w:marTop w:val="0"/>
                  <w:marBottom w:val="0"/>
                  <w:divBdr>
                    <w:top w:val="none" w:sz="0" w:space="0" w:color="auto"/>
                    <w:left w:val="none" w:sz="0" w:space="0" w:color="auto"/>
                    <w:bottom w:val="none" w:sz="0" w:space="0" w:color="auto"/>
                    <w:right w:val="none" w:sz="0" w:space="0" w:color="auto"/>
                  </w:divBdr>
                  <w:divsChild>
                    <w:div w:id="1363049746">
                      <w:marLeft w:val="0"/>
                      <w:marRight w:val="0"/>
                      <w:marTop w:val="45"/>
                      <w:marBottom w:val="0"/>
                      <w:divBdr>
                        <w:top w:val="none" w:sz="0" w:space="0" w:color="auto"/>
                        <w:left w:val="none" w:sz="0" w:space="0" w:color="auto"/>
                        <w:bottom w:val="none" w:sz="0" w:space="0" w:color="auto"/>
                        <w:right w:val="none" w:sz="0" w:space="0" w:color="auto"/>
                      </w:divBdr>
                      <w:divsChild>
                        <w:div w:id="1756705604">
                          <w:marLeft w:val="0"/>
                          <w:marRight w:val="0"/>
                          <w:marTop w:val="0"/>
                          <w:marBottom w:val="0"/>
                          <w:divBdr>
                            <w:top w:val="none" w:sz="0" w:space="0" w:color="auto"/>
                            <w:left w:val="none" w:sz="0" w:space="0" w:color="auto"/>
                            <w:bottom w:val="none" w:sz="0" w:space="0" w:color="auto"/>
                            <w:right w:val="none" w:sz="0" w:space="0" w:color="auto"/>
                          </w:divBdr>
                          <w:divsChild>
                            <w:div w:id="872696907">
                              <w:marLeft w:val="2070"/>
                              <w:marRight w:val="3960"/>
                              <w:marTop w:val="0"/>
                              <w:marBottom w:val="0"/>
                              <w:divBdr>
                                <w:top w:val="none" w:sz="0" w:space="0" w:color="auto"/>
                                <w:left w:val="none" w:sz="0" w:space="0" w:color="auto"/>
                                <w:bottom w:val="none" w:sz="0" w:space="0" w:color="auto"/>
                                <w:right w:val="none" w:sz="0" w:space="0" w:color="auto"/>
                              </w:divBdr>
                              <w:divsChild>
                                <w:div w:id="1205486671">
                                  <w:marLeft w:val="0"/>
                                  <w:marRight w:val="0"/>
                                  <w:marTop w:val="0"/>
                                  <w:marBottom w:val="0"/>
                                  <w:divBdr>
                                    <w:top w:val="none" w:sz="0" w:space="0" w:color="auto"/>
                                    <w:left w:val="none" w:sz="0" w:space="0" w:color="auto"/>
                                    <w:bottom w:val="none" w:sz="0" w:space="0" w:color="auto"/>
                                    <w:right w:val="none" w:sz="0" w:space="0" w:color="auto"/>
                                  </w:divBdr>
                                  <w:divsChild>
                                    <w:div w:id="738788037">
                                      <w:marLeft w:val="0"/>
                                      <w:marRight w:val="0"/>
                                      <w:marTop w:val="0"/>
                                      <w:marBottom w:val="0"/>
                                      <w:divBdr>
                                        <w:top w:val="none" w:sz="0" w:space="0" w:color="auto"/>
                                        <w:left w:val="none" w:sz="0" w:space="0" w:color="auto"/>
                                        <w:bottom w:val="none" w:sz="0" w:space="0" w:color="auto"/>
                                        <w:right w:val="none" w:sz="0" w:space="0" w:color="auto"/>
                                      </w:divBdr>
                                      <w:divsChild>
                                        <w:div w:id="827943327">
                                          <w:marLeft w:val="0"/>
                                          <w:marRight w:val="0"/>
                                          <w:marTop w:val="0"/>
                                          <w:marBottom w:val="0"/>
                                          <w:divBdr>
                                            <w:top w:val="none" w:sz="0" w:space="0" w:color="auto"/>
                                            <w:left w:val="none" w:sz="0" w:space="0" w:color="auto"/>
                                            <w:bottom w:val="none" w:sz="0" w:space="0" w:color="auto"/>
                                            <w:right w:val="none" w:sz="0" w:space="0" w:color="auto"/>
                                          </w:divBdr>
                                          <w:divsChild>
                                            <w:div w:id="1452244712">
                                              <w:marLeft w:val="0"/>
                                              <w:marRight w:val="0"/>
                                              <w:marTop w:val="90"/>
                                              <w:marBottom w:val="0"/>
                                              <w:divBdr>
                                                <w:top w:val="none" w:sz="0" w:space="0" w:color="auto"/>
                                                <w:left w:val="none" w:sz="0" w:space="0" w:color="auto"/>
                                                <w:bottom w:val="none" w:sz="0" w:space="0" w:color="auto"/>
                                                <w:right w:val="none" w:sz="0" w:space="0" w:color="auto"/>
                                              </w:divBdr>
                                              <w:divsChild>
                                                <w:div w:id="1159274704">
                                                  <w:marLeft w:val="0"/>
                                                  <w:marRight w:val="0"/>
                                                  <w:marTop w:val="0"/>
                                                  <w:marBottom w:val="0"/>
                                                  <w:divBdr>
                                                    <w:top w:val="none" w:sz="0" w:space="0" w:color="auto"/>
                                                    <w:left w:val="none" w:sz="0" w:space="0" w:color="auto"/>
                                                    <w:bottom w:val="none" w:sz="0" w:space="0" w:color="auto"/>
                                                    <w:right w:val="none" w:sz="0" w:space="0" w:color="auto"/>
                                                  </w:divBdr>
                                                  <w:divsChild>
                                                    <w:div w:id="879051656">
                                                      <w:marLeft w:val="0"/>
                                                      <w:marRight w:val="0"/>
                                                      <w:marTop w:val="0"/>
                                                      <w:marBottom w:val="0"/>
                                                      <w:divBdr>
                                                        <w:top w:val="none" w:sz="0" w:space="0" w:color="auto"/>
                                                        <w:left w:val="none" w:sz="0" w:space="0" w:color="auto"/>
                                                        <w:bottom w:val="none" w:sz="0" w:space="0" w:color="auto"/>
                                                        <w:right w:val="none" w:sz="0" w:space="0" w:color="auto"/>
                                                      </w:divBdr>
                                                      <w:divsChild>
                                                        <w:div w:id="938493004">
                                                          <w:marLeft w:val="0"/>
                                                          <w:marRight w:val="0"/>
                                                          <w:marTop w:val="0"/>
                                                          <w:marBottom w:val="390"/>
                                                          <w:divBdr>
                                                            <w:top w:val="none" w:sz="0" w:space="0" w:color="auto"/>
                                                            <w:left w:val="none" w:sz="0" w:space="0" w:color="auto"/>
                                                            <w:bottom w:val="none" w:sz="0" w:space="0" w:color="auto"/>
                                                            <w:right w:val="none" w:sz="0" w:space="0" w:color="auto"/>
                                                          </w:divBdr>
                                                          <w:divsChild>
                                                            <w:div w:id="1230386625">
                                                              <w:marLeft w:val="0"/>
                                                              <w:marRight w:val="0"/>
                                                              <w:marTop w:val="0"/>
                                                              <w:marBottom w:val="0"/>
                                                              <w:divBdr>
                                                                <w:top w:val="none" w:sz="0" w:space="0" w:color="auto"/>
                                                                <w:left w:val="none" w:sz="0" w:space="0" w:color="auto"/>
                                                                <w:bottom w:val="none" w:sz="0" w:space="0" w:color="auto"/>
                                                                <w:right w:val="none" w:sz="0" w:space="0" w:color="auto"/>
                                                              </w:divBdr>
                                                              <w:divsChild>
                                                                <w:div w:id="223759350">
                                                                  <w:marLeft w:val="0"/>
                                                                  <w:marRight w:val="0"/>
                                                                  <w:marTop w:val="0"/>
                                                                  <w:marBottom w:val="0"/>
                                                                  <w:divBdr>
                                                                    <w:top w:val="none" w:sz="0" w:space="0" w:color="auto"/>
                                                                    <w:left w:val="none" w:sz="0" w:space="0" w:color="auto"/>
                                                                    <w:bottom w:val="none" w:sz="0" w:space="0" w:color="auto"/>
                                                                    <w:right w:val="none" w:sz="0" w:space="0" w:color="auto"/>
                                                                  </w:divBdr>
                                                                  <w:divsChild>
                                                                    <w:div w:id="861630385">
                                                                      <w:marLeft w:val="0"/>
                                                                      <w:marRight w:val="0"/>
                                                                      <w:marTop w:val="0"/>
                                                                      <w:marBottom w:val="0"/>
                                                                      <w:divBdr>
                                                                        <w:top w:val="none" w:sz="0" w:space="0" w:color="auto"/>
                                                                        <w:left w:val="none" w:sz="0" w:space="0" w:color="auto"/>
                                                                        <w:bottom w:val="none" w:sz="0" w:space="0" w:color="auto"/>
                                                                        <w:right w:val="none" w:sz="0" w:space="0" w:color="auto"/>
                                                                      </w:divBdr>
                                                                      <w:divsChild>
                                                                        <w:div w:id="1769037101">
                                                                          <w:marLeft w:val="0"/>
                                                                          <w:marRight w:val="0"/>
                                                                          <w:marTop w:val="0"/>
                                                                          <w:marBottom w:val="0"/>
                                                                          <w:divBdr>
                                                                            <w:top w:val="none" w:sz="0" w:space="0" w:color="auto"/>
                                                                            <w:left w:val="none" w:sz="0" w:space="0" w:color="auto"/>
                                                                            <w:bottom w:val="none" w:sz="0" w:space="0" w:color="auto"/>
                                                                            <w:right w:val="none" w:sz="0" w:space="0" w:color="auto"/>
                                                                          </w:divBdr>
                                                                          <w:divsChild>
                                                                            <w:div w:id="1451557918">
                                                                              <w:marLeft w:val="0"/>
                                                                              <w:marRight w:val="0"/>
                                                                              <w:marTop w:val="0"/>
                                                                              <w:marBottom w:val="0"/>
                                                                              <w:divBdr>
                                                                                <w:top w:val="none" w:sz="0" w:space="0" w:color="auto"/>
                                                                                <w:left w:val="none" w:sz="0" w:space="0" w:color="auto"/>
                                                                                <w:bottom w:val="none" w:sz="0" w:space="0" w:color="auto"/>
                                                                                <w:right w:val="none" w:sz="0" w:space="0" w:color="auto"/>
                                                                              </w:divBdr>
                                                                              <w:divsChild>
                                                                                <w:div w:id="928198888">
                                                                                  <w:marLeft w:val="0"/>
                                                                                  <w:marRight w:val="0"/>
                                                                                  <w:marTop w:val="0"/>
                                                                                  <w:marBottom w:val="0"/>
                                                                                  <w:divBdr>
                                                                                    <w:top w:val="none" w:sz="0" w:space="0" w:color="auto"/>
                                                                                    <w:left w:val="none" w:sz="0" w:space="0" w:color="auto"/>
                                                                                    <w:bottom w:val="none" w:sz="0" w:space="0" w:color="auto"/>
                                                                                    <w:right w:val="none" w:sz="0" w:space="0" w:color="auto"/>
                                                                                  </w:divBdr>
                                                                                  <w:divsChild>
                                                                                    <w:div w:id="1429890093">
                                                                                      <w:marLeft w:val="0"/>
                                                                                      <w:marRight w:val="0"/>
                                                                                      <w:marTop w:val="0"/>
                                                                                      <w:marBottom w:val="0"/>
                                                                                      <w:divBdr>
                                                                                        <w:top w:val="none" w:sz="0" w:space="0" w:color="auto"/>
                                                                                        <w:left w:val="none" w:sz="0" w:space="0" w:color="auto"/>
                                                                                        <w:bottom w:val="none" w:sz="0" w:space="0" w:color="auto"/>
                                                                                        <w:right w:val="none" w:sz="0" w:space="0" w:color="auto"/>
                                                                                      </w:divBdr>
                                                                                      <w:divsChild>
                                                                                        <w:div w:id="1550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de/i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de/pres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8958</Characters>
  <Application>Microsoft Office Word</Application>
  <DocSecurity>4</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Henkel AG &amp; Co. KGaA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Els Bruyninckx</cp:lastModifiedBy>
  <cp:revision>2</cp:revision>
  <cp:lastPrinted>2018-11-15T13:51:00Z</cp:lastPrinted>
  <dcterms:created xsi:type="dcterms:W3CDTF">2018-11-15T15:22:00Z</dcterms:created>
  <dcterms:modified xsi:type="dcterms:W3CDTF">2018-11-15T15:22:00Z</dcterms:modified>
</cp:coreProperties>
</file>