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83847" w14:textId="77777777" w:rsidR="008123DF" w:rsidRPr="00F8165F" w:rsidRDefault="008123DF" w:rsidP="00E170CB">
      <w:pPr>
        <w:pStyle w:val="Standard12pt"/>
        <w:spacing w:line="60" w:lineRule="exact"/>
        <w:rPr>
          <w:b/>
          <w:sz w:val="36"/>
          <w:szCs w:val="36"/>
        </w:rPr>
      </w:pPr>
    </w:p>
    <w:p w14:paraId="7303B2A3" w14:textId="77777777" w:rsidR="008C14B4" w:rsidRPr="00C007FD" w:rsidRDefault="008C14B4" w:rsidP="00401DAC">
      <w:pPr>
        <w:pStyle w:val="Standard12pt"/>
        <w:jc w:val="right"/>
        <w:rPr>
          <w:b/>
          <w:sz w:val="36"/>
          <w:szCs w:val="36"/>
        </w:rPr>
      </w:pPr>
      <w:r w:rsidRPr="00C007FD">
        <w:rPr>
          <w:b/>
          <w:sz w:val="36"/>
          <w:szCs w:val="36"/>
        </w:rPr>
        <w:t>Presseinformation</w:t>
      </w:r>
    </w:p>
    <w:p w14:paraId="6FE915EA" w14:textId="77777777" w:rsidR="00B16A1A" w:rsidRPr="00B16A1A" w:rsidRDefault="0087501E" w:rsidP="00B16A1A">
      <w:pPr>
        <w:pStyle w:val="Standard12pt"/>
        <w:spacing w:line="240" w:lineRule="auto"/>
        <w:jc w:val="right"/>
        <w:rPr>
          <w:rFonts w:asciiTheme="majorHAnsi" w:hAnsiTheme="majorHAnsi"/>
        </w:rPr>
      </w:pPr>
      <w:r>
        <w:rPr>
          <w:rFonts w:asciiTheme="majorHAnsi" w:hAnsiTheme="majorHAnsi"/>
        </w:rPr>
        <w:t>November</w:t>
      </w:r>
      <w:r w:rsidRPr="00B16A1A">
        <w:rPr>
          <w:rFonts w:asciiTheme="majorHAnsi" w:hAnsiTheme="majorHAnsi"/>
        </w:rPr>
        <w:t xml:space="preserve"> </w:t>
      </w:r>
      <w:r w:rsidR="00B16A1A" w:rsidRPr="00B16A1A">
        <w:rPr>
          <w:rFonts w:asciiTheme="majorHAnsi" w:hAnsiTheme="majorHAnsi"/>
        </w:rPr>
        <w:t>2017</w:t>
      </w:r>
    </w:p>
    <w:p w14:paraId="5BFAB834" w14:textId="77777777" w:rsidR="00B16A1A" w:rsidRPr="00060210" w:rsidRDefault="00B16A1A" w:rsidP="00B16A1A">
      <w:pPr>
        <w:pStyle w:val="Standard12pt"/>
        <w:spacing w:line="240" w:lineRule="auto"/>
        <w:rPr>
          <w:rFonts w:asciiTheme="minorHAnsi" w:hAnsiTheme="minorHAnsi"/>
        </w:rPr>
      </w:pPr>
    </w:p>
    <w:p w14:paraId="3C798905" w14:textId="77777777" w:rsidR="00B16A1A" w:rsidRPr="00060210" w:rsidRDefault="00B16A1A" w:rsidP="00B16A1A">
      <w:pPr>
        <w:pStyle w:val="Standard12pt"/>
        <w:spacing w:line="240" w:lineRule="auto"/>
        <w:rPr>
          <w:rFonts w:asciiTheme="minorHAnsi" w:hAnsiTheme="minorHAnsi"/>
        </w:rPr>
      </w:pPr>
    </w:p>
    <w:p w14:paraId="1D8A4E66" w14:textId="77777777" w:rsidR="00B16A1A" w:rsidRDefault="00B16A1A" w:rsidP="00D358D4">
      <w:pPr>
        <w:spacing w:line="259" w:lineRule="auto"/>
        <w:rPr>
          <w:rFonts w:asciiTheme="majorHAnsi" w:eastAsiaTheme="minorHAnsi" w:hAnsiTheme="majorHAnsi" w:cstheme="minorBidi"/>
          <w:sz w:val="22"/>
          <w:szCs w:val="22"/>
          <w:lang w:val="de-AT"/>
        </w:rPr>
      </w:pPr>
      <w:bookmarkStart w:id="0" w:name="_Hlk499814800"/>
      <w:bookmarkStart w:id="1" w:name="_Hlk499815553"/>
      <w:r w:rsidRPr="0087102F">
        <w:rPr>
          <w:rFonts w:asciiTheme="majorHAnsi" w:eastAsiaTheme="minorHAnsi" w:hAnsiTheme="majorHAnsi" w:cstheme="minorBidi"/>
          <w:sz w:val="22"/>
          <w:szCs w:val="22"/>
          <w:lang w:val="de-AT"/>
        </w:rPr>
        <w:t>CSR-Initiative: „Shaping Futures“</w:t>
      </w:r>
      <w:r w:rsidR="0087102F" w:rsidRPr="0087102F">
        <w:rPr>
          <w:rFonts w:asciiTheme="majorHAnsi" w:eastAsiaTheme="minorHAnsi" w:hAnsiTheme="majorHAnsi" w:cstheme="minorBidi"/>
          <w:sz w:val="22"/>
          <w:szCs w:val="22"/>
          <w:lang w:val="de-AT"/>
        </w:rPr>
        <w:t xml:space="preserve"> geht in die zwei</w:t>
      </w:r>
      <w:r w:rsidR="0087102F">
        <w:rPr>
          <w:rFonts w:asciiTheme="majorHAnsi" w:eastAsiaTheme="minorHAnsi" w:hAnsiTheme="majorHAnsi" w:cstheme="minorBidi"/>
          <w:sz w:val="22"/>
          <w:szCs w:val="22"/>
          <w:lang w:val="de-AT"/>
        </w:rPr>
        <w:t>te Runde</w:t>
      </w:r>
    </w:p>
    <w:p w14:paraId="5DEE60C4" w14:textId="77777777" w:rsidR="00D358D4" w:rsidRPr="0087102F" w:rsidRDefault="00D358D4" w:rsidP="00D358D4">
      <w:pPr>
        <w:spacing w:line="259" w:lineRule="auto"/>
        <w:rPr>
          <w:rFonts w:asciiTheme="majorHAnsi" w:eastAsiaTheme="minorHAnsi" w:hAnsiTheme="majorHAnsi" w:cstheme="minorBidi"/>
          <w:sz w:val="22"/>
          <w:szCs w:val="22"/>
          <w:lang w:val="de-AT"/>
        </w:rPr>
      </w:pPr>
    </w:p>
    <w:bookmarkEnd w:id="0"/>
    <w:p w14:paraId="1D032482" w14:textId="77777777" w:rsidR="00B16A1A" w:rsidRPr="00B16A1A" w:rsidRDefault="00B16A1A" w:rsidP="00D358D4">
      <w:pPr>
        <w:spacing w:line="259" w:lineRule="auto"/>
        <w:rPr>
          <w:rFonts w:asciiTheme="majorHAnsi" w:eastAsiaTheme="minorHAnsi" w:hAnsiTheme="majorHAnsi" w:cstheme="minorBidi"/>
          <w:b/>
          <w:sz w:val="28"/>
          <w:szCs w:val="22"/>
        </w:rPr>
      </w:pPr>
      <w:r w:rsidRPr="00B16A1A">
        <w:rPr>
          <w:rFonts w:asciiTheme="majorHAnsi" w:eastAsiaTheme="minorHAnsi" w:hAnsiTheme="majorHAnsi" w:cstheme="minorBidi"/>
          <w:b/>
          <w:sz w:val="28"/>
          <w:szCs w:val="22"/>
        </w:rPr>
        <w:t>Schwarzkopf Professional macht Friseurinnen fit für den Wiedereinstieg</w:t>
      </w:r>
    </w:p>
    <w:p w14:paraId="1C9C58E2" w14:textId="77777777" w:rsidR="00D358D4" w:rsidRDefault="00D358D4" w:rsidP="00D358D4">
      <w:pPr>
        <w:jc w:val="both"/>
        <w:rPr>
          <w:rFonts w:asciiTheme="majorHAnsi" w:eastAsiaTheme="minorHAnsi" w:hAnsiTheme="majorHAnsi" w:cstheme="minorBidi"/>
          <w:b/>
          <w:sz w:val="24"/>
        </w:rPr>
      </w:pPr>
      <w:bookmarkStart w:id="2" w:name="_Hlk499815306"/>
    </w:p>
    <w:p w14:paraId="350A9EC8" w14:textId="77777777" w:rsidR="00B16A1A" w:rsidRPr="00B16A1A" w:rsidRDefault="00B16A1A" w:rsidP="00D358D4">
      <w:pPr>
        <w:jc w:val="both"/>
        <w:rPr>
          <w:rFonts w:asciiTheme="majorHAnsi" w:eastAsiaTheme="minorHAnsi" w:hAnsiTheme="majorHAnsi" w:cstheme="minorBidi"/>
          <w:b/>
          <w:sz w:val="24"/>
        </w:rPr>
      </w:pPr>
      <w:r w:rsidRPr="00B16A1A">
        <w:rPr>
          <w:rFonts w:asciiTheme="majorHAnsi" w:eastAsiaTheme="minorHAnsi" w:hAnsiTheme="majorHAnsi" w:cstheme="minorBidi"/>
          <w:b/>
          <w:sz w:val="24"/>
        </w:rPr>
        <w:t>Schwarzkopf Professional</w:t>
      </w:r>
      <w:r w:rsidR="003B3D52" w:rsidRPr="003B3D52">
        <w:rPr>
          <w:rFonts w:asciiTheme="majorHAnsi" w:eastAsiaTheme="minorHAnsi" w:hAnsiTheme="majorHAnsi" w:cstheme="minorBidi"/>
          <w:b/>
          <w:sz w:val="24"/>
        </w:rPr>
        <w:t xml:space="preserve"> </w:t>
      </w:r>
      <w:r w:rsidR="00927750">
        <w:rPr>
          <w:rFonts w:asciiTheme="majorHAnsi" w:eastAsiaTheme="minorHAnsi" w:hAnsiTheme="majorHAnsi" w:cstheme="minorBidi"/>
          <w:b/>
          <w:sz w:val="24"/>
        </w:rPr>
        <w:t xml:space="preserve">bietet </w:t>
      </w:r>
      <w:r w:rsidR="003B3D52">
        <w:rPr>
          <w:rFonts w:asciiTheme="majorHAnsi" w:eastAsiaTheme="minorHAnsi" w:hAnsiTheme="majorHAnsi" w:cstheme="minorBidi"/>
          <w:b/>
          <w:sz w:val="24"/>
        </w:rPr>
        <w:t xml:space="preserve">auch in diesem Jahr ausgebildeten Friseurinnen, </w:t>
      </w:r>
      <w:r w:rsidR="003B3D52" w:rsidRPr="00B16A1A">
        <w:rPr>
          <w:rFonts w:asciiTheme="majorHAnsi" w:eastAsiaTheme="minorHAnsi" w:hAnsiTheme="majorHAnsi" w:cstheme="minorBidi"/>
          <w:b/>
          <w:sz w:val="24"/>
        </w:rPr>
        <w:t xml:space="preserve">die aufgrund von Pflege- und Kinderkarenz ihren Beruf längere Zeit nicht mehr ausüben konnten, ein Ausbildungsprogramm mit Chance auf eine </w:t>
      </w:r>
      <w:r w:rsidR="00177D97">
        <w:rPr>
          <w:rFonts w:asciiTheme="majorHAnsi" w:eastAsiaTheme="minorHAnsi" w:hAnsiTheme="majorHAnsi" w:cstheme="minorBidi"/>
          <w:b/>
          <w:sz w:val="24"/>
        </w:rPr>
        <w:t>Festa</w:t>
      </w:r>
      <w:r w:rsidR="003B3D52" w:rsidRPr="00B16A1A">
        <w:rPr>
          <w:rFonts w:asciiTheme="majorHAnsi" w:eastAsiaTheme="minorHAnsi" w:hAnsiTheme="majorHAnsi" w:cstheme="minorBidi"/>
          <w:b/>
          <w:sz w:val="24"/>
        </w:rPr>
        <w:t>nstellung in einem Friseursalon</w:t>
      </w:r>
      <w:r w:rsidR="003B3D52">
        <w:rPr>
          <w:rFonts w:asciiTheme="majorHAnsi" w:eastAsiaTheme="minorHAnsi" w:hAnsiTheme="majorHAnsi" w:cstheme="minorBidi"/>
          <w:b/>
          <w:sz w:val="24"/>
        </w:rPr>
        <w:t xml:space="preserve">. </w:t>
      </w:r>
      <w:r w:rsidR="00927750">
        <w:rPr>
          <w:rFonts w:asciiTheme="majorHAnsi" w:eastAsiaTheme="minorHAnsi" w:hAnsiTheme="majorHAnsi" w:cstheme="minorBidi"/>
          <w:b/>
          <w:sz w:val="24"/>
        </w:rPr>
        <w:t xml:space="preserve">Diese Initiative passiert in Zusammenarbeit </w:t>
      </w:r>
      <w:r w:rsidR="00927750" w:rsidRPr="00B16A1A">
        <w:rPr>
          <w:rFonts w:asciiTheme="majorHAnsi" w:eastAsiaTheme="minorHAnsi" w:hAnsiTheme="majorHAnsi" w:cstheme="minorBidi"/>
          <w:b/>
          <w:sz w:val="24"/>
        </w:rPr>
        <w:t>mit dem Arbeitsmarktservice Wien (AMS)</w:t>
      </w:r>
      <w:r w:rsidR="00927750">
        <w:rPr>
          <w:rFonts w:asciiTheme="majorHAnsi" w:eastAsiaTheme="minorHAnsi" w:hAnsiTheme="majorHAnsi" w:cstheme="minorBidi"/>
          <w:b/>
          <w:sz w:val="24"/>
        </w:rPr>
        <w:t xml:space="preserve">, </w:t>
      </w:r>
      <w:r w:rsidR="00927750" w:rsidRPr="00B16A1A">
        <w:rPr>
          <w:rFonts w:asciiTheme="majorHAnsi" w:eastAsiaTheme="minorHAnsi" w:hAnsiTheme="majorHAnsi" w:cstheme="minorBidi"/>
          <w:b/>
          <w:sz w:val="24"/>
        </w:rPr>
        <w:t xml:space="preserve">der Bietergemeinschaft ABZ* AUSTRIA (www.abzaustria.at)/BFI Wien (www.bfi.wien) </w:t>
      </w:r>
      <w:r w:rsidR="00927750">
        <w:rPr>
          <w:rFonts w:asciiTheme="majorHAnsi" w:eastAsiaTheme="minorHAnsi" w:hAnsiTheme="majorHAnsi" w:cstheme="minorBidi"/>
          <w:b/>
          <w:sz w:val="24"/>
        </w:rPr>
        <w:t>sowie BEST Institut für berufsbezogene Weiterbildung und Personaltraining (</w:t>
      </w:r>
      <w:hyperlink r:id="rId8" w:history="1">
        <w:r w:rsidR="00927750" w:rsidRPr="0055229B">
          <w:rPr>
            <w:rStyle w:val="Hyperlink"/>
            <w:rFonts w:asciiTheme="majorHAnsi" w:eastAsiaTheme="minorHAnsi" w:hAnsiTheme="majorHAnsi" w:cstheme="minorBidi"/>
            <w:b/>
            <w:sz w:val="24"/>
          </w:rPr>
          <w:t>www.best.at</w:t>
        </w:r>
      </w:hyperlink>
      <w:r w:rsidR="00927750">
        <w:rPr>
          <w:rFonts w:asciiTheme="majorHAnsi" w:eastAsiaTheme="minorHAnsi" w:hAnsiTheme="majorHAnsi" w:cstheme="minorBidi"/>
          <w:b/>
          <w:sz w:val="24"/>
        </w:rPr>
        <w:t xml:space="preserve">). </w:t>
      </w:r>
      <w:r w:rsidR="0087102F">
        <w:rPr>
          <w:rFonts w:asciiTheme="majorHAnsi" w:eastAsiaTheme="minorHAnsi" w:hAnsiTheme="majorHAnsi" w:cstheme="minorBidi"/>
          <w:b/>
          <w:sz w:val="24"/>
        </w:rPr>
        <w:t>Das 23</w:t>
      </w:r>
      <w:r w:rsidRPr="00B16A1A">
        <w:rPr>
          <w:rFonts w:asciiTheme="majorHAnsi" w:eastAsiaTheme="minorHAnsi" w:hAnsiTheme="majorHAnsi" w:cstheme="minorBidi"/>
          <w:b/>
          <w:sz w:val="24"/>
        </w:rPr>
        <w:t>-tägige Intensiv-Training, das sowohl Theoriewissen als auch Praxiserfahrung beinhaltet, startet</w:t>
      </w:r>
      <w:r w:rsidR="00177D97">
        <w:rPr>
          <w:rFonts w:asciiTheme="majorHAnsi" w:eastAsiaTheme="minorHAnsi" w:hAnsiTheme="majorHAnsi" w:cstheme="minorBidi"/>
          <w:b/>
          <w:sz w:val="24"/>
        </w:rPr>
        <w:t xml:space="preserve"> für die </w:t>
      </w:r>
      <w:r w:rsidR="005954D6">
        <w:rPr>
          <w:rFonts w:asciiTheme="majorHAnsi" w:eastAsiaTheme="minorHAnsi" w:hAnsiTheme="majorHAnsi" w:cstheme="minorBidi"/>
          <w:b/>
          <w:sz w:val="24"/>
        </w:rPr>
        <w:t>zwölf</w:t>
      </w:r>
      <w:r w:rsidR="00177D97">
        <w:rPr>
          <w:rFonts w:asciiTheme="majorHAnsi" w:eastAsiaTheme="minorHAnsi" w:hAnsiTheme="majorHAnsi" w:cstheme="minorBidi"/>
          <w:b/>
          <w:sz w:val="24"/>
        </w:rPr>
        <w:t xml:space="preserve"> Teilnehmerinnen</w:t>
      </w:r>
      <w:r w:rsidRPr="00B16A1A">
        <w:rPr>
          <w:rFonts w:asciiTheme="majorHAnsi" w:eastAsiaTheme="minorHAnsi" w:hAnsiTheme="majorHAnsi" w:cstheme="minorBidi"/>
          <w:b/>
          <w:sz w:val="24"/>
        </w:rPr>
        <w:t xml:space="preserve"> in Kürze. </w:t>
      </w:r>
    </w:p>
    <w:bookmarkEnd w:id="2"/>
    <w:p w14:paraId="737A3FD6" w14:textId="77777777" w:rsidR="00B16A1A" w:rsidRPr="00B16A1A" w:rsidRDefault="00B16A1A" w:rsidP="00D358D4">
      <w:pPr>
        <w:jc w:val="both"/>
        <w:rPr>
          <w:rFonts w:asciiTheme="majorHAnsi" w:eastAsiaTheme="minorHAnsi" w:hAnsiTheme="majorHAnsi" w:cstheme="minorBidi"/>
          <w:b/>
          <w:sz w:val="24"/>
        </w:rPr>
      </w:pPr>
    </w:p>
    <w:p w14:paraId="33EFE523" w14:textId="77777777" w:rsidR="0087102F" w:rsidRDefault="00B16A1A" w:rsidP="00D358D4">
      <w:pPr>
        <w:jc w:val="both"/>
        <w:rPr>
          <w:rFonts w:asciiTheme="majorHAnsi" w:eastAsiaTheme="minorHAnsi" w:hAnsiTheme="majorHAnsi" w:cstheme="minorBidi"/>
          <w:sz w:val="24"/>
        </w:rPr>
      </w:pPr>
      <w:r w:rsidRPr="00B16A1A">
        <w:rPr>
          <w:rFonts w:asciiTheme="majorHAnsi" w:eastAsiaTheme="minorHAnsi" w:hAnsiTheme="majorHAnsi" w:cstheme="minorBidi"/>
          <w:sz w:val="24"/>
        </w:rPr>
        <w:t xml:space="preserve">Die Auswahl der Frauen, die ab Dezember in der </w:t>
      </w:r>
      <w:r w:rsidR="00C7474D" w:rsidRPr="00C7474D">
        <w:rPr>
          <w:rFonts w:asciiTheme="majorHAnsi" w:eastAsiaTheme="minorHAnsi" w:hAnsiTheme="majorHAnsi" w:cstheme="minorBidi"/>
          <w:sz w:val="24"/>
        </w:rPr>
        <w:t xml:space="preserve">Henkel Beauty Care Professional Akademie </w:t>
      </w:r>
      <w:r w:rsidRPr="00B16A1A">
        <w:rPr>
          <w:rFonts w:asciiTheme="majorHAnsi" w:eastAsiaTheme="minorHAnsi" w:hAnsiTheme="majorHAnsi" w:cstheme="minorBidi"/>
          <w:sz w:val="24"/>
        </w:rPr>
        <w:t xml:space="preserve">in Wien ihr Theoriewissen auffrischen und dies auch in der Praxis üben werden, erfolgte durch ein Casting. </w:t>
      </w:r>
      <w:r w:rsidR="003B3D52">
        <w:rPr>
          <w:rFonts w:asciiTheme="majorHAnsi" w:eastAsiaTheme="minorHAnsi" w:hAnsiTheme="majorHAnsi" w:cstheme="minorBidi"/>
          <w:sz w:val="24"/>
        </w:rPr>
        <w:t xml:space="preserve">Insgesamt </w:t>
      </w:r>
      <w:r w:rsidR="005954D6">
        <w:rPr>
          <w:rFonts w:asciiTheme="majorHAnsi" w:eastAsiaTheme="minorHAnsi" w:hAnsiTheme="majorHAnsi" w:cstheme="minorBidi"/>
          <w:sz w:val="24"/>
        </w:rPr>
        <w:t>zwölf</w:t>
      </w:r>
      <w:r w:rsidR="003B3D52">
        <w:rPr>
          <w:rFonts w:asciiTheme="majorHAnsi" w:eastAsiaTheme="minorHAnsi" w:hAnsiTheme="majorHAnsi" w:cstheme="minorBidi"/>
          <w:sz w:val="24"/>
        </w:rPr>
        <w:t xml:space="preserve"> </w:t>
      </w:r>
      <w:r w:rsidR="00C7474D">
        <w:rPr>
          <w:rFonts w:asciiTheme="majorHAnsi" w:eastAsiaTheme="minorHAnsi" w:hAnsiTheme="majorHAnsi" w:cstheme="minorBidi"/>
          <w:sz w:val="24"/>
        </w:rPr>
        <w:t xml:space="preserve">Bewerberinnen </w:t>
      </w:r>
      <w:r w:rsidR="003B3D52">
        <w:rPr>
          <w:rFonts w:asciiTheme="majorHAnsi" w:eastAsiaTheme="minorHAnsi" w:hAnsiTheme="majorHAnsi" w:cstheme="minorBidi"/>
          <w:sz w:val="24"/>
        </w:rPr>
        <w:t xml:space="preserve">konnten die Jury von ihren handwerklichen Fähigkeiten sowie ihrem persönlichen Auftreten überzeugen. „In diesem Jahr haben wir die Bewerbungskriterien etwas verschärft. Zum Ausbildungsprogramm zugelassen werden </w:t>
      </w:r>
      <w:r w:rsidR="00E61934">
        <w:rPr>
          <w:rFonts w:asciiTheme="majorHAnsi" w:eastAsiaTheme="minorHAnsi" w:hAnsiTheme="majorHAnsi" w:cstheme="minorBidi"/>
          <w:sz w:val="24"/>
        </w:rPr>
        <w:t xml:space="preserve">nun </w:t>
      </w:r>
      <w:r w:rsidR="003B3D52">
        <w:rPr>
          <w:rFonts w:asciiTheme="majorHAnsi" w:eastAsiaTheme="minorHAnsi" w:hAnsiTheme="majorHAnsi" w:cstheme="minorBidi"/>
          <w:sz w:val="24"/>
        </w:rPr>
        <w:t xml:space="preserve">ausschließlich Personen, die eine abgeschlossene Friseurlehre vorweisen können“, erklärt Alexander </w:t>
      </w:r>
      <w:proofErr w:type="spellStart"/>
      <w:r w:rsidR="003B3D52">
        <w:rPr>
          <w:rFonts w:asciiTheme="majorHAnsi" w:eastAsiaTheme="minorHAnsi" w:hAnsiTheme="majorHAnsi" w:cstheme="minorBidi"/>
          <w:sz w:val="24"/>
        </w:rPr>
        <w:t>Höfferer</w:t>
      </w:r>
      <w:proofErr w:type="spellEnd"/>
      <w:r w:rsidR="003B3D52">
        <w:rPr>
          <w:rFonts w:asciiTheme="majorHAnsi" w:eastAsiaTheme="minorHAnsi" w:hAnsiTheme="majorHAnsi" w:cstheme="minorBidi"/>
          <w:sz w:val="24"/>
        </w:rPr>
        <w:t xml:space="preserve">, Leiter Professional Partner Services bei Schwarzkopf Professional. „Dies, zusammen mit dem Theoriewissen und der Praxis, </w:t>
      </w:r>
      <w:r w:rsidR="00D358D4">
        <w:rPr>
          <w:rFonts w:asciiTheme="majorHAnsi" w:eastAsiaTheme="minorHAnsi" w:hAnsiTheme="majorHAnsi" w:cstheme="minorBidi"/>
          <w:sz w:val="24"/>
        </w:rPr>
        <w:t>die</w:t>
      </w:r>
      <w:r w:rsidR="00E61934">
        <w:rPr>
          <w:rFonts w:asciiTheme="majorHAnsi" w:eastAsiaTheme="minorHAnsi" w:hAnsiTheme="majorHAnsi" w:cstheme="minorBidi"/>
          <w:sz w:val="24"/>
        </w:rPr>
        <w:t xml:space="preserve"> während der Ausbildung vermittelt wird,</w:t>
      </w:r>
      <w:r w:rsidR="003B3D52">
        <w:rPr>
          <w:rFonts w:asciiTheme="majorHAnsi" w:eastAsiaTheme="minorHAnsi" w:hAnsiTheme="majorHAnsi" w:cstheme="minorBidi"/>
          <w:sz w:val="24"/>
        </w:rPr>
        <w:t xml:space="preserve"> macht uns zuversichtlich, </w:t>
      </w:r>
      <w:r w:rsidR="00E61934">
        <w:rPr>
          <w:rFonts w:asciiTheme="majorHAnsi" w:eastAsiaTheme="minorHAnsi" w:hAnsiTheme="majorHAnsi" w:cstheme="minorBidi"/>
          <w:sz w:val="24"/>
        </w:rPr>
        <w:t xml:space="preserve">dass die Absolventinnen unseres Programmes auch bei der Zweitauflage erfolgreich in Partnersalons vermittelt werden können.“ Nach dem ersten „Shaping Futures“-Ausbildungsprogramm, das im Frühjahr 2018 endete, gelang der Hälfte der </w:t>
      </w:r>
      <w:r w:rsidR="00177D97">
        <w:rPr>
          <w:rFonts w:asciiTheme="majorHAnsi" w:eastAsiaTheme="minorHAnsi" w:hAnsiTheme="majorHAnsi" w:cstheme="minorBidi"/>
          <w:sz w:val="24"/>
        </w:rPr>
        <w:t xml:space="preserve">Absolventinnen der feste Wiedereinstieg in den Friseurberuf, die fünf verbliebenen Damen haben sich für </w:t>
      </w:r>
      <w:r w:rsidR="005C7FB9">
        <w:rPr>
          <w:rFonts w:asciiTheme="majorHAnsi" w:eastAsiaTheme="minorHAnsi" w:hAnsiTheme="majorHAnsi" w:cstheme="minorBidi"/>
          <w:sz w:val="24"/>
        </w:rPr>
        <w:t xml:space="preserve">eine weitere </w:t>
      </w:r>
      <w:r w:rsidR="00177D97">
        <w:rPr>
          <w:rFonts w:asciiTheme="majorHAnsi" w:eastAsiaTheme="minorHAnsi" w:hAnsiTheme="majorHAnsi" w:cstheme="minorBidi"/>
          <w:sz w:val="24"/>
        </w:rPr>
        <w:t>Ausbildung entschieden.</w:t>
      </w:r>
    </w:p>
    <w:p w14:paraId="153634E0" w14:textId="77777777" w:rsidR="00E61934" w:rsidRDefault="00E61934" w:rsidP="00D358D4">
      <w:pPr>
        <w:jc w:val="both"/>
        <w:rPr>
          <w:rFonts w:asciiTheme="majorHAnsi" w:eastAsiaTheme="minorHAnsi" w:hAnsiTheme="majorHAnsi" w:cstheme="minorBidi"/>
          <w:sz w:val="24"/>
        </w:rPr>
      </w:pPr>
    </w:p>
    <w:p w14:paraId="5B9741F3" w14:textId="77777777" w:rsidR="00B16A1A" w:rsidRDefault="00177D97" w:rsidP="00D358D4">
      <w:pPr>
        <w:jc w:val="both"/>
        <w:rPr>
          <w:rFonts w:asciiTheme="majorHAnsi" w:eastAsiaTheme="minorHAnsi" w:hAnsiTheme="majorHAnsi" w:cstheme="minorBidi"/>
          <w:sz w:val="24"/>
        </w:rPr>
      </w:pPr>
      <w:r>
        <w:rPr>
          <w:rFonts w:asciiTheme="majorHAnsi" w:eastAsiaTheme="minorHAnsi" w:hAnsiTheme="majorHAnsi" w:cstheme="minorBidi"/>
          <w:sz w:val="24"/>
        </w:rPr>
        <w:t xml:space="preserve">Das „Shaping Futures“-Ausbildungsprogramm richtet sich an ausgebildete Friseurinnen, die aufgrund von Pflege- oder Kinderkarenz ihren Beruf längere Zeit nicht mehr ausüben konnten. „Viele von den Bewerberinnen haben zudem Migrationshintergrund. Gerade für sie ist dieses Ausbildungsprogramm immens wichtig, um sich zu integrieren und am österreichischen </w:t>
      </w:r>
      <w:r>
        <w:rPr>
          <w:rFonts w:asciiTheme="majorHAnsi" w:eastAsiaTheme="minorHAnsi" w:hAnsiTheme="majorHAnsi" w:cstheme="minorBidi"/>
          <w:sz w:val="24"/>
        </w:rPr>
        <w:lastRenderedPageBreak/>
        <w:t xml:space="preserve">Arbeitsmarkt Fuß fassen zu können“, so Alev </w:t>
      </w:r>
      <w:proofErr w:type="spellStart"/>
      <w:r>
        <w:rPr>
          <w:rFonts w:asciiTheme="majorHAnsi" w:eastAsiaTheme="minorHAnsi" w:hAnsiTheme="majorHAnsi" w:cstheme="minorBidi"/>
          <w:sz w:val="24"/>
        </w:rPr>
        <w:t>Eken</w:t>
      </w:r>
      <w:proofErr w:type="spellEnd"/>
      <w:r>
        <w:rPr>
          <w:rFonts w:asciiTheme="majorHAnsi" w:eastAsiaTheme="minorHAnsi" w:hAnsiTheme="majorHAnsi" w:cstheme="minorBidi"/>
          <w:sz w:val="24"/>
        </w:rPr>
        <w:t xml:space="preserve"> vom BEST Institut für berufsbezogene Weiterbildung und Personaltraining. </w:t>
      </w:r>
    </w:p>
    <w:p w14:paraId="54C9F98B" w14:textId="77777777" w:rsidR="00B16A1A" w:rsidRPr="00B16A1A" w:rsidRDefault="00B16A1A" w:rsidP="00D358D4">
      <w:pPr>
        <w:jc w:val="both"/>
        <w:rPr>
          <w:rFonts w:asciiTheme="majorHAnsi" w:eastAsiaTheme="minorHAnsi" w:hAnsiTheme="majorHAnsi" w:cstheme="minorBidi"/>
          <w:sz w:val="24"/>
        </w:rPr>
      </w:pPr>
    </w:p>
    <w:p w14:paraId="63772369" w14:textId="77777777" w:rsidR="00B16A1A" w:rsidRPr="00B16A1A" w:rsidRDefault="00B16A1A" w:rsidP="00D358D4">
      <w:pPr>
        <w:jc w:val="both"/>
        <w:rPr>
          <w:rFonts w:asciiTheme="majorHAnsi" w:eastAsiaTheme="minorHAnsi" w:hAnsiTheme="majorHAnsi" w:cstheme="minorBidi"/>
          <w:sz w:val="24"/>
        </w:rPr>
      </w:pPr>
      <w:r w:rsidRPr="00B16A1A">
        <w:rPr>
          <w:rFonts w:asciiTheme="majorHAnsi" w:eastAsiaTheme="minorHAnsi" w:hAnsiTheme="majorHAnsi" w:cstheme="minorBidi"/>
          <w:sz w:val="24"/>
        </w:rPr>
        <w:t xml:space="preserve">Die Idee zu diesem Projekt basiert auf dem seit 2010 existierenden Programm „Shaping Futures“. Es handelt sich dabei um ein globales Engagement von Schwarzkopf Professional, das benachteiligten Jugendlichen ermöglichen soll, das Friseurhandwerk zu erlernen und so aktiv ihre </w:t>
      </w:r>
      <w:proofErr w:type="gramStart"/>
      <w:r w:rsidRPr="00B16A1A">
        <w:rPr>
          <w:rFonts w:asciiTheme="majorHAnsi" w:eastAsiaTheme="minorHAnsi" w:hAnsiTheme="majorHAnsi" w:cstheme="minorBidi"/>
          <w:sz w:val="24"/>
        </w:rPr>
        <w:t>Zukunftsperspektiven</w:t>
      </w:r>
      <w:proofErr w:type="gramEnd"/>
      <w:r w:rsidRPr="00B16A1A">
        <w:rPr>
          <w:rFonts w:asciiTheme="majorHAnsi" w:eastAsiaTheme="minorHAnsi" w:hAnsiTheme="majorHAnsi" w:cstheme="minorBidi"/>
          <w:sz w:val="24"/>
        </w:rPr>
        <w:t xml:space="preserve"> zu verbessern. Freiwillige Stylisten-Teams der Partnersalons von Schwarzkopf Professional bringen ihre Erfahrung und Expertise für junge Menschen in mittlerweile 25 verschiedenen Ländern ein.</w:t>
      </w:r>
    </w:p>
    <w:bookmarkEnd w:id="1"/>
    <w:p w14:paraId="6C964BC8" w14:textId="77777777" w:rsidR="00B16A1A" w:rsidRPr="00B16A1A" w:rsidRDefault="00B16A1A" w:rsidP="00D358D4">
      <w:pPr>
        <w:spacing w:line="240" w:lineRule="auto"/>
        <w:rPr>
          <w:rFonts w:asciiTheme="majorHAnsi" w:hAnsiTheme="majorHAnsi"/>
          <w:sz w:val="24"/>
        </w:rPr>
      </w:pPr>
    </w:p>
    <w:p w14:paraId="5CE63349" w14:textId="77777777" w:rsidR="00B16A1A" w:rsidRDefault="00B16A1A" w:rsidP="00D358D4">
      <w:pPr>
        <w:spacing w:line="240" w:lineRule="auto"/>
        <w:outlineLvl w:val="0"/>
        <w:rPr>
          <w:rStyle w:val="Hyperlink"/>
          <w:rFonts w:asciiTheme="majorHAnsi" w:hAnsiTheme="majorHAnsi"/>
          <w:bCs/>
          <w:sz w:val="24"/>
        </w:rPr>
      </w:pPr>
      <w:r w:rsidRPr="00B16A1A">
        <w:rPr>
          <w:rFonts w:asciiTheme="majorHAnsi" w:hAnsiTheme="majorHAnsi"/>
          <w:bCs/>
          <w:sz w:val="24"/>
        </w:rPr>
        <w:t xml:space="preserve">Fotomaterial finden Sie im Internet unter </w:t>
      </w:r>
      <w:hyperlink r:id="rId9" w:history="1">
        <w:r w:rsidRPr="00B16A1A">
          <w:rPr>
            <w:rStyle w:val="Hyperlink"/>
            <w:rFonts w:asciiTheme="majorHAnsi" w:hAnsiTheme="majorHAnsi"/>
            <w:sz w:val="24"/>
            <w:lang w:val="de-AT"/>
          </w:rPr>
          <w:t>http://news.henkel.at</w:t>
        </w:r>
      </w:hyperlink>
      <w:r w:rsidR="00D358D4">
        <w:rPr>
          <w:rStyle w:val="Hyperlink"/>
          <w:rFonts w:asciiTheme="majorHAnsi" w:hAnsiTheme="majorHAnsi"/>
          <w:sz w:val="24"/>
          <w:lang w:val="de-AT"/>
        </w:rPr>
        <w:t xml:space="preserve">; </w:t>
      </w:r>
      <w:bookmarkStart w:id="3" w:name="_GoBack"/>
      <w:bookmarkEnd w:id="3"/>
      <w:r w:rsidR="00927750">
        <w:rPr>
          <w:rFonts w:asciiTheme="majorHAnsi" w:hAnsiTheme="majorHAnsi"/>
          <w:bCs/>
          <w:sz w:val="24"/>
        </w:rPr>
        <w:t xml:space="preserve">Informationen zu Shaping Futures: </w:t>
      </w:r>
      <w:hyperlink r:id="rId10" w:history="1">
        <w:r w:rsidR="00C7474D" w:rsidRPr="00F30C1E">
          <w:rPr>
            <w:rStyle w:val="Hyperlink"/>
            <w:rFonts w:asciiTheme="majorHAnsi" w:hAnsiTheme="majorHAnsi"/>
            <w:bCs/>
            <w:sz w:val="24"/>
          </w:rPr>
          <w:t>http://www.schwarzkopf-professional.at/skp/at/de/home/shaping-futures/was-wir-tun.html</w:t>
        </w:r>
      </w:hyperlink>
    </w:p>
    <w:p w14:paraId="064A6CA3" w14:textId="77777777" w:rsidR="00C7474D" w:rsidRPr="00B16A1A" w:rsidRDefault="00C7474D" w:rsidP="00D358D4">
      <w:pPr>
        <w:spacing w:line="240" w:lineRule="auto"/>
        <w:outlineLvl w:val="0"/>
        <w:rPr>
          <w:rFonts w:asciiTheme="majorHAnsi" w:hAnsiTheme="majorHAnsi" w:cs="Arial"/>
          <w:color w:val="000000"/>
          <w:sz w:val="24"/>
        </w:rPr>
      </w:pPr>
    </w:p>
    <w:p w14:paraId="70365904" w14:textId="77777777" w:rsidR="005C7FB9" w:rsidRPr="005C7FB9" w:rsidRDefault="005C7FB9" w:rsidP="00D358D4">
      <w:pPr>
        <w:spacing w:line="240" w:lineRule="auto"/>
        <w:jc w:val="both"/>
        <w:rPr>
          <w:rFonts w:asciiTheme="majorHAnsi" w:hAnsiTheme="majorHAnsi"/>
          <w:sz w:val="24"/>
        </w:rPr>
      </w:pPr>
      <w:r w:rsidRPr="005C7FB9">
        <w:rPr>
          <w:rFonts w:asciiTheme="majorHAnsi" w:hAnsiTheme="majorHAnsi"/>
          <w:sz w:val="24"/>
        </w:rPr>
        <w:t xml:space="preserve">Die Osteuropa-Zentrale von Henkel befindet sich in Wien. Das Unternehmen hält in der Region eine führende Marktposition in den Geschäftsbereichen </w:t>
      </w:r>
      <w:proofErr w:type="spellStart"/>
      <w:r w:rsidRPr="005C7FB9">
        <w:rPr>
          <w:rFonts w:asciiTheme="majorHAnsi" w:hAnsiTheme="majorHAnsi"/>
          <w:sz w:val="24"/>
        </w:rPr>
        <w:t>Laundry</w:t>
      </w:r>
      <w:proofErr w:type="spellEnd"/>
      <w:r w:rsidRPr="005C7FB9">
        <w:rPr>
          <w:rFonts w:asciiTheme="majorHAnsi" w:hAnsiTheme="majorHAnsi"/>
          <w:sz w:val="24"/>
        </w:rPr>
        <w:t xml:space="preserve"> &amp; Home Care, </w:t>
      </w:r>
      <w:proofErr w:type="spellStart"/>
      <w:r w:rsidRPr="005C7FB9">
        <w:rPr>
          <w:rFonts w:asciiTheme="majorHAnsi" w:hAnsiTheme="majorHAnsi"/>
          <w:sz w:val="24"/>
        </w:rPr>
        <w:t>Adhesive</w:t>
      </w:r>
      <w:proofErr w:type="spellEnd"/>
      <w:r w:rsidRPr="005C7FB9">
        <w:rPr>
          <w:rFonts w:asciiTheme="majorHAnsi" w:hAnsiTheme="majorHAnsi"/>
          <w:sz w:val="24"/>
        </w:rPr>
        <w:t xml:space="preserve"> Technologies und Beauty Care. In Österreich gibt es Henkel-Produkte seit 131 Jahren. Am Standort Wien wird seit 1927 produziert. Zu den Top-Marken von Henkel in Österreich zählen Blue Star, </w:t>
      </w:r>
      <w:proofErr w:type="spellStart"/>
      <w:r w:rsidRPr="005C7FB9">
        <w:rPr>
          <w:rFonts w:asciiTheme="majorHAnsi" w:hAnsiTheme="majorHAnsi"/>
          <w:sz w:val="24"/>
        </w:rPr>
        <w:t>Cimsec</w:t>
      </w:r>
      <w:proofErr w:type="spellEnd"/>
      <w:r w:rsidRPr="005C7FB9">
        <w:rPr>
          <w:rFonts w:asciiTheme="majorHAnsi" w:hAnsiTheme="majorHAnsi"/>
          <w:sz w:val="24"/>
        </w:rPr>
        <w:t xml:space="preserve">, Fa, Loctite, Pattex, Persil, Schwarzkopf, </w:t>
      </w:r>
      <w:proofErr w:type="spellStart"/>
      <w:r w:rsidRPr="005C7FB9">
        <w:rPr>
          <w:rFonts w:asciiTheme="majorHAnsi" w:hAnsiTheme="majorHAnsi"/>
          <w:sz w:val="24"/>
        </w:rPr>
        <w:t>Somat</w:t>
      </w:r>
      <w:proofErr w:type="spellEnd"/>
      <w:r w:rsidRPr="005C7FB9">
        <w:rPr>
          <w:rFonts w:asciiTheme="majorHAnsi" w:hAnsiTheme="majorHAnsi"/>
          <w:sz w:val="24"/>
        </w:rPr>
        <w:t xml:space="preserve"> und </w:t>
      </w:r>
      <w:proofErr w:type="spellStart"/>
      <w:r w:rsidRPr="005C7FB9">
        <w:rPr>
          <w:rFonts w:asciiTheme="majorHAnsi" w:hAnsiTheme="majorHAnsi"/>
          <w:sz w:val="24"/>
        </w:rPr>
        <w:t>Syoss</w:t>
      </w:r>
      <w:proofErr w:type="spellEnd"/>
      <w:r w:rsidRPr="005C7FB9">
        <w:rPr>
          <w:rFonts w:asciiTheme="majorHAnsi" w:hAnsiTheme="majorHAnsi"/>
          <w:sz w:val="24"/>
        </w:rPr>
        <w:t>.</w:t>
      </w:r>
    </w:p>
    <w:p w14:paraId="7001EA4F" w14:textId="77777777" w:rsidR="005C7FB9" w:rsidRPr="005C7FB9" w:rsidRDefault="005C7FB9" w:rsidP="00D358D4">
      <w:pPr>
        <w:spacing w:line="240" w:lineRule="auto"/>
        <w:jc w:val="both"/>
        <w:rPr>
          <w:rFonts w:asciiTheme="majorHAnsi" w:hAnsiTheme="majorHAnsi"/>
          <w:sz w:val="24"/>
        </w:rPr>
      </w:pPr>
    </w:p>
    <w:p w14:paraId="1486BC48" w14:textId="77777777" w:rsidR="00B16A1A" w:rsidRDefault="005C7FB9" w:rsidP="00D358D4">
      <w:pPr>
        <w:spacing w:line="240" w:lineRule="auto"/>
        <w:jc w:val="both"/>
        <w:rPr>
          <w:rFonts w:asciiTheme="majorHAnsi" w:hAnsiTheme="majorHAnsi"/>
          <w:sz w:val="24"/>
        </w:rPr>
      </w:pPr>
      <w:r w:rsidRPr="005C7FB9">
        <w:rPr>
          <w:rFonts w:asciiTheme="majorHAnsi" w:hAnsiTheme="majorHAnsi"/>
          <w:sz w:val="24"/>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5C7FB9">
        <w:rPr>
          <w:rFonts w:asciiTheme="majorHAnsi" w:hAnsiTheme="majorHAnsi"/>
          <w:sz w:val="24"/>
        </w:rPr>
        <w:t>Adhesive</w:t>
      </w:r>
      <w:proofErr w:type="spellEnd"/>
      <w:r w:rsidRPr="005C7FB9">
        <w:rPr>
          <w:rFonts w:asciiTheme="majorHAnsi" w:hAnsiTheme="majorHAnsi"/>
          <w:sz w:val="24"/>
        </w:rPr>
        <w:t xml:space="preserve"> Technologies globaler Marktführer im Klebstoffbereich. Auch mit den Unternehmensbereichen </w:t>
      </w:r>
      <w:proofErr w:type="spellStart"/>
      <w:r w:rsidRPr="005C7FB9">
        <w:rPr>
          <w:rFonts w:asciiTheme="majorHAnsi" w:hAnsiTheme="majorHAnsi"/>
          <w:sz w:val="24"/>
        </w:rPr>
        <w:t>Laundry</w:t>
      </w:r>
      <w:proofErr w:type="spellEnd"/>
      <w:r w:rsidRPr="005C7FB9">
        <w:rPr>
          <w:rFonts w:asciiTheme="majorHAnsi" w:hAnsiTheme="majorHAnsi"/>
          <w:sz w:val="24"/>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FF1D912" w14:textId="77777777" w:rsidR="005C7FB9" w:rsidRPr="00B16A1A" w:rsidRDefault="005C7FB9" w:rsidP="00D358D4">
      <w:pPr>
        <w:spacing w:line="240" w:lineRule="auto"/>
        <w:jc w:val="both"/>
        <w:rPr>
          <w:rFonts w:asciiTheme="majorHAnsi" w:hAnsiTheme="majorHAnsi" w:cs="Arial"/>
          <w:color w:val="000000"/>
          <w:sz w:val="24"/>
        </w:rPr>
      </w:pPr>
    </w:p>
    <w:p w14:paraId="4C2142E2" w14:textId="77777777" w:rsidR="00B16A1A" w:rsidRPr="00B16A1A" w:rsidRDefault="00B16A1A" w:rsidP="00D358D4">
      <w:pPr>
        <w:spacing w:line="240" w:lineRule="auto"/>
        <w:rPr>
          <w:rFonts w:asciiTheme="majorHAnsi" w:hAnsiTheme="majorHAnsi" w:cs="Arial"/>
          <w:color w:val="000000"/>
        </w:rPr>
      </w:pPr>
      <w:r w:rsidRPr="00B16A1A">
        <w:rPr>
          <w:rFonts w:asciiTheme="majorHAnsi" w:hAnsiTheme="majorHAnsi" w:cs="Arial"/>
          <w:color w:val="000000"/>
        </w:rPr>
        <w:t>Verwendete Sammelbezeichnungen wie Konsumenten, Verbraucher, Mitarbeiter, Manager, Kunden, Teilnehmer oder Aktionäre sind als geschlechtsneutral anzusehen. Die Produktnamen sind eingetragene Marken.</w:t>
      </w:r>
    </w:p>
    <w:p w14:paraId="330FAC8C" w14:textId="77777777" w:rsidR="00B16A1A" w:rsidRPr="00B16A1A" w:rsidRDefault="00B16A1A" w:rsidP="00D358D4">
      <w:pPr>
        <w:spacing w:line="240" w:lineRule="auto"/>
        <w:jc w:val="both"/>
        <w:rPr>
          <w:rFonts w:asciiTheme="majorHAnsi" w:hAnsiTheme="majorHAnsi" w:cs="Arial"/>
          <w:color w:val="000000"/>
          <w:sz w:val="24"/>
        </w:rPr>
      </w:pPr>
    </w:p>
    <w:p w14:paraId="7B5B4588" w14:textId="77777777" w:rsidR="00B16A1A" w:rsidRPr="00B16A1A" w:rsidRDefault="00B16A1A" w:rsidP="00B16A1A">
      <w:pPr>
        <w:tabs>
          <w:tab w:val="left" w:pos="1080"/>
          <w:tab w:val="left" w:pos="5245"/>
        </w:tabs>
        <w:spacing w:line="240" w:lineRule="auto"/>
        <w:rPr>
          <w:rFonts w:asciiTheme="majorHAnsi" w:hAnsiTheme="majorHAnsi" w:cs="Arial"/>
          <w:sz w:val="24"/>
          <w:lang w:val="it-IT"/>
        </w:rPr>
      </w:pPr>
      <w:proofErr w:type="spellStart"/>
      <w:r w:rsidRPr="00B16A1A">
        <w:rPr>
          <w:rFonts w:asciiTheme="majorHAnsi" w:hAnsiTheme="majorHAnsi" w:cs="Arial"/>
          <w:sz w:val="24"/>
          <w:lang w:val="it-IT"/>
        </w:rPr>
        <w:t>Kontakt</w:t>
      </w:r>
      <w:proofErr w:type="spellEnd"/>
      <w:r w:rsidRPr="00B16A1A">
        <w:rPr>
          <w:rFonts w:asciiTheme="majorHAnsi" w:hAnsiTheme="majorHAnsi" w:cs="Arial"/>
          <w:sz w:val="24"/>
          <w:lang w:val="it-IT"/>
        </w:rPr>
        <w:tab/>
        <w:t>Mag. Michael Sgiarovello</w:t>
      </w:r>
      <w:r w:rsidRPr="00B16A1A">
        <w:rPr>
          <w:rFonts w:asciiTheme="majorHAnsi" w:hAnsiTheme="majorHAnsi" w:cs="Arial"/>
          <w:sz w:val="24"/>
          <w:lang w:val="it-IT"/>
        </w:rPr>
        <w:tab/>
        <w:t>Ulrike Gloyer</w:t>
      </w:r>
    </w:p>
    <w:p w14:paraId="778767F7" w14:textId="77777777" w:rsidR="00B16A1A" w:rsidRPr="00B16A1A" w:rsidRDefault="00B16A1A" w:rsidP="00B16A1A">
      <w:pPr>
        <w:tabs>
          <w:tab w:val="left" w:pos="1080"/>
          <w:tab w:val="left" w:pos="5245"/>
        </w:tabs>
        <w:spacing w:line="240" w:lineRule="auto"/>
        <w:rPr>
          <w:rFonts w:asciiTheme="majorHAnsi" w:hAnsiTheme="majorHAnsi" w:cs="Arial"/>
          <w:sz w:val="24"/>
          <w:lang w:val="it-IT"/>
        </w:rPr>
      </w:pPr>
      <w:proofErr w:type="spellStart"/>
      <w:r w:rsidRPr="00B16A1A">
        <w:rPr>
          <w:rFonts w:asciiTheme="majorHAnsi" w:hAnsiTheme="majorHAnsi" w:cs="Arial"/>
          <w:sz w:val="24"/>
          <w:lang w:val="it-IT"/>
        </w:rPr>
        <w:t>Telefon</w:t>
      </w:r>
      <w:proofErr w:type="spellEnd"/>
      <w:r w:rsidRPr="00B16A1A">
        <w:rPr>
          <w:rFonts w:asciiTheme="majorHAnsi" w:hAnsiTheme="majorHAnsi" w:cs="Arial"/>
          <w:sz w:val="24"/>
          <w:lang w:val="it-IT"/>
        </w:rPr>
        <w:tab/>
        <w:t>+43 (0)1 711 04-2744</w:t>
      </w:r>
      <w:r w:rsidRPr="00B16A1A">
        <w:rPr>
          <w:rFonts w:asciiTheme="majorHAnsi" w:hAnsiTheme="majorHAnsi" w:cs="Arial"/>
          <w:sz w:val="24"/>
          <w:lang w:val="it-IT"/>
        </w:rPr>
        <w:tab/>
        <w:t>+43 (0)1 711 04-2251</w:t>
      </w:r>
    </w:p>
    <w:p w14:paraId="20AC6EC9" w14:textId="77777777"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Telefax</w:t>
      </w:r>
      <w:r w:rsidRPr="00B16A1A">
        <w:rPr>
          <w:rFonts w:asciiTheme="majorHAnsi" w:hAnsiTheme="majorHAnsi" w:cs="Arial"/>
          <w:sz w:val="24"/>
          <w:lang w:val="it-IT"/>
        </w:rPr>
        <w:tab/>
        <w:t>+43 (0)1 711 04-2650</w:t>
      </w:r>
      <w:r w:rsidRPr="00B16A1A">
        <w:rPr>
          <w:rFonts w:asciiTheme="majorHAnsi" w:hAnsiTheme="majorHAnsi" w:cs="Arial"/>
          <w:sz w:val="24"/>
          <w:lang w:val="it-IT"/>
        </w:rPr>
        <w:tab/>
        <w:t>+43 (0)1 711 04-2650</w:t>
      </w:r>
    </w:p>
    <w:p w14:paraId="1222D8D5" w14:textId="77777777"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E-Mail</w:t>
      </w:r>
      <w:r w:rsidRPr="00B16A1A">
        <w:rPr>
          <w:rFonts w:asciiTheme="majorHAnsi" w:hAnsiTheme="majorHAnsi" w:cs="Arial"/>
          <w:sz w:val="24"/>
          <w:lang w:val="it-IT"/>
        </w:rPr>
        <w:tab/>
        <w:t>michael.sgiarovello@henkel.com</w:t>
      </w:r>
      <w:r w:rsidRPr="00B16A1A">
        <w:rPr>
          <w:rFonts w:asciiTheme="majorHAnsi" w:hAnsiTheme="majorHAnsi" w:cs="Arial"/>
          <w:sz w:val="24"/>
          <w:lang w:val="it-IT"/>
        </w:rPr>
        <w:tab/>
        <w:t>ulrike.gloyer@henkel.com</w:t>
      </w:r>
    </w:p>
    <w:p w14:paraId="5DE5259D" w14:textId="77777777" w:rsidR="00D358D4" w:rsidRDefault="00D358D4" w:rsidP="00B16A1A">
      <w:pPr>
        <w:spacing w:line="240" w:lineRule="auto"/>
        <w:rPr>
          <w:rFonts w:asciiTheme="majorHAnsi" w:hAnsiTheme="majorHAnsi" w:cs="Arial"/>
          <w:sz w:val="24"/>
          <w:lang w:val="it-IT"/>
        </w:rPr>
      </w:pPr>
    </w:p>
    <w:p w14:paraId="3AE0E7C1" w14:textId="77777777" w:rsidR="00B16A1A" w:rsidRPr="00B16A1A" w:rsidRDefault="00B16A1A" w:rsidP="00B16A1A">
      <w:pPr>
        <w:spacing w:line="240" w:lineRule="auto"/>
        <w:rPr>
          <w:rFonts w:asciiTheme="majorHAnsi" w:hAnsiTheme="majorHAnsi"/>
          <w:sz w:val="24"/>
          <w:lang w:val="it-IT"/>
        </w:rPr>
      </w:pPr>
      <w:r w:rsidRPr="00B16A1A">
        <w:rPr>
          <w:rFonts w:asciiTheme="majorHAnsi" w:hAnsiTheme="majorHAnsi" w:cs="Arial"/>
          <w:sz w:val="24"/>
          <w:lang w:val="it-IT"/>
        </w:rPr>
        <w:t xml:space="preserve">Henkel Central </w:t>
      </w:r>
      <w:proofErr w:type="spellStart"/>
      <w:r w:rsidRPr="00B16A1A">
        <w:rPr>
          <w:rFonts w:asciiTheme="majorHAnsi" w:hAnsiTheme="majorHAnsi" w:cs="Arial"/>
          <w:sz w:val="24"/>
          <w:lang w:val="it-IT"/>
        </w:rPr>
        <w:t>Eastern</w:t>
      </w:r>
      <w:proofErr w:type="spellEnd"/>
      <w:r w:rsidRPr="00B16A1A">
        <w:rPr>
          <w:rFonts w:asciiTheme="majorHAnsi" w:hAnsiTheme="majorHAnsi" w:cs="Arial"/>
          <w:sz w:val="24"/>
          <w:lang w:val="it-IT"/>
        </w:rPr>
        <w:t xml:space="preserve"> Europe GmbH</w:t>
      </w:r>
    </w:p>
    <w:sectPr w:rsidR="00B16A1A" w:rsidRPr="00B16A1A"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8A5DC" w14:textId="77777777" w:rsidR="00990C4E" w:rsidRDefault="00990C4E">
      <w:r>
        <w:separator/>
      </w:r>
    </w:p>
  </w:endnote>
  <w:endnote w:type="continuationSeparator" w:id="0">
    <w:p w14:paraId="72158AB7" w14:textId="77777777" w:rsidR="00990C4E" w:rsidRDefault="0099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C615" w14:textId="77777777" w:rsidR="008D4CE8" w:rsidRDefault="008D4CE8" w:rsidP="00D260A2">
    <w:pPr>
      <w:pStyle w:val="Fuzeile"/>
      <w:tabs>
        <w:tab w:val="clear" w:pos="7083"/>
        <w:tab w:val="clear" w:pos="8640"/>
        <w:tab w:val="right" w:pos="9057"/>
      </w:tabs>
      <w:rPr>
        <w:color w:val="auto"/>
        <w:lang w:val="en-US"/>
      </w:rPr>
    </w:pPr>
  </w:p>
  <w:p w14:paraId="49F5BF76" w14:textId="77777777"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57159C">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57159C">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4F4D" w14:textId="77777777" w:rsidR="00DF7AAE" w:rsidRDefault="00DF7AAE" w:rsidP="00DF7AAE">
    <w:pPr>
      <w:pStyle w:val="Fuzeile"/>
      <w:spacing w:line="240" w:lineRule="auto"/>
      <w:rPr>
        <w:position w:val="8"/>
      </w:rPr>
    </w:pPr>
    <w:r w:rsidRPr="00975CA2">
      <w:rPr>
        <w:noProof/>
        <w:position w:val="10"/>
        <w:lang w:val="en-US"/>
      </w:rPr>
      <w:drawing>
        <wp:inline distT="0" distB="0" distL="0" distR="0" wp14:anchorId="5FCE1B4C" wp14:editId="00FA1E6F">
          <wp:extent cx="714375" cy="361950"/>
          <wp:effectExtent l="0" t="0" r="9525" b="0"/>
          <wp:docPr id="31" name="Grafik 31"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Pr>
        <w:position w:val="2"/>
      </w:rPr>
      <w:t xml:space="preserve">  </w:t>
    </w:r>
    <w:r w:rsidRPr="00975CA2">
      <w:rPr>
        <w:noProof/>
        <w:position w:val="22"/>
        <w:vertAlign w:val="superscript"/>
        <w:lang w:val="en-US"/>
      </w:rPr>
      <w:drawing>
        <wp:inline distT="0" distB="0" distL="0" distR="0" wp14:anchorId="166E4A6A" wp14:editId="20297FEE">
          <wp:extent cx="438150" cy="183356"/>
          <wp:effectExtent l="0" t="0" r="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brePlex_Logo.JPEG"/>
                  <pic:cNvPicPr/>
                </pic:nvPicPr>
                <pic:blipFill>
                  <a:blip r:embed="rId2">
                    <a:extLst>
                      <a:ext uri="{28A0092B-C50C-407E-A947-70E740481C1C}">
                        <a14:useLocalDpi xmlns:a14="http://schemas.microsoft.com/office/drawing/2010/main" val="0"/>
                      </a:ext>
                    </a:extLst>
                  </a:blip>
                  <a:stretch>
                    <a:fillRect/>
                  </a:stretch>
                </pic:blipFill>
                <pic:spPr>
                  <a:xfrm>
                    <a:off x="0" y="0"/>
                    <a:ext cx="452683" cy="189438"/>
                  </a:xfrm>
                  <a:prstGeom prst="rect">
                    <a:avLst/>
                  </a:prstGeom>
                </pic:spPr>
              </pic:pic>
            </a:graphicData>
          </a:graphic>
        </wp:inline>
      </w:drawing>
    </w:r>
    <w:r>
      <w:rPr>
        <w:position w:val="2"/>
      </w:rPr>
      <w:t xml:space="preserve">  </w:t>
    </w:r>
    <w:r w:rsidRPr="00975CA2">
      <w:rPr>
        <w:noProof/>
        <w:position w:val="26"/>
        <w:lang w:val="en-US"/>
      </w:rPr>
      <w:drawing>
        <wp:inline distT="0" distB="0" distL="0" distR="0" wp14:anchorId="731D8E02" wp14:editId="4FDDE24B">
          <wp:extent cx="609600" cy="155388"/>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S_Logo_Essensity.JPEG"/>
                  <pic:cNvPicPr/>
                </pic:nvPicPr>
                <pic:blipFill>
                  <a:blip r:embed="rId3">
                    <a:extLst>
                      <a:ext uri="{28A0092B-C50C-407E-A947-70E740481C1C}">
                        <a14:useLocalDpi xmlns:a14="http://schemas.microsoft.com/office/drawing/2010/main" val="0"/>
                      </a:ext>
                    </a:extLst>
                  </a:blip>
                  <a:stretch>
                    <a:fillRect/>
                  </a:stretch>
                </pic:blipFill>
                <pic:spPr>
                  <a:xfrm>
                    <a:off x="0" y="0"/>
                    <a:ext cx="620750" cy="158230"/>
                  </a:xfrm>
                  <a:prstGeom prst="rect">
                    <a:avLst/>
                  </a:prstGeom>
                </pic:spPr>
              </pic:pic>
            </a:graphicData>
          </a:graphic>
        </wp:inline>
      </w:drawing>
    </w:r>
    <w:r>
      <w:rPr>
        <w:position w:val="2"/>
      </w:rPr>
      <w:t xml:space="preserve"> </w:t>
    </w:r>
    <w:r>
      <w:t xml:space="preserve"> </w:t>
    </w:r>
    <w:r w:rsidRPr="00975CA2">
      <w:rPr>
        <w:noProof/>
        <w:position w:val="34"/>
        <w:lang w:val="en-US"/>
      </w:rPr>
      <w:drawing>
        <wp:inline distT="0" distB="0" distL="0" distR="0" wp14:anchorId="0E3F2759" wp14:editId="27D53B7A">
          <wp:extent cx="447675" cy="76200"/>
          <wp:effectExtent l="0" t="0" r="9525" b="0"/>
          <wp:docPr id="30" name="Grafik 30" descr="I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76200"/>
                  </a:xfrm>
                  <a:prstGeom prst="rect">
                    <a:avLst/>
                  </a:prstGeom>
                  <a:noFill/>
                  <a:ln>
                    <a:noFill/>
                  </a:ln>
                </pic:spPr>
              </pic:pic>
            </a:graphicData>
          </a:graphic>
        </wp:inline>
      </w:drawing>
    </w:r>
    <w:r>
      <w:t xml:space="preserve">  </w:t>
    </w:r>
    <w:r w:rsidRPr="00975CA2">
      <w:rPr>
        <w:noProof/>
        <w:position w:val="20"/>
        <w:lang w:val="en-US"/>
      </w:rPr>
      <w:drawing>
        <wp:inline distT="0" distB="0" distL="0" distR="0" wp14:anchorId="3A578F5D" wp14:editId="4C23A6AB">
          <wp:extent cx="352425" cy="247650"/>
          <wp:effectExtent l="0" t="0" r="9525" b="0"/>
          <wp:docPr id="27" name="Grafik 27" descr="bcbona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bonac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t xml:space="preserve">  </w:t>
    </w:r>
    <w:r w:rsidRPr="00975CA2">
      <w:rPr>
        <w:noProof/>
        <w:position w:val="8"/>
        <w:lang w:val="en-US"/>
      </w:rPr>
      <w:drawing>
        <wp:inline distT="0" distB="0" distL="0" distR="0" wp14:anchorId="0EBDDDB1" wp14:editId="24EE9489">
          <wp:extent cx="285750" cy="400050"/>
          <wp:effectExtent l="0" t="0" r="0" b="0"/>
          <wp:docPr id="29" name="Grafik 29" descr="BlondMe-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ndMe-Logo 2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Pr>
        <w:position w:val="-12"/>
      </w:rPr>
      <w:t xml:space="preserve">  </w:t>
    </w:r>
    <w:r>
      <w:t xml:space="preserve">  </w:t>
    </w:r>
    <w:r w:rsidRPr="00975CA2">
      <w:rPr>
        <w:noProof/>
        <w:position w:val="18"/>
        <w:lang w:val="en-US"/>
      </w:rPr>
      <w:drawing>
        <wp:inline distT="0" distB="0" distL="0" distR="0" wp14:anchorId="6FC51F50" wp14:editId="784F2E34">
          <wp:extent cx="542925" cy="276225"/>
          <wp:effectExtent l="0" t="0" r="9525" b="9525"/>
          <wp:docPr id="6" name="Grafik 6" descr="strait_sty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it_sty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975CA2">
      <w:rPr>
        <w:noProof/>
        <w:position w:val="20"/>
        <w:lang w:val="en-US"/>
      </w:rPr>
      <w:drawing>
        <wp:inline distT="0" distB="0" distL="0" distR="0" wp14:anchorId="10AC81B2" wp14:editId="44F8466E">
          <wp:extent cx="523875" cy="238125"/>
          <wp:effectExtent l="0" t="0" r="9525" b="9525"/>
          <wp:docPr id="26" name="Grafik 26" descr="SEA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w:t>
    </w:r>
    <w:r w:rsidRPr="00FF41CF">
      <w:rPr>
        <w:noProof/>
        <w:lang w:val="en-US"/>
      </w:rPr>
      <w:drawing>
        <wp:inline distT="0" distB="0" distL="0" distR="0" wp14:anchorId="03B2CFB8" wp14:editId="7DD76C94">
          <wp:extent cx="142875" cy="504825"/>
          <wp:effectExtent l="0" t="0" r="9525" b="9525"/>
          <wp:docPr id="25" name="Grafik 25" descr="OSiS 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iS Logo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504825"/>
                  </a:xfrm>
                  <a:prstGeom prst="rect">
                    <a:avLst/>
                  </a:prstGeom>
                  <a:noFill/>
                  <a:ln>
                    <a:noFill/>
                  </a:ln>
                </pic:spPr>
              </pic:pic>
            </a:graphicData>
          </a:graphic>
        </wp:inline>
      </w:drawing>
    </w:r>
    <w:r>
      <w:t xml:space="preserve">  </w:t>
    </w:r>
    <w:r w:rsidRPr="00975CA2">
      <w:rPr>
        <w:noProof/>
        <w:position w:val="36"/>
        <w:lang w:val="en-US"/>
      </w:rPr>
      <w:drawing>
        <wp:inline distT="0" distB="0" distL="0" distR="0" wp14:anchorId="4C6D6672" wp14:editId="1C0006D9">
          <wp:extent cx="571500" cy="76200"/>
          <wp:effectExtent l="0" t="0" r="0" b="0"/>
          <wp:docPr id="24" name="Grafik 24" descr="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6200"/>
                  </a:xfrm>
                  <a:prstGeom prst="rect">
                    <a:avLst/>
                  </a:prstGeom>
                  <a:noFill/>
                  <a:ln>
                    <a:noFill/>
                  </a:ln>
                </pic:spPr>
              </pic:pic>
            </a:graphicData>
          </a:graphic>
        </wp:inline>
      </w:drawing>
    </w:r>
    <w:r>
      <w:t xml:space="preserve">  </w:t>
    </w:r>
    <w:r w:rsidRPr="00975CA2">
      <w:rPr>
        <w:noProof/>
        <w:position w:val="24"/>
        <w:lang w:val="en-US"/>
      </w:rPr>
      <w:drawing>
        <wp:inline distT="0" distB="0" distL="0" distR="0" wp14:anchorId="481367BB" wp14:editId="2B7F53EA">
          <wp:extent cx="495300" cy="219075"/>
          <wp:effectExtent l="0" t="0" r="0" b="9525"/>
          <wp:docPr id="23" name="Grafik 23" descr="NaturalSty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uralStyl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t xml:space="preserve">  </w:t>
    </w:r>
    <w:r w:rsidR="00D15AD1">
      <w:br/>
    </w:r>
  </w:p>
  <w:p w14:paraId="18A91F6E" w14:textId="77777777"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57159C">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57159C">
      <w:rPr>
        <w:b w:val="0"/>
        <w:noProof/>
        <w:color w:val="auto"/>
      </w:rPr>
      <w:t>3</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57D9D" w14:textId="77777777" w:rsidR="00990C4E" w:rsidRDefault="00990C4E">
      <w:r>
        <w:separator/>
      </w:r>
    </w:p>
  </w:footnote>
  <w:footnote w:type="continuationSeparator" w:id="0">
    <w:p w14:paraId="490C3F87" w14:textId="77777777" w:rsidR="00990C4E" w:rsidRDefault="0099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57C0" w14:textId="77777777" w:rsidR="008D4CE8" w:rsidRDefault="008D4CE8">
    <w:pPr>
      <w:pStyle w:val="Kopfzeile"/>
    </w:pPr>
  </w:p>
  <w:p w14:paraId="2EF9430F"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39F39" w14:textId="77777777"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14:paraId="5A604285" w14:textId="77777777" w:rsidR="008D4CE8" w:rsidRDefault="00F33DD2" w:rsidP="00F33DD2">
    <w:pPr>
      <w:pStyle w:val="Kopfzeile"/>
      <w:tabs>
        <w:tab w:val="clear" w:pos="8640"/>
      </w:tabs>
      <w:spacing w:line="420" w:lineRule="atLeast"/>
      <w:jc w:val="center"/>
      <w:rPr>
        <w:b/>
        <w:bCs/>
        <w:sz w:val="36"/>
        <w:szCs w:val="36"/>
      </w:rPr>
    </w:pPr>
    <w:r w:rsidRPr="00975CA2">
      <w:rPr>
        <w:noProof/>
        <w:position w:val="10"/>
        <w:lang w:val="en-US"/>
      </w:rPr>
      <w:drawing>
        <wp:inline distT="0" distB="0" distL="0" distR="0" wp14:anchorId="24E2E498" wp14:editId="2F68640D">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14:paraId="39E4C90D" w14:textId="77777777" w:rsidR="008D4CE8" w:rsidRDefault="008D4CE8" w:rsidP="00D260A2">
    <w:pPr>
      <w:pStyle w:val="Kopfzeile"/>
      <w:tabs>
        <w:tab w:val="clear" w:pos="8640"/>
      </w:tabs>
      <w:spacing w:line="420" w:lineRule="atLeast"/>
      <w:jc w:val="right"/>
      <w:rPr>
        <w:b/>
        <w:bCs/>
        <w:sz w:val="36"/>
        <w:szCs w:val="36"/>
      </w:rPr>
    </w:pPr>
  </w:p>
  <w:p w14:paraId="1901BE4F" w14:textId="77777777" w:rsidR="008D4CE8" w:rsidRDefault="008D4CE8" w:rsidP="00D260A2">
    <w:pPr>
      <w:pStyle w:val="Kopfzeile"/>
      <w:tabs>
        <w:tab w:val="clear" w:pos="8640"/>
      </w:tabs>
      <w:spacing w:line="420" w:lineRule="atLeast"/>
      <w:jc w:val="right"/>
      <w:rPr>
        <w:b/>
        <w:bCs/>
        <w:sz w:val="36"/>
        <w:szCs w:val="36"/>
      </w:rPr>
    </w:pPr>
  </w:p>
  <w:p w14:paraId="72EE9438" w14:textId="77777777"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val="en-US"/>
      </w:rPr>
      <mc:AlternateContent>
        <mc:Choice Requires="wpg">
          <w:drawing>
            <wp:anchor distT="0" distB="0" distL="114300" distR="114300" simplePos="0" relativeHeight="251653632" behindDoc="0" locked="0" layoutInCell="1" allowOverlap="1" wp14:anchorId="52D3267B" wp14:editId="09781BC5">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61CCD"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5F1F"/>
    <w:rsid w:val="00047F64"/>
    <w:rsid w:val="00052D0E"/>
    <w:rsid w:val="00054278"/>
    <w:rsid w:val="00057E55"/>
    <w:rsid w:val="00060C87"/>
    <w:rsid w:val="000640F3"/>
    <w:rsid w:val="0006685A"/>
    <w:rsid w:val="00070346"/>
    <w:rsid w:val="000704A4"/>
    <w:rsid w:val="00071189"/>
    <w:rsid w:val="00071D63"/>
    <w:rsid w:val="0007441C"/>
    <w:rsid w:val="00074DC5"/>
    <w:rsid w:val="00075793"/>
    <w:rsid w:val="00082632"/>
    <w:rsid w:val="00085634"/>
    <w:rsid w:val="000878DE"/>
    <w:rsid w:val="00093309"/>
    <w:rsid w:val="00095B60"/>
    <w:rsid w:val="000A3F0D"/>
    <w:rsid w:val="000B1C40"/>
    <w:rsid w:val="000B3B18"/>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58E8"/>
    <w:rsid w:val="00176235"/>
    <w:rsid w:val="00177125"/>
    <w:rsid w:val="00177D97"/>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20545D"/>
    <w:rsid w:val="002120D8"/>
    <w:rsid w:val="00213F4F"/>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A578C"/>
    <w:rsid w:val="003B3D52"/>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4C7C"/>
    <w:rsid w:val="004870A2"/>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35C81"/>
    <w:rsid w:val="00541040"/>
    <w:rsid w:val="0054502C"/>
    <w:rsid w:val="00546E51"/>
    <w:rsid w:val="00553AAF"/>
    <w:rsid w:val="0055461F"/>
    <w:rsid w:val="00555695"/>
    <w:rsid w:val="005662AA"/>
    <w:rsid w:val="00570C97"/>
    <w:rsid w:val="0057159C"/>
    <w:rsid w:val="00573A71"/>
    <w:rsid w:val="00576C94"/>
    <w:rsid w:val="005907B4"/>
    <w:rsid w:val="0059350C"/>
    <w:rsid w:val="005954D6"/>
    <w:rsid w:val="005A3230"/>
    <w:rsid w:val="005A59F1"/>
    <w:rsid w:val="005B00A3"/>
    <w:rsid w:val="005B0612"/>
    <w:rsid w:val="005B227E"/>
    <w:rsid w:val="005B4F77"/>
    <w:rsid w:val="005B64F3"/>
    <w:rsid w:val="005C3E42"/>
    <w:rsid w:val="005C7FB9"/>
    <w:rsid w:val="005D60C4"/>
    <w:rsid w:val="005E578F"/>
    <w:rsid w:val="005E65AD"/>
    <w:rsid w:val="005E68E4"/>
    <w:rsid w:val="005F1E39"/>
    <w:rsid w:val="006020A7"/>
    <w:rsid w:val="0060634C"/>
    <w:rsid w:val="00610182"/>
    <w:rsid w:val="00612554"/>
    <w:rsid w:val="00621B0B"/>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B6301"/>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048C"/>
    <w:rsid w:val="0087102F"/>
    <w:rsid w:val="00871D65"/>
    <w:rsid w:val="0087501E"/>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2C85"/>
    <w:rsid w:val="0090498C"/>
    <w:rsid w:val="00906A2D"/>
    <w:rsid w:val="009100FD"/>
    <w:rsid w:val="0091451F"/>
    <w:rsid w:val="00914BFE"/>
    <w:rsid w:val="00916E5A"/>
    <w:rsid w:val="009222EA"/>
    <w:rsid w:val="009239DA"/>
    <w:rsid w:val="00924BCA"/>
    <w:rsid w:val="00925475"/>
    <w:rsid w:val="00925725"/>
    <w:rsid w:val="0092754C"/>
    <w:rsid w:val="00927750"/>
    <w:rsid w:val="00927DE2"/>
    <w:rsid w:val="00937703"/>
    <w:rsid w:val="009436A3"/>
    <w:rsid w:val="00945F94"/>
    <w:rsid w:val="00950998"/>
    <w:rsid w:val="00962670"/>
    <w:rsid w:val="009649D5"/>
    <w:rsid w:val="00965FF2"/>
    <w:rsid w:val="00971ADD"/>
    <w:rsid w:val="0097509B"/>
    <w:rsid w:val="00984CA2"/>
    <w:rsid w:val="00985AD7"/>
    <w:rsid w:val="009866F9"/>
    <w:rsid w:val="00990C4E"/>
    <w:rsid w:val="009952BD"/>
    <w:rsid w:val="009B21DA"/>
    <w:rsid w:val="009B5C42"/>
    <w:rsid w:val="009B703A"/>
    <w:rsid w:val="009B773F"/>
    <w:rsid w:val="009B7A94"/>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4E42"/>
    <w:rsid w:val="00B16A1A"/>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1F98"/>
    <w:rsid w:val="00BC428D"/>
    <w:rsid w:val="00BC501E"/>
    <w:rsid w:val="00BC5575"/>
    <w:rsid w:val="00BC6D38"/>
    <w:rsid w:val="00BC7657"/>
    <w:rsid w:val="00BD1CE2"/>
    <w:rsid w:val="00BD2665"/>
    <w:rsid w:val="00BD2C35"/>
    <w:rsid w:val="00BD3FE7"/>
    <w:rsid w:val="00BD6079"/>
    <w:rsid w:val="00BD74A7"/>
    <w:rsid w:val="00BE1DEE"/>
    <w:rsid w:val="00BE2CD4"/>
    <w:rsid w:val="00BE31C3"/>
    <w:rsid w:val="00BE60E7"/>
    <w:rsid w:val="00BF148A"/>
    <w:rsid w:val="00BF497A"/>
    <w:rsid w:val="00BF7EA5"/>
    <w:rsid w:val="00C007FD"/>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474D"/>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0303"/>
    <w:rsid w:val="00D0253E"/>
    <w:rsid w:val="00D03AC4"/>
    <w:rsid w:val="00D10615"/>
    <w:rsid w:val="00D124AF"/>
    <w:rsid w:val="00D12A01"/>
    <w:rsid w:val="00D15AD1"/>
    <w:rsid w:val="00D22B2E"/>
    <w:rsid w:val="00D2595B"/>
    <w:rsid w:val="00D260A2"/>
    <w:rsid w:val="00D30C5E"/>
    <w:rsid w:val="00D358D4"/>
    <w:rsid w:val="00D40433"/>
    <w:rsid w:val="00D42E92"/>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170CB"/>
    <w:rsid w:val="00E20C32"/>
    <w:rsid w:val="00E243C2"/>
    <w:rsid w:val="00E378E1"/>
    <w:rsid w:val="00E527C8"/>
    <w:rsid w:val="00E5540A"/>
    <w:rsid w:val="00E55A73"/>
    <w:rsid w:val="00E56F3E"/>
    <w:rsid w:val="00E61934"/>
    <w:rsid w:val="00E61A9F"/>
    <w:rsid w:val="00E62F59"/>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47A4"/>
    <w:rsid w:val="00EF6A3A"/>
    <w:rsid w:val="00F00239"/>
    <w:rsid w:val="00F02D23"/>
    <w:rsid w:val="00F052BA"/>
    <w:rsid w:val="00F05922"/>
    <w:rsid w:val="00F07697"/>
    <w:rsid w:val="00F14080"/>
    <w:rsid w:val="00F158F1"/>
    <w:rsid w:val="00F163D5"/>
    <w:rsid w:val="00F172F3"/>
    <w:rsid w:val="00F22778"/>
    <w:rsid w:val="00F22D67"/>
    <w:rsid w:val="00F23328"/>
    <w:rsid w:val="00F2427D"/>
    <w:rsid w:val="00F30918"/>
    <w:rsid w:val="00F33DD2"/>
    <w:rsid w:val="00F4001A"/>
    <w:rsid w:val="00F403A1"/>
    <w:rsid w:val="00F4274D"/>
    <w:rsid w:val="00F44687"/>
    <w:rsid w:val="00F5414F"/>
    <w:rsid w:val="00F5655D"/>
    <w:rsid w:val="00F61E97"/>
    <w:rsid w:val="00F6494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8CB"/>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4EC30FD3"/>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customStyle="1" w:styleId="st1">
    <w:name w:val="st1"/>
    <w:basedOn w:val="Absatz-Standardschriftart"/>
    <w:rsid w:val="0087048C"/>
  </w:style>
  <w:style w:type="character" w:styleId="NichtaufgelsteErwhnung">
    <w:name w:val="Unresolved Mention"/>
    <w:basedOn w:val="Absatz-Standardschriftart"/>
    <w:uiPriority w:val="99"/>
    <w:semiHidden/>
    <w:unhideWhenUsed/>
    <w:rsid w:val="008710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chwarzkopf-professional.at/skp/at/de/home/shaping-futures/was-wir-tun.html" TargetMode="External"/><Relationship Id="rId4" Type="http://schemas.openxmlformats.org/officeDocument/2006/relationships/settings" Target="settings.xml"/><Relationship Id="rId9" Type="http://schemas.openxmlformats.org/officeDocument/2006/relationships/hyperlink" Target="http://news.henkel.a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51A7B-1FA2-4284-A17C-ABC1FC3A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5354</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Template: 2011-01-26</dc:description>
  <cp:lastModifiedBy>Ulrike Gloyer</cp:lastModifiedBy>
  <cp:revision>6</cp:revision>
  <cp:lastPrinted>2018-11-16T09:00:00Z</cp:lastPrinted>
  <dcterms:created xsi:type="dcterms:W3CDTF">2018-11-14T07:42:00Z</dcterms:created>
  <dcterms:modified xsi:type="dcterms:W3CDTF">2018-11-16T09:01:00Z</dcterms:modified>
  <cp:category/>
</cp:coreProperties>
</file>