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8CF4" w14:textId="0A26C6B3" w:rsidR="00EF66C1" w:rsidRPr="00060210" w:rsidRDefault="006326DF" w:rsidP="00060210">
      <w:pPr>
        <w:pStyle w:val="Standard12pt"/>
        <w:spacing w:line="240" w:lineRule="auto"/>
        <w:jc w:val="right"/>
        <w:rPr>
          <w:rFonts w:asciiTheme="minorHAnsi" w:hAnsiTheme="minorHAnsi"/>
        </w:rPr>
      </w:pPr>
      <w:r>
        <w:rPr>
          <w:rFonts w:asciiTheme="minorHAnsi" w:hAnsiTheme="minorHAnsi"/>
        </w:rPr>
        <w:t>November</w:t>
      </w:r>
      <w:r w:rsidR="00212519" w:rsidRPr="00060210">
        <w:rPr>
          <w:rFonts w:asciiTheme="minorHAnsi" w:hAnsiTheme="minorHAnsi"/>
        </w:rPr>
        <w:t xml:space="preserve"> 201</w:t>
      </w:r>
      <w:r w:rsidR="006B79D7">
        <w:rPr>
          <w:rFonts w:asciiTheme="minorHAnsi" w:hAnsiTheme="minorHAnsi"/>
        </w:rPr>
        <w:t>8</w:t>
      </w:r>
    </w:p>
    <w:p w14:paraId="5C1E66C6" w14:textId="77777777" w:rsidR="00EF66C1" w:rsidRPr="00060210" w:rsidRDefault="00EF66C1" w:rsidP="00060210">
      <w:pPr>
        <w:pStyle w:val="Standard12pt"/>
        <w:spacing w:line="240" w:lineRule="auto"/>
        <w:rPr>
          <w:rFonts w:asciiTheme="minorHAnsi" w:hAnsiTheme="minorHAnsi"/>
        </w:rPr>
      </w:pPr>
    </w:p>
    <w:p w14:paraId="155996C5" w14:textId="77777777" w:rsidR="00EF66C1" w:rsidRPr="00060210" w:rsidRDefault="00EF66C1" w:rsidP="00060210">
      <w:pPr>
        <w:pStyle w:val="Standard12pt"/>
        <w:spacing w:line="240" w:lineRule="auto"/>
        <w:rPr>
          <w:rFonts w:asciiTheme="minorHAnsi" w:hAnsiTheme="minorHAnsi"/>
        </w:rPr>
      </w:pPr>
    </w:p>
    <w:p w14:paraId="28F9B911" w14:textId="7728E729" w:rsidR="00A20C24" w:rsidRPr="00A20C24" w:rsidRDefault="006326DF" w:rsidP="00A20C24">
      <w:pPr>
        <w:spacing w:line="240" w:lineRule="auto"/>
        <w:rPr>
          <w:rFonts w:asciiTheme="minorHAnsi" w:hAnsiTheme="minorHAnsi"/>
          <w:sz w:val="24"/>
          <w:lang w:eastAsia="de-DE"/>
        </w:rPr>
      </w:pPr>
      <w:r>
        <w:rPr>
          <w:rFonts w:asciiTheme="minorHAnsi" w:hAnsiTheme="minorHAnsi"/>
          <w:sz w:val="24"/>
          <w:lang w:eastAsia="de-DE"/>
        </w:rPr>
        <w:t xml:space="preserve">Top-Platzierung im Branchen-Ranking „Best </w:t>
      </w:r>
      <w:proofErr w:type="spellStart"/>
      <w:r>
        <w:rPr>
          <w:rFonts w:asciiTheme="minorHAnsi" w:hAnsiTheme="minorHAnsi"/>
          <w:sz w:val="24"/>
          <w:lang w:eastAsia="de-DE"/>
        </w:rPr>
        <w:t>Recruiters</w:t>
      </w:r>
      <w:proofErr w:type="spellEnd"/>
      <w:r>
        <w:rPr>
          <w:rFonts w:asciiTheme="minorHAnsi" w:hAnsiTheme="minorHAnsi"/>
          <w:sz w:val="24"/>
          <w:lang w:eastAsia="de-DE"/>
        </w:rPr>
        <w:t>“ 2018/2019</w:t>
      </w:r>
    </w:p>
    <w:p w14:paraId="0F3D8F2E" w14:textId="77777777" w:rsidR="00EF66C1" w:rsidRPr="00060210" w:rsidRDefault="00EF66C1" w:rsidP="00060210">
      <w:pPr>
        <w:spacing w:line="240" w:lineRule="auto"/>
        <w:rPr>
          <w:rFonts w:asciiTheme="minorHAnsi" w:hAnsiTheme="minorHAnsi"/>
          <w:sz w:val="24"/>
          <w:lang w:eastAsia="de-DE"/>
        </w:rPr>
      </w:pPr>
    </w:p>
    <w:p w14:paraId="752BDC49" w14:textId="55EB0614" w:rsidR="00C43327" w:rsidRDefault="006326DF" w:rsidP="00060210">
      <w:pPr>
        <w:spacing w:line="240" w:lineRule="auto"/>
        <w:jc w:val="both"/>
        <w:rPr>
          <w:rFonts w:asciiTheme="minorHAnsi" w:hAnsiTheme="minorHAnsi" w:cs="Arial"/>
          <w:b/>
          <w:bCs/>
          <w:kern w:val="32"/>
          <w:sz w:val="32"/>
        </w:rPr>
      </w:pPr>
      <w:r>
        <w:rPr>
          <w:rFonts w:asciiTheme="minorHAnsi" w:hAnsiTheme="minorHAnsi" w:cs="Arial"/>
          <w:b/>
          <w:bCs/>
          <w:kern w:val="32"/>
          <w:sz w:val="32"/>
        </w:rPr>
        <w:t>Henkel ist Nummer 1 bei Konsumgüterherstell</w:t>
      </w:r>
      <w:r w:rsidR="00F221B9">
        <w:rPr>
          <w:rFonts w:asciiTheme="minorHAnsi" w:hAnsiTheme="minorHAnsi" w:cs="Arial"/>
          <w:b/>
          <w:bCs/>
          <w:kern w:val="32"/>
          <w:sz w:val="32"/>
        </w:rPr>
        <w:t>ern</w:t>
      </w:r>
    </w:p>
    <w:p w14:paraId="305C55D0" w14:textId="77777777" w:rsidR="0013498C" w:rsidRPr="00060210" w:rsidRDefault="0013498C" w:rsidP="00060210">
      <w:pPr>
        <w:spacing w:line="240" w:lineRule="auto"/>
        <w:jc w:val="both"/>
        <w:rPr>
          <w:rFonts w:asciiTheme="minorHAnsi" w:eastAsiaTheme="minorHAnsi" w:hAnsiTheme="minorHAnsi" w:cs="Arial"/>
          <w:sz w:val="24"/>
        </w:rPr>
      </w:pPr>
    </w:p>
    <w:p w14:paraId="1B3301AF" w14:textId="0B25AE46" w:rsidR="003E6306" w:rsidRPr="003E6306" w:rsidRDefault="0097006C" w:rsidP="00660392">
      <w:pPr>
        <w:spacing w:line="240" w:lineRule="auto"/>
        <w:jc w:val="both"/>
        <w:rPr>
          <w:rFonts w:asciiTheme="minorHAnsi" w:hAnsiTheme="minorHAnsi"/>
          <w:b/>
          <w:sz w:val="24"/>
        </w:rPr>
      </w:pPr>
      <w:r>
        <w:rPr>
          <w:rFonts w:asciiTheme="minorHAnsi" w:hAnsiTheme="minorHAnsi"/>
          <w:b/>
          <w:sz w:val="24"/>
        </w:rPr>
        <w:t xml:space="preserve">„Best </w:t>
      </w:r>
      <w:proofErr w:type="spellStart"/>
      <w:r>
        <w:rPr>
          <w:rFonts w:asciiTheme="minorHAnsi" w:hAnsiTheme="minorHAnsi"/>
          <w:b/>
          <w:sz w:val="24"/>
        </w:rPr>
        <w:t>Recruiters</w:t>
      </w:r>
      <w:proofErr w:type="spellEnd"/>
      <w:r>
        <w:rPr>
          <w:rFonts w:asciiTheme="minorHAnsi" w:hAnsiTheme="minorHAnsi"/>
          <w:b/>
          <w:sz w:val="24"/>
        </w:rPr>
        <w:t>“</w:t>
      </w:r>
      <w:r w:rsidR="003E6306" w:rsidRPr="003E6306">
        <w:rPr>
          <w:rFonts w:asciiTheme="minorHAnsi" w:hAnsiTheme="minorHAnsi"/>
          <w:b/>
          <w:sz w:val="24"/>
        </w:rPr>
        <w:t xml:space="preserve"> untersucht jährlich die Recruiting-Qualität der Top-Arbeitgeber in Österreich, Deutschland sowie der Schweiz und Liechtensteins anhand von über 200 wissenschaftlichen Kriterien.</w:t>
      </w:r>
      <w:r w:rsidR="003E6306">
        <w:rPr>
          <w:rFonts w:asciiTheme="minorHAnsi" w:hAnsiTheme="minorHAnsi"/>
          <w:b/>
          <w:sz w:val="24"/>
        </w:rPr>
        <w:t xml:space="preserve"> Henkel CEE, bereits zum 8. Mal in der Bewertung, </w:t>
      </w:r>
      <w:r>
        <w:rPr>
          <w:rFonts w:asciiTheme="minorHAnsi" w:hAnsiTheme="minorHAnsi"/>
          <w:b/>
          <w:sz w:val="24"/>
        </w:rPr>
        <w:t>wurde</w:t>
      </w:r>
      <w:r w:rsidR="003E6306">
        <w:rPr>
          <w:rFonts w:asciiTheme="minorHAnsi" w:hAnsiTheme="minorHAnsi"/>
          <w:b/>
          <w:sz w:val="24"/>
        </w:rPr>
        <w:t xml:space="preserve"> </w:t>
      </w:r>
      <w:r>
        <w:rPr>
          <w:rFonts w:asciiTheme="minorHAnsi" w:hAnsiTheme="minorHAnsi"/>
          <w:b/>
          <w:sz w:val="24"/>
        </w:rPr>
        <w:t>im aktuellen Ranking erneut Branchensieger in der Kategorie „Nahrungsmittel-/</w:t>
      </w:r>
      <w:r w:rsidR="00D304B1">
        <w:rPr>
          <w:rFonts w:asciiTheme="minorHAnsi" w:hAnsiTheme="minorHAnsi"/>
          <w:b/>
          <w:sz w:val="24"/>
        </w:rPr>
        <w:br/>
      </w:r>
      <w:r>
        <w:rPr>
          <w:rFonts w:asciiTheme="minorHAnsi" w:hAnsiTheme="minorHAnsi"/>
          <w:b/>
          <w:sz w:val="24"/>
        </w:rPr>
        <w:t>Konsumgüterherstellung“.</w:t>
      </w:r>
    </w:p>
    <w:p w14:paraId="43BB6F44" w14:textId="77777777" w:rsidR="003E6306" w:rsidRDefault="003E6306" w:rsidP="00660392">
      <w:pPr>
        <w:spacing w:line="240" w:lineRule="auto"/>
        <w:jc w:val="both"/>
        <w:rPr>
          <w:rFonts w:asciiTheme="minorHAnsi" w:hAnsiTheme="minorHAnsi"/>
          <w:sz w:val="24"/>
        </w:rPr>
      </w:pPr>
    </w:p>
    <w:p w14:paraId="3AEBB6A0" w14:textId="79BFE8D8" w:rsidR="0097006C" w:rsidRPr="0097006C" w:rsidRDefault="0097006C" w:rsidP="0097006C">
      <w:pPr>
        <w:spacing w:line="240" w:lineRule="auto"/>
        <w:jc w:val="both"/>
        <w:rPr>
          <w:rFonts w:asciiTheme="minorHAnsi" w:hAnsiTheme="minorHAnsi"/>
          <w:sz w:val="24"/>
        </w:rPr>
      </w:pPr>
      <w:r w:rsidRPr="0097006C">
        <w:rPr>
          <w:rFonts w:asciiTheme="minorHAnsi" w:hAnsiTheme="minorHAnsi"/>
          <w:sz w:val="24"/>
        </w:rPr>
        <w:t xml:space="preserve">Im Blickpunkt der Studie stehen rund </w:t>
      </w:r>
      <w:r>
        <w:rPr>
          <w:rFonts w:asciiTheme="minorHAnsi" w:hAnsiTheme="minorHAnsi"/>
          <w:sz w:val="24"/>
        </w:rPr>
        <w:t>5</w:t>
      </w:r>
      <w:r w:rsidRPr="0097006C">
        <w:rPr>
          <w:rFonts w:asciiTheme="minorHAnsi" w:hAnsiTheme="minorHAnsi"/>
          <w:sz w:val="24"/>
        </w:rPr>
        <w:t xml:space="preserve">00 Top-Arbeitgeber in Österreich. Analysiert werden ihre Online-Recruiting-Präsenz auf Karriere-Webseiten, ihre Social Web-Aktivitäten und das mobile Recruiting, Online-Stellenanzeigen und -märkte sowie ihr Umgang mit Bewerberinnen und Bewerbern. </w:t>
      </w:r>
    </w:p>
    <w:p w14:paraId="4139DDCD" w14:textId="77777777" w:rsidR="0097006C" w:rsidRDefault="0097006C" w:rsidP="0097006C">
      <w:pPr>
        <w:spacing w:line="240" w:lineRule="auto"/>
        <w:jc w:val="both"/>
        <w:rPr>
          <w:rFonts w:asciiTheme="minorHAnsi" w:hAnsiTheme="minorHAnsi"/>
          <w:sz w:val="24"/>
        </w:rPr>
      </w:pPr>
    </w:p>
    <w:p w14:paraId="600119E0" w14:textId="671C981B" w:rsidR="0097006C" w:rsidRDefault="0097006C" w:rsidP="0097006C">
      <w:pPr>
        <w:spacing w:line="240" w:lineRule="auto"/>
        <w:jc w:val="both"/>
        <w:rPr>
          <w:rFonts w:asciiTheme="minorHAnsi" w:hAnsiTheme="minorHAnsi"/>
          <w:sz w:val="24"/>
        </w:rPr>
      </w:pPr>
      <w:r w:rsidRPr="0097006C">
        <w:rPr>
          <w:rFonts w:asciiTheme="minorHAnsi" w:hAnsiTheme="minorHAnsi"/>
          <w:sz w:val="24"/>
        </w:rPr>
        <w:t xml:space="preserve">„Die Bewertung als ‚Best </w:t>
      </w:r>
      <w:proofErr w:type="spellStart"/>
      <w:r w:rsidRPr="0097006C">
        <w:rPr>
          <w:rFonts w:asciiTheme="minorHAnsi" w:hAnsiTheme="minorHAnsi"/>
          <w:sz w:val="24"/>
        </w:rPr>
        <w:t>Recruiter</w:t>
      </w:r>
      <w:proofErr w:type="spellEnd"/>
      <w:r w:rsidRPr="0097006C">
        <w:rPr>
          <w:rFonts w:asciiTheme="minorHAnsi" w:hAnsiTheme="minorHAnsi"/>
          <w:sz w:val="24"/>
        </w:rPr>
        <w:t xml:space="preserve">‘ ist eine wertvolle Auszeichnung unserer bisherigen Arbeit, gleichzeitig aber auch Ansporn, unser Engagement immer weiter zu verbessern“, </w:t>
      </w:r>
      <w:r w:rsidRPr="0097006C">
        <w:rPr>
          <w:rFonts w:asciiTheme="minorHAnsi" w:hAnsiTheme="minorHAnsi"/>
          <w:sz w:val="24"/>
        </w:rPr>
        <w:t xml:space="preserve">freut sich Dr. Peter Truzla, Personalleiter von Henkel in Österreich, über den </w:t>
      </w:r>
      <w:r>
        <w:rPr>
          <w:rFonts w:asciiTheme="minorHAnsi" w:hAnsiTheme="minorHAnsi"/>
          <w:sz w:val="24"/>
        </w:rPr>
        <w:t>1</w:t>
      </w:r>
      <w:r w:rsidRPr="0097006C">
        <w:rPr>
          <w:rFonts w:asciiTheme="minorHAnsi" w:hAnsiTheme="minorHAnsi"/>
          <w:sz w:val="24"/>
        </w:rPr>
        <w:t>. Platz in der Kategorie „Nahrungsmittel-/ Konsumgüterherstellung“.</w:t>
      </w:r>
    </w:p>
    <w:p w14:paraId="50964A1C" w14:textId="77777777" w:rsidR="0097006C" w:rsidRDefault="0097006C" w:rsidP="0097006C">
      <w:pPr>
        <w:spacing w:line="240" w:lineRule="auto"/>
        <w:jc w:val="both"/>
        <w:rPr>
          <w:rFonts w:asciiTheme="minorHAnsi" w:hAnsiTheme="minorHAnsi"/>
          <w:sz w:val="24"/>
        </w:rPr>
      </w:pPr>
    </w:p>
    <w:p w14:paraId="0E75294E" w14:textId="30083145" w:rsidR="009B5380" w:rsidRDefault="007C08DA" w:rsidP="00060210">
      <w:pPr>
        <w:spacing w:line="240" w:lineRule="auto"/>
        <w:outlineLvl w:val="0"/>
        <w:rPr>
          <w:rStyle w:val="Hyperlink"/>
          <w:rFonts w:asciiTheme="minorHAnsi" w:hAnsiTheme="minorHAnsi" w:cstheme="minorHAnsi"/>
          <w:sz w:val="22"/>
          <w:szCs w:val="22"/>
          <w:lang w:val="de-AT"/>
        </w:rPr>
      </w:pPr>
      <w:r w:rsidRPr="00307BE2">
        <w:rPr>
          <w:rFonts w:asciiTheme="minorHAnsi" w:hAnsiTheme="minorHAnsi" w:cstheme="minorHAnsi"/>
          <w:bCs/>
          <w:sz w:val="22"/>
          <w:szCs w:val="22"/>
        </w:rPr>
        <w:t xml:space="preserve">Fotomaterial finden Sie im Internet unter </w:t>
      </w:r>
      <w:hyperlink r:id="rId7" w:history="1">
        <w:r w:rsidRPr="00307BE2">
          <w:rPr>
            <w:rStyle w:val="Hyperlink"/>
            <w:rFonts w:asciiTheme="minorHAnsi" w:hAnsiTheme="minorHAnsi" w:cstheme="minorHAnsi"/>
            <w:sz w:val="22"/>
            <w:szCs w:val="22"/>
            <w:lang w:val="de-AT"/>
          </w:rPr>
          <w:t>http://news.henkel.at</w:t>
        </w:r>
      </w:hyperlink>
      <w:r w:rsidRPr="00307BE2">
        <w:rPr>
          <w:rStyle w:val="Hyperlink"/>
          <w:rFonts w:asciiTheme="minorHAnsi" w:hAnsiTheme="minorHAnsi" w:cstheme="minorHAnsi"/>
          <w:sz w:val="22"/>
          <w:szCs w:val="22"/>
          <w:lang w:val="de-AT"/>
        </w:rPr>
        <w:t>.</w:t>
      </w:r>
    </w:p>
    <w:p w14:paraId="4556FA62" w14:textId="51F39A98" w:rsidR="00BC1A96" w:rsidRPr="00BC1A96" w:rsidRDefault="00BC1A96" w:rsidP="00060210">
      <w:pPr>
        <w:spacing w:line="240" w:lineRule="auto"/>
        <w:outlineLvl w:val="0"/>
        <w:rPr>
          <w:rFonts w:asciiTheme="minorHAnsi" w:hAnsiTheme="minorHAnsi"/>
          <w:sz w:val="24"/>
        </w:rPr>
      </w:pPr>
    </w:p>
    <w:p w14:paraId="3A3E964A" w14:textId="77777777" w:rsidR="00365D0B" w:rsidRPr="00365D0B" w:rsidRDefault="00365D0B" w:rsidP="00365D0B">
      <w:pPr>
        <w:jc w:val="both"/>
        <w:rPr>
          <w:rFonts w:asciiTheme="minorHAnsi" w:hAnsiTheme="minorHAnsi"/>
          <w:sz w:val="24"/>
        </w:rPr>
      </w:pPr>
      <w:bookmarkStart w:id="0" w:name="_GoBack"/>
      <w:bookmarkEnd w:id="0"/>
      <w:r w:rsidRPr="00365D0B">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365D0B">
        <w:rPr>
          <w:rFonts w:asciiTheme="minorHAnsi" w:hAnsiTheme="minorHAnsi"/>
          <w:sz w:val="24"/>
        </w:rPr>
        <w:t>Laundry</w:t>
      </w:r>
      <w:proofErr w:type="spellEnd"/>
      <w:r w:rsidRPr="00365D0B">
        <w:rPr>
          <w:rFonts w:asciiTheme="minorHAnsi" w:hAnsiTheme="minorHAnsi"/>
          <w:sz w:val="24"/>
        </w:rPr>
        <w:t xml:space="preserve"> &amp; Home Care, </w:t>
      </w:r>
      <w:proofErr w:type="spellStart"/>
      <w:r w:rsidRPr="00365D0B">
        <w:rPr>
          <w:rFonts w:asciiTheme="minorHAnsi" w:hAnsiTheme="minorHAnsi"/>
          <w:sz w:val="24"/>
        </w:rPr>
        <w:t>Adhesive</w:t>
      </w:r>
      <w:proofErr w:type="spellEnd"/>
      <w:r w:rsidRPr="00365D0B">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365D0B">
        <w:rPr>
          <w:rFonts w:asciiTheme="minorHAnsi" w:hAnsiTheme="minorHAnsi"/>
          <w:sz w:val="24"/>
        </w:rPr>
        <w:t>Cimsec</w:t>
      </w:r>
      <w:proofErr w:type="spellEnd"/>
      <w:r w:rsidRPr="00365D0B">
        <w:rPr>
          <w:rFonts w:asciiTheme="minorHAnsi" w:hAnsiTheme="minorHAnsi"/>
          <w:sz w:val="24"/>
        </w:rPr>
        <w:t xml:space="preserve">, Fa, Loctite, Pattex, Persil, Schwarzkopf, </w:t>
      </w:r>
      <w:proofErr w:type="spellStart"/>
      <w:r w:rsidRPr="00365D0B">
        <w:rPr>
          <w:rFonts w:asciiTheme="minorHAnsi" w:hAnsiTheme="minorHAnsi"/>
          <w:sz w:val="24"/>
        </w:rPr>
        <w:t>Somat</w:t>
      </w:r>
      <w:proofErr w:type="spellEnd"/>
      <w:r w:rsidRPr="00365D0B">
        <w:rPr>
          <w:rFonts w:asciiTheme="minorHAnsi" w:hAnsiTheme="minorHAnsi"/>
          <w:sz w:val="24"/>
        </w:rPr>
        <w:t xml:space="preserve"> und </w:t>
      </w:r>
      <w:proofErr w:type="spellStart"/>
      <w:r w:rsidRPr="00365D0B">
        <w:rPr>
          <w:rFonts w:asciiTheme="minorHAnsi" w:hAnsiTheme="minorHAnsi"/>
          <w:sz w:val="24"/>
        </w:rPr>
        <w:t>Syoss</w:t>
      </w:r>
      <w:proofErr w:type="spellEnd"/>
      <w:r w:rsidRPr="00365D0B">
        <w:rPr>
          <w:rFonts w:asciiTheme="minorHAnsi" w:hAnsiTheme="minorHAnsi"/>
          <w:sz w:val="24"/>
        </w:rPr>
        <w:t>.</w:t>
      </w:r>
    </w:p>
    <w:p w14:paraId="3ABDED5B" w14:textId="77777777" w:rsidR="006B79D7" w:rsidRPr="006B79D7" w:rsidRDefault="006B79D7" w:rsidP="006B79D7">
      <w:pPr>
        <w:autoSpaceDE w:val="0"/>
        <w:autoSpaceDN w:val="0"/>
        <w:adjustRightInd w:val="0"/>
        <w:spacing w:line="300" w:lineRule="atLeast"/>
        <w:jc w:val="both"/>
        <w:rPr>
          <w:rFonts w:asciiTheme="minorHAnsi" w:hAnsiTheme="minorHAnsi"/>
          <w:sz w:val="24"/>
        </w:rPr>
      </w:pPr>
    </w:p>
    <w:p w14:paraId="234780D8" w14:textId="77777777" w:rsidR="006B79D7" w:rsidRPr="006B79D7" w:rsidRDefault="006B79D7" w:rsidP="006B79D7">
      <w:pPr>
        <w:spacing w:line="280" w:lineRule="exact"/>
        <w:jc w:val="both"/>
        <w:outlineLvl w:val="0"/>
        <w:rPr>
          <w:rFonts w:asciiTheme="minorHAnsi" w:hAnsiTheme="minorHAnsi"/>
          <w:sz w:val="24"/>
        </w:rPr>
      </w:pPr>
      <w:r w:rsidRPr="006B79D7">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w:t>
      </w:r>
      <w:r w:rsidRPr="006B79D7">
        <w:rPr>
          <w:rFonts w:asciiTheme="minorHAnsi" w:hAnsiTheme="minorHAnsi"/>
          <w:sz w:val="24"/>
        </w:rPr>
        <w:lastRenderedPageBreak/>
        <w:t xml:space="preserve">Klebstoffbereich. Auch mit den Unternehmensbereichen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0926AE92" w14:textId="77777777" w:rsidR="00C43327" w:rsidRPr="00060210" w:rsidRDefault="00C43327" w:rsidP="00060210">
      <w:pPr>
        <w:spacing w:line="240" w:lineRule="auto"/>
        <w:rPr>
          <w:rFonts w:asciiTheme="minorHAnsi" w:hAnsiTheme="minorHAnsi" w:cs="Arial"/>
          <w:color w:val="000000"/>
          <w:sz w:val="24"/>
        </w:rPr>
      </w:pPr>
    </w:p>
    <w:p w14:paraId="2C03D12F" w14:textId="77777777" w:rsidR="00E01C97" w:rsidRPr="00463669" w:rsidRDefault="00E01C97" w:rsidP="00060210">
      <w:pPr>
        <w:spacing w:line="240" w:lineRule="auto"/>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05FA48CA"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2993BE67"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5652A04E" w14:textId="004F503C"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14:paraId="60818BF1" w14:textId="5A202C2B"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14:paraId="3ADCA3E2" w14:textId="11FAE074"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3D87DCE2" w14:textId="342A0CEB"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14:paraId="2031A464"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2B7C6573" w14:textId="77777777" w:rsidR="00F94D52" w:rsidRPr="00060210" w:rsidRDefault="00F94D52" w:rsidP="00060210">
      <w:pPr>
        <w:spacing w:line="240" w:lineRule="auto"/>
        <w:rPr>
          <w:rFonts w:asciiTheme="minorHAnsi" w:hAnsiTheme="minorHAnsi" w:cs="Arial"/>
          <w:sz w:val="24"/>
          <w:lang w:val="it-IT"/>
        </w:rPr>
      </w:pPr>
    </w:p>
    <w:p w14:paraId="5E4CAD70" w14:textId="77777777" w:rsidR="00F94D52" w:rsidRPr="00060210" w:rsidRDefault="00F94D52" w:rsidP="00060210">
      <w:pPr>
        <w:spacing w:line="240" w:lineRule="auto"/>
        <w:rPr>
          <w:rFonts w:asciiTheme="minorHAnsi" w:hAnsiTheme="minorHAnsi" w:cs="Arial"/>
          <w:sz w:val="24"/>
          <w:lang w:val="it-IT"/>
        </w:rPr>
      </w:pPr>
    </w:p>
    <w:p w14:paraId="3EA69886"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 xml:space="preserve">Henkel Central </w:t>
      </w:r>
      <w:proofErr w:type="spellStart"/>
      <w:r w:rsidRPr="00060210">
        <w:rPr>
          <w:rFonts w:asciiTheme="minorHAnsi" w:hAnsiTheme="minorHAnsi" w:cs="Arial"/>
          <w:sz w:val="24"/>
          <w:lang w:val="it-IT"/>
        </w:rPr>
        <w:t>Eastern</w:t>
      </w:r>
      <w:proofErr w:type="spellEnd"/>
      <w:r w:rsidRPr="00060210">
        <w:rPr>
          <w:rFonts w:asciiTheme="minorHAnsi" w:hAnsiTheme="minorHAnsi" w:cs="Arial"/>
          <w:sz w:val="24"/>
          <w:lang w:val="it-IT"/>
        </w:rPr>
        <w:t xml:space="preserve">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4944" w14:textId="77777777" w:rsidR="00FC7A39" w:rsidRDefault="00FC7A39">
      <w:r>
        <w:separator/>
      </w:r>
    </w:p>
  </w:endnote>
  <w:endnote w:type="continuationSeparator" w:id="0">
    <w:p w14:paraId="56126027" w14:textId="77777777" w:rsidR="00FC7A39" w:rsidRDefault="00FC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283E" w14:textId="3F83B974" w:rsidR="00272E86" w:rsidRPr="000A1F84" w:rsidRDefault="00272E86"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C34182">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2777" w14:textId="77777777" w:rsidR="00272E86" w:rsidRPr="00344C80" w:rsidRDefault="00272E86"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35"/>
    <w:bookmarkStart w:id="2" w:name="_MON_1177163777"/>
    <w:bookmarkEnd w:id="1"/>
    <w:bookmarkEnd w:id="2"/>
    <w:bookmarkStart w:id="3" w:name="_MON_1192866522"/>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04303926"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69F7C264" w14:textId="14454352" w:rsidR="00272E86" w:rsidRPr="000A1F84" w:rsidRDefault="00272E86"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C34182">
      <w:rPr>
        <w:noProof/>
        <w:lang w:val="en-U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33007" w14:textId="77777777" w:rsidR="00FC7A39" w:rsidRDefault="00FC7A39">
      <w:r>
        <w:separator/>
      </w:r>
    </w:p>
  </w:footnote>
  <w:footnote w:type="continuationSeparator" w:id="0">
    <w:p w14:paraId="37EA0AEA" w14:textId="77777777" w:rsidR="00FC7A39" w:rsidRDefault="00FC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02E6" w14:textId="77777777" w:rsidR="00272E86" w:rsidRPr="00901B28" w:rsidRDefault="00272E86"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4E03" w14:textId="77777777" w:rsidR="00272E86" w:rsidRPr="00901B28" w:rsidRDefault="00272E86"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9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515C"/>
    <w:rsid w:val="00025164"/>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A4424"/>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7DBE"/>
    <w:rsid w:val="004F237B"/>
    <w:rsid w:val="004F3A2A"/>
    <w:rsid w:val="004F6250"/>
    <w:rsid w:val="004F7508"/>
    <w:rsid w:val="005124C5"/>
    <w:rsid w:val="0051364A"/>
    <w:rsid w:val="00516220"/>
    <w:rsid w:val="005207DF"/>
    <w:rsid w:val="005244EC"/>
    <w:rsid w:val="00530EA2"/>
    <w:rsid w:val="00570215"/>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F0547"/>
    <w:rsid w:val="00BF26D8"/>
    <w:rsid w:val="00BF27FC"/>
    <w:rsid w:val="00BF282B"/>
    <w:rsid w:val="00BF53A3"/>
    <w:rsid w:val="00C34182"/>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e1000f"/>
    </o:shapedefaults>
    <o:shapelayout v:ext="edit">
      <o:idmap v:ext="edit" data="1"/>
    </o:shapelayout>
  </w:shapeDefaults>
  <w:decimalSymbol w:val=","/>
  <w:listSeparator w:val=";"/>
  <w14:docId w14:val="0189379A"/>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2</Pages>
  <Words>409</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Ulrike Gloyer</cp:lastModifiedBy>
  <cp:revision>10</cp:revision>
  <cp:lastPrinted>2018-05-24T09:32:00Z</cp:lastPrinted>
  <dcterms:created xsi:type="dcterms:W3CDTF">2018-11-21T08:59:00Z</dcterms:created>
  <dcterms:modified xsi:type="dcterms:W3CDTF">2018-11-21T10:12:00Z</dcterms:modified>
</cp:coreProperties>
</file>