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71041" w14:textId="77777777" w:rsidR="002206DF" w:rsidRDefault="000E03F1" w:rsidP="002206DF">
      <w:pPr>
        <w:pStyle w:val="Standard12pt"/>
        <w:jc w:val="right"/>
      </w:pPr>
      <w:r>
        <w:t>21 février 2019</w:t>
      </w:r>
    </w:p>
    <w:p w14:paraId="61173732" w14:textId="77777777" w:rsidR="00D84090" w:rsidRPr="004C2995" w:rsidRDefault="00D84090" w:rsidP="002206DF">
      <w:pPr>
        <w:pStyle w:val="Standard12pt"/>
        <w:jc w:val="right"/>
      </w:pPr>
    </w:p>
    <w:p w14:paraId="52AD721A" w14:textId="77777777" w:rsidR="000E03F1" w:rsidRDefault="000E03F1" w:rsidP="000E03F1">
      <w:pPr>
        <w:spacing w:before="4" w:line="320" w:lineRule="exact"/>
        <w:rPr>
          <w:sz w:val="32"/>
          <w:szCs w:val="32"/>
        </w:rPr>
      </w:pPr>
    </w:p>
    <w:p w14:paraId="62FF205E" w14:textId="22291E45" w:rsidR="0060037E" w:rsidRPr="00210177" w:rsidRDefault="0060037E" w:rsidP="0060037E">
      <w:pPr>
        <w:autoSpaceDE w:val="0"/>
        <w:autoSpaceDN w:val="0"/>
        <w:adjustRightInd w:val="0"/>
        <w:spacing w:line="240" w:lineRule="auto"/>
        <w:jc w:val="both"/>
        <w:rPr>
          <w:i/>
          <w:sz w:val="24"/>
        </w:rPr>
      </w:pPr>
      <w:r>
        <w:rPr>
          <w:sz w:val="24"/>
        </w:rPr>
        <w:t xml:space="preserve">Henkel enregistre une croissance </w:t>
      </w:r>
      <w:r w:rsidR="001F7023">
        <w:rPr>
          <w:sz w:val="24"/>
        </w:rPr>
        <w:t>profitable</w:t>
      </w:r>
      <w:r>
        <w:rPr>
          <w:sz w:val="24"/>
        </w:rPr>
        <w:t xml:space="preserve"> pour l’exercice 2018</w:t>
      </w:r>
    </w:p>
    <w:p w14:paraId="70899694" w14:textId="77777777" w:rsidR="0060037E" w:rsidRPr="008E699B" w:rsidRDefault="0060037E" w:rsidP="0060037E">
      <w:pPr>
        <w:autoSpaceDE w:val="0"/>
        <w:autoSpaceDN w:val="0"/>
        <w:adjustRightInd w:val="0"/>
        <w:spacing w:line="240" w:lineRule="auto"/>
        <w:jc w:val="both"/>
        <w:rPr>
          <w:sz w:val="24"/>
        </w:rPr>
      </w:pPr>
    </w:p>
    <w:p w14:paraId="6962A333" w14:textId="043867F8" w:rsidR="0060037E" w:rsidRPr="00CD0241" w:rsidRDefault="0060037E" w:rsidP="00CD0241">
      <w:pPr>
        <w:keepNext/>
        <w:spacing w:line="420" w:lineRule="atLeast"/>
        <w:ind w:right="-142"/>
        <w:outlineLvl w:val="0"/>
        <w:rPr>
          <w:rFonts w:cs="Arial"/>
          <w:b/>
          <w:bCs/>
          <w:kern w:val="32"/>
          <w:sz w:val="32"/>
          <w:szCs w:val="32"/>
        </w:rPr>
      </w:pPr>
      <w:r w:rsidRPr="00CD0241">
        <w:rPr>
          <w:b/>
          <w:bCs/>
          <w:sz w:val="32"/>
          <w:szCs w:val="32"/>
        </w:rPr>
        <w:t xml:space="preserve">Henkel </w:t>
      </w:r>
      <w:r w:rsidR="00F72380" w:rsidRPr="00CD0241">
        <w:rPr>
          <w:b/>
          <w:bCs/>
          <w:sz w:val="32"/>
          <w:szCs w:val="32"/>
        </w:rPr>
        <w:t>réalise</w:t>
      </w:r>
      <w:r w:rsidRPr="00CD0241">
        <w:rPr>
          <w:b/>
          <w:bCs/>
          <w:sz w:val="32"/>
          <w:szCs w:val="32"/>
        </w:rPr>
        <w:t xml:space="preserve"> une bonne croissance organique des ventes,</w:t>
      </w:r>
      <w:r w:rsidRPr="00CD0241">
        <w:rPr>
          <w:rFonts w:cs="Arial"/>
          <w:b/>
          <w:bCs/>
          <w:kern w:val="32"/>
          <w:sz w:val="32"/>
          <w:szCs w:val="32"/>
        </w:rPr>
        <w:t xml:space="preserve"> </w:t>
      </w:r>
      <w:r w:rsidRPr="00CD0241">
        <w:rPr>
          <w:b/>
          <w:bCs/>
          <w:sz w:val="32"/>
          <w:szCs w:val="32"/>
        </w:rPr>
        <w:t xml:space="preserve">avec </w:t>
      </w:r>
      <w:r w:rsidR="00CD0241" w:rsidRPr="00CD0241">
        <w:rPr>
          <w:b/>
          <w:bCs/>
          <w:sz w:val="32"/>
          <w:szCs w:val="32"/>
        </w:rPr>
        <w:t>de</w:t>
      </w:r>
      <w:r w:rsidRPr="00CD0241">
        <w:rPr>
          <w:b/>
          <w:bCs/>
          <w:sz w:val="32"/>
          <w:szCs w:val="32"/>
        </w:rPr>
        <w:t xml:space="preserve"> </w:t>
      </w:r>
      <w:r w:rsidR="00CD0241" w:rsidRPr="00CD0241">
        <w:rPr>
          <w:b/>
          <w:bCs/>
          <w:sz w:val="32"/>
          <w:szCs w:val="32"/>
        </w:rPr>
        <w:t>solides</w:t>
      </w:r>
      <w:r w:rsidRPr="00CD0241">
        <w:rPr>
          <w:b/>
          <w:bCs/>
          <w:sz w:val="32"/>
          <w:szCs w:val="32"/>
        </w:rPr>
        <w:t xml:space="preserve"> </w:t>
      </w:r>
      <w:r w:rsidR="00CD0241" w:rsidRPr="00CD0241">
        <w:rPr>
          <w:b/>
          <w:bCs/>
          <w:sz w:val="32"/>
          <w:szCs w:val="32"/>
        </w:rPr>
        <w:t>résultats (</w:t>
      </w:r>
      <w:r w:rsidRPr="00CD0241">
        <w:rPr>
          <w:b/>
          <w:bCs/>
          <w:sz w:val="32"/>
          <w:szCs w:val="32"/>
        </w:rPr>
        <w:t>bénéfices,</w:t>
      </w:r>
      <w:r w:rsidR="00CD0241" w:rsidRPr="00CD0241">
        <w:rPr>
          <w:b/>
          <w:bCs/>
          <w:sz w:val="32"/>
          <w:szCs w:val="32"/>
        </w:rPr>
        <w:t xml:space="preserve"> profitabilité, </w:t>
      </w:r>
      <w:proofErr w:type="spellStart"/>
      <w:r w:rsidR="00CD0241" w:rsidRPr="00CD0241">
        <w:rPr>
          <w:b/>
          <w:bCs/>
          <w:sz w:val="32"/>
          <w:szCs w:val="32"/>
        </w:rPr>
        <w:t>cash flow</w:t>
      </w:r>
      <w:proofErr w:type="spellEnd"/>
      <w:r w:rsidR="00CD0241" w:rsidRPr="00CD0241">
        <w:rPr>
          <w:b/>
          <w:bCs/>
          <w:sz w:val="32"/>
          <w:szCs w:val="32"/>
        </w:rPr>
        <w:t>)</w:t>
      </w:r>
    </w:p>
    <w:p w14:paraId="081BCA0D" w14:textId="77777777" w:rsidR="0060037E" w:rsidRPr="008E699B" w:rsidRDefault="0060037E" w:rsidP="0060037E"/>
    <w:p w14:paraId="2D230521" w14:textId="024497F2" w:rsidR="0060037E" w:rsidRPr="00210177" w:rsidRDefault="0060037E" w:rsidP="0060037E">
      <w:pPr>
        <w:numPr>
          <w:ilvl w:val="0"/>
          <w:numId w:val="2"/>
        </w:numPr>
        <w:tabs>
          <w:tab w:val="clear" w:pos="1572"/>
          <w:tab w:val="num" w:pos="284"/>
          <w:tab w:val="num" w:pos="720"/>
        </w:tabs>
        <w:spacing w:line="360" w:lineRule="auto"/>
        <w:ind w:left="284" w:right="-109" w:hanging="284"/>
        <w:rPr>
          <w:b/>
          <w:sz w:val="24"/>
        </w:rPr>
      </w:pPr>
      <w:bookmarkStart w:id="0" w:name="_Hlk513195024"/>
      <w:r>
        <w:rPr>
          <w:b/>
          <w:sz w:val="24"/>
        </w:rPr>
        <w:t xml:space="preserve">19,9 milliards d’EUR de chiffre d'affaires : </w:t>
      </w:r>
      <w:r w:rsidR="003706C5">
        <w:rPr>
          <w:b/>
          <w:sz w:val="24"/>
        </w:rPr>
        <w:t xml:space="preserve">impacté par des </w:t>
      </w:r>
      <w:r>
        <w:rPr>
          <w:b/>
          <w:sz w:val="24"/>
        </w:rPr>
        <w:t>effets négatifs des taux de change à hauteur de 1,1 milliard d’EUR ; croissance organique de +2,4 %</w:t>
      </w:r>
    </w:p>
    <w:p w14:paraId="33888381" w14:textId="77777777" w:rsidR="0060037E" w:rsidRPr="00210177" w:rsidRDefault="0060037E" w:rsidP="0060037E">
      <w:pPr>
        <w:numPr>
          <w:ilvl w:val="0"/>
          <w:numId w:val="2"/>
        </w:numPr>
        <w:tabs>
          <w:tab w:val="clear" w:pos="1572"/>
          <w:tab w:val="num" w:pos="284"/>
          <w:tab w:val="num" w:pos="720"/>
        </w:tabs>
        <w:spacing w:line="360" w:lineRule="auto"/>
        <w:ind w:left="284" w:right="-109" w:hanging="284"/>
        <w:rPr>
          <w:b/>
          <w:sz w:val="24"/>
        </w:rPr>
      </w:pPr>
      <w:r>
        <w:rPr>
          <w:b/>
          <w:sz w:val="24"/>
        </w:rPr>
        <w:t>Augmentation du résultat opérationnel (EBIT)</w:t>
      </w:r>
      <w:r>
        <w:rPr>
          <w:b/>
          <w:sz w:val="24"/>
          <w:vertAlign w:val="superscript"/>
        </w:rPr>
        <w:t>1</w:t>
      </w:r>
      <w:r>
        <w:rPr>
          <w:b/>
          <w:sz w:val="24"/>
        </w:rPr>
        <w:t> : +1,0 % à 3 496 millions d’EUR</w:t>
      </w:r>
    </w:p>
    <w:p w14:paraId="1729AE67" w14:textId="77777777" w:rsidR="0060037E" w:rsidRPr="00210177" w:rsidRDefault="0060037E" w:rsidP="0060037E">
      <w:pPr>
        <w:numPr>
          <w:ilvl w:val="0"/>
          <w:numId w:val="2"/>
        </w:numPr>
        <w:tabs>
          <w:tab w:val="clear" w:pos="1572"/>
          <w:tab w:val="num" w:pos="284"/>
          <w:tab w:val="num" w:pos="720"/>
        </w:tabs>
        <w:spacing w:line="360" w:lineRule="auto"/>
        <w:ind w:left="284" w:right="-109" w:hanging="284"/>
        <w:rPr>
          <w:b/>
          <w:sz w:val="24"/>
        </w:rPr>
      </w:pPr>
      <w:r>
        <w:rPr>
          <w:b/>
          <w:sz w:val="24"/>
        </w:rPr>
        <w:t>Poursuite de l'amélioration de la marge EBIT</w:t>
      </w:r>
      <w:r>
        <w:rPr>
          <w:b/>
          <w:sz w:val="24"/>
          <w:vertAlign w:val="superscript"/>
        </w:rPr>
        <w:t>1</w:t>
      </w:r>
      <w:r>
        <w:rPr>
          <w:b/>
          <w:sz w:val="24"/>
        </w:rPr>
        <w:t>* : +30 points de base à 17,6 %</w:t>
      </w:r>
    </w:p>
    <w:p w14:paraId="35146449" w14:textId="1B7D3332" w:rsidR="0060037E" w:rsidRPr="001B1DD6" w:rsidRDefault="0060037E" w:rsidP="0060037E">
      <w:pPr>
        <w:numPr>
          <w:ilvl w:val="0"/>
          <w:numId w:val="2"/>
        </w:numPr>
        <w:tabs>
          <w:tab w:val="clear" w:pos="1572"/>
          <w:tab w:val="num" w:pos="284"/>
          <w:tab w:val="num" w:pos="720"/>
        </w:tabs>
        <w:spacing w:line="360" w:lineRule="auto"/>
        <w:ind w:left="284" w:right="-109" w:hanging="284"/>
        <w:rPr>
          <w:b/>
          <w:sz w:val="24"/>
        </w:rPr>
      </w:pPr>
      <w:r>
        <w:rPr>
          <w:b/>
          <w:sz w:val="24"/>
        </w:rPr>
        <w:t>Résultat par action préférentielle (EPS)</w:t>
      </w:r>
      <w:r>
        <w:rPr>
          <w:b/>
          <w:sz w:val="24"/>
          <w:vertAlign w:val="superscript"/>
        </w:rPr>
        <w:t>1</w:t>
      </w:r>
      <w:r>
        <w:rPr>
          <w:b/>
          <w:sz w:val="24"/>
        </w:rPr>
        <w:t> : +2,7 % à 6,01 EUR,</w:t>
      </w:r>
      <w:r w:rsidR="00011FAE">
        <w:rPr>
          <w:b/>
          <w:sz w:val="24"/>
        </w:rPr>
        <w:t xml:space="preserve"> </w:t>
      </w:r>
      <w:r>
        <w:rPr>
          <w:b/>
          <w:sz w:val="24"/>
        </w:rPr>
        <w:t xml:space="preserve">+7 % à taux </w:t>
      </w:r>
      <w:proofErr w:type="gramStart"/>
      <w:r>
        <w:rPr>
          <w:b/>
          <w:sz w:val="24"/>
        </w:rPr>
        <w:t xml:space="preserve">de </w:t>
      </w:r>
      <w:r w:rsidR="00011FAE">
        <w:rPr>
          <w:b/>
          <w:sz w:val="24"/>
        </w:rPr>
        <w:t xml:space="preserve"> </w:t>
      </w:r>
      <w:r>
        <w:rPr>
          <w:b/>
          <w:sz w:val="24"/>
        </w:rPr>
        <w:t>change</w:t>
      </w:r>
      <w:proofErr w:type="gramEnd"/>
      <w:r>
        <w:rPr>
          <w:b/>
          <w:sz w:val="24"/>
        </w:rPr>
        <w:t xml:space="preserve"> constant</w:t>
      </w:r>
    </w:p>
    <w:p w14:paraId="6A580734" w14:textId="77777777" w:rsidR="0060037E" w:rsidRPr="001B1DD6" w:rsidRDefault="0060037E" w:rsidP="0060037E">
      <w:pPr>
        <w:numPr>
          <w:ilvl w:val="0"/>
          <w:numId w:val="2"/>
        </w:numPr>
        <w:tabs>
          <w:tab w:val="clear" w:pos="1572"/>
          <w:tab w:val="num" w:pos="284"/>
          <w:tab w:val="num" w:pos="720"/>
        </w:tabs>
        <w:spacing w:line="360" w:lineRule="auto"/>
        <w:ind w:left="284" w:right="-109" w:hanging="284"/>
        <w:rPr>
          <w:b/>
          <w:sz w:val="24"/>
        </w:rPr>
      </w:pPr>
      <w:r>
        <w:rPr>
          <w:b/>
          <w:sz w:val="24"/>
        </w:rPr>
        <w:t>Forte augmentation du flux de trésorerie disponible : +12,7 % à 1 917 millions d’EUR</w:t>
      </w:r>
    </w:p>
    <w:p w14:paraId="4E19490E" w14:textId="77777777" w:rsidR="0060037E" w:rsidRPr="00561C13" w:rsidRDefault="0060037E" w:rsidP="0060037E">
      <w:pPr>
        <w:numPr>
          <w:ilvl w:val="0"/>
          <w:numId w:val="2"/>
        </w:numPr>
        <w:tabs>
          <w:tab w:val="clear" w:pos="1572"/>
          <w:tab w:val="num" w:pos="284"/>
          <w:tab w:val="num" w:pos="720"/>
        </w:tabs>
        <w:spacing w:line="360" w:lineRule="auto"/>
        <w:ind w:left="284" w:right="-109" w:hanging="284"/>
        <w:rPr>
          <w:b/>
          <w:sz w:val="24"/>
        </w:rPr>
      </w:pPr>
      <w:r>
        <w:rPr>
          <w:b/>
          <w:sz w:val="24"/>
        </w:rPr>
        <w:t>Dividendes</w:t>
      </w:r>
      <w:r>
        <w:rPr>
          <w:b/>
          <w:sz w:val="24"/>
          <w:vertAlign w:val="superscript"/>
        </w:rPr>
        <w:t>2</w:t>
      </w:r>
      <w:r>
        <w:rPr>
          <w:b/>
          <w:sz w:val="24"/>
        </w:rPr>
        <w:t xml:space="preserve"> records : +3,4 % à 1,85 EUR par action préférentielle</w:t>
      </w:r>
    </w:p>
    <w:p w14:paraId="3B147EE5" w14:textId="2ECBA173" w:rsidR="0060037E" w:rsidRDefault="0060037E" w:rsidP="0060037E">
      <w:pPr>
        <w:numPr>
          <w:ilvl w:val="0"/>
          <w:numId w:val="2"/>
        </w:numPr>
        <w:tabs>
          <w:tab w:val="clear" w:pos="1572"/>
          <w:tab w:val="num" w:pos="284"/>
          <w:tab w:val="num" w:pos="720"/>
        </w:tabs>
        <w:spacing w:line="360" w:lineRule="auto"/>
        <w:ind w:left="284" w:right="-109" w:hanging="284"/>
        <w:rPr>
          <w:b/>
          <w:sz w:val="24"/>
        </w:rPr>
      </w:pPr>
      <w:r>
        <w:rPr>
          <w:b/>
          <w:sz w:val="24"/>
        </w:rPr>
        <w:t xml:space="preserve">Progrès significatifs dans la mise en œuvre des </w:t>
      </w:r>
      <w:r w:rsidR="007604C6">
        <w:rPr>
          <w:b/>
          <w:sz w:val="24"/>
        </w:rPr>
        <w:t>priorités</w:t>
      </w:r>
      <w:r>
        <w:rPr>
          <w:b/>
          <w:sz w:val="24"/>
        </w:rPr>
        <w:t xml:space="preserve"> stratégiques</w:t>
      </w:r>
    </w:p>
    <w:p w14:paraId="1C54E4BF" w14:textId="237850D6" w:rsidR="0060037E" w:rsidRPr="00561C13" w:rsidRDefault="007604C6" w:rsidP="0060037E">
      <w:pPr>
        <w:numPr>
          <w:ilvl w:val="0"/>
          <w:numId w:val="2"/>
        </w:numPr>
        <w:tabs>
          <w:tab w:val="clear" w:pos="1572"/>
          <w:tab w:val="num" w:pos="284"/>
          <w:tab w:val="num" w:pos="720"/>
        </w:tabs>
        <w:spacing w:line="360" w:lineRule="auto"/>
        <w:ind w:left="284" w:right="-109" w:hanging="284"/>
        <w:rPr>
          <w:b/>
          <w:sz w:val="24"/>
        </w:rPr>
      </w:pPr>
      <w:r>
        <w:rPr>
          <w:b/>
          <w:sz w:val="24"/>
        </w:rPr>
        <w:t>L</w:t>
      </w:r>
      <w:r w:rsidR="0060037E">
        <w:rPr>
          <w:b/>
          <w:sz w:val="24"/>
        </w:rPr>
        <w:t xml:space="preserve">es initiatives de croissance </w:t>
      </w:r>
      <w:r>
        <w:rPr>
          <w:b/>
          <w:sz w:val="24"/>
        </w:rPr>
        <w:t>soulignent notre engagement</w:t>
      </w:r>
      <w:r w:rsidR="0060037E">
        <w:rPr>
          <w:b/>
          <w:sz w:val="24"/>
        </w:rPr>
        <w:t xml:space="preserve"> </w:t>
      </w:r>
      <w:r w:rsidR="00CC2982">
        <w:rPr>
          <w:b/>
          <w:sz w:val="24"/>
        </w:rPr>
        <w:t xml:space="preserve">à </w:t>
      </w:r>
      <w:r w:rsidR="0060037E">
        <w:rPr>
          <w:b/>
          <w:sz w:val="24"/>
        </w:rPr>
        <w:t>une croissance rentable</w:t>
      </w:r>
    </w:p>
    <w:bookmarkEnd w:id="0"/>
    <w:p w14:paraId="7FD826C9" w14:textId="77777777" w:rsidR="0060037E" w:rsidRPr="00561C13" w:rsidRDefault="0060037E" w:rsidP="0060037E">
      <w:pPr>
        <w:autoSpaceDE w:val="0"/>
        <w:autoSpaceDN w:val="0"/>
        <w:adjustRightInd w:val="0"/>
        <w:spacing w:line="360" w:lineRule="auto"/>
        <w:jc w:val="both"/>
        <w:rPr>
          <w:b/>
          <w:sz w:val="24"/>
        </w:rPr>
      </w:pPr>
    </w:p>
    <w:p w14:paraId="2254DE17" w14:textId="44330B35" w:rsidR="0060037E" w:rsidRPr="0084687D" w:rsidRDefault="0060037E" w:rsidP="0060037E">
      <w:pPr>
        <w:autoSpaceDE w:val="0"/>
        <w:autoSpaceDN w:val="0"/>
        <w:adjustRightInd w:val="0"/>
        <w:spacing w:line="360" w:lineRule="auto"/>
        <w:jc w:val="both"/>
        <w:rPr>
          <w:b/>
          <w:sz w:val="24"/>
        </w:rPr>
      </w:pPr>
      <w:r>
        <w:rPr>
          <w:b/>
          <w:noProof/>
          <w:sz w:val="24"/>
        </w:rPr>
        <mc:AlternateContent>
          <mc:Choice Requires="wps">
            <w:drawing>
              <wp:anchor distT="45720" distB="45720" distL="114300" distR="114300" simplePos="0" relativeHeight="251659264" behindDoc="0" locked="0" layoutInCell="1" allowOverlap="1" wp14:anchorId="3C0B91E6" wp14:editId="22E8FD0C">
                <wp:simplePos x="0" y="0"/>
                <wp:positionH relativeFrom="column">
                  <wp:posOffset>635</wp:posOffset>
                </wp:positionH>
                <wp:positionV relativeFrom="paragraph">
                  <wp:posOffset>2690495</wp:posOffset>
                </wp:positionV>
                <wp:extent cx="5712460" cy="283845"/>
                <wp:effectExtent l="0" t="635" r="0" b="127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E858" w14:textId="77777777" w:rsidR="0060037E" w:rsidRDefault="0060037E" w:rsidP="0060037E">
                            <w:pPr>
                              <w:spacing w:line="276" w:lineRule="auto"/>
                              <w:jc w:val="both"/>
                              <w:rPr>
                                <w:sz w:val="16"/>
                                <w:szCs w:val="16"/>
                              </w:rPr>
                            </w:pPr>
                            <w:r>
                              <w:rPr>
                                <w:b/>
                                <w:sz w:val="16"/>
                                <w:szCs w:val="16"/>
                                <w:vertAlign w:val="superscript"/>
                              </w:rPr>
                              <w:t>1</w:t>
                            </w:r>
                            <w:r>
                              <w:rPr>
                                <w:sz w:val="16"/>
                                <w:szCs w:val="16"/>
                              </w:rPr>
                              <w:t xml:space="preserve"> Après ajustement des produits et des dépenses exceptionnels ainsi que des dépenses pour restructuration.</w:t>
                            </w:r>
                          </w:p>
                          <w:p w14:paraId="614A4FA2" w14:textId="77777777" w:rsidR="0060037E" w:rsidRPr="00D746F6" w:rsidRDefault="0060037E" w:rsidP="0060037E">
                            <w:pPr>
                              <w:spacing w:line="276" w:lineRule="auto"/>
                              <w:jc w:val="both"/>
                              <w:rPr>
                                <w:sz w:val="16"/>
                                <w:szCs w:val="16"/>
                              </w:rPr>
                            </w:pPr>
                            <w:r>
                              <w:rPr>
                                <w:sz w:val="16"/>
                                <w:szCs w:val="16"/>
                                <w:vertAlign w:val="superscript"/>
                              </w:rPr>
                              <w:t>2</w:t>
                            </w:r>
                            <w:r>
                              <w:rPr>
                                <w:sz w:val="16"/>
                                <w:szCs w:val="16"/>
                              </w:rPr>
                              <w:t xml:space="preserve"> Proposition aux actionnaires pour l’Assemblée générale annuelle du 8 avril 2019.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0B91E6" id="_x0000_t202" coordsize="21600,21600" o:spt="202" path="m,l,21600r21600,l21600,xe">
                <v:stroke joinstyle="miter"/>
                <v:path gradientshapeok="t" o:connecttype="rect"/>
              </v:shapetype>
              <v:shape id="Zone de texte 13" o:spid="_x0000_s1026" type="#_x0000_t202" style="position:absolute;left:0;text-align:left;margin-left:.05pt;margin-top:211.85pt;width:449.8pt;height:2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cgQIAAAYFAAAOAAAAZHJzL2Uyb0RvYy54bWysVN9v2yAQfp+0/wHxntpJnTS24lRNu0yT&#10;uh9St5e9EcAxms0xILHbaf/7Dpyk7X5I0zQ/4AOOj+/uvmNx2bcN2UvrFOiSjs9SSqTmIJTelvTT&#10;x/VoTonzTAvWgJYlvZeOXi5fvlh0ppATqKER0hIE0a7oTElr702RJI7XsmXuDIzUuFmBbZnHqd0m&#10;wrIO0dsmmaTpLOnACmOBS+dw9WbYpMuIX1WS+/dV5aQnTUmRm4+jjeMmjMlywYqtZaZW/ECD/QOL&#10;limNl56gbphnZGfVL1Ct4hYcVP6MQ5tAVSkuYwwYzTj9KZq7mhkZY8HkOHNKk/t/sPzd/oMlSmDt&#10;zinRrMUafcZKESGJl72XBNcxSZ1xBfreGfT2/Qp6PBADduYW+BdHNFzXTG/llbXQ1ZIJJDkOJ5Mn&#10;RwccF0A23VsQeBnbeYhAfWXbkEHMCUF0LNb9qUBIhHBcnF6MJ9kMtzjuTebn82war2DF8bSxzr+W&#10;0JJglNSiACI62986H9iw4ugSLnPQKLFWTRMndru5bizZMxTLOn4H9GdujQ7OGsKxAXFYQZJ4R9gL&#10;dGPxv+XIN11N8tF6Nr8YZetsOsov0vkoHeerfJZmeXaz/h4IjrOiVkJIfasw+UM/4OLfFfrQEoOE&#10;ohRJV9J8OpkOJfpjkGn8fhdkqzz2ZaPaks5PTqwIhX2lBYbNCs9UM9jJc/oxy5iD4z9mJcogVH7Q&#10;gO83PaIEbWxA3KMgLGC9sLT4mKBRg32gpMPGLKn7umNWUtK80Siq0MVHwx6NzdFgmuPRknpKBvPa&#10;D92+M1Zta0QeZKvhCoVXqaiJRxYHuWKzRfKHhyF089N59Hp8vpY/AAAA//8DAFBLAwQUAAYACAAA&#10;ACEAZUTnIt4AAAAIAQAADwAAAGRycy9kb3ducmV2LnhtbEyPQU/DMAyF70j8h8hIXBBLKVPpStMJ&#10;NnaDw8a0s9eYtqJxqiZdu39Pdho3Pz/r+Xv5cjKtOFHvGssKnmYRCOLS6oYrBfvvzWMKwnlkja1l&#10;UnAmB8vi9ibHTNuRt3Ta+UqEEHYZKqi97zIpXVmTQTezHXHwfmxv0AfZV1L3OIZw08o4ihJpsOHw&#10;ocaOVjWVv7vBKEjW/TBuefWw3n984ldXxYf380Gp+7vp7RWEp8lfj+GCH9ChCExHO7B2or1o4RXM&#10;4+cXEMFOF4swHMMmSecgi1z+L1D8AQAA//8DAFBLAQItABQABgAIAAAAIQC2gziS/gAAAOEBAAAT&#10;AAAAAAAAAAAAAAAAAAAAAABbQ29udGVudF9UeXBlc10ueG1sUEsBAi0AFAAGAAgAAAAhADj9If/W&#10;AAAAlAEAAAsAAAAAAAAAAAAAAAAALwEAAF9yZWxzLy5yZWxzUEsBAi0AFAAGAAgAAAAhAEqUP5yB&#10;AgAABgUAAA4AAAAAAAAAAAAAAAAALgIAAGRycy9lMm9Eb2MueG1sUEsBAi0AFAAGAAgAAAAhAGVE&#10;5yLeAAAACAEAAA8AAAAAAAAAAAAAAAAA2wQAAGRycy9kb3ducmV2LnhtbFBLBQYAAAAABAAEAPMA&#10;AADmBQAAAAA=&#10;" stroked="f">
                <v:textbox inset="0,0,0,0">
                  <w:txbxContent>
                    <w:p w14:paraId="225CE858" w14:textId="77777777" w:rsidR="0060037E" w:rsidRDefault="0060037E" w:rsidP="0060037E">
                      <w:pPr>
                        <w:spacing w:line="276" w:lineRule="auto"/>
                        <w:jc w:val="both"/>
                        <w:rPr>
                          <w:sz w:val="16"/>
                          <w:szCs w:val="16"/>
                        </w:rPr>
                      </w:pPr>
                      <w:r>
                        <w:rPr>
                          <w:b/>
                          <w:sz w:val="16"/>
                          <w:szCs w:val="16"/>
                          <w:vertAlign w:val="superscript"/>
                        </w:rPr>
                        <w:t>1</w:t>
                      </w:r>
                      <w:r>
                        <w:rPr>
                          <w:sz w:val="16"/>
                          <w:szCs w:val="16"/>
                        </w:rPr>
                        <w:t xml:space="preserve"> Après ajustement des produits et des dépenses exceptionnels ainsi que des dépenses pour restructuration.</w:t>
                      </w:r>
                    </w:p>
                    <w:p w14:paraId="614A4FA2" w14:textId="77777777" w:rsidR="0060037E" w:rsidRPr="00D746F6" w:rsidRDefault="0060037E" w:rsidP="0060037E">
                      <w:pPr>
                        <w:spacing w:line="276" w:lineRule="auto"/>
                        <w:jc w:val="both"/>
                        <w:rPr>
                          <w:sz w:val="16"/>
                          <w:szCs w:val="16"/>
                        </w:rPr>
                      </w:pPr>
                      <w:r>
                        <w:rPr>
                          <w:sz w:val="16"/>
                          <w:szCs w:val="16"/>
                          <w:vertAlign w:val="superscript"/>
                        </w:rPr>
                        <w:t>2</w:t>
                      </w:r>
                      <w:r>
                        <w:rPr>
                          <w:sz w:val="16"/>
                          <w:szCs w:val="16"/>
                        </w:rPr>
                        <w:t xml:space="preserve"> Proposition aux actionnaires pour l’Assemblée générale annuelle du 8 avril 2019.</w:t>
                      </w:r>
                    </w:p>
                  </w:txbxContent>
                </v:textbox>
                <w10:wrap type="square"/>
              </v:shape>
            </w:pict>
          </mc:Fallback>
        </mc:AlternateContent>
      </w:r>
      <w:r>
        <w:rPr>
          <w:b/>
          <w:sz w:val="24"/>
        </w:rPr>
        <w:t xml:space="preserve">Düsseldorf – « En 2018, Henkel a poursuivi sa croissance rentable. Nous avons atteint une bonne croissance organique et de nouveaux records en matière de résultats et de </w:t>
      </w:r>
      <w:r w:rsidR="00CC2982">
        <w:rPr>
          <w:b/>
          <w:sz w:val="24"/>
        </w:rPr>
        <w:t>profitabilité</w:t>
      </w:r>
      <w:r>
        <w:rPr>
          <w:b/>
          <w:sz w:val="24"/>
        </w:rPr>
        <w:t xml:space="preserve">. Notre flux de trésorerie disponible a également fortement augmenté. Dans le même temps, nous avons dû faire face à des effets de change très défavorables et à l’augmentation des cours des matières premières. Nos bons résultats sont une fois </w:t>
      </w:r>
      <w:r w:rsidR="00102EEF">
        <w:rPr>
          <w:b/>
          <w:sz w:val="24"/>
        </w:rPr>
        <w:t xml:space="preserve">encore </w:t>
      </w:r>
      <w:r>
        <w:rPr>
          <w:b/>
          <w:sz w:val="24"/>
        </w:rPr>
        <w:t xml:space="preserve">principalement dus à nos </w:t>
      </w:r>
      <w:r>
        <w:rPr>
          <w:b/>
          <w:sz w:val="24"/>
        </w:rPr>
        <w:lastRenderedPageBreak/>
        <w:t xml:space="preserve">marques </w:t>
      </w:r>
      <w:r w:rsidR="00102EEF">
        <w:rPr>
          <w:b/>
          <w:sz w:val="24"/>
        </w:rPr>
        <w:t xml:space="preserve">phares </w:t>
      </w:r>
      <w:r>
        <w:rPr>
          <w:b/>
          <w:sz w:val="24"/>
        </w:rPr>
        <w:t xml:space="preserve">et à nos technologies innovantes qui nous assurent une place de leader sur des marchés et des segments très attractifs. Les acquisitions réalisées dans les secteurs </w:t>
      </w:r>
      <w:r w:rsidR="000258A5">
        <w:rPr>
          <w:b/>
          <w:sz w:val="24"/>
        </w:rPr>
        <w:t xml:space="preserve">de l’industrie et </w:t>
      </w:r>
      <w:r>
        <w:rPr>
          <w:b/>
          <w:sz w:val="24"/>
        </w:rPr>
        <w:t xml:space="preserve">des produits </w:t>
      </w:r>
      <w:r w:rsidR="000258A5">
        <w:rPr>
          <w:b/>
          <w:sz w:val="24"/>
        </w:rPr>
        <w:t>de grande consommation</w:t>
      </w:r>
      <w:r>
        <w:rPr>
          <w:b/>
          <w:sz w:val="24"/>
        </w:rPr>
        <w:t xml:space="preserve"> ont également contribué à notre croissance rentable. Nous avons continué à appliquer une discipline stricte en matière de coûts et à améliorer notre </w:t>
      </w:r>
      <w:r w:rsidR="00F14D8D">
        <w:rPr>
          <w:b/>
          <w:sz w:val="24"/>
        </w:rPr>
        <w:t>efficacité</w:t>
      </w:r>
      <w:r>
        <w:rPr>
          <w:b/>
          <w:sz w:val="24"/>
        </w:rPr>
        <w:t xml:space="preserve"> », </w:t>
      </w:r>
      <w:bookmarkStart w:id="1" w:name="_Hlk505350347"/>
      <w:r w:rsidR="009C1A74">
        <w:rPr>
          <w:b/>
          <w:color w:val="000000"/>
          <w:sz w:val="24"/>
        </w:rPr>
        <w:t>indique</w:t>
      </w:r>
      <w:r>
        <w:rPr>
          <w:b/>
          <w:sz w:val="24"/>
        </w:rPr>
        <w:t xml:space="preserve"> Hans Van </w:t>
      </w:r>
      <w:proofErr w:type="spellStart"/>
      <w:r>
        <w:rPr>
          <w:b/>
          <w:sz w:val="24"/>
        </w:rPr>
        <w:t>Bylen</w:t>
      </w:r>
      <w:proofErr w:type="spellEnd"/>
      <w:r>
        <w:rPr>
          <w:b/>
          <w:sz w:val="24"/>
        </w:rPr>
        <w:t>, Président du Comité de direction de Henkel.</w:t>
      </w:r>
      <w:bookmarkEnd w:id="1"/>
      <w:r>
        <w:rPr>
          <w:b/>
          <w:sz w:val="24"/>
        </w:rPr>
        <w:t xml:space="preserve"> </w:t>
      </w:r>
    </w:p>
    <w:p w14:paraId="2CD8CF94" w14:textId="2FC0B323" w:rsidR="0060037E" w:rsidRPr="00F51EA2" w:rsidRDefault="0060037E" w:rsidP="0060037E">
      <w:pPr>
        <w:autoSpaceDE w:val="0"/>
        <w:autoSpaceDN w:val="0"/>
        <w:adjustRightInd w:val="0"/>
        <w:spacing w:line="360" w:lineRule="auto"/>
        <w:jc w:val="both"/>
        <w:rPr>
          <w:b/>
          <w:sz w:val="24"/>
        </w:rPr>
      </w:pPr>
      <w:r>
        <w:rPr>
          <w:b/>
          <w:sz w:val="24"/>
        </w:rPr>
        <w:t>« La mise en œuvre de nos priorités stratégiques pour 2020 et au-delà a bien avancé. Nous avons lancé avec succès des initiatives stratégiques clés, et nous avons encore gagné en compétitivité. Pour saisir de nouvelles opportunités de croissance – notamment dans le secteur des biens de</w:t>
      </w:r>
      <w:r w:rsidR="00B72356">
        <w:rPr>
          <w:b/>
          <w:sz w:val="24"/>
        </w:rPr>
        <w:t xml:space="preserve"> grande</w:t>
      </w:r>
      <w:r>
        <w:rPr>
          <w:b/>
          <w:sz w:val="24"/>
        </w:rPr>
        <w:t xml:space="preserve"> consommation – et pour accélérer la transformation digitale de notre entreprise, nous avons annoncé en janvier dernier que nous allions accroître nos investissements</w:t>
      </w:r>
      <w:r w:rsidR="00133CCD">
        <w:rPr>
          <w:b/>
          <w:sz w:val="24"/>
        </w:rPr>
        <w:t xml:space="preserve"> annuels</w:t>
      </w:r>
      <w:r>
        <w:rPr>
          <w:b/>
          <w:sz w:val="24"/>
        </w:rPr>
        <w:t xml:space="preserve"> à hauteur d’environ 300 millions d’EUR à partir de 2019 », </w:t>
      </w:r>
      <w:r w:rsidR="00133CCD">
        <w:rPr>
          <w:b/>
          <w:sz w:val="24"/>
        </w:rPr>
        <w:t>précise</w:t>
      </w:r>
      <w:r>
        <w:rPr>
          <w:b/>
          <w:sz w:val="24"/>
        </w:rPr>
        <w:t xml:space="preserve"> Hans Van </w:t>
      </w:r>
      <w:proofErr w:type="spellStart"/>
      <w:r>
        <w:rPr>
          <w:b/>
          <w:sz w:val="24"/>
        </w:rPr>
        <w:t>Bylen</w:t>
      </w:r>
      <w:proofErr w:type="spellEnd"/>
      <w:r>
        <w:rPr>
          <w:b/>
          <w:sz w:val="24"/>
        </w:rPr>
        <w:t>. « Notre ambition financière à moyen et long terme souligne notre engagement à garantir durablement une croissance rentable et des rendements attractifs. »</w:t>
      </w:r>
    </w:p>
    <w:p w14:paraId="14A03596" w14:textId="77777777" w:rsidR="0060037E" w:rsidRPr="008E699B" w:rsidRDefault="0060037E" w:rsidP="0060037E">
      <w:pPr>
        <w:autoSpaceDE w:val="0"/>
        <w:autoSpaceDN w:val="0"/>
        <w:adjustRightInd w:val="0"/>
        <w:spacing w:after="120" w:line="360" w:lineRule="auto"/>
        <w:jc w:val="both"/>
        <w:rPr>
          <w:b/>
          <w:sz w:val="24"/>
        </w:rPr>
      </w:pPr>
    </w:p>
    <w:p w14:paraId="613486A5" w14:textId="77777777" w:rsidR="0060037E" w:rsidRPr="008A6816" w:rsidRDefault="0060037E" w:rsidP="0060037E">
      <w:pPr>
        <w:autoSpaceDE w:val="0"/>
        <w:autoSpaceDN w:val="0"/>
        <w:adjustRightInd w:val="0"/>
        <w:spacing w:after="120" w:line="360" w:lineRule="auto"/>
        <w:jc w:val="both"/>
        <w:rPr>
          <w:b/>
          <w:sz w:val="24"/>
        </w:rPr>
      </w:pPr>
      <w:r>
        <w:rPr>
          <w:b/>
          <w:sz w:val="24"/>
        </w:rPr>
        <w:t>Perspectives pour 2019</w:t>
      </w:r>
    </w:p>
    <w:p w14:paraId="371E48E6" w14:textId="59B64D73" w:rsidR="0060037E" w:rsidRPr="008A6816" w:rsidRDefault="0060037E" w:rsidP="0060037E">
      <w:pPr>
        <w:autoSpaceDE w:val="0"/>
        <w:autoSpaceDN w:val="0"/>
        <w:adjustRightInd w:val="0"/>
        <w:spacing w:line="360" w:lineRule="auto"/>
        <w:jc w:val="both"/>
        <w:rPr>
          <w:b/>
          <w:sz w:val="24"/>
        </w:rPr>
      </w:pPr>
      <w:r>
        <w:rPr>
          <w:b/>
          <w:sz w:val="24"/>
        </w:rPr>
        <w:t xml:space="preserve">Tenant compte de la hausse des investissements réalisés à partir de 2019, Henkel table sur une croissance organique des ventes comprise entre 2 % et 4 % pour l’exercice en cours. En ce qui concerne la marge EBIT ajustée, Henkel s’attend à ce qu’elle s’établisse entre 16 % et 17 %. La croissance de l’EPS après ajustement devrait se situer </w:t>
      </w:r>
      <w:r w:rsidR="00760867">
        <w:rPr>
          <w:b/>
          <w:sz w:val="24"/>
        </w:rPr>
        <w:t xml:space="preserve">dans le milieu d’un pourcentage à un chiffre en dessous de l’an dernier à </w:t>
      </w:r>
      <w:r>
        <w:rPr>
          <w:b/>
          <w:sz w:val="24"/>
        </w:rPr>
        <w:t>taux de change constant</w:t>
      </w:r>
      <w:r w:rsidR="00760867">
        <w:rPr>
          <w:b/>
          <w:sz w:val="24"/>
        </w:rPr>
        <w:t xml:space="preserve">. </w:t>
      </w:r>
    </w:p>
    <w:p w14:paraId="1FDF7B0B" w14:textId="77777777" w:rsidR="0060037E" w:rsidRPr="008E699B" w:rsidRDefault="0060037E" w:rsidP="0060037E">
      <w:pPr>
        <w:autoSpaceDE w:val="0"/>
        <w:autoSpaceDN w:val="0"/>
        <w:adjustRightInd w:val="0"/>
        <w:spacing w:after="120" w:line="360" w:lineRule="auto"/>
        <w:jc w:val="both"/>
        <w:rPr>
          <w:b/>
          <w:sz w:val="24"/>
        </w:rPr>
      </w:pPr>
    </w:p>
    <w:p w14:paraId="5B802684" w14:textId="77777777" w:rsidR="0060037E" w:rsidRPr="00941FD6" w:rsidRDefault="0060037E" w:rsidP="0060037E">
      <w:pPr>
        <w:autoSpaceDE w:val="0"/>
        <w:autoSpaceDN w:val="0"/>
        <w:adjustRightInd w:val="0"/>
        <w:spacing w:after="120" w:line="360" w:lineRule="auto"/>
        <w:jc w:val="both"/>
        <w:rPr>
          <w:b/>
          <w:sz w:val="24"/>
        </w:rPr>
      </w:pPr>
      <w:r>
        <w:rPr>
          <w:b/>
          <w:sz w:val="24"/>
        </w:rPr>
        <w:t>Développement des ventes et des bénéfices en 2018</w:t>
      </w:r>
    </w:p>
    <w:p w14:paraId="5E5287C5" w14:textId="77777777" w:rsidR="0060037E" w:rsidRPr="00D4132A" w:rsidRDefault="0060037E" w:rsidP="0060037E">
      <w:pPr>
        <w:autoSpaceDE w:val="0"/>
        <w:autoSpaceDN w:val="0"/>
        <w:adjustRightInd w:val="0"/>
        <w:spacing w:line="360" w:lineRule="auto"/>
        <w:jc w:val="both"/>
        <w:rPr>
          <w:rFonts w:cs="Arial"/>
          <w:sz w:val="24"/>
        </w:rPr>
      </w:pPr>
      <w:r>
        <w:rPr>
          <w:sz w:val="24"/>
        </w:rPr>
        <w:t xml:space="preserve">En valeur nominale, les </w:t>
      </w:r>
      <w:r>
        <w:rPr>
          <w:b/>
          <w:sz w:val="24"/>
        </w:rPr>
        <w:t>ventes</w:t>
      </w:r>
      <w:r>
        <w:rPr>
          <w:sz w:val="24"/>
        </w:rPr>
        <w:t xml:space="preserve"> de l’exercice 2018 ont légèrement baissé de 0,6 %, pour passer à 19 899 millions d'EUR. Les fluctuations des taux de change ont eu un effet négatif sur le chiffre d’affaires, à hauteur de 1,1 milliard d’EUR soit -5,4 %. Après ajustement des effets liés aux opérations de change, les ventes ont progressé de </w:t>
      </w:r>
      <w:r>
        <w:rPr>
          <w:sz w:val="24"/>
        </w:rPr>
        <w:lastRenderedPageBreak/>
        <w:t xml:space="preserve">4,8 %. Les acquisitions et les désinvestissements ont contribué à la croissance des ventes à hauteur de 2,4 %. </w:t>
      </w:r>
      <w:r>
        <w:rPr>
          <w:b/>
          <w:sz w:val="24"/>
        </w:rPr>
        <w:t>Organiquement</w:t>
      </w:r>
      <w:r>
        <w:rPr>
          <w:sz w:val="24"/>
        </w:rPr>
        <w:t>, c'est-à-dire après ajustement des effets liés aux opérations de change et aux acquisitions/désinvestissements, Henkel a enregistré une bonne croissance de 2,4 %.</w:t>
      </w:r>
    </w:p>
    <w:p w14:paraId="1F2F6709" w14:textId="77777777" w:rsidR="0060037E" w:rsidRPr="00D4132A" w:rsidRDefault="0060037E" w:rsidP="0060037E">
      <w:pPr>
        <w:autoSpaceDE w:val="0"/>
        <w:autoSpaceDN w:val="0"/>
        <w:adjustRightInd w:val="0"/>
        <w:spacing w:line="360" w:lineRule="auto"/>
        <w:jc w:val="both"/>
        <w:rPr>
          <w:rFonts w:cs="Arial"/>
          <w:sz w:val="24"/>
        </w:rPr>
      </w:pPr>
    </w:p>
    <w:p w14:paraId="78908F45" w14:textId="77777777" w:rsidR="0060037E" w:rsidRDefault="0060037E" w:rsidP="0060037E">
      <w:pPr>
        <w:spacing w:line="360" w:lineRule="auto"/>
        <w:jc w:val="both"/>
        <w:rPr>
          <w:sz w:val="24"/>
        </w:rPr>
      </w:pPr>
      <w:r>
        <w:rPr>
          <w:sz w:val="24"/>
        </w:rPr>
        <w:t>Le secteur d'activité</w:t>
      </w:r>
      <w:r>
        <w:rPr>
          <w:b/>
          <w:sz w:val="24"/>
        </w:rPr>
        <w:t xml:space="preserve"> </w:t>
      </w:r>
      <w:proofErr w:type="spellStart"/>
      <w:r>
        <w:rPr>
          <w:b/>
          <w:sz w:val="24"/>
        </w:rPr>
        <w:t>Adhesive</w:t>
      </w:r>
      <w:proofErr w:type="spellEnd"/>
      <w:r>
        <w:rPr>
          <w:b/>
          <w:sz w:val="24"/>
        </w:rPr>
        <w:t xml:space="preserve"> Technologies</w:t>
      </w:r>
      <w:r>
        <w:rPr>
          <w:sz w:val="24"/>
        </w:rPr>
        <w:t xml:space="preserve"> a fortement augmenté ses ventes, avec une croissance organique de 4,0 %. Organiquement, les ventes du secteur d’activité </w:t>
      </w:r>
      <w:r>
        <w:rPr>
          <w:b/>
          <w:sz w:val="24"/>
        </w:rPr>
        <w:t>Beauty Care</w:t>
      </w:r>
      <w:r>
        <w:rPr>
          <w:sz w:val="24"/>
        </w:rPr>
        <w:t xml:space="preserve"> ont légèrement baissé par rapport à l’année dernière, de 0,7 %. Le secteur d'activité </w:t>
      </w:r>
      <w:r>
        <w:rPr>
          <w:b/>
          <w:sz w:val="24"/>
        </w:rPr>
        <w:t>Laundry &amp; Home Care</w:t>
      </w:r>
      <w:r>
        <w:rPr>
          <w:sz w:val="24"/>
        </w:rPr>
        <w:t xml:space="preserve"> a enregistré une bonne croissance organique, à hauteur de 1,9 %</w:t>
      </w:r>
    </w:p>
    <w:p w14:paraId="5CD54373" w14:textId="77777777" w:rsidR="0060037E" w:rsidRPr="008E699B" w:rsidRDefault="0060037E" w:rsidP="0060037E">
      <w:pPr>
        <w:spacing w:line="360" w:lineRule="auto"/>
        <w:jc w:val="both"/>
        <w:rPr>
          <w:sz w:val="24"/>
        </w:rPr>
      </w:pPr>
    </w:p>
    <w:p w14:paraId="7C897681" w14:textId="71203888" w:rsidR="0060037E" w:rsidRPr="00E867E3" w:rsidRDefault="0060037E" w:rsidP="0060037E">
      <w:pPr>
        <w:spacing w:line="360" w:lineRule="auto"/>
        <w:jc w:val="both"/>
        <w:rPr>
          <w:sz w:val="24"/>
        </w:rPr>
      </w:pPr>
      <w:r>
        <w:rPr>
          <w:sz w:val="24"/>
        </w:rPr>
        <w:t xml:space="preserve">Les </w:t>
      </w:r>
      <w:r>
        <w:rPr>
          <w:b/>
          <w:sz w:val="24"/>
        </w:rPr>
        <w:t>marchés émergents</w:t>
      </w:r>
      <w:r>
        <w:rPr>
          <w:sz w:val="24"/>
        </w:rPr>
        <w:t xml:space="preserve"> ont une fois</w:t>
      </w:r>
      <w:r w:rsidR="00144E14">
        <w:rPr>
          <w:sz w:val="24"/>
        </w:rPr>
        <w:t xml:space="preserve"> encore</w:t>
      </w:r>
      <w:r>
        <w:rPr>
          <w:sz w:val="24"/>
        </w:rPr>
        <w:t xml:space="preserve"> fortement progressé, puisqu’ils réalisent une croissance organique de 6,3 %. Les </w:t>
      </w:r>
      <w:r>
        <w:rPr>
          <w:b/>
          <w:bCs/>
          <w:sz w:val="24"/>
        </w:rPr>
        <w:t xml:space="preserve">marchés matures </w:t>
      </w:r>
      <w:r>
        <w:rPr>
          <w:sz w:val="24"/>
        </w:rPr>
        <w:t>ont enregistré quant à eux une croissance organique légèrement négative de -0,4 %.</w:t>
      </w:r>
    </w:p>
    <w:p w14:paraId="40942A00" w14:textId="77777777" w:rsidR="0060037E" w:rsidRPr="008E699B" w:rsidRDefault="0060037E" w:rsidP="0060037E">
      <w:pPr>
        <w:autoSpaceDE w:val="0"/>
        <w:autoSpaceDN w:val="0"/>
        <w:adjustRightInd w:val="0"/>
        <w:spacing w:line="360" w:lineRule="auto"/>
        <w:jc w:val="both"/>
        <w:rPr>
          <w:rFonts w:cs="Arial"/>
          <w:sz w:val="24"/>
        </w:rPr>
      </w:pPr>
    </w:p>
    <w:p w14:paraId="0F1C14A6" w14:textId="4AA92CE8" w:rsidR="0060037E" w:rsidRPr="00E867E3" w:rsidRDefault="0060037E" w:rsidP="0060037E">
      <w:pPr>
        <w:spacing w:line="360" w:lineRule="auto"/>
        <w:jc w:val="both"/>
        <w:rPr>
          <w:sz w:val="24"/>
        </w:rPr>
      </w:pPr>
      <w:r>
        <w:rPr>
          <w:sz w:val="24"/>
        </w:rPr>
        <w:t xml:space="preserve">Organiquement, les ventes ont augmenté dans toutes les régions à l’exception de l’Amérique du Nord. En </w:t>
      </w:r>
      <w:r>
        <w:rPr>
          <w:b/>
          <w:sz w:val="24"/>
        </w:rPr>
        <w:t>Europe de l’Ouest</w:t>
      </w:r>
      <w:r>
        <w:rPr>
          <w:sz w:val="24"/>
        </w:rPr>
        <w:t xml:space="preserve"> les ventes ont légèrement progressé, avec une croissance organique de 0,3 %. En </w:t>
      </w:r>
      <w:r>
        <w:rPr>
          <w:b/>
          <w:sz w:val="24"/>
        </w:rPr>
        <w:t>Europe de l'Est</w:t>
      </w:r>
      <w:r>
        <w:rPr>
          <w:sz w:val="24"/>
        </w:rPr>
        <w:t xml:space="preserve">, les ventes ont organiquement progressé de 7,6 %. La région </w:t>
      </w:r>
      <w:r>
        <w:rPr>
          <w:b/>
          <w:bCs/>
          <w:sz w:val="24"/>
        </w:rPr>
        <w:t>Afrique/Moyen-Orient</w:t>
      </w:r>
      <w:r>
        <w:rPr>
          <w:sz w:val="24"/>
        </w:rPr>
        <w:t xml:space="preserve"> a enregistré une croissance organique des ventes de 11,3 %. En </w:t>
      </w:r>
      <w:r>
        <w:rPr>
          <w:b/>
          <w:sz w:val="24"/>
        </w:rPr>
        <w:t>Amérique du Nord</w:t>
      </w:r>
      <w:r>
        <w:rPr>
          <w:sz w:val="24"/>
        </w:rPr>
        <w:t>, organiquement, les ventes ont baissé de 1,0 % par rapport à l’an dernier. Cela s’explique par des difficultés de livraison des biens de</w:t>
      </w:r>
      <w:r w:rsidR="00DB2AFB">
        <w:rPr>
          <w:sz w:val="24"/>
        </w:rPr>
        <w:t xml:space="preserve"> </w:t>
      </w:r>
      <w:r w:rsidR="001C1F1B">
        <w:rPr>
          <w:sz w:val="24"/>
        </w:rPr>
        <w:t>grande</w:t>
      </w:r>
      <w:r>
        <w:rPr>
          <w:sz w:val="24"/>
        </w:rPr>
        <w:t xml:space="preserve"> consommation rencontrées dans la région au début de l’année 2018. </w:t>
      </w:r>
      <w:r w:rsidR="00C30997">
        <w:rPr>
          <w:sz w:val="24"/>
        </w:rPr>
        <w:t>D</w:t>
      </w:r>
      <w:r>
        <w:rPr>
          <w:sz w:val="24"/>
        </w:rPr>
        <w:t>ans cette région, le secteur d’activité</w:t>
      </w:r>
      <w:r w:rsidR="00EB6003">
        <w:rPr>
          <w:sz w:val="24"/>
        </w:rPr>
        <w:t xml:space="preserve">                           </w:t>
      </w:r>
      <w:r>
        <w:rPr>
          <w:sz w:val="24"/>
        </w:rPr>
        <w:t xml:space="preserve"> </w:t>
      </w:r>
      <w:proofErr w:type="spellStart"/>
      <w:r>
        <w:rPr>
          <w:sz w:val="24"/>
        </w:rPr>
        <w:t>Adhesive</w:t>
      </w:r>
      <w:proofErr w:type="spellEnd"/>
      <w:r>
        <w:rPr>
          <w:sz w:val="24"/>
        </w:rPr>
        <w:t xml:space="preserve"> Technologies a enregistré de bons résultats et le segment des soins capillaires professionnels a fortement progressé.</w:t>
      </w:r>
      <w:r>
        <w:rPr>
          <w:b/>
          <w:bCs/>
          <w:sz w:val="24"/>
        </w:rPr>
        <w:t xml:space="preserve"> </w:t>
      </w:r>
      <w:r>
        <w:rPr>
          <w:bCs/>
          <w:sz w:val="24"/>
        </w:rPr>
        <w:t>L’</w:t>
      </w:r>
      <w:r>
        <w:rPr>
          <w:b/>
          <w:bCs/>
          <w:sz w:val="24"/>
        </w:rPr>
        <w:t>Amérique latine</w:t>
      </w:r>
      <w:r>
        <w:rPr>
          <w:bCs/>
          <w:sz w:val="24"/>
        </w:rPr>
        <w:t xml:space="preserve"> </w:t>
      </w:r>
      <w:r w:rsidR="00C30997">
        <w:rPr>
          <w:bCs/>
          <w:sz w:val="24"/>
        </w:rPr>
        <w:t xml:space="preserve">a </w:t>
      </w:r>
      <w:r>
        <w:rPr>
          <w:bCs/>
          <w:sz w:val="24"/>
        </w:rPr>
        <w:t>réalisé une croissance organique des ventes</w:t>
      </w:r>
      <w:r>
        <w:rPr>
          <w:b/>
          <w:bCs/>
          <w:sz w:val="24"/>
        </w:rPr>
        <w:t xml:space="preserve"> </w:t>
      </w:r>
      <w:r>
        <w:rPr>
          <w:bCs/>
          <w:sz w:val="24"/>
        </w:rPr>
        <w:t>de 9,3</w:t>
      </w:r>
      <w:r>
        <w:rPr>
          <w:sz w:val="24"/>
        </w:rPr>
        <w:t xml:space="preserve"> %, et dans la région </w:t>
      </w:r>
      <w:r>
        <w:rPr>
          <w:b/>
          <w:sz w:val="24"/>
        </w:rPr>
        <w:t>Asie-Pacifique</w:t>
      </w:r>
      <w:r>
        <w:rPr>
          <w:sz w:val="24"/>
        </w:rPr>
        <w:t xml:space="preserve"> les ventes ont organiquement augmenté de 0,9 %. </w:t>
      </w:r>
    </w:p>
    <w:p w14:paraId="4350E531" w14:textId="77777777" w:rsidR="0060037E" w:rsidRPr="008E699B" w:rsidRDefault="0060037E" w:rsidP="0060037E">
      <w:pPr>
        <w:autoSpaceDE w:val="0"/>
        <w:autoSpaceDN w:val="0"/>
        <w:adjustRightInd w:val="0"/>
        <w:spacing w:line="360" w:lineRule="auto"/>
        <w:jc w:val="both"/>
        <w:rPr>
          <w:rFonts w:cs="Arial"/>
          <w:sz w:val="24"/>
        </w:rPr>
      </w:pPr>
    </w:p>
    <w:p w14:paraId="11756E2F" w14:textId="77777777" w:rsidR="0060037E" w:rsidRPr="00E867E3" w:rsidRDefault="0060037E" w:rsidP="0060037E">
      <w:pPr>
        <w:spacing w:line="360" w:lineRule="auto"/>
        <w:jc w:val="both"/>
        <w:rPr>
          <w:sz w:val="24"/>
        </w:rPr>
      </w:pPr>
      <w:r>
        <w:rPr>
          <w:b/>
          <w:sz w:val="24"/>
        </w:rPr>
        <w:t>Le résultat d'exploitation ajusté</w:t>
      </w:r>
      <w:r>
        <w:rPr>
          <w:sz w:val="24"/>
        </w:rPr>
        <w:t xml:space="preserve"> (EBIT) a augmenté de 1,0 %, à 3 496 millions d'EUR, ce qui représente un nouveau record pour Henkel.</w:t>
      </w:r>
    </w:p>
    <w:p w14:paraId="3E3C34C8" w14:textId="77777777" w:rsidR="00950217" w:rsidRDefault="00950217" w:rsidP="0060037E">
      <w:pPr>
        <w:spacing w:line="360" w:lineRule="auto"/>
        <w:jc w:val="both"/>
        <w:rPr>
          <w:b/>
          <w:sz w:val="24"/>
        </w:rPr>
      </w:pPr>
    </w:p>
    <w:p w14:paraId="5789C6CD" w14:textId="5194320E" w:rsidR="0060037E" w:rsidRPr="00E867E3" w:rsidRDefault="0060037E" w:rsidP="0060037E">
      <w:pPr>
        <w:spacing w:line="360" w:lineRule="auto"/>
        <w:jc w:val="both"/>
        <w:rPr>
          <w:sz w:val="24"/>
        </w:rPr>
      </w:pPr>
      <w:r>
        <w:rPr>
          <w:sz w:val="24"/>
        </w:rPr>
        <w:lastRenderedPageBreak/>
        <w:t xml:space="preserve">La </w:t>
      </w:r>
      <w:r>
        <w:rPr>
          <w:b/>
          <w:sz w:val="24"/>
        </w:rPr>
        <w:t xml:space="preserve">rentabilité des ventes ajustée (EBIT) </w:t>
      </w:r>
      <w:r w:rsidR="0029115C">
        <w:rPr>
          <w:sz w:val="24"/>
        </w:rPr>
        <w:t>s’est amélioré</w:t>
      </w:r>
      <w:r>
        <w:rPr>
          <w:sz w:val="24"/>
        </w:rPr>
        <w:t xml:space="preserve"> de 0,3 point pour atteindre 17,6 % Là aussi, c’est un nouveau record pour l’entreprise.</w:t>
      </w:r>
    </w:p>
    <w:p w14:paraId="1F1B616B" w14:textId="77777777" w:rsidR="0060037E" w:rsidRPr="00E867E3" w:rsidRDefault="0060037E" w:rsidP="0060037E">
      <w:pPr>
        <w:autoSpaceDE w:val="0"/>
        <w:autoSpaceDN w:val="0"/>
        <w:adjustRightInd w:val="0"/>
        <w:spacing w:line="360" w:lineRule="auto"/>
        <w:jc w:val="both"/>
        <w:rPr>
          <w:rFonts w:cs="Arial"/>
          <w:sz w:val="24"/>
        </w:rPr>
      </w:pPr>
      <w:r>
        <w:rPr>
          <w:sz w:val="24"/>
        </w:rPr>
        <w:t xml:space="preserve">Le </w:t>
      </w:r>
      <w:r>
        <w:rPr>
          <w:b/>
          <w:sz w:val="24"/>
        </w:rPr>
        <w:t>résultat financier</w:t>
      </w:r>
      <w:r>
        <w:rPr>
          <w:sz w:val="24"/>
        </w:rPr>
        <w:t xml:space="preserve"> est de -65 millions d’EUR, contre -67 millions d'EUR</w:t>
      </w:r>
      <w:r>
        <w:rPr>
          <w:b/>
          <w:sz w:val="24"/>
          <w:vertAlign w:val="superscript"/>
        </w:rPr>
        <w:t>3</w:t>
      </w:r>
      <w:r>
        <w:rPr>
          <w:sz w:val="24"/>
        </w:rPr>
        <w:t xml:space="preserve"> pour l’exercice 2017. </w:t>
      </w:r>
    </w:p>
    <w:p w14:paraId="7874F66C" w14:textId="77777777" w:rsidR="0060037E" w:rsidRPr="008E699B" w:rsidRDefault="0060037E" w:rsidP="0060037E">
      <w:pPr>
        <w:spacing w:line="360" w:lineRule="auto"/>
        <w:jc w:val="both"/>
        <w:rPr>
          <w:rFonts w:cs="Arial"/>
          <w:sz w:val="24"/>
          <w:highlight w:val="yellow"/>
        </w:rPr>
      </w:pPr>
    </w:p>
    <w:p w14:paraId="3A1E820C" w14:textId="77777777" w:rsidR="0060037E" w:rsidRPr="00E867E3" w:rsidRDefault="0060037E" w:rsidP="0060037E">
      <w:pPr>
        <w:spacing w:line="360" w:lineRule="auto"/>
        <w:jc w:val="both"/>
        <w:rPr>
          <w:rFonts w:cs="Arial"/>
          <w:sz w:val="24"/>
        </w:rPr>
      </w:pPr>
      <w:r>
        <w:rPr>
          <w:sz w:val="24"/>
        </w:rPr>
        <w:t xml:space="preserve">Le </w:t>
      </w:r>
      <w:r>
        <w:rPr>
          <w:b/>
          <w:sz w:val="24"/>
        </w:rPr>
        <w:t>bénéfice net annuel ajusté</w:t>
      </w:r>
      <w:r>
        <w:rPr>
          <w:sz w:val="24"/>
        </w:rPr>
        <w:t xml:space="preserve"> après déduction des participations minoritaires s'est amélioré de 2,8 %, passant à 2 604 millions d'EUR (2017 : 2 534 millions d'EUR). </w:t>
      </w:r>
    </w:p>
    <w:p w14:paraId="3F6FE718" w14:textId="77777777" w:rsidR="0060037E" w:rsidRPr="008E699B" w:rsidRDefault="0060037E" w:rsidP="0060037E">
      <w:pPr>
        <w:spacing w:line="360" w:lineRule="auto"/>
        <w:jc w:val="both"/>
        <w:rPr>
          <w:rFonts w:cs="Arial"/>
          <w:sz w:val="24"/>
        </w:rPr>
      </w:pPr>
    </w:p>
    <w:p w14:paraId="43014A4D" w14:textId="27B71713" w:rsidR="0060037E" w:rsidRDefault="0060037E" w:rsidP="0060037E">
      <w:pPr>
        <w:spacing w:line="360" w:lineRule="auto"/>
        <w:jc w:val="both"/>
        <w:rPr>
          <w:sz w:val="24"/>
        </w:rPr>
      </w:pPr>
      <w:r>
        <w:rPr>
          <w:sz w:val="24"/>
        </w:rPr>
        <w:t xml:space="preserve">Le </w:t>
      </w:r>
      <w:r>
        <w:rPr>
          <w:b/>
          <w:sz w:val="24"/>
        </w:rPr>
        <w:t>résultat par action préférentielle après ajustement</w:t>
      </w:r>
      <w:r>
        <w:rPr>
          <w:sz w:val="24"/>
        </w:rPr>
        <w:t xml:space="preserve"> (EPS) a progressé de 2,7 %, passant de 5,85 EUR à 6,01 EUR. À taux de change constant, l’EPS a progressé de 7 %.</w:t>
      </w:r>
    </w:p>
    <w:p w14:paraId="35FCEB34" w14:textId="77777777" w:rsidR="005C01DA" w:rsidRPr="00D31451" w:rsidRDefault="005C01DA" w:rsidP="0060037E">
      <w:pPr>
        <w:spacing w:line="360" w:lineRule="auto"/>
        <w:jc w:val="both"/>
        <w:rPr>
          <w:sz w:val="24"/>
        </w:rPr>
      </w:pPr>
    </w:p>
    <w:p w14:paraId="57FA4740" w14:textId="2DFEEE8A" w:rsidR="0060037E" w:rsidRPr="00E867E3" w:rsidRDefault="0060037E" w:rsidP="0060037E">
      <w:pPr>
        <w:spacing w:line="360" w:lineRule="auto"/>
        <w:jc w:val="both"/>
        <w:rPr>
          <w:sz w:val="24"/>
        </w:rPr>
      </w:pPr>
      <w:r>
        <w:rPr>
          <w:sz w:val="24"/>
        </w:rPr>
        <w:t xml:space="preserve">Le Comité de Direction, le Conseil de surveillance et le Comité des actionnaires proposeront à l'Assemblée générale du 8 avril 2019 d'augmenter le </w:t>
      </w:r>
      <w:r>
        <w:rPr>
          <w:b/>
          <w:sz w:val="24"/>
        </w:rPr>
        <w:t>dividende</w:t>
      </w:r>
      <w:r>
        <w:rPr>
          <w:sz w:val="24"/>
        </w:rPr>
        <w:t xml:space="preserve"> par action préférentielle de 3,4 % à 1,85 EUR (année précédente : 1,79 EUR). Le dividende par action ordinaire est proposé à 1,83 EUR, soit une augmentation de 3,4 % par rapport à l’année précédente (1,77 EUR). Il s'agirait alors du dividende le plus élevé de l'histoire de l'entreprise, puisque la part de versement serait de 30,9 %.</w:t>
      </w:r>
    </w:p>
    <w:p w14:paraId="378C4348" w14:textId="77777777" w:rsidR="0060037E" w:rsidRPr="008E699B" w:rsidRDefault="0060037E" w:rsidP="0060037E">
      <w:pPr>
        <w:spacing w:line="360" w:lineRule="auto"/>
        <w:jc w:val="both"/>
        <w:rPr>
          <w:sz w:val="24"/>
          <w:lang w:eastAsia="de-DE"/>
        </w:rPr>
      </w:pPr>
    </w:p>
    <w:p w14:paraId="1AFE039D" w14:textId="77777777" w:rsidR="0060037E" w:rsidRPr="00E867E3" w:rsidRDefault="0060037E" w:rsidP="0060037E">
      <w:pPr>
        <w:spacing w:line="360" w:lineRule="auto"/>
        <w:jc w:val="both"/>
        <w:rPr>
          <w:sz w:val="24"/>
        </w:rPr>
      </w:pPr>
      <w:r>
        <w:rPr>
          <w:sz w:val="24"/>
        </w:rPr>
        <w:t xml:space="preserve">S’établissant à 5,1 %, le </w:t>
      </w:r>
      <w:r>
        <w:rPr>
          <w:b/>
          <w:sz w:val="24"/>
        </w:rPr>
        <w:t>rapport du fonds de roulement net et des ventes</w:t>
      </w:r>
      <w:r>
        <w:rPr>
          <w:sz w:val="24"/>
        </w:rPr>
        <w:t xml:space="preserve"> s’est bien amélioré au cours de l’année ; notamment pendant le second semestre puisqu’il a pratiquement atteint son niveau de l’année précédente à la même période (4,8 %).</w:t>
      </w:r>
    </w:p>
    <w:p w14:paraId="1DDD6B70" w14:textId="77777777" w:rsidR="0060037E" w:rsidRPr="008E699B" w:rsidRDefault="0060037E" w:rsidP="0060037E">
      <w:pPr>
        <w:spacing w:line="360" w:lineRule="auto"/>
        <w:jc w:val="both"/>
        <w:rPr>
          <w:b/>
          <w:sz w:val="24"/>
        </w:rPr>
      </w:pPr>
    </w:p>
    <w:p w14:paraId="526F7384" w14:textId="77777777" w:rsidR="0060037E" w:rsidRPr="00E867E3" w:rsidRDefault="0060037E" w:rsidP="0060037E">
      <w:pPr>
        <w:autoSpaceDE w:val="0"/>
        <w:autoSpaceDN w:val="0"/>
        <w:adjustRightInd w:val="0"/>
        <w:spacing w:line="360" w:lineRule="auto"/>
        <w:jc w:val="both"/>
        <w:rPr>
          <w:sz w:val="24"/>
        </w:rPr>
      </w:pPr>
      <w:r>
        <w:rPr>
          <w:sz w:val="24"/>
        </w:rPr>
        <w:t xml:space="preserve">La </w:t>
      </w:r>
      <w:r>
        <w:rPr>
          <w:b/>
          <w:sz w:val="24"/>
        </w:rPr>
        <w:t>position financière nette</w:t>
      </w:r>
      <w:r>
        <w:rPr>
          <w:sz w:val="24"/>
        </w:rPr>
        <w:t xml:space="preserve"> à la clôture de l’exercice s'établissait à -2 895 millions d'EUR (31 décembre 2017 : -3 222 millions d'EUR</w:t>
      </w:r>
      <w:r>
        <w:rPr>
          <w:b/>
          <w:sz w:val="24"/>
          <w:vertAlign w:val="superscript"/>
        </w:rPr>
        <w:t>3</w:t>
      </w:r>
      <w:r>
        <w:rPr>
          <w:sz w:val="24"/>
        </w:rPr>
        <w:t>). L'évolution par rapport à la fin de l'année précédente est principalement due à la forte augmentation du flux de trésorerie disponible.</w:t>
      </w:r>
    </w:p>
    <w:p w14:paraId="73339F0D" w14:textId="42D7F651" w:rsidR="00950217" w:rsidRDefault="00950217" w:rsidP="0060037E">
      <w:pPr>
        <w:autoSpaceDE w:val="0"/>
        <w:autoSpaceDN w:val="0"/>
        <w:adjustRightInd w:val="0"/>
        <w:spacing w:after="120" w:line="360" w:lineRule="auto"/>
        <w:jc w:val="both"/>
        <w:rPr>
          <w:b/>
          <w:sz w:val="24"/>
        </w:rPr>
      </w:pPr>
    </w:p>
    <w:p w14:paraId="721165C1" w14:textId="20797F46" w:rsidR="005C01DA" w:rsidRDefault="005C01DA" w:rsidP="0060037E">
      <w:pPr>
        <w:autoSpaceDE w:val="0"/>
        <w:autoSpaceDN w:val="0"/>
        <w:adjustRightInd w:val="0"/>
        <w:spacing w:after="120" w:line="360" w:lineRule="auto"/>
        <w:jc w:val="both"/>
        <w:rPr>
          <w:b/>
          <w:sz w:val="24"/>
        </w:rPr>
      </w:pPr>
    </w:p>
    <w:p w14:paraId="7014521B" w14:textId="37EF261D" w:rsidR="005C01DA" w:rsidRDefault="005C01DA" w:rsidP="0060037E">
      <w:pPr>
        <w:autoSpaceDE w:val="0"/>
        <w:autoSpaceDN w:val="0"/>
        <w:adjustRightInd w:val="0"/>
        <w:spacing w:after="120" w:line="360" w:lineRule="auto"/>
        <w:jc w:val="both"/>
        <w:rPr>
          <w:b/>
          <w:sz w:val="24"/>
        </w:rPr>
      </w:pPr>
      <w:r>
        <w:rPr>
          <w:noProof/>
          <w:sz w:val="24"/>
        </w:rPr>
        <mc:AlternateContent>
          <mc:Choice Requires="wps">
            <w:drawing>
              <wp:anchor distT="45720" distB="45720" distL="114300" distR="114300" simplePos="0" relativeHeight="251669504" behindDoc="0" locked="0" layoutInCell="1" allowOverlap="1" wp14:anchorId="6C95F356" wp14:editId="598DC276">
                <wp:simplePos x="0" y="0"/>
                <wp:positionH relativeFrom="column">
                  <wp:posOffset>0</wp:posOffset>
                </wp:positionH>
                <wp:positionV relativeFrom="paragraph">
                  <wp:posOffset>202136</wp:posOffset>
                </wp:positionV>
                <wp:extent cx="4779010" cy="431165"/>
                <wp:effectExtent l="0" t="0" r="21590" b="2667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431165"/>
                        </a:xfrm>
                        <a:prstGeom prst="rect">
                          <a:avLst/>
                        </a:prstGeom>
                        <a:solidFill>
                          <a:srgbClr val="FFFFFF"/>
                        </a:solidFill>
                        <a:ln w="9525">
                          <a:solidFill>
                            <a:srgbClr val="FFFFFF"/>
                          </a:solidFill>
                          <a:miter lim="800000"/>
                          <a:headEnd/>
                          <a:tailEnd/>
                        </a:ln>
                      </wps:spPr>
                      <wps:txbx>
                        <w:txbxContent>
                          <w:p w14:paraId="4E4B4050" w14:textId="77777777" w:rsidR="005C01DA" w:rsidRPr="00054A53" w:rsidRDefault="005C01DA" w:rsidP="005C01DA">
                            <w:pPr>
                              <w:rPr>
                                <w:sz w:val="16"/>
                                <w:szCs w:val="16"/>
                              </w:rPr>
                            </w:pPr>
                            <w:r>
                              <w:rPr>
                                <w:b/>
                                <w:sz w:val="16"/>
                                <w:szCs w:val="16"/>
                                <w:vertAlign w:val="superscript"/>
                              </w:rPr>
                              <w:t>3</w:t>
                            </w:r>
                            <w:r>
                              <w:rPr>
                                <w:sz w:val="16"/>
                                <w:szCs w:val="16"/>
                              </w:rPr>
                              <w:t xml:space="preserve"> Chiffres de l’année précédente corrigés (principalement en raison d’une modification des politiques comptables conformément aux normes IFRS).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95F356" id="Zone de texte 11" o:spid="_x0000_s1027" type="#_x0000_t202" style="position:absolute;left:0;text-align:left;margin-left:0;margin-top:15.9pt;width:376.3pt;height:33.9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YMLAIAAF4EAAAOAAAAZHJzL2Uyb0RvYy54bWysVE2P0zAQvSPxHyzfaZrSbrdR09XSpQhp&#10;+ZAWLtwc20ks/IXtNim/nrHdlgK3FTlYHs/4eea9mazvRiXRgTsvjK5xOZlixDU1TOiuxl+/7F7d&#10;YuQD0YxIo3mNj9zju83LF+vBVnxmeiMZdwhAtK8GW+M+BFsVhac9V8RPjOUanK1xigQwXVcwRwZA&#10;V7KYTac3xWAcs85Q7j2cPmQn3iT8tuU0fGpbzwOSNYbcQlpdWpu4Fps1qTpHbC/oKQ3yjCwUERoe&#10;vUA9kEDQ3ol/oJSgznjThgk1qjBtKyhPNUA15fSvap56YnmqBcjx9kKT/3+w9OPhs0OCgXYlRpoo&#10;0OgbKIUYR4GPgSM4B5IG6yuIfbIQHcY3ZoQLqWBvHw397pE2257ojt87Z4aeEwZJppvF1dWM4yNI&#10;M3wwDB4j+2AS0Ng6FRkEThCgg1jHi0CQCKJwOF8uV0ATRhR889dlebOIyRWkOt+2zod33CgUNzV2&#10;0AAJnRwefcih55D4mDdSsJ2QMhmua7bSoQOBZtml74T+R5jUaKjxajFbZAKeAaFEgK6XQtX4dhq/&#10;3IeRtreapZ4MRMi8h+qkhiIjj5G6TGIYmzHrdpanMewIxDqTmxyGEja9cT8xGqDBa+x/7InjGMn3&#10;GsRZlfN5nIhkzBfLGRju2tNce4imAFXjgFHebkOeor11ouvhpXM73IOgO5G4jhnnrE7pQxMntU4D&#10;F6fk2k5Rv38Lm18AAAD//wMAUEsDBBQABgAIAAAAIQBChBLR3gAAAAYBAAAPAAAAZHJzL2Rvd25y&#10;ZXYueG1sTM/BTsMwDAbgOxLvEBmJG0s2REdL0wkhkOAwTQwQ4pYlpu1onKpJt/L2mBMcrd/6/blc&#10;Tb4TBxxiG0jDfKZAINngWqo1vL48XFyDiMmQM10g1PCNEVbV6UlpCheO9IyHbaoFl1AsjIYmpb6Q&#10;MtoGvYmz0CNx9hkGbxKPQy3dYI5c7ju5UCqT3rTEFxrT412D9ms7eg33tn/MNx/d/n1j31Q2qvXT&#10;Pqy1Pj+bbm9AJJzS3zL88pkOFZt2YSQXRaeBH0kaLufs53R5tchA7DTk+RJkVcr//OoHAAD//wMA&#10;UEsBAi0AFAAGAAgAAAAhALaDOJL+AAAA4QEAABMAAAAAAAAAAAAAAAAAAAAAAFtDb250ZW50X1R5&#10;cGVzXS54bWxQSwECLQAUAAYACAAAACEAOP0h/9YAAACUAQAACwAAAAAAAAAAAAAAAAAvAQAAX3Jl&#10;bHMvLnJlbHNQSwECLQAUAAYACAAAACEAmYN2DCwCAABeBAAADgAAAAAAAAAAAAAAAAAuAgAAZHJz&#10;L2Uyb0RvYy54bWxQSwECLQAUAAYACAAAACEAQoQS0d4AAAAGAQAADwAAAAAAAAAAAAAAAACGBAAA&#10;ZHJzL2Rvd25yZXYueG1sUEsFBgAAAAAEAAQA8wAAAJEFAAAAAA==&#10;" strokecolor="white">
                <v:textbox style="mso-fit-shape-to-text:t">
                  <w:txbxContent>
                    <w:p w14:paraId="4E4B4050" w14:textId="77777777" w:rsidR="005C01DA" w:rsidRPr="00054A53" w:rsidRDefault="005C01DA" w:rsidP="005C01DA">
                      <w:pPr>
                        <w:rPr>
                          <w:sz w:val="16"/>
                          <w:szCs w:val="16"/>
                        </w:rPr>
                      </w:pPr>
                      <w:r>
                        <w:rPr>
                          <w:b/>
                          <w:sz w:val="16"/>
                          <w:szCs w:val="16"/>
                          <w:vertAlign w:val="superscript"/>
                        </w:rPr>
                        <w:t>3</w:t>
                      </w:r>
                      <w:r>
                        <w:rPr>
                          <w:sz w:val="16"/>
                          <w:szCs w:val="16"/>
                        </w:rPr>
                        <w:t xml:space="preserve"> Chiffres de l’année précédente corrigés (principalement en raison d’une modification des politiques comptables conformément aux normes IFRS).</w:t>
                      </w:r>
                    </w:p>
                  </w:txbxContent>
                </v:textbox>
                <w10:wrap type="square"/>
              </v:shape>
            </w:pict>
          </mc:Fallback>
        </mc:AlternateContent>
      </w:r>
    </w:p>
    <w:p w14:paraId="233AC8CE" w14:textId="77777777" w:rsidR="005C01DA" w:rsidRPr="008E699B" w:rsidRDefault="005C01DA" w:rsidP="0060037E">
      <w:pPr>
        <w:autoSpaceDE w:val="0"/>
        <w:autoSpaceDN w:val="0"/>
        <w:adjustRightInd w:val="0"/>
        <w:spacing w:after="120" w:line="360" w:lineRule="auto"/>
        <w:jc w:val="both"/>
        <w:rPr>
          <w:b/>
          <w:sz w:val="24"/>
        </w:rPr>
      </w:pPr>
    </w:p>
    <w:p w14:paraId="1B4B9152" w14:textId="77777777" w:rsidR="0060037E" w:rsidRPr="0092727A" w:rsidRDefault="0060037E" w:rsidP="0060037E">
      <w:pPr>
        <w:autoSpaceDE w:val="0"/>
        <w:autoSpaceDN w:val="0"/>
        <w:adjustRightInd w:val="0"/>
        <w:spacing w:after="120" w:line="360" w:lineRule="auto"/>
        <w:jc w:val="both"/>
        <w:rPr>
          <w:b/>
          <w:sz w:val="24"/>
        </w:rPr>
      </w:pPr>
      <w:r>
        <w:rPr>
          <w:b/>
          <w:sz w:val="24"/>
        </w:rPr>
        <w:lastRenderedPageBreak/>
        <w:t>Développement des secteurs d'activité</w:t>
      </w:r>
    </w:p>
    <w:p w14:paraId="3D12A552" w14:textId="64593B77" w:rsidR="0060037E" w:rsidRPr="00E867E3" w:rsidRDefault="0060037E" w:rsidP="0060037E">
      <w:pPr>
        <w:spacing w:line="360" w:lineRule="auto"/>
        <w:jc w:val="both"/>
        <w:rPr>
          <w:sz w:val="24"/>
        </w:rPr>
      </w:pPr>
      <w:r>
        <w:rPr>
          <w:sz w:val="24"/>
        </w:rPr>
        <w:t xml:space="preserve">Le secteur d'activité </w:t>
      </w:r>
      <w:proofErr w:type="spellStart"/>
      <w:r>
        <w:rPr>
          <w:b/>
          <w:sz w:val="24"/>
        </w:rPr>
        <w:t>Adhesive</w:t>
      </w:r>
      <w:proofErr w:type="spellEnd"/>
      <w:r>
        <w:rPr>
          <w:b/>
          <w:sz w:val="24"/>
        </w:rPr>
        <w:t xml:space="preserve"> Technologies</w:t>
      </w:r>
      <w:r>
        <w:rPr>
          <w:sz w:val="24"/>
        </w:rPr>
        <w:t xml:space="preserve"> a réalisé une solide </w:t>
      </w:r>
      <w:r>
        <w:rPr>
          <w:b/>
          <w:sz w:val="24"/>
        </w:rPr>
        <w:t>croissance</w:t>
      </w:r>
      <w:r>
        <w:rPr>
          <w:sz w:val="24"/>
        </w:rPr>
        <w:t xml:space="preserve"> </w:t>
      </w:r>
      <w:r>
        <w:rPr>
          <w:b/>
          <w:sz w:val="24"/>
        </w:rPr>
        <w:t>organique des ventes</w:t>
      </w:r>
      <w:r>
        <w:rPr>
          <w:sz w:val="24"/>
        </w:rPr>
        <w:t xml:space="preserve"> de 4,0 % au cours de l’exercice 2018. En valeur nominale, les ventes ont augmenté de 0,2 % pour passer à 9 403 millions d'EUR. Le </w:t>
      </w:r>
      <w:r>
        <w:rPr>
          <w:b/>
          <w:sz w:val="24"/>
        </w:rPr>
        <w:t>résultat d'exploitation ajusté</w:t>
      </w:r>
      <w:r>
        <w:rPr>
          <w:sz w:val="24"/>
        </w:rPr>
        <w:t xml:space="preserve"> a augmenté de 1,6 % à 1 761 millions d'EUR. La rentabilité des ventes ajustée s'est améliorée de 0,2 point pour atteindre 18,7 %.</w:t>
      </w:r>
    </w:p>
    <w:p w14:paraId="0F5D0CEA" w14:textId="77777777" w:rsidR="0060037E" w:rsidRDefault="0060037E" w:rsidP="0060037E">
      <w:pPr>
        <w:autoSpaceDE w:val="0"/>
        <w:autoSpaceDN w:val="0"/>
        <w:adjustRightInd w:val="0"/>
        <w:spacing w:line="360" w:lineRule="auto"/>
        <w:jc w:val="both"/>
        <w:rPr>
          <w:rFonts w:cs="Arial"/>
          <w:sz w:val="24"/>
        </w:rPr>
      </w:pPr>
    </w:p>
    <w:p w14:paraId="7FC5237A" w14:textId="7B2E3319" w:rsidR="0060037E" w:rsidRDefault="0060037E" w:rsidP="0060037E">
      <w:pPr>
        <w:autoSpaceDE w:val="0"/>
        <w:autoSpaceDN w:val="0"/>
        <w:adjustRightInd w:val="0"/>
        <w:spacing w:line="360" w:lineRule="auto"/>
        <w:jc w:val="both"/>
        <w:rPr>
          <w:rFonts w:cs="Arial"/>
          <w:color w:val="000000"/>
          <w:sz w:val="24"/>
        </w:rPr>
      </w:pPr>
      <w:r>
        <w:rPr>
          <w:b/>
          <w:sz w:val="24"/>
        </w:rPr>
        <w:t>Organiquement</w:t>
      </w:r>
      <w:r>
        <w:rPr>
          <w:sz w:val="24"/>
        </w:rPr>
        <w:t>, le</w:t>
      </w:r>
      <w:r w:rsidR="00C86565">
        <w:rPr>
          <w:sz w:val="24"/>
        </w:rPr>
        <w:t xml:space="preserve"> développement de</w:t>
      </w:r>
      <w:r>
        <w:rPr>
          <w:sz w:val="24"/>
        </w:rPr>
        <w:t xml:space="preserve">s ventes du secteur d’activité </w:t>
      </w:r>
      <w:r>
        <w:rPr>
          <w:b/>
          <w:sz w:val="24"/>
        </w:rPr>
        <w:t>Beauty Care</w:t>
      </w:r>
      <w:r>
        <w:rPr>
          <w:sz w:val="24"/>
        </w:rPr>
        <w:t xml:space="preserve"> </w:t>
      </w:r>
      <w:r w:rsidR="00C86565">
        <w:rPr>
          <w:sz w:val="24"/>
        </w:rPr>
        <w:t>a</w:t>
      </w:r>
      <w:r>
        <w:rPr>
          <w:sz w:val="24"/>
        </w:rPr>
        <w:t xml:space="preserve"> légèrement baissé au cours de l’exercice 2018 </w:t>
      </w:r>
      <w:r w:rsidR="00C86565">
        <w:rPr>
          <w:sz w:val="24"/>
        </w:rPr>
        <w:t>à -</w:t>
      </w:r>
      <w:r>
        <w:rPr>
          <w:sz w:val="24"/>
        </w:rPr>
        <w:t xml:space="preserve"> 0,7 %. En valeur nominale, les ventes ont augmenté de 2,1 % pour atteindre 3 950 millions d'EUR. Le </w:t>
      </w:r>
      <w:r>
        <w:rPr>
          <w:b/>
          <w:sz w:val="24"/>
        </w:rPr>
        <w:t>résultat d'exploitation ajusté</w:t>
      </w:r>
      <w:r>
        <w:rPr>
          <w:sz w:val="24"/>
        </w:rPr>
        <w:t xml:space="preserve"> a augmenté de 1,6 % à 675 millions d'EUR. La rentabilité des ventes ajustée est légèrement inférieure à celle de l’an dernier, </w:t>
      </w:r>
      <w:r w:rsidR="00CB2838">
        <w:rPr>
          <w:sz w:val="24"/>
        </w:rPr>
        <w:t>à</w:t>
      </w:r>
      <w:r>
        <w:rPr>
          <w:sz w:val="24"/>
        </w:rPr>
        <w:t xml:space="preserve"> 17,1 %.</w:t>
      </w:r>
    </w:p>
    <w:p w14:paraId="48EF018C" w14:textId="77777777" w:rsidR="0060037E" w:rsidRPr="00C86565" w:rsidRDefault="0060037E" w:rsidP="0060037E">
      <w:pPr>
        <w:autoSpaceDE w:val="0"/>
        <w:autoSpaceDN w:val="0"/>
        <w:adjustRightInd w:val="0"/>
        <w:spacing w:line="360" w:lineRule="auto"/>
        <w:jc w:val="both"/>
        <w:rPr>
          <w:rFonts w:cs="Arial"/>
          <w:color w:val="000000"/>
          <w:sz w:val="24"/>
        </w:rPr>
      </w:pPr>
    </w:p>
    <w:p w14:paraId="141B2603" w14:textId="43116490" w:rsidR="0060037E" w:rsidRDefault="0060037E" w:rsidP="0060037E">
      <w:pPr>
        <w:spacing w:line="360" w:lineRule="auto"/>
        <w:jc w:val="both"/>
        <w:rPr>
          <w:sz w:val="24"/>
        </w:rPr>
      </w:pPr>
      <w:r w:rsidRPr="00C86565">
        <w:rPr>
          <w:sz w:val="24"/>
        </w:rPr>
        <w:t xml:space="preserve">Le secteur d'activité </w:t>
      </w:r>
      <w:r w:rsidRPr="00C86565">
        <w:rPr>
          <w:b/>
          <w:sz w:val="24"/>
        </w:rPr>
        <w:t>Laundry &amp; Home Care</w:t>
      </w:r>
      <w:r w:rsidRPr="00C86565">
        <w:rPr>
          <w:sz w:val="24"/>
        </w:rPr>
        <w:t xml:space="preserve"> a réalisé une bonne </w:t>
      </w:r>
      <w:r w:rsidRPr="00C86565">
        <w:rPr>
          <w:b/>
          <w:sz w:val="24"/>
        </w:rPr>
        <w:t>croissance organique des ventes</w:t>
      </w:r>
      <w:r w:rsidRPr="00C86565">
        <w:rPr>
          <w:sz w:val="24"/>
        </w:rPr>
        <w:t xml:space="preserve"> de 1,9 % au cours de l’exercice 2018. Nominalement, les ventes ont atteint 6 419 millions</w:t>
      </w:r>
      <w:r>
        <w:rPr>
          <w:sz w:val="24"/>
        </w:rPr>
        <w:t xml:space="preserve"> d’EUR, contre 6 651 millions d'EUR l’an dernier. Le </w:t>
      </w:r>
      <w:r>
        <w:rPr>
          <w:b/>
          <w:sz w:val="24"/>
        </w:rPr>
        <w:t>résultat d'exploitation ajusté</w:t>
      </w:r>
      <w:r>
        <w:rPr>
          <w:sz w:val="24"/>
        </w:rPr>
        <w:t xml:space="preserve"> a légèrement baissé de 0,7 % à 1 162 millions d'EUR. La rentabilité des ventes ajustée s'est fortement améliorée de 0,5 point pour atteindre 18,1 %.</w:t>
      </w:r>
    </w:p>
    <w:p w14:paraId="0D4BB02C" w14:textId="77777777" w:rsidR="00067E12" w:rsidRDefault="00067E12" w:rsidP="0060037E">
      <w:pPr>
        <w:spacing w:line="360" w:lineRule="auto"/>
        <w:jc w:val="both"/>
        <w:rPr>
          <w:sz w:val="24"/>
        </w:rPr>
      </w:pPr>
    </w:p>
    <w:p w14:paraId="708E05DF" w14:textId="77777777" w:rsidR="0060037E" w:rsidRPr="00225732" w:rsidRDefault="0060037E" w:rsidP="0060037E">
      <w:pPr>
        <w:autoSpaceDE w:val="0"/>
        <w:autoSpaceDN w:val="0"/>
        <w:adjustRightInd w:val="0"/>
        <w:spacing w:after="120" w:line="360" w:lineRule="auto"/>
        <w:jc w:val="both"/>
        <w:rPr>
          <w:b/>
          <w:sz w:val="24"/>
        </w:rPr>
      </w:pPr>
      <w:r>
        <w:rPr>
          <w:b/>
          <w:sz w:val="24"/>
        </w:rPr>
        <w:t>Progrès très significatifs dans la mise en œuvre de notre stratégie en 2018</w:t>
      </w:r>
    </w:p>
    <w:p w14:paraId="1384327A" w14:textId="59A0A42F" w:rsidR="0060037E" w:rsidRPr="00005DC3" w:rsidRDefault="0060037E" w:rsidP="0060037E">
      <w:pPr>
        <w:spacing w:line="360" w:lineRule="auto"/>
        <w:jc w:val="both"/>
        <w:rPr>
          <w:rFonts w:cs="Arial"/>
          <w:sz w:val="24"/>
        </w:rPr>
      </w:pPr>
      <w:r>
        <w:rPr>
          <w:sz w:val="24"/>
        </w:rPr>
        <w:t xml:space="preserve">« La stratégie à long terme de Henkel est très claire : nous voulons générer une croissance </w:t>
      </w:r>
      <w:r w:rsidR="00192CAA">
        <w:rPr>
          <w:sz w:val="24"/>
        </w:rPr>
        <w:t>profitable</w:t>
      </w:r>
      <w:r>
        <w:rPr>
          <w:sz w:val="24"/>
        </w:rPr>
        <w:t xml:space="preserve"> durable. Avec le programme Henkel 2020</w:t>
      </w:r>
      <w:r>
        <w:rPr>
          <w:sz w:val="24"/>
          <w:vertAlign w:val="superscript"/>
        </w:rPr>
        <w:t>+</w:t>
      </w:r>
      <w:r>
        <w:rPr>
          <w:sz w:val="24"/>
        </w:rPr>
        <w:t xml:space="preserve">, nous avons défini quatre priorités stratégiques pour 2020 et au-delà : stimuler la croissance, accélérer la digitalisation, renforcer l’agilité et </w:t>
      </w:r>
      <w:r w:rsidR="0055603C">
        <w:rPr>
          <w:sz w:val="24"/>
        </w:rPr>
        <w:t>investir dans</w:t>
      </w:r>
      <w:r>
        <w:rPr>
          <w:sz w:val="24"/>
        </w:rPr>
        <w:t xml:space="preserve"> la croissance. Nous avons bien </w:t>
      </w:r>
      <w:r w:rsidR="0055603C">
        <w:rPr>
          <w:sz w:val="24"/>
        </w:rPr>
        <w:t>progressé</w:t>
      </w:r>
      <w:r>
        <w:rPr>
          <w:sz w:val="24"/>
        </w:rPr>
        <w:t xml:space="preserve"> ces deux dernières années, au cours desquelles nous avons lancé avec succès des initiatives stratégiques clés</w:t>
      </w:r>
      <w:r w:rsidR="00F37BF9">
        <w:rPr>
          <w:sz w:val="24"/>
        </w:rPr>
        <w:t xml:space="preserve"> » indique Hans Van </w:t>
      </w:r>
      <w:proofErr w:type="spellStart"/>
      <w:r w:rsidR="00F37BF9">
        <w:rPr>
          <w:sz w:val="24"/>
        </w:rPr>
        <w:t>Bylen</w:t>
      </w:r>
      <w:proofErr w:type="spellEnd"/>
      <w:r>
        <w:rPr>
          <w:sz w:val="24"/>
        </w:rPr>
        <w:t>.</w:t>
      </w:r>
    </w:p>
    <w:p w14:paraId="51912C8A" w14:textId="5A95BD8E" w:rsidR="0060037E" w:rsidRDefault="0060037E" w:rsidP="0060037E">
      <w:pPr>
        <w:spacing w:line="360" w:lineRule="auto"/>
        <w:jc w:val="both"/>
        <w:rPr>
          <w:rFonts w:cs="Arial"/>
          <w:sz w:val="24"/>
        </w:rPr>
      </w:pPr>
    </w:p>
    <w:p w14:paraId="408A69BC" w14:textId="77777777" w:rsidR="00E04618" w:rsidRDefault="00950217" w:rsidP="0060037E">
      <w:pPr>
        <w:spacing w:line="360" w:lineRule="auto"/>
        <w:jc w:val="both"/>
        <w:rPr>
          <w:sz w:val="24"/>
        </w:rPr>
      </w:pPr>
      <w:r>
        <w:rPr>
          <w:sz w:val="24"/>
        </w:rPr>
        <w:t xml:space="preserve">En 2018 Henkel a poursuivi la mise en œuvre d’une série de projets et d’initiatives </w:t>
      </w:r>
    </w:p>
    <w:p w14:paraId="455BF4E0" w14:textId="42F9A4DA" w:rsidR="00E04618" w:rsidRDefault="00E04618" w:rsidP="0060037E">
      <w:pPr>
        <w:spacing w:line="360" w:lineRule="auto"/>
        <w:jc w:val="both"/>
        <w:rPr>
          <w:sz w:val="24"/>
        </w:rPr>
      </w:pPr>
      <w:r>
        <w:rPr>
          <w:noProof/>
        </w:rPr>
        <mc:AlternateContent>
          <mc:Choice Requires="wps">
            <w:drawing>
              <wp:anchor distT="45720" distB="45720" distL="114300" distR="114300" simplePos="0" relativeHeight="251671552" behindDoc="0" locked="0" layoutInCell="1" allowOverlap="1" wp14:anchorId="7E3611FD" wp14:editId="7B5D0C18">
                <wp:simplePos x="0" y="0"/>
                <wp:positionH relativeFrom="margin">
                  <wp:posOffset>0</wp:posOffset>
                </wp:positionH>
                <wp:positionV relativeFrom="paragraph">
                  <wp:posOffset>201930</wp:posOffset>
                </wp:positionV>
                <wp:extent cx="4779010" cy="431165"/>
                <wp:effectExtent l="0" t="0" r="21590" b="2667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431165"/>
                        </a:xfrm>
                        <a:prstGeom prst="rect">
                          <a:avLst/>
                        </a:prstGeom>
                        <a:solidFill>
                          <a:srgbClr val="FFFFFF"/>
                        </a:solidFill>
                        <a:ln w="9525">
                          <a:solidFill>
                            <a:srgbClr val="FFFFFF"/>
                          </a:solidFill>
                          <a:miter lim="800000"/>
                          <a:headEnd/>
                          <a:tailEnd/>
                        </a:ln>
                      </wps:spPr>
                      <wps:txbx>
                        <w:txbxContent>
                          <w:p w14:paraId="73CE0DF0" w14:textId="77777777" w:rsidR="00E04618" w:rsidRPr="00054A53" w:rsidRDefault="00E04618" w:rsidP="00E04618">
                            <w:pPr>
                              <w:rPr>
                                <w:sz w:val="16"/>
                                <w:szCs w:val="16"/>
                              </w:rPr>
                            </w:pPr>
                            <w:r>
                              <w:rPr>
                                <w:b/>
                                <w:sz w:val="16"/>
                                <w:szCs w:val="16"/>
                                <w:vertAlign w:val="superscript"/>
                              </w:rPr>
                              <w:t>3</w:t>
                            </w:r>
                            <w:r>
                              <w:rPr>
                                <w:sz w:val="16"/>
                                <w:szCs w:val="16"/>
                              </w:rPr>
                              <w:t xml:space="preserve"> Chiffres de l’année précédente corrigés (principalement en raison d’une modification des politiques comptables conformément aux normes IFRS).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3611FD" id="Zone de texte 12" o:spid="_x0000_s1028" type="#_x0000_t202" style="position:absolute;left:0;text-align:left;margin-left:0;margin-top:15.9pt;width:376.3pt;height:33.9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5yLAIAAF4EAAAOAAAAZHJzL2Uyb0RvYy54bWysVE2P0zAQvSPxHyzfaZrSbrdR09XSpQhp&#10;+ZAWLtwcx0ks/MXYbVJ+PWOnLQVuK3KwPB77zcx7M1nfDVqRgwAvrSlpPplSIgy3tTRtSb9+2b26&#10;pcQHZmqmrBElPQpP7zYvX6x7V4iZ7ayqBRAEMb7oXUm7EFyRZZ53QjM/sU4YdDYWNAtoQpvVwHpE&#10;1yqbTac3WW+hdmC58B5PH0Yn3ST8phE8fGoaLwJRJcXcQlohrVVcs82aFS0w10l+SoM9IwvNpMGg&#10;F6gHFhjZg/wHSksO1tsmTLjVmW0ayUWqAavJp39V89QxJ1ItSI53F5r8/4PlHw+fgcgatZtRYphG&#10;jb6hUqQWJIghCILnSFLvfIF3nxzeDsMbO+CDVLB3j5Z/98TYbcdMK+4BbN8JVmOSeXyZXT0dcXwE&#10;qfoPtsZgbB9sAhoa0JFB5IQgOop1vAiEiRCOh/PlcoU0UcLRN3+d5zeLFIIV59cOfHgnrCZxU1LA&#10;Bkjo7PDoQ8yGFecrMZi3StY7qVQyoK22CsiBYbPs0ndC/+OaMqQv6WoxW4wEPANCy4Bdr6Qu6e00&#10;fjEOKyJtb02d9oFJNe4xZWVOPEbqRhLDUA1Jt4s8la2PSCzYsclxKHHTWfhJSY8NXlL/Y89AUKLe&#10;GxRnlc/ncSKSMV8sZ2jAtae69jDDEaqkgZJxuw3jFO0dyLbDSOd2uEdBdzJxHZUfszqlj02cJDgN&#10;XJySazvd+v1b2PwCAAD//wMAUEsDBBQABgAIAAAAIQBChBLR3gAAAAYBAAAPAAAAZHJzL2Rvd25y&#10;ZXYueG1sTM/BTsMwDAbgOxLvEBmJG0s2REdL0wkhkOAwTQwQ4pYlpu1onKpJt/L2mBMcrd/6/blc&#10;Tb4TBxxiG0jDfKZAINngWqo1vL48XFyDiMmQM10g1PCNEVbV6UlpCheO9IyHbaoFl1AsjIYmpb6Q&#10;MtoGvYmz0CNx9hkGbxKPQy3dYI5c7ju5UCqT3rTEFxrT412D9ms7eg33tn/MNx/d/n1j31Q2qvXT&#10;Pqy1Pj+bbm9AJJzS3zL88pkOFZt2YSQXRaeBH0kaLufs53R5tchA7DTk+RJkVcr//OoHAAD//wMA&#10;UEsBAi0AFAAGAAgAAAAhALaDOJL+AAAA4QEAABMAAAAAAAAAAAAAAAAAAAAAAFtDb250ZW50X1R5&#10;cGVzXS54bWxQSwECLQAUAAYACAAAACEAOP0h/9YAAACUAQAACwAAAAAAAAAAAAAAAAAvAQAAX3Jl&#10;bHMvLnJlbHNQSwECLQAUAAYACAAAACEAKcIOciwCAABeBAAADgAAAAAAAAAAAAAAAAAuAgAAZHJz&#10;L2Uyb0RvYy54bWxQSwECLQAUAAYACAAAACEAQoQS0d4AAAAGAQAADwAAAAAAAAAAAAAAAACGBAAA&#10;ZHJzL2Rvd25yZXYueG1sUEsFBgAAAAAEAAQA8wAAAJEFAAAAAA==&#10;" strokecolor="white">
                <v:textbox style="mso-fit-shape-to-text:t">
                  <w:txbxContent>
                    <w:p w14:paraId="73CE0DF0" w14:textId="77777777" w:rsidR="00E04618" w:rsidRPr="00054A53" w:rsidRDefault="00E04618" w:rsidP="00E04618">
                      <w:pPr>
                        <w:rPr>
                          <w:sz w:val="16"/>
                          <w:szCs w:val="16"/>
                        </w:rPr>
                      </w:pPr>
                      <w:r>
                        <w:rPr>
                          <w:b/>
                          <w:sz w:val="16"/>
                          <w:szCs w:val="16"/>
                          <w:vertAlign w:val="superscript"/>
                        </w:rPr>
                        <w:t>3</w:t>
                      </w:r>
                      <w:r>
                        <w:rPr>
                          <w:sz w:val="16"/>
                          <w:szCs w:val="16"/>
                        </w:rPr>
                        <w:t xml:space="preserve"> Chiffres de l’année précédente corrigés (principalement en raison d’une modification des politiques comptables conformément aux normes IFRS).</w:t>
                      </w:r>
                    </w:p>
                  </w:txbxContent>
                </v:textbox>
                <w10:wrap type="square" anchorx="margin"/>
              </v:shape>
            </w:pict>
          </mc:Fallback>
        </mc:AlternateContent>
      </w:r>
    </w:p>
    <w:p w14:paraId="49668924" w14:textId="19073A80" w:rsidR="0060037E" w:rsidRPr="009901E6" w:rsidRDefault="00950217" w:rsidP="0060037E">
      <w:pPr>
        <w:spacing w:line="360" w:lineRule="auto"/>
        <w:jc w:val="both"/>
        <w:rPr>
          <w:rFonts w:cs="Arial"/>
          <w:sz w:val="24"/>
        </w:rPr>
      </w:pPr>
      <w:proofErr w:type="gramStart"/>
      <w:r>
        <w:rPr>
          <w:sz w:val="24"/>
        </w:rPr>
        <w:lastRenderedPageBreak/>
        <w:t>visant</w:t>
      </w:r>
      <w:proofErr w:type="gramEnd"/>
      <w:r>
        <w:rPr>
          <w:sz w:val="24"/>
        </w:rPr>
        <w:t xml:space="preserve"> à stimuler la croissance de ses marchés à travers le monde. La collaboration étroite avec nos </w:t>
      </w:r>
      <w:r>
        <w:rPr>
          <w:b/>
          <w:sz w:val="24"/>
        </w:rPr>
        <w:t>clients</w:t>
      </w:r>
      <w:r>
        <w:rPr>
          <w:sz w:val="24"/>
        </w:rPr>
        <w:t xml:space="preserve"> des secteurs de l’industrie et de la grande consommation,</w:t>
      </w:r>
      <w:r w:rsidR="009901E6">
        <w:rPr>
          <w:rFonts w:cs="Arial"/>
          <w:sz w:val="24"/>
        </w:rPr>
        <w:t xml:space="preserve"> </w:t>
      </w:r>
      <w:r w:rsidR="0060037E">
        <w:rPr>
          <w:sz w:val="24"/>
        </w:rPr>
        <w:t>reposant sur des échanges approfondis et réguliers, est un facteur essentiel de notre</w:t>
      </w:r>
      <w:r>
        <w:rPr>
          <w:sz w:val="24"/>
        </w:rPr>
        <w:t xml:space="preserve"> </w:t>
      </w:r>
      <w:r w:rsidR="0060037E">
        <w:rPr>
          <w:sz w:val="24"/>
        </w:rPr>
        <w:t xml:space="preserve">réussite. </w:t>
      </w:r>
    </w:p>
    <w:p w14:paraId="59D20333" w14:textId="2A14AA7B" w:rsidR="00950217" w:rsidRPr="00D67757" w:rsidRDefault="00950217" w:rsidP="0060037E">
      <w:pPr>
        <w:spacing w:line="360" w:lineRule="auto"/>
        <w:jc w:val="both"/>
        <w:rPr>
          <w:rFonts w:cs="Arial"/>
          <w:sz w:val="24"/>
        </w:rPr>
      </w:pPr>
    </w:p>
    <w:p w14:paraId="33828AD6" w14:textId="1A8B0F69" w:rsidR="0060037E" w:rsidRPr="0010034C" w:rsidRDefault="0060037E" w:rsidP="0060037E">
      <w:pPr>
        <w:spacing w:line="360" w:lineRule="auto"/>
        <w:jc w:val="both"/>
        <w:rPr>
          <w:rFonts w:cs="Arial"/>
          <w:sz w:val="24"/>
        </w:rPr>
      </w:pPr>
      <w:r>
        <w:rPr>
          <w:sz w:val="24"/>
        </w:rPr>
        <w:t xml:space="preserve">Nous avons tout particulièrement travaillé sur </w:t>
      </w:r>
      <w:r>
        <w:rPr>
          <w:b/>
          <w:sz w:val="24"/>
        </w:rPr>
        <w:t>l’accélération des cycles d’innovation</w:t>
      </w:r>
      <w:r>
        <w:rPr>
          <w:sz w:val="24"/>
        </w:rPr>
        <w:t xml:space="preserve"> et la réduction des délais de mise sur le marché pour répondre encore plus rapidement aux nouvelles tendances et aux besoins de nos clients. Henkel a également amélioré ses processus d’innovation, ce qui a entraîné </w:t>
      </w:r>
      <w:r>
        <w:rPr>
          <w:b/>
          <w:sz w:val="24"/>
        </w:rPr>
        <w:t>une augmentation du taux d’innovation mais aussi des ventes des produits lors de leur première année sur le marché</w:t>
      </w:r>
      <w:r>
        <w:rPr>
          <w:sz w:val="24"/>
        </w:rPr>
        <w:t xml:space="preserve">, pour l’ensemble des innovations comme pour </w:t>
      </w:r>
      <w:proofErr w:type="gramStart"/>
      <w:r>
        <w:rPr>
          <w:sz w:val="24"/>
        </w:rPr>
        <w:t>les dix plus importantes</w:t>
      </w:r>
      <w:proofErr w:type="gramEnd"/>
      <w:r>
        <w:rPr>
          <w:sz w:val="24"/>
        </w:rPr>
        <w:t>.</w:t>
      </w:r>
    </w:p>
    <w:p w14:paraId="3214F59B" w14:textId="77777777" w:rsidR="0060037E" w:rsidRPr="008E699B" w:rsidRDefault="0060037E" w:rsidP="0060037E">
      <w:pPr>
        <w:spacing w:line="360" w:lineRule="auto"/>
        <w:jc w:val="both"/>
        <w:rPr>
          <w:rFonts w:cs="Arial"/>
          <w:sz w:val="24"/>
        </w:rPr>
      </w:pPr>
    </w:p>
    <w:p w14:paraId="691F082F" w14:textId="77777777" w:rsidR="0060037E" w:rsidRPr="0010034C" w:rsidRDefault="0060037E" w:rsidP="0060037E">
      <w:pPr>
        <w:spacing w:line="360" w:lineRule="auto"/>
        <w:jc w:val="both"/>
        <w:rPr>
          <w:rFonts w:cs="Arial"/>
          <w:sz w:val="24"/>
        </w:rPr>
      </w:pPr>
      <w:r>
        <w:rPr>
          <w:sz w:val="24"/>
        </w:rPr>
        <w:t xml:space="preserve">Par ailleurs Henkel a poursuivi </w:t>
      </w:r>
      <w:r>
        <w:rPr>
          <w:b/>
          <w:sz w:val="24"/>
        </w:rPr>
        <w:t>l’intégration des entreprises nouvellement acquises</w:t>
      </w:r>
      <w:r>
        <w:rPr>
          <w:sz w:val="24"/>
        </w:rPr>
        <w:t xml:space="preserve"> ; tout en concluant de nouvelles </w:t>
      </w:r>
      <w:r>
        <w:rPr>
          <w:b/>
          <w:sz w:val="24"/>
        </w:rPr>
        <w:t>acquisitions</w:t>
      </w:r>
      <w:r>
        <w:rPr>
          <w:sz w:val="24"/>
        </w:rPr>
        <w:t xml:space="preserve"> qui nous feront gagner en compétitivité et qui viennent compléter notre portefeuille de produits destinés aux industriels et aux consommateurs.</w:t>
      </w:r>
    </w:p>
    <w:p w14:paraId="6689DAD9" w14:textId="77777777" w:rsidR="0060037E" w:rsidRPr="008E699B" w:rsidRDefault="0060037E" w:rsidP="0060037E">
      <w:pPr>
        <w:spacing w:line="360" w:lineRule="auto"/>
        <w:jc w:val="both"/>
        <w:rPr>
          <w:rFonts w:cs="Arial"/>
          <w:sz w:val="24"/>
        </w:rPr>
      </w:pPr>
    </w:p>
    <w:p w14:paraId="519DA6A0" w14:textId="419F0455" w:rsidR="0060037E" w:rsidRDefault="0060037E" w:rsidP="0060037E">
      <w:pPr>
        <w:spacing w:line="360" w:lineRule="auto"/>
        <w:jc w:val="both"/>
        <w:rPr>
          <w:rFonts w:cs="Arial"/>
          <w:sz w:val="24"/>
        </w:rPr>
      </w:pPr>
      <w:r>
        <w:rPr>
          <w:sz w:val="24"/>
        </w:rPr>
        <w:t xml:space="preserve">Pour </w:t>
      </w:r>
      <w:r>
        <w:rPr>
          <w:b/>
          <w:sz w:val="24"/>
        </w:rPr>
        <w:t>tirer profit des nouvelles opportunités de croissance</w:t>
      </w:r>
      <w:r>
        <w:rPr>
          <w:sz w:val="24"/>
        </w:rPr>
        <w:t>, le fonds d’investissement en capital-risque du Groupe Henkel continue d’investir dans les technologies, les matériaux, les applications, les activités et les modèles de services innovants</w:t>
      </w:r>
      <w:r w:rsidR="00322E05">
        <w:rPr>
          <w:sz w:val="24"/>
        </w:rPr>
        <w:t>,</w:t>
      </w:r>
      <w:r>
        <w:rPr>
          <w:sz w:val="24"/>
        </w:rPr>
        <w:t xml:space="preserve"> en investissant directement dans </w:t>
      </w:r>
      <w:proofErr w:type="gramStart"/>
      <w:r>
        <w:rPr>
          <w:sz w:val="24"/>
        </w:rPr>
        <w:t>des start-up</w:t>
      </w:r>
      <w:proofErr w:type="gramEnd"/>
      <w:r>
        <w:rPr>
          <w:sz w:val="24"/>
        </w:rPr>
        <w:t xml:space="preserve"> mais aussi dans d’autres fonds de capital-risque. Henkel a prévu d’investir dans ce domaine environ 150 millions d’EUR entre 2017 et 2020. Fin 2018, environ la moitié de cette somme avait déjà été investie ou engagée.</w:t>
      </w:r>
    </w:p>
    <w:p w14:paraId="280E2244" w14:textId="77777777" w:rsidR="0060037E" w:rsidRPr="008E699B" w:rsidRDefault="0060037E" w:rsidP="0060037E">
      <w:pPr>
        <w:spacing w:line="360" w:lineRule="auto"/>
        <w:jc w:val="both"/>
        <w:rPr>
          <w:rFonts w:cs="Arial"/>
          <w:sz w:val="24"/>
        </w:rPr>
      </w:pPr>
    </w:p>
    <w:p w14:paraId="414551E3" w14:textId="2E5919D6" w:rsidR="0060037E" w:rsidRPr="0010034C" w:rsidRDefault="0060037E" w:rsidP="0060037E">
      <w:pPr>
        <w:spacing w:line="360" w:lineRule="auto"/>
        <w:jc w:val="both"/>
        <w:rPr>
          <w:rFonts w:cs="Arial"/>
          <w:sz w:val="24"/>
        </w:rPr>
      </w:pPr>
      <w:r>
        <w:rPr>
          <w:sz w:val="24"/>
        </w:rPr>
        <w:t xml:space="preserve">La </w:t>
      </w:r>
      <w:r>
        <w:rPr>
          <w:b/>
          <w:sz w:val="24"/>
        </w:rPr>
        <w:t>transformation digitale</w:t>
      </w:r>
      <w:r>
        <w:rPr>
          <w:sz w:val="24"/>
        </w:rPr>
        <w:t xml:space="preserve"> de l’entreprise se poursuit avec succès. En 2018 les ventes digitales du groupe ont atteint des taux de croissance organique à deux chiffres, portées notamment par une croissance organique de plus de 30 % dans les secteurs des biens de</w:t>
      </w:r>
      <w:r w:rsidR="00604777">
        <w:rPr>
          <w:sz w:val="24"/>
        </w:rPr>
        <w:t xml:space="preserve"> grande</w:t>
      </w:r>
      <w:r>
        <w:rPr>
          <w:sz w:val="24"/>
        </w:rPr>
        <w:t xml:space="preserve"> consommation. Henkel a continué d’investir sur ses sites de production pour tirer pleinement profit du potentiel de l’Industrie 4.0. L’objectif est d’optimiser le pilotage des sites et des procédés de production pour améliorer la qualité, gagner en efficacité et rendre nos opérations encore plus respectueuses de </w:t>
      </w:r>
      <w:r>
        <w:rPr>
          <w:sz w:val="24"/>
        </w:rPr>
        <w:lastRenderedPageBreak/>
        <w:t>l’environnement.</w:t>
      </w:r>
      <w:r>
        <w:rPr>
          <w:sz w:val="24"/>
        </w:rPr>
        <w:br/>
      </w:r>
      <w:r>
        <w:rPr>
          <w:sz w:val="24"/>
        </w:rPr>
        <w:br/>
        <w:t xml:space="preserve">Un </w:t>
      </w:r>
      <w:r>
        <w:rPr>
          <w:b/>
          <w:sz w:val="24"/>
        </w:rPr>
        <w:t>Comité consultatif du digital</w:t>
      </w:r>
      <w:r>
        <w:rPr>
          <w:sz w:val="24"/>
        </w:rPr>
        <w:t xml:space="preserve">, composé d’experts </w:t>
      </w:r>
      <w:r w:rsidR="000E73DE">
        <w:rPr>
          <w:sz w:val="24"/>
        </w:rPr>
        <w:t>reconnus</w:t>
      </w:r>
      <w:r>
        <w:rPr>
          <w:sz w:val="24"/>
        </w:rPr>
        <w:t xml:space="preserve"> du secteur, a été créé pour conseiller le Comité de direction sur tous les sujets relatifs à la transformation digitale.</w:t>
      </w:r>
    </w:p>
    <w:p w14:paraId="1B633A5F" w14:textId="77777777" w:rsidR="0060037E" w:rsidRPr="008E699B" w:rsidRDefault="0060037E" w:rsidP="0060037E">
      <w:pPr>
        <w:spacing w:line="360" w:lineRule="auto"/>
        <w:jc w:val="both"/>
        <w:rPr>
          <w:rFonts w:cs="Arial"/>
          <w:sz w:val="24"/>
        </w:rPr>
      </w:pPr>
    </w:p>
    <w:p w14:paraId="48C31E3C" w14:textId="7DC338CF" w:rsidR="0060037E" w:rsidRPr="0010034C" w:rsidRDefault="0060037E" w:rsidP="0060037E">
      <w:pPr>
        <w:spacing w:line="360" w:lineRule="auto"/>
        <w:jc w:val="both"/>
        <w:rPr>
          <w:rFonts w:cs="Arial"/>
          <w:sz w:val="24"/>
        </w:rPr>
      </w:pPr>
      <w:r>
        <w:rPr>
          <w:sz w:val="24"/>
        </w:rPr>
        <w:t xml:space="preserve">La plateforme interne et externe </w:t>
      </w:r>
      <w:r>
        <w:rPr>
          <w:b/>
          <w:sz w:val="24"/>
        </w:rPr>
        <w:t>Henkel</w:t>
      </w:r>
      <w:r w:rsidR="000E73DE">
        <w:rPr>
          <w:b/>
          <w:sz w:val="24"/>
        </w:rPr>
        <w:t xml:space="preserve"> X</w:t>
      </w:r>
      <w:r>
        <w:rPr>
          <w:sz w:val="24"/>
        </w:rPr>
        <w:t xml:space="preserve"> a été lancée pour accélérer la transformation digitale de Henkel. Pour soutenir et conseiller ses </w:t>
      </w:r>
      <w:r w:rsidR="000E73DE">
        <w:rPr>
          <w:sz w:val="24"/>
        </w:rPr>
        <w:t>équipes</w:t>
      </w:r>
      <w:r>
        <w:rPr>
          <w:sz w:val="24"/>
        </w:rPr>
        <w:t xml:space="preserve"> impliqué</w:t>
      </w:r>
      <w:r w:rsidR="000E73DE">
        <w:rPr>
          <w:sz w:val="24"/>
        </w:rPr>
        <w:t>e</w:t>
      </w:r>
      <w:r>
        <w:rPr>
          <w:sz w:val="24"/>
        </w:rPr>
        <w:t>s dans des projets et initiatives portant sur le digital, Henkel a également mis en place un réseau</w:t>
      </w:r>
      <w:r w:rsidR="000E73DE">
        <w:rPr>
          <w:sz w:val="24"/>
        </w:rPr>
        <w:t xml:space="preserve"> externe</w:t>
      </w:r>
      <w:r>
        <w:rPr>
          <w:sz w:val="24"/>
        </w:rPr>
        <w:t xml:space="preserve"> de</w:t>
      </w:r>
      <w:r w:rsidR="000E73DE">
        <w:rPr>
          <w:sz w:val="24"/>
        </w:rPr>
        <w:t xml:space="preserve"> près de</w:t>
      </w:r>
      <w:r>
        <w:rPr>
          <w:sz w:val="24"/>
        </w:rPr>
        <w:t xml:space="preserve"> 150 mentors</w:t>
      </w:r>
      <w:r w:rsidR="000E73DE">
        <w:rPr>
          <w:sz w:val="24"/>
        </w:rPr>
        <w:t>,</w:t>
      </w:r>
      <w:r>
        <w:rPr>
          <w:sz w:val="24"/>
        </w:rPr>
        <w:t xml:space="preserve"> parmi lesquels des fondateurs de start-up, des experts du digital et des leaders d'opinion. Ces initiatives s’ajoutent à toute une série d’activités internes et externes visant à améliorer les compétences digitales de l’organisation dans son ensemble.</w:t>
      </w:r>
    </w:p>
    <w:p w14:paraId="006BC7D5" w14:textId="77777777" w:rsidR="0060037E" w:rsidRPr="008E699B" w:rsidRDefault="0060037E" w:rsidP="0060037E">
      <w:pPr>
        <w:spacing w:line="360" w:lineRule="auto"/>
        <w:jc w:val="both"/>
        <w:rPr>
          <w:rFonts w:cs="Arial"/>
          <w:sz w:val="24"/>
        </w:rPr>
      </w:pPr>
    </w:p>
    <w:p w14:paraId="41DDD64C" w14:textId="47F5F5BC" w:rsidR="0060037E" w:rsidRPr="00C64104" w:rsidRDefault="0060037E" w:rsidP="0060037E">
      <w:pPr>
        <w:spacing w:line="360" w:lineRule="auto"/>
        <w:jc w:val="both"/>
        <w:rPr>
          <w:rFonts w:cs="Arial"/>
          <w:sz w:val="24"/>
        </w:rPr>
      </w:pPr>
      <w:r>
        <w:rPr>
          <w:sz w:val="24"/>
        </w:rPr>
        <w:t xml:space="preserve">La transformation digitale est étroitement liée à la priorité stratégique qui consiste à </w:t>
      </w:r>
      <w:r>
        <w:rPr>
          <w:b/>
          <w:sz w:val="24"/>
        </w:rPr>
        <w:t>renforcer l’agilité</w:t>
      </w:r>
      <w:r>
        <w:rPr>
          <w:sz w:val="24"/>
        </w:rPr>
        <w:t xml:space="preserve"> du Groupe. En 2018, Henkel a continué à </w:t>
      </w:r>
      <w:r w:rsidR="00A75503">
        <w:rPr>
          <w:sz w:val="24"/>
        </w:rPr>
        <w:t>renforcer</w:t>
      </w:r>
      <w:r>
        <w:rPr>
          <w:sz w:val="24"/>
        </w:rPr>
        <w:t xml:space="preserve"> l’esprit </w:t>
      </w:r>
      <w:r w:rsidR="00A75503">
        <w:rPr>
          <w:sz w:val="24"/>
        </w:rPr>
        <w:t>entrepreneurial</w:t>
      </w:r>
      <w:r>
        <w:rPr>
          <w:sz w:val="24"/>
        </w:rPr>
        <w:t xml:space="preserve"> de ses équipes, encouragé </w:t>
      </w:r>
      <w:r w:rsidR="00A75503">
        <w:rPr>
          <w:sz w:val="24"/>
        </w:rPr>
        <w:t>l’ouverture</w:t>
      </w:r>
      <w:r w:rsidR="0096370F">
        <w:rPr>
          <w:sz w:val="24"/>
        </w:rPr>
        <w:t xml:space="preserve"> au</w:t>
      </w:r>
      <w:r>
        <w:rPr>
          <w:sz w:val="24"/>
        </w:rPr>
        <w:t xml:space="preserve"> changement, optimisé les flux</w:t>
      </w:r>
      <w:r w:rsidR="0096370F">
        <w:rPr>
          <w:sz w:val="24"/>
        </w:rPr>
        <w:t xml:space="preserve"> et les process</w:t>
      </w:r>
      <w:r>
        <w:rPr>
          <w:sz w:val="24"/>
        </w:rPr>
        <w:t>, favorisé une communication plus transparente et donné toujours plus de place à la prise de décision individuelle.</w:t>
      </w:r>
    </w:p>
    <w:p w14:paraId="767309FC" w14:textId="77777777" w:rsidR="0060037E" w:rsidRPr="008E699B" w:rsidRDefault="0060037E" w:rsidP="0060037E">
      <w:pPr>
        <w:spacing w:line="360" w:lineRule="auto"/>
        <w:jc w:val="both"/>
        <w:rPr>
          <w:rFonts w:cs="Arial"/>
          <w:sz w:val="24"/>
        </w:rPr>
      </w:pPr>
    </w:p>
    <w:p w14:paraId="209A3526" w14:textId="07770C1E" w:rsidR="00F617CC" w:rsidRDefault="0060037E" w:rsidP="0060037E">
      <w:pPr>
        <w:spacing w:line="360" w:lineRule="auto"/>
        <w:jc w:val="both"/>
        <w:rPr>
          <w:rFonts w:cs="Arial"/>
          <w:sz w:val="24"/>
        </w:rPr>
      </w:pPr>
      <w:bookmarkStart w:id="2" w:name="_Hlk1485815"/>
      <w:r>
        <w:rPr>
          <w:sz w:val="24"/>
        </w:rPr>
        <w:t>Dans le cadre de sa priorité stratégique d’</w:t>
      </w:r>
      <w:r>
        <w:rPr>
          <w:b/>
          <w:sz w:val="24"/>
        </w:rPr>
        <w:t>investi</w:t>
      </w:r>
      <w:r w:rsidR="00FE6A74">
        <w:rPr>
          <w:b/>
          <w:sz w:val="24"/>
        </w:rPr>
        <w:t>r</w:t>
      </w:r>
      <w:r>
        <w:rPr>
          <w:b/>
          <w:sz w:val="24"/>
        </w:rPr>
        <w:t xml:space="preserve"> dans la croissance</w:t>
      </w:r>
      <w:r>
        <w:rPr>
          <w:sz w:val="24"/>
        </w:rPr>
        <w:t xml:space="preserve">, Henkel a poursuivi ses efforts en matière de discipline des coûts et d’amélioration du rendement. À ce titre, quatre initiatives ont été lancées. Les projets </w:t>
      </w:r>
      <w:proofErr w:type="spellStart"/>
      <w:proofErr w:type="gramStart"/>
      <w:r>
        <w:rPr>
          <w:sz w:val="24"/>
        </w:rPr>
        <w:t>ONE!ViEW</w:t>
      </w:r>
      <w:proofErr w:type="spellEnd"/>
      <w:proofErr w:type="gramEnd"/>
      <w:r>
        <w:rPr>
          <w:sz w:val="24"/>
        </w:rPr>
        <w:t xml:space="preserve"> et </w:t>
      </w:r>
      <w:r w:rsidR="00FE6A74">
        <w:rPr>
          <w:sz w:val="24"/>
        </w:rPr>
        <w:t xml:space="preserve">Net Revenue Management (NRM) </w:t>
      </w:r>
      <w:r>
        <w:rPr>
          <w:sz w:val="24"/>
        </w:rPr>
        <w:t>ont été déployés dans toute l'entreprise. Dans le même temps, le système d’organisation des chaînes d’approvisionnement intégrées à l’échelle globale (</w:t>
      </w:r>
      <w:proofErr w:type="gramStart"/>
      <w:r>
        <w:rPr>
          <w:sz w:val="24"/>
        </w:rPr>
        <w:t>ONE!GSC</w:t>
      </w:r>
      <w:proofErr w:type="gramEnd"/>
      <w:r>
        <w:rPr>
          <w:sz w:val="24"/>
        </w:rPr>
        <w:t xml:space="preserve">) et l’optimisation des services partagés contribuent fortement à améliorer notre </w:t>
      </w:r>
      <w:r w:rsidR="00FE6A74">
        <w:rPr>
          <w:sz w:val="24"/>
        </w:rPr>
        <w:t>efficacité</w:t>
      </w:r>
      <w:r>
        <w:rPr>
          <w:sz w:val="24"/>
        </w:rPr>
        <w:t xml:space="preserve">. Ces quatre initiatives devraient représenter plus de 500 millions d’EUR de </w:t>
      </w:r>
      <w:r>
        <w:rPr>
          <w:b/>
          <w:sz w:val="24"/>
        </w:rPr>
        <w:t>gains d’efficacité</w:t>
      </w:r>
      <w:r>
        <w:rPr>
          <w:sz w:val="24"/>
        </w:rPr>
        <w:t xml:space="preserve"> chaque année à partir de 2020</w:t>
      </w:r>
      <w:r w:rsidR="00FE6A74">
        <w:rPr>
          <w:sz w:val="24"/>
        </w:rPr>
        <w:t>.</w:t>
      </w:r>
      <w:r>
        <w:rPr>
          <w:sz w:val="24"/>
        </w:rPr>
        <w:t xml:space="preserve"> En 2018, Henkel a déjà atteint plus de la moitié de cet objectif.</w:t>
      </w:r>
    </w:p>
    <w:p w14:paraId="7D188B13" w14:textId="5790FA9E" w:rsidR="00F617CC" w:rsidRDefault="00F617CC" w:rsidP="0060037E">
      <w:pPr>
        <w:spacing w:line="360" w:lineRule="auto"/>
        <w:jc w:val="both"/>
        <w:rPr>
          <w:rFonts w:cs="Arial"/>
          <w:sz w:val="24"/>
        </w:rPr>
      </w:pPr>
    </w:p>
    <w:p w14:paraId="6FEB6466" w14:textId="38322FE0" w:rsidR="00F617CC" w:rsidRDefault="00F617CC" w:rsidP="0060037E">
      <w:pPr>
        <w:spacing w:line="360" w:lineRule="auto"/>
        <w:jc w:val="both"/>
        <w:rPr>
          <w:rFonts w:cs="Arial"/>
          <w:sz w:val="24"/>
        </w:rPr>
      </w:pPr>
    </w:p>
    <w:p w14:paraId="78637884" w14:textId="77777777" w:rsidR="00F617CC" w:rsidRPr="008E699B" w:rsidRDefault="00F617CC" w:rsidP="0060037E">
      <w:pPr>
        <w:spacing w:line="360" w:lineRule="auto"/>
        <w:jc w:val="both"/>
        <w:rPr>
          <w:rFonts w:cs="Arial"/>
          <w:sz w:val="24"/>
        </w:rPr>
      </w:pPr>
    </w:p>
    <w:p w14:paraId="688CEDFA" w14:textId="001270F2" w:rsidR="0060037E" w:rsidRPr="0092727A" w:rsidRDefault="0060037E" w:rsidP="0060037E">
      <w:pPr>
        <w:autoSpaceDE w:val="0"/>
        <w:autoSpaceDN w:val="0"/>
        <w:adjustRightInd w:val="0"/>
        <w:spacing w:after="120" w:line="360" w:lineRule="auto"/>
        <w:jc w:val="both"/>
        <w:rPr>
          <w:b/>
          <w:sz w:val="24"/>
        </w:rPr>
      </w:pPr>
      <w:bookmarkStart w:id="3" w:name="_Hlk1487071"/>
      <w:bookmarkEnd w:id="2"/>
      <w:r>
        <w:rPr>
          <w:b/>
          <w:sz w:val="24"/>
        </w:rPr>
        <w:lastRenderedPageBreak/>
        <w:t xml:space="preserve">Engagement en faveur d’une croissance </w:t>
      </w:r>
      <w:r w:rsidR="00F617CC">
        <w:rPr>
          <w:b/>
          <w:sz w:val="24"/>
        </w:rPr>
        <w:t>profitable durable sur le</w:t>
      </w:r>
      <w:r>
        <w:rPr>
          <w:b/>
          <w:sz w:val="24"/>
        </w:rPr>
        <w:t xml:space="preserve"> long terme</w:t>
      </w:r>
    </w:p>
    <w:p w14:paraId="019278A6" w14:textId="27E9C170" w:rsidR="0060037E" w:rsidRPr="00C76214" w:rsidRDefault="0060037E" w:rsidP="0060037E">
      <w:pPr>
        <w:pStyle w:val="HTMLPreformatted"/>
        <w:shd w:val="clear" w:color="auto" w:fill="FFFFFF"/>
        <w:spacing w:line="360" w:lineRule="auto"/>
        <w:jc w:val="both"/>
        <w:rPr>
          <w:rFonts w:ascii="Arial" w:hAnsi="Arial" w:cs="Times New Roman"/>
          <w:sz w:val="24"/>
          <w:szCs w:val="24"/>
        </w:rPr>
      </w:pPr>
      <w:r>
        <w:rPr>
          <w:rFonts w:ascii="Arial" w:hAnsi="Arial"/>
          <w:sz w:val="24"/>
          <w:szCs w:val="24"/>
        </w:rPr>
        <w:t>« 2018 a été une bonne année pour Henkel. Malgré des</w:t>
      </w:r>
      <w:r w:rsidR="00222402">
        <w:rPr>
          <w:rFonts w:ascii="Arial" w:hAnsi="Arial"/>
          <w:sz w:val="24"/>
          <w:szCs w:val="24"/>
        </w:rPr>
        <w:t xml:space="preserve"> vent</w:t>
      </w:r>
      <w:r>
        <w:rPr>
          <w:rFonts w:ascii="Arial" w:hAnsi="Arial"/>
          <w:sz w:val="24"/>
          <w:szCs w:val="24"/>
        </w:rPr>
        <w:t>s</w:t>
      </w:r>
      <w:r w:rsidR="00222402">
        <w:rPr>
          <w:rFonts w:ascii="Arial" w:hAnsi="Arial"/>
          <w:sz w:val="24"/>
          <w:szCs w:val="24"/>
        </w:rPr>
        <w:t xml:space="preserve"> contraires significatifs</w:t>
      </w:r>
      <w:r>
        <w:rPr>
          <w:rFonts w:ascii="Arial" w:hAnsi="Arial"/>
          <w:sz w:val="24"/>
          <w:szCs w:val="24"/>
        </w:rPr>
        <w:t xml:space="preserve"> sur les marchés des changes et une hausse des prix des matières premières, nous avons enregistré une bonne croissance organique des ventes. Notre bénéfice, notre rentabilité et notre flux de trésorerie progressent également. Nous avons beaucoup progressé dans la mise en œuvre de nos priorités stratégiques, et nous avons encore gagné en compétitivité. Nous sommes convaincus que Henkel est très bien positionné pour l’avenir. Nous avons défini une stratégie claire et des objectifs ambitieux. Grâce à l’augmentation de </w:t>
      </w:r>
      <w:r w:rsidR="008401B8">
        <w:rPr>
          <w:rFonts w:ascii="Arial" w:hAnsi="Arial"/>
          <w:sz w:val="24"/>
          <w:szCs w:val="24"/>
        </w:rPr>
        <w:t>n</w:t>
      </w:r>
      <w:r>
        <w:rPr>
          <w:rFonts w:ascii="Arial" w:hAnsi="Arial"/>
          <w:sz w:val="24"/>
          <w:szCs w:val="24"/>
        </w:rPr>
        <w:t xml:space="preserve">os investissements dans nos marques, nos technologies, nos innovations et notre transformation digitale, nous soulignons notre engagement en faveur d’une croissance rentable à long terme », résume Hans Van </w:t>
      </w:r>
      <w:proofErr w:type="spellStart"/>
      <w:r>
        <w:rPr>
          <w:rFonts w:ascii="Arial" w:hAnsi="Arial"/>
          <w:sz w:val="24"/>
          <w:szCs w:val="24"/>
        </w:rPr>
        <w:t>Bylen</w:t>
      </w:r>
      <w:proofErr w:type="spellEnd"/>
      <w:r>
        <w:rPr>
          <w:rFonts w:ascii="Arial" w:hAnsi="Arial"/>
          <w:sz w:val="24"/>
          <w:szCs w:val="24"/>
        </w:rPr>
        <w:t>.</w:t>
      </w:r>
    </w:p>
    <w:bookmarkEnd w:id="3"/>
    <w:p w14:paraId="6B2B3033" w14:textId="77777777" w:rsidR="0060037E" w:rsidRDefault="0060037E" w:rsidP="0060037E">
      <w:pPr>
        <w:pStyle w:val="HTMLPreformatted"/>
        <w:shd w:val="clear" w:color="auto" w:fill="FFFFFF"/>
        <w:spacing w:line="360" w:lineRule="auto"/>
        <w:jc w:val="both"/>
        <w:rPr>
          <w:rFonts w:ascii="Arial" w:hAnsi="Arial" w:cs="Arial"/>
          <w:b/>
          <w:sz w:val="24"/>
          <w:szCs w:val="24"/>
        </w:rPr>
      </w:pPr>
    </w:p>
    <w:p w14:paraId="72E501B2" w14:textId="77777777" w:rsidR="00640FB4" w:rsidRDefault="00640FB4" w:rsidP="008B6982">
      <w:pPr>
        <w:pStyle w:val="BodyText"/>
        <w:spacing w:before="0" w:line="271" w:lineRule="auto"/>
        <w:jc w:val="both"/>
      </w:pPr>
    </w:p>
    <w:p w14:paraId="567F0811" w14:textId="77777777" w:rsidR="00640FB4" w:rsidRDefault="00640FB4" w:rsidP="00640FB4">
      <w:pPr>
        <w:spacing w:after="160" w:line="259" w:lineRule="auto"/>
      </w:pPr>
      <w:r w:rsidRPr="00595B97">
        <w:rPr>
          <w:b/>
          <w:sz w:val="22"/>
          <w:u w:val="single"/>
        </w:rPr>
        <w:t>Ce communiqué de presse en français est une traduction de la version originale.</w:t>
      </w:r>
    </w:p>
    <w:p w14:paraId="65E724AC" w14:textId="77777777" w:rsidR="00640FB4" w:rsidRDefault="00640FB4" w:rsidP="002D5C4C">
      <w:pPr>
        <w:tabs>
          <w:tab w:val="left" w:pos="2955"/>
        </w:tabs>
        <w:spacing w:line="240" w:lineRule="auto"/>
        <w:rPr>
          <w:b/>
          <w:szCs w:val="20"/>
        </w:rPr>
      </w:pPr>
    </w:p>
    <w:p w14:paraId="6F76C1F5" w14:textId="1E4478AD" w:rsidR="00CF059F" w:rsidRDefault="00CF059F" w:rsidP="00E15318">
      <w:pPr>
        <w:tabs>
          <w:tab w:val="left" w:pos="2955"/>
        </w:tabs>
        <w:spacing w:line="240" w:lineRule="auto"/>
        <w:jc w:val="center"/>
        <w:rPr>
          <w:b/>
          <w:szCs w:val="20"/>
        </w:rPr>
      </w:pPr>
    </w:p>
    <w:p w14:paraId="0C25B125" w14:textId="77777777" w:rsidR="000E03F1" w:rsidRPr="009D0A3B" w:rsidRDefault="000E03F1" w:rsidP="000E03F1">
      <w:pPr>
        <w:spacing w:line="276" w:lineRule="auto"/>
        <w:jc w:val="both"/>
        <w:rPr>
          <w:rFonts w:ascii="Calibri" w:hAnsi="Calibri"/>
          <w:szCs w:val="20"/>
          <w:lang w:eastAsia="zh-CN"/>
        </w:rPr>
      </w:pPr>
      <w:r w:rsidRPr="009D0A3B">
        <w:rPr>
          <w:b/>
          <w:bCs/>
        </w:rPr>
        <w:t>A propos de Henkel</w:t>
      </w:r>
    </w:p>
    <w:p w14:paraId="1D099E21" w14:textId="7B970D8D" w:rsidR="000E03F1" w:rsidRPr="00841FC3" w:rsidRDefault="000E03F1" w:rsidP="000E03F1">
      <w:pPr>
        <w:jc w:val="both"/>
      </w:pPr>
      <w:r w:rsidRPr="009D0A3B">
        <w:rPr>
          <w:color w:val="000000"/>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9D0A3B">
        <w:rPr>
          <w:color w:val="000000"/>
        </w:rPr>
        <w:t>Adhesive</w:t>
      </w:r>
      <w:proofErr w:type="spellEnd"/>
      <w:r w:rsidRPr="009D0A3B">
        <w:rPr>
          <w:color w:val="000000"/>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2018, le Groupe a réalisé un chiffre d’affaires de près de 20 milliards d’euros et un résultat d’exploitation ajusté de près de 3,5 milliards d’euros. Henkel emploie plus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w:t>
      </w:r>
      <w:r w:rsidRPr="009D0A3B">
        <w:t xml:space="preserve"> Les actions préférentielles Henkel sont listées à l’indice boursier allemand DAX. Pour en savoir plus, rendez-vous sur</w:t>
      </w:r>
      <w:r w:rsidR="0003286F">
        <w:rPr>
          <w:rStyle w:val="Hyperlink"/>
          <w:color w:val="auto"/>
          <w:u w:val="none"/>
        </w:rPr>
        <w:t xml:space="preserve"> henkel.com</w:t>
      </w:r>
      <w:r w:rsidRPr="009D0A3B">
        <w:rPr>
          <w:color w:val="00B050"/>
        </w:rPr>
        <w:t>.</w:t>
      </w:r>
    </w:p>
    <w:p w14:paraId="1504089F" w14:textId="77777777" w:rsidR="000E03F1" w:rsidRDefault="000E03F1" w:rsidP="000E03F1">
      <w:pPr>
        <w:spacing w:line="360" w:lineRule="auto"/>
        <w:jc w:val="both"/>
        <w:rPr>
          <w:rFonts w:cs="Arial"/>
          <w:sz w:val="22"/>
          <w:szCs w:val="22"/>
        </w:rPr>
      </w:pPr>
    </w:p>
    <w:p w14:paraId="56CB6AD1" w14:textId="77777777" w:rsidR="00640FB4" w:rsidRPr="00A22E62" w:rsidRDefault="00640FB4" w:rsidP="00640FB4">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w:t>
      </w:r>
      <w:proofErr w:type="spellStart"/>
      <w:r>
        <w:rPr>
          <w:color w:val="000000"/>
          <w:sz w:val="16"/>
        </w:rPr>
        <w:t>KGaA</w:t>
      </w:r>
      <w:proofErr w:type="spellEnd"/>
      <w:r>
        <w:rPr>
          <w:color w:val="000000"/>
          <w:sz w:val="16"/>
        </w:rPr>
        <w:t xml:space="preserve">. Les prévisions sont caractérisées par l’emploi de termes tels </w:t>
      </w:r>
      <w:proofErr w:type="gramStart"/>
      <w:r>
        <w:rPr>
          <w:color w:val="000000"/>
          <w:sz w:val="16"/>
        </w:rPr>
        <w:t>que attendre</w:t>
      </w:r>
      <w:proofErr w:type="gramEnd"/>
      <w:r>
        <w:rPr>
          <w:color w:val="000000"/>
          <w:sz w:val="16"/>
        </w:rPr>
        <w:t xml:space="preserv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Pr>
          <w:color w:val="000000"/>
          <w:sz w:val="16"/>
        </w:rPr>
        <w:t>KGaA</w:t>
      </w:r>
      <w:proofErr w:type="spellEnd"/>
      <w:r>
        <w:rPr>
          <w:color w:val="000000"/>
          <w:sz w:val="16"/>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14:paraId="54CDB076" w14:textId="77777777" w:rsidR="00640FB4" w:rsidRPr="00A22E62" w:rsidRDefault="00640FB4" w:rsidP="00640FB4">
      <w:pPr>
        <w:spacing w:line="240" w:lineRule="auto"/>
        <w:jc w:val="both"/>
        <w:rPr>
          <w:rFonts w:cs="Arial"/>
          <w:b/>
          <w:szCs w:val="20"/>
          <w:u w:val="single"/>
        </w:rPr>
      </w:pPr>
    </w:p>
    <w:p w14:paraId="71F78537" w14:textId="77777777" w:rsidR="00640FB4" w:rsidRPr="004A58AC" w:rsidRDefault="00640FB4" w:rsidP="00640FB4">
      <w:pPr>
        <w:tabs>
          <w:tab w:val="left" w:pos="709"/>
          <w:tab w:val="left" w:pos="4536"/>
          <w:tab w:val="left" w:pos="5245"/>
        </w:tabs>
        <w:spacing w:line="240" w:lineRule="auto"/>
        <w:rPr>
          <w:szCs w:val="20"/>
        </w:rPr>
      </w:pPr>
    </w:p>
    <w:p w14:paraId="064A30DF" w14:textId="77777777" w:rsidR="00640FB4" w:rsidRPr="009D0A3B" w:rsidRDefault="00640FB4" w:rsidP="000E03F1">
      <w:pPr>
        <w:spacing w:line="360" w:lineRule="auto"/>
        <w:jc w:val="both"/>
        <w:rPr>
          <w:rFonts w:cs="Arial"/>
          <w:sz w:val="22"/>
          <w:szCs w:val="22"/>
        </w:rPr>
      </w:pPr>
    </w:p>
    <w:p w14:paraId="674195FA" w14:textId="77777777" w:rsidR="007A31AD" w:rsidRPr="00F3382D" w:rsidRDefault="007A31AD" w:rsidP="003C5489">
      <w:pPr>
        <w:spacing w:before="34" w:line="240" w:lineRule="auto"/>
        <w:ind w:right="718"/>
        <w:jc w:val="both"/>
        <w:rPr>
          <w:b/>
          <w:szCs w:val="20"/>
          <w:u w:val="single"/>
        </w:rPr>
      </w:pPr>
      <w:r w:rsidRPr="00F3382D">
        <w:rPr>
          <w:b/>
          <w:szCs w:val="20"/>
          <w:u w:val="single"/>
        </w:rPr>
        <w:t xml:space="preserve">Contacts presse : </w:t>
      </w:r>
    </w:p>
    <w:p w14:paraId="5A239626" w14:textId="38AE1B9C" w:rsidR="007A31AD" w:rsidRPr="003C5489" w:rsidRDefault="007A31AD" w:rsidP="003C5489">
      <w:pPr>
        <w:spacing w:before="34" w:line="240" w:lineRule="auto"/>
        <w:ind w:right="718"/>
        <w:jc w:val="both"/>
        <w:rPr>
          <w:szCs w:val="20"/>
        </w:rPr>
      </w:pPr>
      <w:r w:rsidRPr="003C5489">
        <w:rPr>
          <w:szCs w:val="20"/>
        </w:rPr>
        <w:lastRenderedPageBreak/>
        <w:t>Henkel</w:t>
      </w:r>
      <w:r w:rsidRPr="003C5489">
        <w:rPr>
          <w:szCs w:val="20"/>
        </w:rPr>
        <w:tab/>
      </w:r>
      <w:r w:rsidRPr="003C5489">
        <w:rPr>
          <w:szCs w:val="20"/>
        </w:rPr>
        <w:tab/>
      </w:r>
      <w:r w:rsidRPr="003C5489">
        <w:rPr>
          <w:szCs w:val="20"/>
        </w:rPr>
        <w:tab/>
      </w:r>
      <w:r w:rsidRPr="003C5489">
        <w:rPr>
          <w:szCs w:val="20"/>
        </w:rPr>
        <w:tab/>
      </w:r>
      <w:r w:rsidRPr="003C5489">
        <w:rPr>
          <w:szCs w:val="20"/>
        </w:rPr>
        <w:tab/>
      </w:r>
      <w:r w:rsidRPr="003C5489">
        <w:rPr>
          <w:szCs w:val="20"/>
        </w:rPr>
        <w:tab/>
      </w:r>
      <w:r w:rsidRPr="003C5489">
        <w:rPr>
          <w:szCs w:val="20"/>
        </w:rPr>
        <w:tab/>
      </w:r>
    </w:p>
    <w:p w14:paraId="22441316" w14:textId="0A661368" w:rsidR="007A31AD" w:rsidRPr="00F3382D" w:rsidRDefault="0003286F" w:rsidP="003C5489">
      <w:pPr>
        <w:spacing w:before="34" w:line="240" w:lineRule="auto"/>
        <w:ind w:right="718"/>
        <w:jc w:val="both"/>
        <w:rPr>
          <w:szCs w:val="20"/>
        </w:rPr>
      </w:pPr>
      <w:r>
        <w:rPr>
          <w:szCs w:val="20"/>
        </w:rPr>
        <w:t>Els Bruyninckx</w:t>
      </w:r>
      <w:r w:rsidR="007A31AD" w:rsidRPr="00F3382D">
        <w:rPr>
          <w:szCs w:val="20"/>
        </w:rPr>
        <w:tab/>
      </w:r>
      <w:r w:rsidR="007A31AD" w:rsidRPr="00F3382D">
        <w:rPr>
          <w:szCs w:val="20"/>
        </w:rPr>
        <w:tab/>
      </w:r>
      <w:r w:rsidR="007A31AD" w:rsidRPr="00F3382D">
        <w:rPr>
          <w:szCs w:val="20"/>
        </w:rPr>
        <w:tab/>
      </w:r>
      <w:r w:rsidR="007A31AD" w:rsidRPr="00F3382D">
        <w:rPr>
          <w:szCs w:val="20"/>
        </w:rPr>
        <w:tab/>
      </w:r>
      <w:r w:rsidR="007A31AD" w:rsidRPr="00F3382D">
        <w:rPr>
          <w:szCs w:val="20"/>
        </w:rPr>
        <w:tab/>
      </w:r>
    </w:p>
    <w:p w14:paraId="289D0052" w14:textId="09032732" w:rsidR="007A31AD" w:rsidRPr="00F3382D" w:rsidRDefault="007A31AD" w:rsidP="003C5489">
      <w:pPr>
        <w:spacing w:before="34" w:line="240" w:lineRule="auto"/>
        <w:ind w:right="718"/>
        <w:jc w:val="both"/>
        <w:rPr>
          <w:szCs w:val="20"/>
        </w:rPr>
      </w:pPr>
      <w:r w:rsidRPr="00F3382D">
        <w:rPr>
          <w:szCs w:val="20"/>
        </w:rPr>
        <w:t xml:space="preserve">Tél : </w:t>
      </w:r>
      <w:r w:rsidR="0003286F">
        <w:rPr>
          <w:szCs w:val="20"/>
        </w:rPr>
        <w:t>0474/288 177</w:t>
      </w:r>
      <w:r w:rsidRPr="00F3382D">
        <w:rPr>
          <w:szCs w:val="20"/>
        </w:rPr>
        <w:tab/>
      </w:r>
      <w:r w:rsidRPr="00F3382D">
        <w:rPr>
          <w:szCs w:val="20"/>
        </w:rPr>
        <w:tab/>
      </w:r>
      <w:r w:rsidRPr="00F3382D">
        <w:rPr>
          <w:szCs w:val="20"/>
        </w:rPr>
        <w:tab/>
      </w:r>
      <w:r w:rsidRPr="00F3382D">
        <w:rPr>
          <w:szCs w:val="20"/>
        </w:rPr>
        <w:tab/>
      </w:r>
      <w:r w:rsidRPr="00F3382D">
        <w:rPr>
          <w:szCs w:val="20"/>
        </w:rPr>
        <w:tab/>
      </w:r>
    </w:p>
    <w:p w14:paraId="2A220EA6" w14:textId="5F60C3CD" w:rsidR="007A31AD" w:rsidRPr="00F3382D" w:rsidRDefault="0003286F" w:rsidP="003C5489">
      <w:pPr>
        <w:spacing w:line="240" w:lineRule="auto"/>
        <w:jc w:val="both"/>
        <w:rPr>
          <w:rStyle w:val="Hyperlink"/>
          <w:szCs w:val="20"/>
        </w:rPr>
      </w:pPr>
      <w:hyperlink r:id="rId8" w:history="1">
        <w:r w:rsidRPr="007864FC">
          <w:rPr>
            <w:rStyle w:val="Hyperlink"/>
            <w:szCs w:val="20"/>
          </w:rPr>
          <w:t>els.bruyninckx@henkel.com</w:t>
        </w:r>
      </w:hyperlink>
      <w:r w:rsidR="007A31AD" w:rsidRPr="00F3382D">
        <w:rPr>
          <w:rStyle w:val="Hyperlink"/>
          <w:szCs w:val="20"/>
          <w:u w:val="none"/>
        </w:rPr>
        <w:tab/>
      </w:r>
      <w:r w:rsidR="007A31AD" w:rsidRPr="00F3382D">
        <w:rPr>
          <w:rStyle w:val="Hyperlink"/>
          <w:szCs w:val="20"/>
          <w:u w:val="none"/>
        </w:rPr>
        <w:tab/>
      </w:r>
      <w:r w:rsidR="007A31AD" w:rsidRPr="00F3382D">
        <w:rPr>
          <w:rStyle w:val="Hyperlink"/>
          <w:szCs w:val="20"/>
          <w:u w:val="none"/>
        </w:rPr>
        <w:tab/>
      </w:r>
    </w:p>
    <w:p w14:paraId="7798CD5E" w14:textId="77777777" w:rsidR="007A31AD" w:rsidRPr="00F3382D" w:rsidRDefault="007A31AD" w:rsidP="003C5489">
      <w:pPr>
        <w:spacing w:line="240" w:lineRule="auto"/>
        <w:jc w:val="both"/>
        <w:rPr>
          <w:szCs w:val="20"/>
        </w:rPr>
      </w:pPr>
    </w:p>
    <w:sectPr w:rsidR="007A31AD" w:rsidRPr="00F3382D" w:rsidSect="00F3382D">
      <w:headerReference w:type="even" r:id="rId9"/>
      <w:headerReference w:type="default" r:id="rId10"/>
      <w:footerReference w:type="even" r:id="rId11"/>
      <w:footerReference w:type="default" r:id="rId12"/>
      <w:headerReference w:type="first" r:id="rId13"/>
      <w:footerReference w:type="first" r:id="rId14"/>
      <w:pgSz w:w="11907" w:h="16840" w:code="9"/>
      <w:pgMar w:top="510" w:right="1417"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72007" w14:textId="77777777" w:rsidR="008F7D82" w:rsidRDefault="008F7D82">
      <w:pPr>
        <w:spacing w:line="240" w:lineRule="auto"/>
      </w:pPr>
      <w:r>
        <w:separator/>
      </w:r>
    </w:p>
  </w:endnote>
  <w:endnote w:type="continuationSeparator" w:id="0">
    <w:p w14:paraId="4F5A0E39" w14:textId="77777777" w:rsidR="008F7D82" w:rsidRDefault="008F7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EFA7" w14:textId="77777777" w:rsidR="0003286F" w:rsidRDefault="00032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E5A8" w14:textId="77777777" w:rsidR="00027FA3" w:rsidRPr="00BA1B20" w:rsidRDefault="002206DF">
    <w:pPr>
      <w:pStyle w:val="Footer"/>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C35D7A">
      <w:rPr>
        <w:b w:val="0"/>
        <w:noProof/>
        <w:color w:val="auto"/>
        <w:sz w:val="14"/>
        <w:szCs w:val="14"/>
      </w:rPr>
      <w:t>2</w:t>
    </w:r>
    <w:r w:rsidRPr="00BA1B20">
      <w:rPr>
        <w:b w:val="0"/>
        <w:color w:val="auto"/>
        <w:sz w:val="14"/>
        <w:szCs w:val="14"/>
      </w:rPr>
      <w:fldChar w:fldCharType="end"/>
    </w:r>
    <w:r>
      <w:rPr>
        <w:b w:val="0"/>
        <w:color w:val="auto"/>
        <w:sz w:val="14"/>
      </w:rPr>
      <w:t>/</w:t>
    </w:r>
    <w:r w:rsidR="008F7D82">
      <w:rPr>
        <w:b w:val="0"/>
        <w:noProof/>
        <w:color w:val="auto"/>
        <w:sz w:val="14"/>
        <w:szCs w:val="14"/>
      </w:rPr>
      <w:fldChar w:fldCharType="begin"/>
    </w:r>
    <w:r w:rsidR="008F7D82">
      <w:rPr>
        <w:b w:val="0"/>
        <w:noProof/>
        <w:color w:val="auto"/>
        <w:sz w:val="14"/>
        <w:szCs w:val="14"/>
      </w:rPr>
      <w:instrText xml:space="preserve"> NUMPAGES  \* Arabic  \* MERGEFORMAT </w:instrText>
    </w:r>
    <w:r w:rsidR="008F7D82">
      <w:rPr>
        <w:b w:val="0"/>
        <w:noProof/>
        <w:color w:val="auto"/>
        <w:sz w:val="14"/>
        <w:szCs w:val="14"/>
      </w:rPr>
      <w:fldChar w:fldCharType="separate"/>
    </w:r>
    <w:r w:rsidR="00C35D7A" w:rsidRPr="00C35D7A">
      <w:rPr>
        <w:b w:val="0"/>
        <w:noProof/>
        <w:color w:val="auto"/>
        <w:sz w:val="14"/>
        <w:szCs w:val="14"/>
      </w:rPr>
      <w:t>2</w:t>
    </w:r>
    <w:r w:rsidR="008F7D82">
      <w:rPr>
        <w:b w:val="0"/>
        <w:noProof/>
        <w:color w:val="auto"/>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85EC" w14:textId="0D078580" w:rsidR="00093716" w:rsidRDefault="0003286F" w:rsidP="00093716">
    <w:pPr>
      <w:pStyle w:val="Footer"/>
      <w:jc w:val="distribute"/>
      <w:rPr>
        <w:b w:val="0"/>
      </w:rPr>
    </w:pPr>
    <w:r>
      <w:rPr>
        <w:noProof/>
        <w:lang w:val="nl-NL" w:eastAsia="nl-NL"/>
      </w:rPr>
      <w:drawing>
        <wp:inline distT="0" distB="0" distL="0" distR="0" wp14:anchorId="1DBD1FDF" wp14:editId="421A7BAD">
          <wp:extent cx="5016500" cy="533400"/>
          <wp:effectExtent l="0" t="0" r="0" b="0"/>
          <wp:docPr id="14" name="Picture 1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0" cy="533400"/>
                  </a:xfrm>
                  <a:prstGeom prst="rect">
                    <a:avLst/>
                  </a:prstGeom>
                  <a:noFill/>
                  <a:ln>
                    <a:noFill/>
                  </a:ln>
                </pic:spPr>
              </pic:pic>
            </a:graphicData>
          </a:graphic>
        </wp:inline>
      </w:drawing>
    </w:r>
    <w:bookmarkStart w:id="4" w:name="_GoBack"/>
    <w:bookmarkEnd w:id="4"/>
  </w:p>
  <w:p w14:paraId="2DF2A114" w14:textId="77777777" w:rsidR="00656125" w:rsidRPr="004A4699" w:rsidRDefault="00656125" w:rsidP="00093716">
    <w:pPr>
      <w:pStyle w:val="Footer"/>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1D86A" w14:textId="77777777" w:rsidR="008F7D82" w:rsidRDefault="008F7D82">
      <w:pPr>
        <w:spacing w:line="240" w:lineRule="auto"/>
      </w:pPr>
      <w:r>
        <w:separator/>
      </w:r>
    </w:p>
  </w:footnote>
  <w:footnote w:type="continuationSeparator" w:id="0">
    <w:p w14:paraId="79433978" w14:textId="77777777" w:rsidR="008F7D82" w:rsidRDefault="008F7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1847" w14:textId="77777777" w:rsidR="0003286F" w:rsidRDefault="00032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CBAB" w14:textId="77777777" w:rsidR="00027FA3" w:rsidRDefault="006B6818">
    <w:pPr>
      <w:pStyle w:val="Header"/>
      <w:spacing w:after="567" w:line="280" w:lineRule="exact"/>
      <w:jc w:val="right"/>
    </w:pPr>
    <w:r>
      <w:rPr>
        <w:noProof/>
      </w:rPr>
      <mc:AlternateContent>
        <mc:Choice Requires="wpg">
          <w:drawing>
            <wp:anchor distT="0" distB="0" distL="114300" distR="114300" simplePos="0" relativeHeight="251657728" behindDoc="0" locked="0" layoutInCell="1" allowOverlap="1" wp14:anchorId="624030C6" wp14:editId="539C0D5F">
              <wp:simplePos x="0" y="0"/>
              <wp:positionH relativeFrom="page">
                <wp:posOffset>180340</wp:posOffset>
              </wp:positionH>
              <wp:positionV relativeFrom="page">
                <wp:posOffset>3780790</wp:posOffset>
              </wp:positionV>
              <wp:extent cx="183515" cy="3796030"/>
              <wp:effectExtent l="0" t="0" r="6985"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8"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84567" id="Group 1"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zfvwIAAK8KAAAOAAAAZHJzL2Uyb0RvYy54bWzsVslu2zAQvRfoPxC8O5IseRMiF4WXXNI2&#10;QNIPoClqQSWSIBnLRtF/75CU5Ti9BCka9JCLRGrI0Zv3Zoa8/nRoG7RnSteCZzi6CjFinIq85mWG&#10;vz9sR3OMtCE8J43gLMNHpvGn5ccP151M2VhUosmZQuCE67STGa6MkWkQaFqxlugrIRkHYyFUSwxM&#10;VRnkinTgvW2CcRhOg06oXCpBmdbwde2NeOn8FwWj5ltRaGZQk2HAZtxTuefOPoPlNUlLRWRV0x4G&#10;eQWKltQcfjq4WhND0KOq/3DV1lQJLQpzRUUbiKKoKXMxQDRR+CyaGyUepYulTLtSDjQBtc94erVb&#10;+nV/p1CdZ3iGESctSOT+iiJLTSfLFFbcKHkv75SPD4a3gv7QYA6e2+289IvRrvsicnBHHo1w1BwK&#10;1VoXEDQ6OAWOgwLsYBCFj9E8nkQTjCiY4tliGsa9RLQCHc/bJotJ4rWj1abfO57HfiMYY2sMSOr/&#10;6XD2uGxQkGr6zKb+OzbvKyKZE0lbrno2Ie09m7c1Z2jsyXQLVtwzSQ+8ZxJxsaoIL5lz9XCUwJqj&#10;H3A/2WInGmR4IbNnik7kDgQ5Tgd2SCqVNjdMtMgOMtwAZKcY2d9q44k8LbECcrGtmwa+k7ThqMvw&#10;NJ6EboMWTZ1bo7VpVe5WjUJ7ArW3icIw3PaqXCyDHOe5c1Yxkm/6sSF148eAs+HWH4QBcPqRL66f&#10;i3CxmW/mySgZTzejJFyvR5+3q2Q03UazyTper1br6JeFFiVpVec54xbdqdCj5GXS9y3Hl+hQ6gMN&#10;waV3l3gA9vR2oJ2UVj2ffzuRH++UpbbPxjdKy8VFWroqucgxkv7rtJwn476k39PyPS37bhnB0fyk&#10;XbrW/sZ5GUWLcGb7k2s07jB675f/c790hzrcilyb7W9w9tr1dO766/meufwNAAD//wMAUEsDBBQA&#10;BgAIAAAAIQBNMuOz4QAAAAoBAAAPAAAAZHJzL2Rvd25yZXYueG1sTI9NS8NAEIbvgv9hGcGb3XwY&#10;bWM2pRT1VAq2Qultm0yT0OxsyG6T9N87nvQ2wzy887zZcjKtGLB3jSUF4SwAgVTYsqFKwff+42kO&#10;wnlNpW4toYIbOljm93eZTks70hcOO18JDiGXagW1910qpStqNNrNbIfEt7Ptjfa89pUsez1yuGll&#10;FAQv0uiG+EOtO1zXWFx2V6Pgc9TjKg7fh83lvL4d98n2sAlRqceHafUGwuPk/2D41Wd1yNnpZK9U&#10;OtEqiObPTCpIFgkPDCSvMYgTg+EijkDmmfxfIf8BAAD//wMAUEsBAi0AFAAGAAgAAAAhALaDOJL+&#10;AAAA4QEAABMAAAAAAAAAAAAAAAAAAAAAAFtDb250ZW50X1R5cGVzXS54bWxQSwECLQAUAAYACAAA&#10;ACEAOP0h/9YAAACUAQAACwAAAAAAAAAAAAAAAAAvAQAAX3JlbHMvLnJlbHNQSwECLQAUAAYACAAA&#10;ACEA+0T8378CAACvCgAADgAAAAAAAAAAAAAAAAAuAgAAZHJzL2Uyb0RvYy54bWxQSwECLQAUAAYA&#10;CAAAACEATTLjs+EAAAAKAQAADwAAAAAAAAAAAAAAAAAZBQAAZHJzL2Rvd25yZXYueG1sUEsFBgAA&#10;AAAEAAQA8wAAACcGAAAAAA==&#10;">
              <v:line id="Line 2"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3"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v:line id="Line 4"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EC1A" w14:textId="77777777" w:rsidR="00027FA3" w:rsidRDefault="00ED3C8A" w:rsidP="00A847F3">
    <w:pPr>
      <w:pStyle w:val="Header"/>
      <w:tabs>
        <w:tab w:val="clear" w:pos="4320"/>
        <w:tab w:val="clear" w:pos="8640"/>
        <w:tab w:val="left" w:pos="1275"/>
      </w:tabs>
      <w:spacing w:line="2155" w:lineRule="exact"/>
      <w:rPr>
        <w:b/>
        <w:bCs/>
        <w:sz w:val="36"/>
        <w:szCs w:val="36"/>
      </w:rPr>
    </w:pPr>
    <w:r>
      <w:rPr>
        <w:noProof/>
      </w:rPr>
      <w:drawing>
        <wp:anchor distT="0" distB="0" distL="114300" distR="114300" simplePos="0" relativeHeight="251658752" behindDoc="0" locked="1" layoutInCell="1" allowOverlap="1" wp14:anchorId="24B9CF81" wp14:editId="075A411D">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6DF">
      <w:rPr>
        <w:b/>
        <w:bCs/>
        <w:sz w:val="36"/>
        <w:szCs w:val="36"/>
      </w:rPr>
      <w:tab/>
    </w:r>
  </w:p>
  <w:p w14:paraId="4A8B731E" w14:textId="77777777" w:rsidR="00027FA3" w:rsidRDefault="006B6818">
    <w:pPr>
      <w:pStyle w:val="Header"/>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6704" behindDoc="0" locked="0" layoutInCell="1" allowOverlap="1" wp14:anchorId="2C80A052" wp14:editId="5D9338C3">
              <wp:simplePos x="0" y="0"/>
              <wp:positionH relativeFrom="page">
                <wp:posOffset>180340</wp:posOffset>
              </wp:positionH>
              <wp:positionV relativeFrom="page">
                <wp:posOffset>3780790</wp:posOffset>
              </wp:positionV>
              <wp:extent cx="179705" cy="3780155"/>
              <wp:effectExtent l="0" t="0" r="1079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1CFD9" id="Group 5"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RouAIAAK4KAAAOAAAAZHJzL2Uyb0RvYy54bWzsVl1vmzAUfZ+0/2DxngIJJASVVFNI+tJt&#10;ldr9AMeYDw1sy3ZDomn/fdc2IUv3UnXSuoe+EJtrH8499/jG1zeHrkV7KlXDWeaFV4GHKCO8aFiV&#10;ed8et5PEQ0pjVuCWM5p5R6q8m9XHD9e9SOmU17wtqEQAwlTai8yrtRap7ytS0w6rKy4og2DJZYc1&#10;TGXlFxL3gN61/jQI5n7PZSEkJ1QpeJu7oLey+GVJif5alopq1GYecNP2Ke1zZ57+6hqnlcSibshA&#10;A7+CRYcbBh8doXKsMXqSzR9QXUMkV7zUV4R3Pi/LhlCbA2QTBs+yuZX8SdhcqrSvxCgTSPtMp1fD&#10;ki/7e4maAmrnIYY7KJH9KoqNNL2oUlhxK8WDuJcuPxjecfJdQdh/Hjfzyi1Gu/4zLwAOP2lupTmU&#10;sjMQkDQ62AocxwrQg0YEXoaL5SKIPUQgNFskQRhbHjglNdTxvC1expGrHak3w95pMnMbITgzQR+n&#10;7puW58DLJAVWU2c11d+p+VBjQW2RlNFqUBOoODXvGkbR3IlpF6yZU5Ic2KAkYnxdY1ZRC/V4FKBa&#10;aBMwVAHTbTETBWV4obJniU7ijgJZ24/q4FRIpW8p75AZZF4LlG3F8P5OaSfkaYkpIOPbpm3hPU5b&#10;hvrMm8/iwG5QvG0KEzQxJavdupVoj+HsbcIgCLZDVS6WgcdZYcFqiovNMNa4ad0YeLbM4EEaQGcY&#10;ucP1YxksN8kmiSbRdL6ZREGeTz5t19Fkvg0XcT7L1+s8/GmohVFaN0VBmWF3Ouhh9LLSDy3HHdHx&#10;qI8y+Jfo1nhA9vRrSYMFXfWc/3a8ON5LI+3gxn9ky+jClos3sGUSTYeu+27Ld1sO3XJ+YcvkDWwZ&#10;hsvAHgfbZ+x/0Xu7/J/bpf1Ph0uR7bLDBc7cun6f2/Z6vmaufgEAAP//AwBQSwMEFAAGAAgAAAAh&#10;AORzzknhAAAACgEAAA8AAABkcnMvZG93bnJldi54bWxMj01Lw0AQhu+C/2EZwZvdpJp+xGxKKeqp&#10;CLZC6W2bnSah2dmQ3Sbpv3c86W2GeXjnebPVaBvRY+drRwriSQQCqXCmplLB9/79aQHCB01GN45Q&#10;wQ09rPL7u0ynxg30hf0ulIJDyKdaQRVCm0rpiwqt9hPXIvHt7DqrA69dKU2nBw63jZxG0UxaXRN/&#10;qHSLmwqLy+5qFXwMelg/x2/99nLe3I775POwjVGpx4dx/Qoi4Bj+YPjVZ3XI2enkrmS8aBRMFy9M&#10;KkiWCQ8MJLM5iBOD8TKag8wz+b9C/gMAAP//AwBQSwECLQAUAAYACAAAACEAtoM4kv4AAADhAQAA&#10;EwAAAAAAAAAAAAAAAAAAAAAAW0NvbnRlbnRfVHlwZXNdLnhtbFBLAQItABQABgAIAAAAIQA4/SH/&#10;1gAAAJQBAAALAAAAAAAAAAAAAAAAAC8BAABfcmVscy8ucmVsc1BLAQItABQABgAIAAAAIQCVzqRo&#10;uAIAAK4KAAAOAAAAAAAAAAAAAAAAAC4CAABkcnMvZTJvRG9jLnhtbFBLAQItABQABgAIAAAAIQDk&#10;c85J4QAAAAoBAAAPAAAAAAAAAAAAAAAAABIFAABkcnMvZG93bnJldi54bWxQSwUGAAAAAAQABADz&#10;AAAAIAYAAAAA&#10;">
              <v:line id="Line 6"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7"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8"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r w:rsidR="002206DF">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FC8"/>
    <w:multiLevelType w:val="hybridMultilevel"/>
    <w:tmpl w:val="453ECC82"/>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1" w15:restartNumberingAfterBreak="0">
    <w:nsid w:val="2E6F0F35"/>
    <w:multiLevelType w:val="hybridMultilevel"/>
    <w:tmpl w:val="479ED526"/>
    <w:lvl w:ilvl="0" w:tplc="A45CE496">
      <w:start w:val="1"/>
      <w:numFmt w:val="bullet"/>
      <w:lvlText w:val="▪"/>
      <w:lvlJc w:val="left"/>
      <w:pPr>
        <w:ind w:left="838" w:hanging="360"/>
      </w:pPr>
      <w:rPr>
        <w:rFonts w:ascii="Microsoft Sans Serif" w:eastAsia="Times New Roman" w:hAnsi="Microsoft Sans Serif" w:hint="default"/>
        <w:color w:val="E0000E"/>
        <w:sz w:val="24"/>
      </w:rPr>
    </w:lvl>
    <w:lvl w:ilvl="1" w:tplc="CAA46DA0">
      <w:start w:val="1"/>
      <w:numFmt w:val="bullet"/>
      <w:lvlText w:val="•"/>
      <w:lvlJc w:val="left"/>
      <w:pPr>
        <w:ind w:left="1745" w:hanging="360"/>
      </w:pPr>
      <w:rPr>
        <w:rFonts w:hint="default"/>
      </w:rPr>
    </w:lvl>
    <w:lvl w:ilvl="2" w:tplc="279C03FE">
      <w:start w:val="1"/>
      <w:numFmt w:val="bullet"/>
      <w:lvlText w:val="•"/>
      <w:lvlJc w:val="left"/>
      <w:pPr>
        <w:ind w:left="2652" w:hanging="360"/>
      </w:pPr>
      <w:rPr>
        <w:rFonts w:hint="default"/>
      </w:rPr>
    </w:lvl>
    <w:lvl w:ilvl="3" w:tplc="83A28468">
      <w:start w:val="1"/>
      <w:numFmt w:val="bullet"/>
      <w:lvlText w:val="•"/>
      <w:lvlJc w:val="left"/>
      <w:pPr>
        <w:ind w:left="3559" w:hanging="360"/>
      </w:pPr>
      <w:rPr>
        <w:rFonts w:hint="default"/>
      </w:rPr>
    </w:lvl>
    <w:lvl w:ilvl="4" w:tplc="FA1CA6EA">
      <w:start w:val="1"/>
      <w:numFmt w:val="bullet"/>
      <w:lvlText w:val="•"/>
      <w:lvlJc w:val="left"/>
      <w:pPr>
        <w:ind w:left="4465" w:hanging="360"/>
      </w:pPr>
      <w:rPr>
        <w:rFonts w:hint="default"/>
      </w:rPr>
    </w:lvl>
    <w:lvl w:ilvl="5" w:tplc="0E00520C">
      <w:start w:val="1"/>
      <w:numFmt w:val="bullet"/>
      <w:lvlText w:val="•"/>
      <w:lvlJc w:val="left"/>
      <w:pPr>
        <w:ind w:left="5372" w:hanging="360"/>
      </w:pPr>
      <w:rPr>
        <w:rFonts w:hint="default"/>
      </w:rPr>
    </w:lvl>
    <w:lvl w:ilvl="6" w:tplc="ED428124">
      <w:start w:val="1"/>
      <w:numFmt w:val="bullet"/>
      <w:lvlText w:val="•"/>
      <w:lvlJc w:val="left"/>
      <w:pPr>
        <w:ind w:left="6279" w:hanging="360"/>
      </w:pPr>
      <w:rPr>
        <w:rFonts w:hint="default"/>
      </w:rPr>
    </w:lvl>
    <w:lvl w:ilvl="7" w:tplc="BB901F32">
      <w:start w:val="1"/>
      <w:numFmt w:val="bullet"/>
      <w:lvlText w:val="•"/>
      <w:lvlJc w:val="left"/>
      <w:pPr>
        <w:ind w:left="7186" w:hanging="360"/>
      </w:pPr>
      <w:rPr>
        <w:rFonts w:hint="default"/>
      </w:rPr>
    </w:lvl>
    <w:lvl w:ilvl="8" w:tplc="4CB2A8E2">
      <w:start w:val="1"/>
      <w:numFmt w:val="bullet"/>
      <w:lvlText w:val="•"/>
      <w:lvlJc w:val="left"/>
      <w:pPr>
        <w:ind w:left="809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DF"/>
    <w:rsid w:val="00011FAE"/>
    <w:rsid w:val="000258A5"/>
    <w:rsid w:val="00027FA3"/>
    <w:rsid w:val="0003286F"/>
    <w:rsid w:val="000334F4"/>
    <w:rsid w:val="00067E12"/>
    <w:rsid w:val="00093716"/>
    <w:rsid w:val="000E03F1"/>
    <w:rsid w:val="000E73DE"/>
    <w:rsid w:val="00102EEF"/>
    <w:rsid w:val="00133CCD"/>
    <w:rsid w:val="0014077E"/>
    <w:rsid w:val="00144E14"/>
    <w:rsid w:val="00157164"/>
    <w:rsid w:val="001801F7"/>
    <w:rsid w:val="00181CB7"/>
    <w:rsid w:val="00192CAA"/>
    <w:rsid w:val="001C1F1B"/>
    <w:rsid w:val="001E6C9F"/>
    <w:rsid w:val="001F7023"/>
    <w:rsid w:val="002206DF"/>
    <w:rsid w:val="00222402"/>
    <w:rsid w:val="00231C82"/>
    <w:rsid w:val="00233832"/>
    <w:rsid w:val="00240F7C"/>
    <w:rsid w:val="002476D6"/>
    <w:rsid w:val="0029115C"/>
    <w:rsid w:val="002A41DA"/>
    <w:rsid w:val="002D5C4C"/>
    <w:rsid w:val="002E267C"/>
    <w:rsid w:val="00322E05"/>
    <w:rsid w:val="00324D85"/>
    <w:rsid w:val="00332CF3"/>
    <w:rsid w:val="00340A31"/>
    <w:rsid w:val="003706C5"/>
    <w:rsid w:val="003B25F0"/>
    <w:rsid w:val="003C5489"/>
    <w:rsid w:val="003C6771"/>
    <w:rsid w:val="003E35C6"/>
    <w:rsid w:val="003F0A0C"/>
    <w:rsid w:val="004218CF"/>
    <w:rsid w:val="00430E4B"/>
    <w:rsid w:val="004375EA"/>
    <w:rsid w:val="004512E8"/>
    <w:rsid w:val="00464296"/>
    <w:rsid w:val="004658BD"/>
    <w:rsid w:val="004A4699"/>
    <w:rsid w:val="004C2995"/>
    <w:rsid w:val="004E1B68"/>
    <w:rsid w:val="005054D1"/>
    <w:rsid w:val="0055603C"/>
    <w:rsid w:val="005C01DA"/>
    <w:rsid w:val="005F6FE9"/>
    <w:rsid w:val="0060037E"/>
    <w:rsid w:val="00604777"/>
    <w:rsid w:val="006108CA"/>
    <w:rsid w:val="00640FB4"/>
    <w:rsid w:val="00650CB7"/>
    <w:rsid w:val="00656125"/>
    <w:rsid w:val="0069130B"/>
    <w:rsid w:val="006B6818"/>
    <w:rsid w:val="006C6AAB"/>
    <w:rsid w:val="006F4964"/>
    <w:rsid w:val="0071156B"/>
    <w:rsid w:val="007604C6"/>
    <w:rsid w:val="00760867"/>
    <w:rsid w:val="007A0E29"/>
    <w:rsid w:val="007A31AD"/>
    <w:rsid w:val="007A7B99"/>
    <w:rsid w:val="007C6D02"/>
    <w:rsid w:val="00800B2F"/>
    <w:rsid w:val="008202D6"/>
    <w:rsid w:val="008401B8"/>
    <w:rsid w:val="00841FC3"/>
    <w:rsid w:val="00881687"/>
    <w:rsid w:val="008A08E6"/>
    <w:rsid w:val="008B2CC5"/>
    <w:rsid w:val="008B3246"/>
    <w:rsid w:val="008B6982"/>
    <w:rsid w:val="008C7AF0"/>
    <w:rsid w:val="008F7D82"/>
    <w:rsid w:val="009118D5"/>
    <w:rsid w:val="00941372"/>
    <w:rsid w:val="00950217"/>
    <w:rsid w:val="00954299"/>
    <w:rsid w:val="0096370F"/>
    <w:rsid w:val="0097190A"/>
    <w:rsid w:val="009901E6"/>
    <w:rsid w:val="009C1A74"/>
    <w:rsid w:val="009D0A3B"/>
    <w:rsid w:val="009E1140"/>
    <w:rsid w:val="00A00996"/>
    <w:rsid w:val="00A26A87"/>
    <w:rsid w:val="00A33D63"/>
    <w:rsid w:val="00A75503"/>
    <w:rsid w:val="00A847F3"/>
    <w:rsid w:val="00AB0FB4"/>
    <w:rsid w:val="00AC54D0"/>
    <w:rsid w:val="00AD429B"/>
    <w:rsid w:val="00AF21A1"/>
    <w:rsid w:val="00B1034E"/>
    <w:rsid w:val="00B66BF0"/>
    <w:rsid w:val="00B72356"/>
    <w:rsid w:val="00BA1B20"/>
    <w:rsid w:val="00BE6D3E"/>
    <w:rsid w:val="00C30997"/>
    <w:rsid w:val="00C35D7A"/>
    <w:rsid w:val="00C510A4"/>
    <w:rsid w:val="00C86565"/>
    <w:rsid w:val="00C87735"/>
    <w:rsid w:val="00C87E12"/>
    <w:rsid w:val="00CB2838"/>
    <w:rsid w:val="00CC2982"/>
    <w:rsid w:val="00CD0241"/>
    <w:rsid w:val="00CE0ECB"/>
    <w:rsid w:val="00CF059F"/>
    <w:rsid w:val="00D50E20"/>
    <w:rsid w:val="00D7308C"/>
    <w:rsid w:val="00D84090"/>
    <w:rsid w:val="00D87896"/>
    <w:rsid w:val="00DB2AFB"/>
    <w:rsid w:val="00DB3D34"/>
    <w:rsid w:val="00DC24C8"/>
    <w:rsid w:val="00E04618"/>
    <w:rsid w:val="00E15318"/>
    <w:rsid w:val="00E90FD1"/>
    <w:rsid w:val="00E97C8F"/>
    <w:rsid w:val="00EB6003"/>
    <w:rsid w:val="00EC7AC9"/>
    <w:rsid w:val="00ED3C8A"/>
    <w:rsid w:val="00EF2878"/>
    <w:rsid w:val="00F14D8D"/>
    <w:rsid w:val="00F3382D"/>
    <w:rsid w:val="00F37BF9"/>
    <w:rsid w:val="00F617CC"/>
    <w:rsid w:val="00F72380"/>
    <w:rsid w:val="00F82012"/>
    <w:rsid w:val="00FE5591"/>
    <w:rsid w:val="00FE6A74"/>
    <w:rsid w:val="00FF4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B2E0D56"/>
  <w14:defaultImageDpi w14:val="0"/>
  <w15:docId w15:val="{6870C743-CCF1-4B36-8033-8F318473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DF"/>
    <w:pPr>
      <w:spacing w:after="0" w:line="260" w:lineRule="atLeast"/>
    </w:pPr>
    <w:rPr>
      <w:rFonts w:ascii="Arial" w:hAnsi="Arial" w:cs="Times New Roman"/>
      <w:sz w:val="20"/>
      <w:szCs w:val="24"/>
      <w:lang w:eastAsia="fr-FR"/>
    </w:rPr>
  </w:style>
  <w:style w:type="paragraph" w:styleId="Heading1">
    <w:name w:val="heading 1"/>
    <w:basedOn w:val="Normal"/>
    <w:next w:val="Normal"/>
    <w:link w:val="Heading1Char"/>
    <w:uiPriority w:val="99"/>
    <w:qFormat/>
    <w:rsid w:val="00CE0ECB"/>
    <w:pPr>
      <w:keepNext/>
      <w:spacing w:line="420" w:lineRule="atLeast"/>
      <w:outlineLvl w:val="0"/>
    </w:pPr>
    <w:rPr>
      <w:rFonts w:cs="Arial"/>
      <w:b/>
      <w:bCs/>
      <w:kern w:val="32"/>
      <w:sz w:val="36"/>
      <w:szCs w:val="32"/>
      <w:lang w:val="de-DE" w:eastAsia="en-US"/>
    </w:rPr>
  </w:style>
  <w:style w:type="paragraph" w:styleId="Heading2">
    <w:name w:val="heading 2"/>
    <w:basedOn w:val="Normal"/>
    <w:next w:val="Normal"/>
    <w:link w:val="Heading2Char"/>
    <w:uiPriority w:val="1"/>
    <w:unhideWhenUsed/>
    <w:qFormat/>
    <w:rsid w:val="000E03F1"/>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0ECB"/>
    <w:rPr>
      <w:rFonts w:ascii="Arial" w:hAnsi="Arial" w:cs="Arial"/>
      <w:b/>
      <w:bCs/>
      <w:kern w:val="32"/>
      <w:sz w:val="32"/>
      <w:szCs w:val="32"/>
      <w:lang w:val="de-DE" w:eastAsia="x-none"/>
    </w:rPr>
  </w:style>
  <w:style w:type="character" w:customStyle="1" w:styleId="Heading2Char">
    <w:name w:val="Heading 2 Char"/>
    <w:basedOn w:val="DefaultParagraphFont"/>
    <w:link w:val="Heading2"/>
    <w:uiPriority w:val="9"/>
    <w:semiHidden/>
    <w:locked/>
    <w:rsid w:val="000E03F1"/>
    <w:rPr>
      <w:rFonts w:asciiTheme="majorHAnsi" w:eastAsiaTheme="majorEastAsia" w:hAnsiTheme="majorHAnsi" w:cs="Times New Roman"/>
      <w:color w:val="2E74B5" w:themeColor="accent1" w:themeShade="BF"/>
      <w:sz w:val="26"/>
      <w:szCs w:val="26"/>
      <w:lang w:val="x-none" w:eastAsia="fr-FR"/>
    </w:rPr>
  </w:style>
  <w:style w:type="paragraph" w:styleId="Header">
    <w:name w:val="header"/>
    <w:basedOn w:val="Normal"/>
    <w:link w:val="HeaderChar"/>
    <w:uiPriority w:val="99"/>
    <w:rsid w:val="002206DF"/>
    <w:pPr>
      <w:tabs>
        <w:tab w:val="center" w:pos="4320"/>
        <w:tab w:val="right" w:pos="8640"/>
      </w:tabs>
    </w:pPr>
  </w:style>
  <w:style w:type="character" w:customStyle="1" w:styleId="HeaderChar">
    <w:name w:val="Header Char"/>
    <w:basedOn w:val="DefaultParagraphFont"/>
    <w:link w:val="Header"/>
    <w:uiPriority w:val="99"/>
    <w:locked/>
    <w:rsid w:val="002206DF"/>
    <w:rPr>
      <w:rFonts w:ascii="Arial" w:hAnsi="Arial" w:cs="Times New Roman"/>
      <w:sz w:val="24"/>
      <w:szCs w:val="24"/>
      <w:lang w:val="x-none" w:eastAsia="fr-FR"/>
    </w:rPr>
  </w:style>
  <w:style w:type="paragraph" w:styleId="Footer">
    <w:name w:val="footer"/>
    <w:basedOn w:val="Normal"/>
    <w:link w:val="FooterChar"/>
    <w:uiPriority w:val="99"/>
    <w:rsid w:val="002206DF"/>
    <w:pPr>
      <w:tabs>
        <w:tab w:val="right" w:pos="7083"/>
        <w:tab w:val="right" w:pos="8640"/>
      </w:tabs>
      <w:spacing w:line="180" w:lineRule="atLeast"/>
    </w:pPr>
    <w:rPr>
      <w:b/>
      <w:color w:val="E1000F"/>
      <w:sz w:val="24"/>
      <w:szCs w:val="20"/>
    </w:rPr>
  </w:style>
  <w:style w:type="character" w:customStyle="1" w:styleId="FooterChar">
    <w:name w:val="Footer Char"/>
    <w:basedOn w:val="DefaultParagraphFont"/>
    <w:link w:val="Footer"/>
    <w:uiPriority w:val="99"/>
    <w:locked/>
    <w:rsid w:val="002206DF"/>
    <w:rPr>
      <w:rFonts w:ascii="Arial" w:hAnsi="Arial" w:cs="Times New Roman"/>
      <w:b/>
      <w:color w:val="E1000F"/>
      <w:sz w:val="20"/>
      <w:szCs w:val="20"/>
      <w:lang w:val="x-none" w:eastAsia="fr-FR"/>
    </w:rPr>
  </w:style>
  <w:style w:type="paragraph" w:customStyle="1" w:styleId="Standard12pt">
    <w:name w:val="Standard_12pt"/>
    <w:basedOn w:val="Normal"/>
    <w:rsid w:val="002206DF"/>
    <w:pPr>
      <w:spacing w:line="300" w:lineRule="atLeast"/>
    </w:pPr>
    <w:rPr>
      <w:sz w:val="24"/>
    </w:rPr>
  </w:style>
  <w:style w:type="character" w:styleId="Hyperlink">
    <w:name w:val="Hyperlink"/>
    <w:basedOn w:val="DefaultParagraphFont"/>
    <w:uiPriority w:val="99"/>
    <w:rsid w:val="002206DF"/>
    <w:rPr>
      <w:rFonts w:cs="Times New Roman"/>
      <w:color w:val="0000FF"/>
      <w:u w:val="single"/>
    </w:rPr>
  </w:style>
  <w:style w:type="paragraph" w:styleId="PlainText">
    <w:name w:val="Plain Text"/>
    <w:basedOn w:val="Normal"/>
    <w:link w:val="PlainTextChar"/>
    <w:uiPriority w:val="99"/>
    <w:unhideWhenUsed/>
    <w:rsid w:val="005054D1"/>
    <w:pPr>
      <w:spacing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5054D1"/>
    <w:rPr>
      <w:rFonts w:ascii="Consolas" w:hAnsi="Consolas" w:cs="Times New Roman"/>
      <w:sz w:val="21"/>
      <w:szCs w:val="21"/>
    </w:rPr>
  </w:style>
  <w:style w:type="paragraph" w:styleId="BalloonText">
    <w:name w:val="Balloon Text"/>
    <w:basedOn w:val="Normal"/>
    <w:link w:val="BalloonTextChar"/>
    <w:uiPriority w:val="99"/>
    <w:semiHidden/>
    <w:unhideWhenUsed/>
    <w:rsid w:val="00D840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4090"/>
    <w:rPr>
      <w:rFonts w:ascii="Segoe UI" w:hAnsi="Segoe UI" w:cs="Segoe UI"/>
      <w:sz w:val="18"/>
      <w:szCs w:val="18"/>
      <w:lang w:val="x-none" w:eastAsia="fr-FR"/>
    </w:rPr>
  </w:style>
  <w:style w:type="paragraph" w:styleId="BodyText">
    <w:name w:val="Body Text"/>
    <w:basedOn w:val="Normal"/>
    <w:link w:val="BodyTextChar"/>
    <w:uiPriority w:val="1"/>
    <w:qFormat/>
    <w:rsid w:val="000E03F1"/>
    <w:pPr>
      <w:widowControl w:val="0"/>
      <w:spacing w:before="156" w:line="240" w:lineRule="auto"/>
      <w:ind w:left="118"/>
    </w:pPr>
    <w:rPr>
      <w:sz w:val="24"/>
    </w:rPr>
  </w:style>
  <w:style w:type="character" w:customStyle="1" w:styleId="BodyTextChar">
    <w:name w:val="Body Text Char"/>
    <w:basedOn w:val="DefaultParagraphFont"/>
    <w:link w:val="BodyText"/>
    <w:uiPriority w:val="1"/>
    <w:locked/>
    <w:rsid w:val="000E03F1"/>
    <w:rPr>
      <w:rFonts w:ascii="Arial" w:hAnsi="Arial" w:cs="Times New Roman"/>
      <w:sz w:val="24"/>
      <w:szCs w:val="24"/>
      <w:lang w:val="x-none" w:eastAsia="fr-FR"/>
    </w:rPr>
  </w:style>
  <w:style w:type="paragraph" w:styleId="HTMLPreformatted">
    <w:name w:val="HTML Preformatted"/>
    <w:basedOn w:val="Normal"/>
    <w:link w:val="HTMLPreformattedChar"/>
    <w:uiPriority w:val="99"/>
    <w:unhideWhenUsed/>
    <w:rsid w:val="0060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HTMLPreformattedChar">
    <w:name w:val="HTML Preformatted Char"/>
    <w:basedOn w:val="DefaultParagraphFont"/>
    <w:link w:val="HTMLPreformatted"/>
    <w:uiPriority w:val="99"/>
    <w:rsid w:val="0060037E"/>
    <w:rPr>
      <w:rFonts w:ascii="Courier New" w:hAnsi="Courier New" w:cs="Courier New"/>
      <w:sz w:val="20"/>
      <w:szCs w:val="20"/>
      <w:lang w:eastAsia="de-DE"/>
    </w:rPr>
  </w:style>
  <w:style w:type="paragraph" w:customStyle="1" w:styleId="CommentText0">
    <w:name w:val="Comment Text_0"/>
    <w:basedOn w:val="Normal"/>
    <w:uiPriority w:val="99"/>
    <w:semiHidden/>
    <w:unhideWhenUsed/>
    <w:rsid w:val="0060037E"/>
    <w:pPr>
      <w:spacing w:line="240" w:lineRule="auto"/>
    </w:pPr>
    <w:rPr>
      <w:szCs w:val="20"/>
      <w:lang w:eastAsia="en-US"/>
    </w:rPr>
  </w:style>
  <w:style w:type="character" w:customStyle="1" w:styleId="CommentReference0">
    <w:name w:val="Comment Reference_0"/>
    <w:uiPriority w:val="99"/>
    <w:semiHidden/>
    <w:unhideWhenUsed/>
    <w:rsid w:val="0060037E"/>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cs="Times New Roman"/>
      <w:sz w:val="20"/>
      <w:szCs w:val="20"/>
      <w:lang w:eastAsia="fr-FR"/>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32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bruyninckx@henk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385A-77BB-43E5-AE44-DA48357B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2513</Words>
  <Characters>13737</Characters>
  <Application>Microsoft Office Word</Application>
  <DocSecurity>4</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Henkel AG &amp; Co. KGaA</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Els Bruyninckx</cp:lastModifiedBy>
  <cp:revision>2</cp:revision>
  <cp:lastPrinted>2019-02-21T11:49:00Z</cp:lastPrinted>
  <dcterms:created xsi:type="dcterms:W3CDTF">2019-02-21T16:15:00Z</dcterms:created>
  <dcterms:modified xsi:type="dcterms:W3CDTF">2019-02-21T16:15:00Z</dcterms:modified>
</cp:coreProperties>
</file>