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1041" w14:textId="5B2F54F4" w:rsidR="002206DF" w:rsidRPr="004716E6" w:rsidRDefault="00AE4D15" w:rsidP="002206DF">
      <w:pPr>
        <w:pStyle w:val="Standard12pt"/>
        <w:jc w:val="right"/>
      </w:pPr>
      <w:r>
        <w:t>7 mai</w:t>
      </w:r>
      <w:r w:rsidR="000E03F1" w:rsidRPr="004716E6">
        <w:t xml:space="preserve"> 2019</w:t>
      </w:r>
    </w:p>
    <w:p w14:paraId="52AD721A" w14:textId="77777777" w:rsidR="000E03F1" w:rsidRPr="004716E6" w:rsidRDefault="000E03F1" w:rsidP="000E03F1">
      <w:pPr>
        <w:spacing w:before="4" w:line="320" w:lineRule="exact"/>
        <w:rPr>
          <w:sz w:val="32"/>
          <w:szCs w:val="32"/>
        </w:rPr>
      </w:pPr>
    </w:p>
    <w:p w14:paraId="3A71503D" w14:textId="41DB0D93" w:rsidR="00AE4D15" w:rsidRDefault="00AE4D15" w:rsidP="00AE4D15">
      <w:pPr>
        <w:autoSpaceDE w:val="0"/>
        <w:autoSpaceDN w:val="0"/>
        <w:adjustRightInd w:val="0"/>
        <w:spacing w:line="360" w:lineRule="auto"/>
        <w:jc w:val="both"/>
        <w:rPr>
          <w:sz w:val="24"/>
        </w:rPr>
      </w:pPr>
      <w:r>
        <w:rPr>
          <w:sz w:val="24"/>
        </w:rPr>
        <w:t>Henkel confirme ses perspectives pour l'exercice 2019</w:t>
      </w:r>
    </w:p>
    <w:p w14:paraId="281FF74C" w14:textId="77777777" w:rsidR="00AE4D15" w:rsidRDefault="00AE4D15" w:rsidP="00AE4D15">
      <w:pPr>
        <w:pStyle w:val="Heading1"/>
        <w:jc w:val="both"/>
      </w:pPr>
      <w:r>
        <w:t xml:space="preserve">Henkel </w:t>
      </w:r>
      <w:proofErr w:type="spellStart"/>
      <w:r>
        <w:t>enregistre</w:t>
      </w:r>
      <w:proofErr w:type="spellEnd"/>
      <w:r>
        <w:t xml:space="preserve"> </w:t>
      </w:r>
      <w:proofErr w:type="spellStart"/>
      <w:r>
        <w:t>une</w:t>
      </w:r>
      <w:proofErr w:type="spellEnd"/>
      <w:r>
        <w:t xml:space="preserve"> </w:t>
      </w:r>
      <w:proofErr w:type="spellStart"/>
      <w:r>
        <w:t>croissance</w:t>
      </w:r>
      <w:proofErr w:type="spellEnd"/>
      <w:r>
        <w:t xml:space="preserve"> positive des </w:t>
      </w:r>
      <w:proofErr w:type="spellStart"/>
      <w:r>
        <w:t>ventes</w:t>
      </w:r>
      <w:proofErr w:type="spellEnd"/>
      <w:r>
        <w:t xml:space="preserve"> au </w:t>
      </w:r>
      <w:proofErr w:type="spellStart"/>
      <w:r>
        <w:t>premier</w:t>
      </w:r>
      <w:proofErr w:type="spellEnd"/>
      <w:r>
        <w:t xml:space="preserve"> </w:t>
      </w:r>
      <w:proofErr w:type="spellStart"/>
      <w:r>
        <w:t>trimestre</w:t>
      </w:r>
      <w:proofErr w:type="spellEnd"/>
    </w:p>
    <w:p w14:paraId="6D5EEEDB" w14:textId="77777777" w:rsidR="00AE4D15" w:rsidRDefault="00AE4D15" w:rsidP="00AE4D15"/>
    <w:p w14:paraId="6DFE3600" w14:textId="2074B7E8" w:rsidR="00AE4D15" w:rsidRDefault="00AE4D15" w:rsidP="00AE4D15">
      <w:pPr>
        <w:numPr>
          <w:ilvl w:val="0"/>
          <w:numId w:val="5"/>
        </w:numPr>
        <w:tabs>
          <w:tab w:val="num" w:pos="720"/>
        </w:tabs>
        <w:autoSpaceDE w:val="0"/>
        <w:autoSpaceDN w:val="0"/>
        <w:adjustRightInd w:val="0"/>
        <w:spacing w:line="360" w:lineRule="auto"/>
        <w:ind w:left="720"/>
        <w:rPr>
          <w:b/>
          <w:sz w:val="24"/>
        </w:rPr>
      </w:pPr>
      <w:bookmarkStart w:id="0" w:name="_Hlk513195024"/>
      <w:r>
        <w:rPr>
          <w:b/>
          <w:sz w:val="24"/>
        </w:rPr>
        <w:t>Hausse de 2,8 % des ventes à 4 969 millions d'EUR, croissance</w:t>
      </w:r>
      <w:r w:rsidR="00FF3668">
        <w:rPr>
          <w:b/>
          <w:sz w:val="24"/>
        </w:rPr>
        <w:t xml:space="preserve"> </w:t>
      </w:r>
      <w:r>
        <w:rPr>
          <w:b/>
          <w:sz w:val="24"/>
        </w:rPr>
        <w:t>organique de +0,7 %</w:t>
      </w:r>
    </w:p>
    <w:p w14:paraId="4C6A9450" w14:textId="77777777" w:rsidR="00AE4D15" w:rsidRDefault="00AE4D15" w:rsidP="00AE4D15">
      <w:pPr>
        <w:numPr>
          <w:ilvl w:val="0"/>
          <w:numId w:val="5"/>
        </w:numPr>
        <w:tabs>
          <w:tab w:val="num" w:pos="720"/>
        </w:tabs>
        <w:autoSpaceDE w:val="0"/>
        <w:autoSpaceDN w:val="0"/>
        <w:adjustRightInd w:val="0"/>
        <w:spacing w:line="360" w:lineRule="auto"/>
        <w:ind w:left="720"/>
        <w:rPr>
          <w:b/>
          <w:sz w:val="24"/>
        </w:rPr>
      </w:pPr>
      <w:r>
        <w:rPr>
          <w:b/>
          <w:sz w:val="24"/>
        </w:rPr>
        <w:t>Résultat d’exploitation (EBIT)* :795 millions d’EUR (-5,6 %)</w:t>
      </w:r>
    </w:p>
    <w:p w14:paraId="2FC893B6" w14:textId="77777777" w:rsidR="00AE4D15" w:rsidRDefault="00AE4D15" w:rsidP="00AE4D15">
      <w:pPr>
        <w:numPr>
          <w:ilvl w:val="0"/>
          <w:numId w:val="5"/>
        </w:numPr>
        <w:tabs>
          <w:tab w:val="num" w:pos="284"/>
          <w:tab w:val="num" w:pos="720"/>
        </w:tabs>
        <w:autoSpaceDE w:val="0"/>
        <w:autoSpaceDN w:val="0"/>
        <w:adjustRightInd w:val="0"/>
        <w:spacing w:line="360" w:lineRule="auto"/>
        <w:ind w:left="720"/>
        <w:jc w:val="both"/>
        <w:rPr>
          <w:b/>
          <w:sz w:val="24"/>
        </w:rPr>
      </w:pPr>
      <w:r>
        <w:rPr>
          <w:b/>
          <w:sz w:val="24"/>
        </w:rPr>
        <w:t>Marge EBIT* : 16,0 % (-140 points de base)</w:t>
      </w:r>
    </w:p>
    <w:p w14:paraId="2FA401BE" w14:textId="2F3DCA6A" w:rsidR="00AE4D15" w:rsidRPr="00FF3668" w:rsidRDefault="00AE4D15" w:rsidP="00FF3668">
      <w:pPr>
        <w:numPr>
          <w:ilvl w:val="0"/>
          <w:numId w:val="5"/>
        </w:numPr>
        <w:tabs>
          <w:tab w:val="num" w:pos="720"/>
        </w:tabs>
        <w:autoSpaceDE w:val="0"/>
        <w:autoSpaceDN w:val="0"/>
        <w:adjustRightInd w:val="0"/>
        <w:spacing w:line="360" w:lineRule="auto"/>
        <w:ind w:left="720"/>
        <w:jc w:val="both"/>
        <w:rPr>
          <w:b/>
          <w:sz w:val="24"/>
        </w:rPr>
      </w:pPr>
      <w:r>
        <w:rPr>
          <w:b/>
          <w:sz w:val="24"/>
        </w:rPr>
        <w:t>Résultat par action préférentielle (EPS)* : 1,34 EUR,</w:t>
      </w:r>
      <w:r w:rsidR="00FF3668">
        <w:rPr>
          <w:b/>
          <w:sz w:val="24"/>
        </w:rPr>
        <w:t xml:space="preserve"> </w:t>
      </w:r>
      <w:r w:rsidRPr="00FF3668">
        <w:rPr>
          <w:b/>
          <w:sz w:val="24"/>
        </w:rPr>
        <w:t>-6,3 % à taux de change constant</w:t>
      </w:r>
    </w:p>
    <w:p w14:paraId="41E3A6A6" w14:textId="77777777" w:rsidR="00AE4D15" w:rsidRDefault="00AE4D15" w:rsidP="00AE4D15">
      <w:pPr>
        <w:numPr>
          <w:ilvl w:val="0"/>
          <w:numId w:val="5"/>
        </w:numPr>
        <w:tabs>
          <w:tab w:val="num" w:pos="720"/>
        </w:tabs>
        <w:autoSpaceDE w:val="0"/>
        <w:autoSpaceDN w:val="0"/>
        <w:adjustRightInd w:val="0"/>
        <w:spacing w:line="360" w:lineRule="auto"/>
        <w:ind w:left="720"/>
        <w:jc w:val="both"/>
        <w:rPr>
          <w:b/>
          <w:sz w:val="24"/>
        </w:rPr>
      </w:pPr>
      <w:r>
        <w:rPr>
          <w:b/>
          <w:sz w:val="24"/>
        </w:rPr>
        <w:t>Forte augmentation du flux de trésorerie disponible : 523 millions d’EUR</w:t>
      </w:r>
    </w:p>
    <w:p w14:paraId="557CF2DD" w14:textId="77777777" w:rsidR="00AE4D15" w:rsidRDefault="00AE4D15" w:rsidP="00AE4D15">
      <w:pPr>
        <w:numPr>
          <w:ilvl w:val="0"/>
          <w:numId w:val="5"/>
        </w:numPr>
        <w:tabs>
          <w:tab w:val="num" w:pos="720"/>
        </w:tabs>
        <w:autoSpaceDE w:val="0"/>
        <w:autoSpaceDN w:val="0"/>
        <w:adjustRightInd w:val="0"/>
        <w:spacing w:line="360" w:lineRule="auto"/>
        <w:ind w:left="720"/>
        <w:jc w:val="both"/>
        <w:rPr>
          <w:b/>
          <w:sz w:val="24"/>
        </w:rPr>
      </w:pPr>
      <w:r>
        <w:rPr>
          <w:b/>
          <w:sz w:val="24"/>
        </w:rPr>
        <w:t xml:space="preserve">Investissement dans la croissance et amélioration de la compétitivité </w:t>
      </w:r>
    </w:p>
    <w:bookmarkEnd w:id="0"/>
    <w:p w14:paraId="357DE9D8" w14:textId="77777777" w:rsidR="00AE4D15" w:rsidRDefault="00AE4D15" w:rsidP="00AE4D15">
      <w:pPr>
        <w:autoSpaceDE w:val="0"/>
        <w:autoSpaceDN w:val="0"/>
        <w:adjustRightInd w:val="0"/>
        <w:spacing w:line="360" w:lineRule="auto"/>
        <w:jc w:val="both"/>
        <w:rPr>
          <w:b/>
          <w:sz w:val="24"/>
        </w:rPr>
      </w:pPr>
    </w:p>
    <w:p w14:paraId="3A80C9FA" w14:textId="17CF86F2" w:rsidR="00AE4D15" w:rsidRDefault="00AE4D15" w:rsidP="00AE4D15">
      <w:pPr>
        <w:autoSpaceDE w:val="0"/>
        <w:autoSpaceDN w:val="0"/>
        <w:adjustRightInd w:val="0"/>
        <w:spacing w:line="360" w:lineRule="auto"/>
        <w:jc w:val="both"/>
        <w:rPr>
          <w:b/>
          <w:sz w:val="24"/>
        </w:rPr>
      </w:pPr>
      <w:r>
        <w:rPr>
          <w:b/>
          <w:sz w:val="24"/>
        </w:rPr>
        <w:t xml:space="preserve">Düsseldorf – « Malgré un environnement de marché de plus en plus difficile Henkel a enregistré une croissance positive des ventes au premier trimestre, aussi bien organiquement que nominalement. À l’échelle du Groupe, la marge EBIT ajustée et l’EPS ajusté ont </w:t>
      </w:r>
      <w:r w:rsidR="00693683">
        <w:rPr>
          <w:b/>
          <w:sz w:val="24"/>
        </w:rPr>
        <w:t>été conformes</w:t>
      </w:r>
      <w:r>
        <w:rPr>
          <w:b/>
          <w:sz w:val="24"/>
        </w:rPr>
        <w:t xml:space="preserve"> à nos perspectives pour l’exercice 2019 », a indiqué Hans Van </w:t>
      </w:r>
      <w:proofErr w:type="spellStart"/>
      <w:r>
        <w:rPr>
          <w:b/>
          <w:sz w:val="24"/>
        </w:rPr>
        <w:t>Bylen</w:t>
      </w:r>
      <w:proofErr w:type="spellEnd"/>
      <w:r>
        <w:rPr>
          <w:b/>
          <w:sz w:val="24"/>
        </w:rPr>
        <w:t>, Président du Comité de Direction de Henkel.</w:t>
      </w:r>
    </w:p>
    <w:p w14:paraId="79D152BC" w14:textId="77777777" w:rsidR="00AE4D15" w:rsidRDefault="00AE4D15" w:rsidP="00AE4D15">
      <w:pPr>
        <w:autoSpaceDE w:val="0"/>
        <w:autoSpaceDN w:val="0"/>
        <w:adjustRightInd w:val="0"/>
        <w:spacing w:line="360" w:lineRule="auto"/>
        <w:jc w:val="both"/>
        <w:rPr>
          <w:b/>
          <w:sz w:val="24"/>
        </w:rPr>
      </w:pPr>
    </w:p>
    <w:p w14:paraId="6E5FEB1C" w14:textId="2E119470" w:rsidR="00AE4D15" w:rsidRDefault="00AE4D15" w:rsidP="00AE4D15">
      <w:pPr>
        <w:autoSpaceDE w:val="0"/>
        <w:autoSpaceDN w:val="0"/>
        <w:adjustRightInd w:val="0"/>
        <w:spacing w:line="360" w:lineRule="auto"/>
        <w:jc w:val="both"/>
        <w:rPr>
          <w:b/>
          <w:sz w:val="24"/>
        </w:rPr>
      </w:pPr>
      <w:r>
        <w:rPr>
          <w:noProof/>
        </w:rPr>
        <mc:AlternateContent>
          <mc:Choice Requires="wps">
            <w:drawing>
              <wp:anchor distT="45720" distB="45720" distL="114300" distR="114300" simplePos="0" relativeHeight="251658240" behindDoc="0" locked="0" layoutInCell="1" allowOverlap="1" wp14:anchorId="3A7E10D1" wp14:editId="016C73D4">
                <wp:simplePos x="0" y="0"/>
                <wp:positionH relativeFrom="column">
                  <wp:posOffset>-3175</wp:posOffset>
                </wp:positionH>
                <wp:positionV relativeFrom="paragraph">
                  <wp:posOffset>3051810</wp:posOffset>
                </wp:positionV>
                <wp:extent cx="5132705" cy="243840"/>
                <wp:effectExtent l="0" t="3810" r="4445" b="0"/>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7FF5D" w14:textId="77777777" w:rsidR="00AE4D15" w:rsidRDefault="00AE4D15" w:rsidP="00AE4D15">
                            <w:pPr>
                              <w:spacing w:line="276" w:lineRule="auto"/>
                              <w:jc w:val="both"/>
                              <w:rPr>
                                <w:sz w:val="14"/>
                                <w:szCs w:val="14"/>
                              </w:rPr>
                            </w:pPr>
                            <w:r>
                              <w:rPr>
                                <w:sz w:val="14"/>
                                <w:szCs w:val="14"/>
                              </w:rPr>
                              <w:t>* Après ajustement des produits et des dépenses exceptionnels ainsi que des dépenses pour restructuration.</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E10D1" id="_x0000_t202" coordsize="21600,21600" o:spt="202" path="m,l,21600r21600,l21600,xe">
                <v:stroke joinstyle="miter"/>
                <v:path gradientshapeok="t" o:connecttype="rect"/>
              </v:shapetype>
              <v:shape id="Zone de texte 20" o:spid="_x0000_s1026" type="#_x0000_t202" style="position:absolute;left:0;text-align:left;margin-left:-.25pt;margin-top:240.3pt;width:404.15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iwIAABIFAAAOAAAAZHJzL2Uyb0RvYy54bWysVNuO0zAQfUfiHyy/d3Mh3TbRpqu9UIS0&#10;XKSFF95c22ksEo+x3SYL4t8ZO93usoCEEHlwfBmfOTNzxmfnY9+RvbROga5pdpJSIjUHofS2ph8/&#10;rGdLSpxnWrAOtKzpnXT0fPX82dlgKplDC52QliCIdtVgatp6b6okcbyVPXMnYKTGwwZszzwu7TYR&#10;lg2I3ndJnqanyQBWGAtcOoe719MhXUX8ppHcv2saJz3paorcfBxtHDdhTFZnrNpaZlrFDzTYP7Do&#10;mdLo9Ah1zTwjO6t+geoVt+Cg8Scc+gSaRnEZY8BosvRJNLctMzLGgslx5pgm9/9g+dv9e0uUqGmO&#10;6dGsxxp9wkoRIYmXo5cE9zFJg3EV2t4atPbjJYxY7BiwMzfAPzui4apleisvrIWhlUwgySzcTB5d&#10;nXBcANkMb0CgM7bzEIHGxvYhg5gTgujI5u5YICRCOG7Osxf5Ip1TwvEsL14si0guYdX9bWOdfyWh&#10;J2FSU4sCiOhsf+N8YMOqe5PgzEGnxFp1XVzY7eaqs2TPUCzr+MUAnph1OhhrCNcmxGkHSaKPcBbo&#10;xuJ/K7O8SC/zcrY+XS5mxbqYz8pFupylWXlZnqZFWVyvvweCWVG1SgipbxQmf+oH3Py7Qh9aYpJQ&#10;lCIZalrO8/lUoj8Gmcbvd0H2ymNfdqqv6fJoxKpQ2JdaYNis8kx10zz5mX7MMubg/h+zEmUQKj9p&#10;wI+bEVGCNjYg7lAQFrBeWHV8THDSgv1KyYCNWVP3ZcespKR7rVFUoYvjpJgvUJvExkWZFagFsnl8&#10;wjRHmJp6SqbplZ86f2es2rboZZKwhgsUYaOiPh4YHaSLjRcDOTwSobMfr6PVw1O2+gEAAP//AwBQ&#10;SwMEFAAGAAgAAAAhAIFw7gPfAAAACQEAAA8AAABkcnMvZG93bnJldi54bWxMj8FOwzAQRO9I/IO1&#10;SNxau6htQppNVSEhcUGIAPdtvE1CYjvEbpvy9ZgTHEczmnmTbyfTixOPvnUWYTFXINhWTre2Rnh/&#10;e5ylIHwgq6l3lhEu7GFbXF/llGl3tq98KkMtYon1GSE0IQyZlL5q2JCfu4Ft9A5uNBSiHGupRzrH&#10;ctPLO6XW0lBr40JDAz80XHXl0SC0n+r7+ell2TWq44TcV/mR7C6ItzfTbgMi8BT+wvCLH9GhiEx7&#10;d7Taix5htopBhGWq1iCin6okXtkjrBb3CmSRy/8Pih8AAAD//wMAUEsBAi0AFAAGAAgAAAAhALaD&#10;OJL+AAAA4QEAABMAAAAAAAAAAAAAAAAAAAAAAFtDb250ZW50X1R5cGVzXS54bWxQSwECLQAUAAYA&#10;CAAAACEAOP0h/9YAAACUAQAACwAAAAAAAAAAAAAAAAAvAQAAX3JlbHMvLnJlbHNQSwECLQAUAAYA&#10;CAAAACEAoMVv/osCAAASBQAADgAAAAAAAAAAAAAAAAAuAgAAZHJzL2Uyb0RvYy54bWxQSwECLQAU&#10;AAYACAAAACEAgXDuA98AAAAJAQAADwAAAAAAAAAAAAAAAADlBAAAZHJzL2Rvd25yZXYueG1sUEsF&#10;BgAAAAAEAAQA8wAAAPEFAAAAAA==&#10;" stroked="f">
                <v:textbox inset="0">
                  <w:txbxContent>
                    <w:p w14:paraId="1157FF5D" w14:textId="77777777" w:rsidR="00AE4D15" w:rsidRDefault="00AE4D15" w:rsidP="00AE4D15">
                      <w:pPr>
                        <w:spacing w:line="276" w:lineRule="auto"/>
                        <w:jc w:val="both"/>
                        <w:rPr>
                          <w:sz w:val="14"/>
                          <w:szCs w:val="14"/>
                        </w:rPr>
                      </w:pPr>
                      <w:r>
                        <w:rPr>
                          <w:sz w:val="14"/>
                          <w:szCs w:val="14"/>
                        </w:rPr>
                        <w:t>* Après ajustement des produits et des dépenses exceptionnels ainsi que des dépenses pour restructuration.</w:t>
                      </w:r>
                    </w:p>
                  </w:txbxContent>
                </v:textbox>
                <w10:wrap type="square"/>
              </v:shape>
            </w:pict>
          </mc:Fallback>
        </mc:AlternateContent>
      </w:r>
      <w:r>
        <w:rPr>
          <w:b/>
          <w:sz w:val="24"/>
        </w:rPr>
        <w:t xml:space="preserve">« Dans l’ensemble, le bilan de notre activité au premier trimestre 2019 est </w:t>
      </w:r>
      <w:r w:rsidR="005D1D94">
        <w:rPr>
          <w:b/>
          <w:sz w:val="24"/>
        </w:rPr>
        <w:t>contrasté</w:t>
      </w:r>
      <w:r>
        <w:rPr>
          <w:b/>
          <w:sz w:val="24"/>
        </w:rPr>
        <w:t xml:space="preserve">. Comme nous nous y attendions, le secteur d’activité </w:t>
      </w:r>
      <w:proofErr w:type="spellStart"/>
      <w:r>
        <w:rPr>
          <w:b/>
          <w:sz w:val="24"/>
        </w:rPr>
        <w:t>Adhesive</w:t>
      </w:r>
      <w:proofErr w:type="spellEnd"/>
      <w:r>
        <w:rPr>
          <w:b/>
          <w:sz w:val="24"/>
        </w:rPr>
        <w:t xml:space="preserve"> Technologies a été affecté par la baisse de la production industrielle dans </w:t>
      </w:r>
      <w:r>
        <w:rPr>
          <w:b/>
          <w:sz w:val="24"/>
        </w:rPr>
        <w:lastRenderedPageBreak/>
        <w:t xml:space="preserve">plusieurs secteurs ; mais la situation devrait s’améliorer au cours du deuxième semestre de cette année », a expliqué Hans Van </w:t>
      </w:r>
      <w:proofErr w:type="spellStart"/>
      <w:r>
        <w:rPr>
          <w:b/>
          <w:sz w:val="24"/>
        </w:rPr>
        <w:t>Bylen</w:t>
      </w:r>
      <w:proofErr w:type="spellEnd"/>
      <w:r>
        <w:rPr>
          <w:b/>
          <w:sz w:val="24"/>
        </w:rPr>
        <w:t xml:space="preserve">. </w:t>
      </w:r>
    </w:p>
    <w:p w14:paraId="70CB71E7" w14:textId="77777777" w:rsidR="00AE4D15" w:rsidRDefault="00AE4D15" w:rsidP="00AE4D15">
      <w:pPr>
        <w:autoSpaceDE w:val="0"/>
        <w:autoSpaceDN w:val="0"/>
        <w:adjustRightInd w:val="0"/>
        <w:spacing w:line="360" w:lineRule="auto"/>
        <w:jc w:val="both"/>
        <w:rPr>
          <w:b/>
          <w:sz w:val="24"/>
        </w:rPr>
      </w:pPr>
    </w:p>
    <w:p w14:paraId="47DD97F0" w14:textId="1853D1F2" w:rsidR="00AE4D15" w:rsidRDefault="00AE4D15" w:rsidP="00AE4D15">
      <w:pPr>
        <w:autoSpaceDE w:val="0"/>
        <w:autoSpaceDN w:val="0"/>
        <w:adjustRightInd w:val="0"/>
        <w:spacing w:line="360" w:lineRule="auto"/>
        <w:jc w:val="both"/>
        <w:rPr>
          <w:b/>
          <w:sz w:val="24"/>
        </w:rPr>
      </w:pPr>
      <w:r>
        <w:rPr>
          <w:b/>
          <w:sz w:val="24"/>
        </w:rPr>
        <w:t xml:space="preserve">« Dans nos secteurs dédiés aux biens de grande consommation, la performance de Beauty Care a été inférieure à nos </w:t>
      </w:r>
      <w:r w:rsidR="008002F7">
        <w:rPr>
          <w:b/>
          <w:sz w:val="24"/>
        </w:rPr>
        <w:t>attentes</w:t>
      </w:r>
      <w:r>
        <w:rPr>
          <w:b/>
          <w:sz w:val="24"/>
        </w:rPr>
        <w:t xml:space="preserve">. Malgré le lancement réussi de nouvelles marques et de </w:t>
      </w:r>
      <w:r w:rsidR="00D5467C">
        <w:rPr>
          <w:b/>
          <w:sz w:val="24"/>
        </w:rPr>
        <w:t>d’</w:t>
      </w:r>
      <w:r>
        <w:rPr>
          <w:b/>
          <w:sz w:val="24"/>
        </w:rPr>
        <w:t>innovat</w:t>
      </w:r>
      <w:r w:rsidR="00D5467C">
        <w:rPr>
          <w:b/>
          <w:sz w:val="24"/>
        </w:rPr>
        <w:t>ion</w:t>
      </w:r>
      <w:r>
        <w:rPr>
          <w:b/>
          <w:sz w:val="24"/>
        </w:rPr>
        <w:t xml:space="preserve">s, et même si nos produits destinés aux professionnels de la coiffure continuent à </w:t>
      </w:r>
      <w:r w:rsidR="00FD0E85">
        <w:rPr>
          <w:b/>
          <w:sz w:val="24"/>
        </w:rPr>
        <w:t>surperformer</w:t>
      </w:r>
      <w:r>
        <w:rPr>
          <w:b/>
          <w:sz w:val="24"/>
        </w:rPr>
        <w:t xml:space="preserve"> les marchés</w:t>
      </w:r>
      <w:r w:rsidR="00FD0E85">
        <w:rPr>
          <w:b/>
          <w:sz w:val="24"/>
        </w:rPr>
        <w:t>,</w:t>
      </w:r>
      <w:r>
        <w:rPr>
          <w:b/>
          <w:sz w:val="24"/>
        </w:rPr>
        <w:t xml:space="preserve"> nous avons dû faire face au ralentissement de nos activités dans des régions clés comme l’Europe de l’Ouest et la Chine. </w:t>
      </w:r>
      <w:r w:rsidR="003E24D9">
        <w:rPr>
          <w:b/>
          <w:sz w:val="24"/>
        </w:rPr>
        <w:t>Dans ce contexte, nous</w:t>
      </w:r>
      <w:r>
        <w:rPr>
          <w:b/>
          <w:sz w:val="24"/>
        </w:rPr>
        <w:t xml:space="preserve"> mett</w:t>
      </w:r>
      <w:r w:rsidR="003E24D9">
        <w:rPr>
          <w:b/>
          <w:sz w:val="24"/>
        </w:rPr>
        <w:t>ons</w:t>
      </w:r>
      <w:r>
        <w:rPr>
          <w:b/>
          <w:sz w:val="24"/>
        </w:rPr>
        <w:t xml:space="preserve"> en place des mesures ciblées visant à stimuler la croissance et à améliorer la performance de notre secteur d’activité Beauty Care », a</w:t>
      </w:r>
      <w:r w:rsidR="009816F6">
        <w:rPr>
          <w:b/>
          <w:sz w:val="24"/>
        </w:rPr>
        <w:t xml:space="preserve"> </w:t>
      </w:r>
      <w:r>
        <w:rPr>
          <w:b/>
          <w:sz w:val="24"/>
        </w:rPr>
        <w:t>ajouté</w:t>
      </w:r>
      <w:r w:rsidR="009816F6">
        <w:rPr>
          <w:b/>
          <w:sz w:val="24"/>
        </w:rPr>
        <w:t xml:space="preserve"> Hans Van </w:t>
      </w:r>
      <w:proofErr w:type="spellStart"/>
      <w:r w:rsidR="009816F6">
        <w:rPr>
          <w:b/>
          <w:sz w:val="24"/>
        </w:rPr>
        <w:t>Bylen</w:t>
      </w:r>
      <w:proofErr w:type="spellEnd"/>
      <w:r>
        <w:rPr>
          <w:b/>
          <w:sz w:val="24"/>
        </w:rPr>
        <w:t xml:space="preserve">. </w:t>
      </w:r>
    </w:p>
    <w:p w14:paraId="1B1AB71E" w14:textId="77777777" w:rsidR="00AE4D15" w:rsidRDefault="00AE4D15" w:rsidP="00AE4D15">
      <w:pPr>
        <w:autoSpaceDE w:val="0"/>
        <w:autoSpaceDN w:val="0"/>
        <w:adjustRightInd w:val="0"/>
        <w:spacing w:line="360" w:lineRule="auto"/>
        <w:jc w:val="both"/>
        <w:rPr>
          <w:b/>
          <w:sz w:val="24"/>
        </w:rPr>
      </w:pPr>
    </w:p>
    <w:p w14:paraId="6AEFC713" w14:textId="77777777" w:rsidR="00AE4D15" w:rsidRDefault="00AE4D15" w:rsidP="00AE4D15">
      <w:pPr>
        <w:autoSpaceDE w:val="0"/>
        <w:autoSpaceDN w:val="0"/>
        <w:adjustRightInd w:val="0"/>
        <w:spacing w:line="360" w:lineRule="auto"/>
        <w:jc w:val="both"/>
        <w:rPr>
          <w:b/>
          <w:sz w:val="24"/>
        </w:rPr>
      </w:pPr>
      <w:r>
        <w:rPr>
          <w:b/>
          <w:sz w:val="24"/>
        </w:rPr>
        <w:t>« D’un autre côté, notre secteur d’activité Laundry &amp; Home Care a bien commencé l’année, notamment grâce au lancement d’innovations et de nouveaux produits. »</w:t>
      </w:r>
    </w:p>
    <w:p w14:paraId="0BB50131" w14:textId="77777777" w:rsidR="00AE4D15" w:rsidRDefault="00AE4D15" w:rsidP="00AE4D15">
      <w:pPr>
        <w:autoSpaceDE w:val="0"/>
        <w:autoSpaceDN w:val="0"/>
        <w:adjustRightInd w:val="0"/>
        <w:spacing w:line="360" w:lineRule="auto"/>
        <w:jc w:val="both"/>
        <w:rPr>
          <w:b/>
          <w:sz w:val="24"/>
        </w:rPr>
      </w:pPr>
    </w:p>
    <w:p w14:paraId="39FB6DD2" w14:textId="1CF11BA5" w:rsidR="00AE4D15" w:rsidRDefault="00AE4D15" w:rsidP="00AE4D15">
      <w:pPr>
        <w:autoSpaceDE w:val="0"/>
        <w:autoSpaceDN w:val="0"/>
        <w:adjustRightInd w:val="0"/>
        <w:spacing w:after="120" w:line="360" w:lineRule="auto"/>
        <w:jc w:val="both"/>
        <w:rPr>
          <w:b/>
          <w:sz w:val="24"/>
        </w:rPr>
      </w:pPr>
      <w:r>
        <w:rPr>
          <w:b/>
          <w:sz w:val="24"/>
        </w:rPr>
        <w:t xml:space="preserve">Investissement dans la croissance et </w:t>
      </w:r>
      <w:r w:rsidR="00BA22E5">
        <w:rPr>
          <w:b/>
          <w:sz w:val="24"/>
        </w:rPr>
        <w:t>l’</w:t>
      </w:r>
      <w:r>
        <w:rPr>
          <w:b/>
          <w:sz w:val="24"/>
        </w:rPr>
        <w:t>amélioration de la compétitivité</w:t>
      </w:r>
    </w:p>
    <w:p w14:paraId="7DB0F3E4" w14:textId="6DA1B3A3" w:rsidR="00AE4D15" w:rsidRDefault="00AE4D15" w:rsidP="00AE4D15">
      <w:pPr>
        <w:autoSpaceDE w:val="0"/>
        <w:autoSpaceDN w:val="0"/>
        <w:adjustRightInd w:val="0"/>
        <w:spacing w:line="360" w:lineRule="auto"/>
        <w:jc w:val="both"/>
        <w:rPr>
          <w:b/>
          <w:sz w:val="24"/>
        </w:rPr>
      </w:pPr>
      <w:r>
        <w:rPr>
          <w:b/>
          <w:sz w:val="24"/>
        </w:rPr>
        <w:t>« Dans les mois qui viennent, nous allons concentrer nos efforts sur le renforcement de nos activités</w:t>
      </w:r>
      <w:r w:rsidR="00BA22E5">
        <w:rPr>
          <w:b/>
          <w:sz w:val="24"/>
        </w:rPr>
        <w:t>,</w:t>
      </w:r>
      <w:r>
        <w:rPr>
          <w:b/>
          <w:sz w:val="24"/>
        </w:rPr>
        <w:t xml:space="preserve"> investir dans la croissance et dans la digitalisation et poursuivre l’adaptation de nos structures pour atteindre les objectifs que nous nous sommes fixés pour l’année », </w:t>
      </w:r>
      <w:bookmarkStart w:id="1" w:name="_Hlk505350347"/>
      <w:r>
        <w:rPr>
          <w:b/>
          <w:sz w:val="24"/>
        </w:rPr>
        <w:t xml:space="preserve">a </w:t>
      </w:r>
      <w:r w:rsidR="00715501">
        <w:rPr>
          <w:b/>
          <w:sz w:val="24"/>
        </w:rPr>
        <w:t>indiqué</w:t>
      </w:r>
      <w:r>
        <w:rPr>
          <w:b/>
          <w:sz w:val="24"/>
        </w:rPr>
        <w:t xml:space="preserve"> Hans Van </w:t>
      </w:r>
      <w:proofErr w:type="spellStart"/>
      <w:r>
        <w:rPr>
          <w:b/>
          <w:sz w:val="24"/>
        </w:rPr>
        <w:t>Bylen</w:t>
      </w:r>
      <w:proofErr w:type="spellEnd"/>
      <w:r>
        <w:rPr>
          <w:b/>
          <w:sz w:val="24"/>
        </w:rPr>
        <w:t>.</w:t>
      </w:r>
      <w:bookmarkEnd w:id="1"/>
      <w:r>
        <w:rPr>
          <w:b/>
          <w:sz w:val="24"/>
        </w:rPr>
        <w:t xml:space="preserve"> </w:t>
      </w:r>
    </w:p>
    <w:p w14:paraId="08897388" w14:textId="77777777" w:rsidR="00AE4D15" w:rsidRDefault="00AE4D15" w:rsidP="00AE4D15">
      <w:pPr>
        <w:autoSpaceDE w:val="0"/>
        <w:autoSpaceDN w:val="0"/>
        <w:adjustRightInd w:val="0"/>
        <w:spacing w:line="360" w:lineRule="auto"/>
        <w:jc w:val="both"/>
        <w:rPr>
          <w:b/>
          <w:sz w:val="24"/>
        </w:rPr>
      </w:pPr>
    </w:p>
    <w:p w14:paraId="1C21EC12" w14:textId="681E5E59" w:rsidR="00AE4D15" w:rsidRDefault="00AE4D15" w:rsidP="00AE4D15">
      <w:pPr>
        <w:autoSpaceDE w:val="0"/>
        <w:autoSpaceDN w:val="0"/>
        <w:adjustRightInd w:val="0"/>
        <w:spacing w:line="360" w:lineRule="auto"/>
        <w:jc w:val="both"/>
        <w:rPr>
          <w:b/>
          <w:sz w:val="24"/>
        </w:rPr>
      </w:pPr>
      <w:r>
        <w:rPr>
          <w:b/>
          <w:sz w:val="24"/>
        </w:rPr>
        <w:t>Au début de cette année, Henkel a annoncé un accroissement des investissements afin de saisir de nouvelles opportunités de croissance, notamment dans le secteur des biens de grande consommation</w:t>
      </w:r>
      <w:r w:rsidR="0020781C">
        <w:rPr>
          <w:b/>
          <w:sz w:val="24"/>
        </w:rPr>
        <w:t>,</w:t>
      </w:r>
      <w:r>
        <w:rPr>
          <w:b/>
          <w:sz w:val="24"/>
        </w:rPr>
        <w:t xml:space="preserve"> ainsi qu’une accélération de la transformation digitale du Groupe. Henkel met également en œuvre une série de mesures visant à améliorer la compétitivité de ses secteurs d’activité.</w:t>
      </w:r>
    </w:p>
    <w:p w14:paraId="5C6A22D6" w14:textId="77777777" w:rsidR="00AE4D15" w:rsidRDefault="00AE4D15" w:rsidP="00AE4D15">
      <w:pPr>
        <w:autoSpaceDE w:val="0"/>
        <w:autoSpaceDN w:val="0"/>
        <w:adjustRightInd w:val="0"/>
        <w:spacing w:line="360" w:lineRule="auto"/>
        <w:jc w:val="both"/>
        <w:rPr>
          <w:b/>
          <w:sz w:val="24"/>
        </w:rPr>
      </w:pPr>
    </w:p>
    <w:p w14:paraId="6EC763B3" w14:textId="77777777" w:rsidR="00AE4D15" w:rsidRDefault="00AE4D15" w:rsidP="00AE4D15">
      <w:pPr>
        <w:autoSpaceDE w:val="0"/>
        <w:autoSpaceDN w:val="0"/>
        <w:adjustRightInd w:val="0"/>
        <w:spacing w:after="120" w:line="360" w:lineRule="auto"/>
        <w:jc w:val="both"/>
        <w:rPr>
          <w:b/>
          <w:sz w:val="24"/>
        </w:rPr>
      </w:pPr>
      <w:r>
        <w:rPr>
          <w:b/>
          <w:sz w:val="24"/>
        </w:rPr>
        <w:t>Confirmation des perspectives pour 2019</w:t>
      </w:r>
    </w:p>
    <w:p w14:paraId="2AAA105E" w14:textId="77777777" w:rsidR="00E6271B" w:rsidRDefault="002F750E" w:rsidP="00AE4D15">
      <w:pPr>
        <w:autoSpaceDE w:val="0"/>
        <w:autoSpaceDN w:val="0"/>
        <w:adjustRightInd w:val="0"/>
        <w:spacing w:line="360" w:lineRule="auto"/>
        <w:jc w:val="both"/>
        <w:rPr>
          <w:b/>
          <w:sz w:val="24"/>
        </w:rPr>
      </w:pPr>
      <w:r>
        <w:rPr>
          <w:b/>
          <w:sz w:val="24"/>
        </w:rPr>
        <w:lastRenderedPageBreak/>
        <w:t xml:space="preserve"> </w:t>
      </w:r>
      <w:r w:rsidR="00AE4D15">
        <w:rPr>
          <w:b/>
          <w:sz w:val="24"/>
        </w:rPr>
        <w:t xml:space="preserve">« Nous confirmons nos perspectives pour l’exercice 2019 », a </w:t>
      </w:r>
      <w:r w:rsidR="00E97418">
        <w:rPr>
          <w:b/>
          <w:sz w:val="24"/>
        </w:rPr>
        <w:t>indiqué</w:t>
      </w:r>
      <w:r w:rsidR="00AE4D15">
        <w:rPr>
          <w:b/>
          <w:sz w:val="24"/>
        </w:rPr>
        <w:t xml:space="preserve"> </w:t>
      </w:r>
      <w:r w:rsidR="00AE4D15">
        <w:rPr>
          <w:b/>
          <w:bCs/>
          <w:sz w:val="24"/>
        </w:rPr>
        <w:t xml:space="preserve">Hans Van </w:t>
      </w:r>
      <w:proofErr w:type="spellStart"/>
      <w:r w:rsidR="00AE4D15">
        <w:rPr>
          <w:b/>
          <w:bCs/>
          <w:sz w:val="24"/>
        </w:rPr>
        <w:t>Bylen</w:t>
      </w:r>
      <w:proofErr w:type="spellEnd"/>
      <w:r w:rsidR="00AE4D15">
        <w:rPr>
          <w:b/>
          <w:bCs/>
          <w:sz w:val="24"/>
        </w:rPr>
        <w:t xml:space="preserve">. </w:t>
      </w:r>
      <w:r w:rsidR="00AE4D15">
        <w:rPr>
          <w:b/>
          <w:sz w:val="24"/>
        </w:rPr>
        <w:t>« Nous nous attendons à réaliser une croissance organique des ventes comprise entre 2 % et 4 % pour l’exercice en cours. En ce qui concerne la marge EBIT ajustée, nous nous attendons à ce qu’elle s’établisse entre 16 % et 17 %.</w:t>
      </w:r>
    </w:p>
    <w:p w14:paraId="54416255" w14:textId="36EFDACF" w:rsidR="00C50D69" w:rsidRPr="009A2825" w:rsidRDefault="00C50D69" w:rsidP="00AE4D15">
      <w:pPr>
        <w:autoSpaceDE w:val="0"/>
        <w:autoSpaceDN w:val="0"/>
        <w:adjustRightInd w:val="0"/>
        <w:spacing w:line="360" w:lineRule="auto"/>
        <w:jc w:val="both"/>
        <w:rPr>
          <w:b/>
          <w:sz w:val="24"/>
        </w:rPr>
      </w:pPr>
      <w:r w:rsidRPr="009A2825">
        <w:rPr>
          <w:b/>
          <w:sz w:val="24"/>
        </w:rPr>
        <w:t>La croissance de l’EPS après ajustement devrait se situer dans le milieu d’un pourcentage à un chiffre en dessous de l’an dernier à taux de change constant.</w:t>
      </w:r>
    </w:p>
    <w:p w14:paraId="6C6677E8" w14:textId="77777777" w:rsidR="00AE4D15" w:rsidRDefault="00AE4D15" w:rsidP="00AE4D15">
      <w:pPr>
        <w:autoSpaceDE w:val="0"/>
        <w:autoSpaceDN w:val="0"/>
        <w:adjustRightInd w:val="0"/>
        <w:spacing w:line="360" w:lineRule="auto"/>
        <w:jc w:val="both"/>
        <w:rPr>
          <w:rFonts w:cs="Arial"/>
          <w:b/>
          <w:bCs/>
          <w:sz w:val="24"/>
          <w:lang w:eastAsia="de-DE"/>
        </w:rPr>
      </w:pPr>
    </w:p>
    <w:p w14:paraId="3212F119" w14:textId="77777777" w:rsidR="00AE4D15" w:rsidRDefault="00AE4D15" w:rsidP="00AE4D15">
      <w:pPr>
        <w:autoSpaceDE w:val="0"/>
        <w:autoSpaceDN w:val="0"/>
        <w:adjustRightInd w:val="0"/>
        <w:spacing w:after="120" w:line="360" w:lineRule="auto"/>
        <w:jc w:val="both"/>
        <w:rPr>
          <w:b/>
          <w:sz w:val="24"/>
          <w:lang w:eastAsia="en-US"/>
        </w:rPr>
      </w:pPr>
      <w:r>
        <w:rPr>
          <w:b/>
          <w:bCs/>
          <w:sz w:val="24"/>
        </w:rPr>
        <w:t>Développement des ventes et du résultat au premier trimestre 2019</w:t>
      </w:r>
    </w:p>
    <w:p w14:paraId="1BB822A0" w14:textId="77777777" w:rsidR="00AE4D15" w:rsidRDefault="00AE4D15" w:rsidP="00AE4D15">
      <w:pPr>
        <w:autoSpaceDE w:val="0"/>
        <w:autoSpaceDN w:val="0"/>
        <w:adjustRightInd w:val="0"/>
        <w:spacing w:line="360" w:lineRule="auto"/>
        <w:jc w:val="both"/>
        <w:rPr>
          <w:rFonts w:cs="Arial"/>
          <w:b/>
          <w:sz w:val="24"/>
        </w:rPr>
      </w:pPr>
      <w:r>
        <w:rPr>
          <w:sz w:val="24"/>
        </w:rPr>
        <w:t xml:space="preserve">Au cours du premier trimestre 2019, les </w:t>
      </w:r>
      <w:r>
        <w:rPr>
          <w:b/>
          <w:sz w:val="24"/>
        </w:rPr>
        <w:t>ventes</w:t>
      </w:r>
      <w:r>
        <w:rPr>
          <w:sz w:val="24"/>
        </w:rPr>
        <w:t xml:space="preserve"> ont augmenté de 2,8% pour atteindre 4 969 millions d'EUR. </w:t>
      </w:r>
      <w:r>
        <w:rPr>
          <w:b/>
          <w:sz w:val="24"/>
        </w:rPr>
        <w:t>Organiquement</w:t>
      </w:r>
      <w:r>
        <w:rPr>
          <w:sz w:val="24"/>
        </w:rPr>
        <w:t>, c'est-à-dire après ajustement des effets de change et des acquisitions/désinvestissements, Henkel a enregistré une croissance de 0,7 %. Les acquisitions et les désinvestissements ont contribué à hauteur de 0,6 %. Des effets de change favorable ont augmenté les ventes de +1,5 %.</w:t>
      </w:r>
    </w:p>
    <w:p w14:paraId="0215261A" w14:textId="77777777" w:rsidR="00AE4D15" w:rsidRDefault="00AE4D15" w:rsidP="00AE4D15">
      <w:pPr>
        <w:autoSpaceDE w:val="0"/>
        <w:autoSpaceDN w:val="0"/>
        <w:adjustRightInd w:val="0"/>
        <w:spacing w:line="360" w:lineRule="auto"/>
        <w:jc w:val="both"/>
        <w:rPr>
          <w:rFonts w:cs="Arial"/>
          <w:sz w:val="24"/>
        </w:rPr>
      </w:pPr>
    </w:p>
    <w:p w14:paraId="00635BFC" w14:textId="6BA7F939" w:rsidR="00AE4D15" w:rsidRDefault="00AE4D15" w:rsidP="00AE4D15">
      <w:pPr>
        <w:autoSpaceDE w:val="0"/>
        <w:autoSpaceDN w:val="0"/>
        <w:adjustRightInd w:val="0"/>
        <w:spacing w:line="360" w:lineRule="auto"/>
        <w:jc w:val="both"/>
        <w:rPr>
          <w:rFonts w:cs="Arial"/>
          <w:sz w:val="24"/>
        </w:rPr>
      </w:pPr>
      <w:r>
        <w:rPr>
          <w:sz w:val="24"/>
        </w:rPr>
        <w:t xml:space="preserve">Dans le secteur d’activité </w:t>
      </w:r>
      <w:proofErr w:type="spellStart"/>
      <w:r>
        <w:rPr>
          <w:b/>
          <w:sz w:val="24"/>
        </w:rPr>
        <w:t>Adhesive</w:t>
      </w:r>
      <w:proofErr w:type="spellEnd"/>
      <w:r>
        <w:rPr>
          <w:b/>
          <w:sz w:val="24"/>
        </w:rPr>
        <w:t xml:space="preserve"> Technologies</w:t>
      </w:r>
      <w:r>
        <w:rPr>
          <w:sz w:val="24"/>
        </w:rPr>
        <w:t>, les ventes ont diminué organiquement de 0,8 %</w:t>
      </w:r>
      <w:r w:rsidR="00AA06D3">
        <w:rPr>
          <w:sz w:val="24"/>
        </w:rPr>
        <w:t>,</w:t>
      </w:r>
      <w:r>
        <w:rPr>
          <w:sz w:val="24"/>
        </w:rPr>
        <w:t xml:space="preserve"> principalement </w:t>
      </w:r>
      <w:r w:rsidR="00AA06D3">
        <w:rPr>
          <w:sz w:val="24"/>
        </w:rPr>
        <w:t>en raison</w:t>
      </w:r>
      <w:r>
        <w:rPr>
          <w:sz w:val="24"/>
        </w:rPr>
        <w:t xml:space="preserve"> du ralentissement des marchés de l’électronique et de l’automobile. Les ventes du secteur d’activité </w:t>
      </w:r>
      <w:r>
        <w:rPr>
          <w:b/>
          <w:sz w:val="24"/>
        </w:rPr>
        <w:t>Beauty Care</w:t>
      </w:r>
      <w:r>
        <w:rPr>
          <w:sz w:val="24"/>
        </w:rPr>
        <w:t xml:space="preserve"> </w:t>
      </w:r>
      <w:r w:rsidR="00AA06D3">
        <w:rPr>
          <w:sz w:val="24"/>
        </w:rPr>
        <w:t>ont été</w:t>
      </w:r>
      <w:r>
        <w:rPr>
          <w:sz w:val="24"/>
        </w:rPr>
        <w:t xml:space="preserve"> organiquement inférieures de 2,2 % à celles du premier trimestre de l’an dernier. Cette évolution s’explique surtout par la </w:t>
      </w:r>
      <w:r w:rsidR="00AA06D3">
        <w:rPr>
          <w:sz w:val="24"/>
        </w:rPr>
        <w:t>faible</w:t>
      </w:r>
      <w:r>
        <w:rPr>
          <w:sz w:val="24"/>
        </w:rPr>
        <w:t xml:space="preserve"> performance des activités de </w:t>
      </w:r>
      <w:r w:rsidR="00125BB9">
        <w:rPr>
          <w:sz w:val="24"/>
        </w:rPr>
        <w:t>grande consommation</w:t>
      </w:r>
      <w:r>
        <w:rPr>
          <w:sz w:val="24"/>
        </w:rPr>
        <w:t xml:space="preserve"> en Europe de l’Ouest et en Chine. Le secteur d’activité </w:t>
      </w:r>
      <w:r>
        <w:rPr>
          <w:b/>
          <w:sz w:val="24"/>
        </w:rPr>
        <w:t>Laundry &amp; Home Care</w:t>
      </w:r>
      <w:r>
        <w:rPr>
          <w:sz w:val="24"/>
        </w:rPr>
        <w:t xml:space="preserve"> a enregistré une très bonne croissance organique de 4,7 %</w:t>
      </w:r>
      <w:r w:rsidR="0040347A">
        <w:rPr>
          <w:sz w:val="24"/>
        </w:rPr>
        <w:t>,</w:t>
      </w:r>
      <w:r>
        <w:rPr>
          <w:sz w:val="24"/>
        </w:rPr>
        <w:t xml:space="preserve"> portée par les lancements réussis de nouveaux produits et d’innovations sur les marchés clés.</w:t>
      </w:r>
    </w:p>
    <w:p w14:paraId="7ECC9049" w14:textId="77777777" w:rsidR="00AE4D15" w:rsidRDefault="00AE4D15" w:rsidP="00AE4D15">
      <w:pPr>
        <w:autoSpaceDE w:val="0"/>
        <w:autoSpaceDN w:val="0"/>
        <w:adjustRightInd w:val="0"/>
        <w:spacing w:line="360" w:lineRule="auto"/>
        <w:jc w:val="both"/>
        <w:rPr>
          <w:rFonts w:cs="Arial"/>
          <w:sz w:val="24"/>
        </w:rPr>
      </w:pPr>
    </w:p>
    <w:p w14:paraId="08C84B23" w14:textId="77777777" w:rsidR="00AE4D15" w:rsidRDefault="00AE4D15" w:rsidP="00AE4D15">
      <w:pPr>
        <w:autoSpaceDE w:val="0"/>
        <w:autoSpaceDN w:val="0"/>
        <w:adjustRightInd w:val="0"/>
        <w:spacing w:line="360" w:lineRule="auto"/>
        <w:jc w:val="both"/>
        <w:rPr>
          <w:rFonts w:cs="Arial"/>
          <w:sz w:val="24"/>
        </w:rPr>
      </w:pPr>
      <w:r>
        <w:rPr>
          <w:sz w:val="24"/>
        </w:rPr>
        <w:t xml:space="preserve">Les </w:t>
      </w:r>
      <w:r>
        <w:rPr>
          <w:b/>
          <w:sz w:val="24"/>
        </w:rPr>
        <w:t>marchés émergents</w:t>
      </w:r>
      <w:r>
        <w:rPr>
          <w:sz w:val="24"/>
        </w:rPr>
        <w:t xml:space="preserve"> ont une fois encore réalisé une contribution à la croissance organique du Groupe supérieure à la moyenne, avec une croissance organique des ventes de 2,2 %. Les </w:t>
      </w:r>
      <w:r>
        <w:rPr>
          <w:b/>
          <w:bCs/>
          <w:sz w:val="24"/>
        </w:rPr>
        <w:t xml:space="preserve">marchés matures </w:t>
      </w:r>
      <w:r>
        <w:rPr>
          <w:sz w:val="24"/>
        </w:rPr>
        <w:t>ont enregistré quant à eux une croissance organique légèrement négative de -0,4 %.</w:t>
      </w:r>
    </w:p>
    <w:p w14:paraId="06F7225C" w14:textId="77777777" w:rsidR="00AE4D15" w:rsidRDefault="00AE4D15" w:rsidP="00AE4D15">
      <w:pPr>
        <w:autoSpaceDE w:val="0"/>
        <w:autoSpaceDN w:val="0"/>
        <w:adjustRightInd w:val="0"/>
        <w:spacing w:line="360" w:lineRule="auto"/>
        <w:jc w:val="both"/>
        <w:rPr>
          <w:rFonts w:cs="Arial"/>
          <w:sz w:val="24"/>
        </w:rPr>
      </w:pPr>
    </w:p>
    <w:p w14:paraId="51EDD014" w14:textId="292CB53B" w:rsidR="00AE4D15" w:rsidRDefault="00AE4D15" w:rsidP="00AE4D15">
      <w:pPr>
        <w:autoSpaceDE w:val="0"/>
        <w:autoSpaceDN w:val="0"/>
        <w:adjustRightInd w:val="0"/>
        <w:spacing w:line="360" w:lineRule="auto"/>
        <w:jc w:val="both"/>
        <w:rPr>
          <w:rFonts w:cs="Arial"/>
          <w:sz w:val="24"/>
        </w:rPr>
      </w:pPr>
      <w:r>
        <w:rPr>
          <w:sz w:val="24"/>
        </w:rPr>
        <w:t xml:space="preserve">En </w:t>
      </w:r>
      <w:r>
        <w:rPr>
          <w:b/>
          <w:sz w:val="24"/>
        </w:rPr>
        <w:t>Europe de l'Ouest</w:t>
      </w:r>
      <w:r>
        <w:rPr>
          <w:sz w:val="24"/>
        </w:rPr>
        <w:t>, les ventes ont diminué organiquement de 1,3 %. L'</w:t>
      </w:r>
      <w:r>
        <w:rPr>
          <w:b/>
          <w:bCs/>
          <w:sz w:val="24"/>
        </w:rPr>
        <w:t>Europe de l'Est</w:t>
      </w:r>
      <w:r>
        <w:rPr>
          <w:sz w:val="24"/>
        </w:rPr>
        <w:t xml:space="preserve"> a enregistré une croissance organique de 6,5 %. Dans la région </w:t>
      </w:r>
      <w:r>
        <w:rPr>
          <w:b/>
          <w:sz w:val="24"/>
        </w:rPr>
        <w:t>Afrique/Moyen-Orient</w:t>
      </w:r>
      <w:r>
        <w:rPr>
          <w:bCs/>
          <w:sz w:val="24"/>
        </w:rPr>
        <w:t xml:space="preserve"> </w:t>
      </w:r>
      <w:r>
        <w:rPr>
          <w:sz w:val="24"/>
        </w:rPr>
        <w:t xml:space="preserve">les ventes ont augmenté organiquement de 13,5 %. En </w:t>
      </w:r>
      <w:r>
        <w:rPr>
          <w:b/>
          <w:sz w:val="24"/>
        </w:rPr>
        <w:t>Amérique du Nord</w:t>
      </w:r>
      <w:r>
        <w:rPr>
          <w:sz w:val="24"/>
        </w:rPr>
        <w:t>, les ventes ont organiquement progressé de 1,1 %.</w:t>
      </w:r>
      <w:r>
        <w:rPr>
          <w:b/>
          <w:bCs/>
          <w:sz w:val="24"/>
        </w:rPr>
        <w:t xml:space="preserve"> </w:t>
      </w:r>
      <w:r>
        <w:rPr>
          <w:bCs/>
          <w:sz w:val="24"/>
        </w:rPr>
        <w:t>L'</w:t>
      </w:r>
      <w:r>
        <w:rPr>
          <w:b/>
          <w:bCs/>
          <w:sz w:val="24"/>
        </w:rPr>
        <w:t xml:space="preserve">Amérique latine </w:t>
      </w:r>
      <w:r>
        <w:rPr>
          <w:bCs/>
          <w:sz w:val="24"/>
        </w:rPr>
        <w:t>a réalisé</w:t>
      </w:r>
      <w:r>
        <w:rPr>
          <w:b/>
          <w:bCs/>
          <w:sz w:val="24"/>
        </w:rPr>
        <w:t xml:space="preserve"> </w:t>
      </w:r>
      <w:r>
        <w:rPr>
          <w:bCs/>
          <w:sz w:val="24"/>
        </w:rPr>
        <w:t xml:space="preserve">une </w:t>
      </w:r>
      <w:r>
        <w:rPr>
          <w:bCs/>
          <w:sz w:val="24"/>
        </w:rPr>
        <w:lastRenderedPageBreak/>
        <w:t>croissance</w:t>
      </w:r>
      <w:r>
        <w:rPr>
          <w:b/>
          <w:bCs/>
          <w:sz w:val="24"/>
        </w:rPr>
        <w:t xml:space="preserve"> </w:t>
      </w:r>
      <w:r>
        <w:rPr>
          <w:bCs/>
          <w:sz w:val="24"/>
        </w:rPr>
        <w:t xml:space="preserve">organique </w:t>
      </w:r>
      <w:r>
        <w:rPr>
          <w:sz w:val="24"/>
        </w:rPr>
        <w:t xml:space="preserve">de 8,0 % et dans la région </w:t>
      </w:r>
      <w:r>
        <w:rPr>
          <w:b/>
          <w:sz w:val="24"/>
        </w:rPr>
        <w:t>Asie-Pacifique</w:t>
      </w:r>
      <w:r>
        <w:rPr>
          <w:sz w:val="24"/>
        </w:rPr>
        <w:t xml:space="preserve"> les ventes </w:t>
      </w:r>
      <w:r w:rsidR="00AF7A2A">
        <w:rPr>
          <w:sz w:val="24"/>
        </w:rPr>
        <w:t>ont été</w:t>
      </w:r>
      <w:r>
        <w:rPr>
          <w:sz w:val="24"/>
        </w:rPr>
        <w:t xml:space="preserve"> inférieures de 8,8 % au niveau de l’an dernier.</w:t>
      </w:r>
    </w:p>
    <w:p w14:paraId="03B40FBF" w14:textId="77777777" w:rsidR="00E6271B" w:rsidRDefault="00E6271B" w:rsidP="00AE4D15">
      <w:pPr>
        <w:autoSpaceDE w:val="0"/>
        <w:autoSpaceDN w:val="0"/>
        <w:adjustRightInd w:val="0"/>
        <w:spacing w:line="360" w:lineRule="auto"/>
        <w:jc w:val="both"/>
        <w:rPr>
          <w:rFonts w:cs="Arial"/>
          <w:sz w:val="24"/>
        </w:rPr>
      </w:pPr>
    </w:p>
    <w:p w14:paraId="61CC7168" w14:textId="63C7D144" w:rsidR="00AE4D15" w:rsidRDefault="00AE4D15" w:rsidP="00AE4D15">
      <w:pPr>
        <w:autoSpaceDE w:val="0"/>
        <w:autoSpaceDN w:val="0"/>
        <w:adjustRightInd w:val="0"/>
        <w:spacing w:line="360" w:lineRule="auto"/>
        <w:jc w:val="both"/>
        <w:rPr>
          <w:rFonts w:cs="Arial"/>
          <w:sz w:val="24"/>
        </w:rPr>
      </w:pPr>
      <w:r>
        <w:rPr>
          <w:sz w:val="24"/>
        </w:rPr>
        <w:t xml:space="preserve">Le </w:t>
      </w:r>
      <w:r>
        <w:rPr>
          <w:b/>
          <w:sz w:val="24"/>
        </w:rPr>
        <w:t>résultat opérationnel ajusté (EBIT)</w:t>
      </w:r>
      <w:r>
        <w:rPr>
          <w:sz w:val="24"/>
        </w:rPr>
        <w:t xml:space="preserve"> s'est établi à 795 millions d’EUR, soit 5,6 % de moins qu'au premier trimestre 2018 (842 millions d'EUR).</w:t>
      </w:r>
    </w:p>
    <w:p w14:paraId="7B279BA3" w14:textId="77777777" w:rsidR="00AE4D15" w:rsidRDefault="00AE4D15" w:rsidP="00AE4D15">
      <w:pPr>
        <w:autoSpaceDE w:val="0"/>
        <w:autoSpaceDN w:val="0"/>
        <w:adjustRightInd w:val="0"/>
        <w:spacing w:line="360" w:lineRule="auto"/>
        <w:jc w:val="both"/>
        <w:rPr>
          <w:rFonts w:cs="Arial"/>
          <w:b/>
          <w:sz w:val="24"/>
        </w:rPr>
      </w:pPr>
    </w:p>
    <w:p w14:paraId="398ABBE5" w14:textId="77777777" w:rsidR="00AE4D15" w:rsidRDefault="00AE4D15" w:rsidP="00AE4D15">
      <w:pPr>
        <w:autoSpaceDE w:val="0"/>
        <w:autoSpaceDN w:val="0"/>
        <w:adjustRightInd w:val="0"/>
        <w:spacing w:line="360" w:lineRule="auto"/>
        <w:jc w:val="both"/>
        <w:rPr>
          <w:rFonts w:cs="Arial"/>
          <w:sz w:val="24"/>
        </w:rPr>
      </w:pPr>
      <w:r>
        <w:rPr>
          <w:sz w:val="24"/>
        </w:rPr>
        <w:t xml:space="preserve">La </w:t>
      </w:r>
      <w:r>
        <w:rPr>
          <w:b/>
          <w:sz w:val="24"/>
        </w:rPr>
        <w:t>rentabilité des ventes ajustée (EBIT)</w:t>
      </w:r>
      <w:r>
        <w:rPr>
          <w:sz w:val="24"/>
        </w:rPr>
        <w:t xml:space="preserve"> a atteint 16,0 %, soit 1,4 point de pourcentage de moins que l’année dernière. </w:t>
      </w:r>
    </w:p>
    <w:p w14:paraId="1A570773" w14:textId="77777777" w:rsidR="00AE4D15" w:rsidRDefault="00AE4D15" w:rsidP="00AE4D15">
      <w:pPr>
        <w:autoSpaceDE w:val="0"/>
        <w:autoSpaceDN w:val="0"/>
        <w:adjustRightInd w:val="0"/>
        <w:spacing w:line="360" w:lineRule="auto"/>
        <w:jc w:val="both"/>
        <w:rPr>
          <w:rFonts w:cs="Arial"/>
          <w:b/>
          <w:sz w:val="24"/>
        </w:rPr>
      </w:pPr>
    </w:p>
    <w:p w14:paraId="17C596A7" w14:textId="77777777" w:rsidR="00AE4D15" w:rsidRDefault="00AE4D15" w:rsidP="00AE4D15">
      <w:pPr>
        <w:autoSpaceDE w:val="0"/>
        <w:autoSpaceDN w:val="0"/>
        <w:adjustRightInd w:val="0"/>
        <w:spacing w:line="360" w:lineRule="auto"/>
        <w:jc w:val="both"/>
        <w:rPr>
          <w:rFonts w:cs="Arial"/>
          <w:sz w:val="24"/>
        </w:rPr>
      </w:pPr>
      <w:r>
        <w:rPr>
          <w:sz w:val="24"/>
        </w:rPr>
        <w:t xml:space="preserve">Le </w:t>
      </w:r>
      <w:r>
        <w:rPr>
          <w:b/>
          <w:sz w:val="24"/>
        </w:rPr>
        <w:t>résultat par action préférentielle après ajustement</w:t>
      </w:r>
      <w:r>
        <w:rPr>
          <w:sz w:val="24"/>
        </w:rPr>
        <w:t xml:space="preserve"> a baissé de 6,3 % : il est passé de 1,43 EUR au premier trimestre 2018 à 1,34 EUR au premier trimestre 2019. À taux de change constant, l’EPS a également baissé de 6,3 %.</w:t>
      </w:r>
    </w:p>
    <w:p w14:paraId="12315046" w14:textId="77777777" w:rsidR="00AE4D15" w:rsidRDefault="00AE4D15" w:rsidP="00AE4D15">
      <w:pPr>
        <w:autoSpaceDE w:val="0"/>
        <w:autoSpaceDN w:val="0"/>
        <w:adjustRightInd w:val="0"/>
        <w:spacing w:line="360" w:lineRule="auto"/>
        <w:jc w:val="both"/>
        <w:rPr>
          <w:rFonts w:cs="Arial"/>
          <w:sz w:val="24"/>
        </w:rPr>
      </w:pPr>
    </w:p>
    <w:p w14:paraId="08E14B79" w14:textId="77777777" w:rsidR="00AE4D15" w:rsidRDefault="00AE4D15" w:rsidP="00AE4D15">
      <w:pPr>
        <w:autoSpaceDE w:val="0"/>
        <w:autoSpaceDN w:val="0"/>
        <w:adjustRightInd w:val="0"/>
        <w:spacing w:line="360" w:lineRule="auto"/>
        <w:jc w:val="both"/>
        <w:rPr>
          <w:sz w:val="24"/>
        </w:rPr>
      </w:pPr>
      <w:r>
        <w:rPr>
          <w:sz w:val="24"/>
        </w:rPr>
        <w:t xml:space="preserve">S’établissant à 6,6 %, le </w:t>
      </w:r>
      <w:r>
        <w:rPr>
          <w:b/>
          <w:sz w:val="24"/>
        </w:rPr>
        <w:t>rapport du fonds de roulement net et des ventes</w:t>
      </w:r>
      <w:r>
        <w:rPr>
          <w:sz w:val="24"/>
        </w:rPr>
        <w:t xml:space="preserve"> a dépassé le niveau du premier trimestre 2018 (6,2 %).</w:t>
      </w:r>
    </w:p>
    <w:p w14:paraId="461923B8" w14:textId="77777777" w:rsidR="00AE4D15" w:rsidRDefault="00AE4D15" w:rsidP="00AE4D15">
      <w:pPr>
        <w:autoSpaceDE w:val="0"/>
        <w:autoSpaceDN w:val="0"/>
        <w:adjustRightInd w:val="0"/>
        <w:spacing w:line="360" w:lineRule="auto"/>
        <w:jc w:val="both"/>
        <w:rPr>
          <w:sz w:val="24"/>
        </w:rPr>
      </w:pPr>
    </w:p>
    <w:p w14:paraId="4D7C1D9D" w14:textId="00FF1DAA" w:rsidR="00AE4D15" w:rsidRDefault="00AE4D15" w:rsidP="00AE4D15">
      <w:pPr>
        <w:autoSpaceDE w:val="0"/>
        <w:autoSpaceDN w:val="0"/>
        <w:adjustRightInd w:val="0"/>
        <w:spacing w:line="360" w:lineRule="auto"/>
        <w:jc w:val="both"/>
        <w:rPr>
          <w:sz w:val="24"/>
        </w:rPr>
      </w:pPr>
      <w:r>
        <w:rPr>
          <w:sz w:val="24"/>
        </w:rPr>
        <w:t xml:space="preserve">À 523 millions d’EUR, le </w:t>
      </w:r>
      <w:r>
        <w:rPr>
          <w:b/>
          <w:sz w:val="24"/>
        </w:rPr>
        <w:t>flux de trésorerie disponible</w:t>
      </w:r>
      <w:r>
        <w:rPr>
          <w:sz w:val="24"/>
        </w:rPr>
        <w:t xml:space="preserve"> au premier trimestre 2019 était nettement supérieur à celui du premier trimestre 2018 (22 millions d’EUR). Cela montre la capacité de l’entreprise à générer du flux de trésorerie disponible.</w:t>
      </w:r>
    </w:p>
    <w:p w14:paraId="2D88ECB9" w14:textId="77777777" w:rsidR="00AE4D15" w:rsidRDefault="00AE4D15" w:rsidP="00AE4D15">
      <w:pPr>
        <w:autoSpaceDE w:val="0"/>
        <w:autoSpaceDN w:val="0"/>
        <w:adjustRightInd w:val="0"/>
        <w:spacing w:line="360" w:lineRule="auto"/>
        <w:jc w:val="both"/>
        <w:rPr>
          <w:sz w:val="24"/>
        </w:rPr>
      </w:pPr>
    </w:p>
    <w:p w14:paraId="78EE4321" w14:textId="77777777" w:rsidR="00AE4D15" w:rsidRDefault="00AE4D15" w:rsidP="00AE4D15">
      <w:pPr>
        <w:autoSpaceDE w:val="0"/>
        <w:autoSpaceDN w:val="0"/>
        <w:adjustRightInd w:val="0"/>
        <w:spacing w:line="360" w:lineRule="auto"/>
        <w:jc w:val="both"/>
        <w:rPr>
          <w:sz w:val="24"/>
        </w:rPr>
      </w:pPr>
      <w:r>
        <w:rPr>
          <w:sz w:val="24"/>
        </w:rPr>
        <w:t xml:space="preserve">Au 31 mars 2019, la </w:t>
      </w:r>
      <w:r>
        <w:rPr>
          <w:b/>
          <w:bCs/>
          <w:sz w:val="24"/>
        </w:rPr>
        <w:t xml:space="preserve">position financière nette </w:t>
      </w:r>
      <w:r>
        <w:rPr>
          <w:sz w:val="24"/>
        </w:rPr>
        <w:t xml:space="preserve">de Henkel s'établissait à </w:t>
      </w:r>
      <w:r>
        <w:rPr>
          <w:sz w:val="24"/>
        </w:rPr>
        <w:br/>
        <w:t>-2 478 millions d’EUR (31 décembre 2018 : -2 895 millions d’EUR).</w:t>
      </w:r>
    </w:p>
    <w:p w14:paraId="67924598" w14:textId="77777777" w:rsidR="00AE4D15" w:rsidRDefault="00AE4D15" w:rsidP="00AE4D15">
      <w:pPr>
        <w:autoSpaceDE w:val="0"/>
        <w:autoSpaceDN w:val="0"/>
        <w:adjustRightInd w:val="0"/>
        <w:spacing w:after="120" w:line="360" w:lineRule="auto"/>
        <w:jc w:val="both"/>
        <w:rPr>
          <w:b/>
          <w:sz w:val="24"/>
        </w:rPr>
      </w:pPr>
    </w:p>
    <w:p w14:paraId="7184B4C1" w14:textId="77777777" w:rsidR="00AE4D15" w:rsidRDefault="00AE4D15" w:rsidP="00AE4D15">
      <w:pPr>
        <w:autoSpaceDE w:val="0"/>
        <w:autoSpaceDN w:val="0"/>
        <w:adjustRightInd w:val="0"/>
        <w:spacing w:after="120" w:line="360" w:lineRule="auto"/>
        <w:jc w:val="both"/>
        <w:rPr>
          <w:b/>
          <w:sz w:val="24"/>
        </w:rPr>
      </w:pPr>
      <w:r>
        <w:rPr>
          <w:b/>
          <w:sz w:val="24"/>
        </w:rPr>
        <w:t>Développement des secteurs d'activité</w:t>
      </w:r>
    </w:p>
    <w:p w14:paraId="0B173678" w14:textId="77777777" w:rsidR="00AE4D15" w:rsidRDefault="00AE4D15" w:rsidP="00AE4D15">
      <w:pPr>
        <w:autoSpaceDE w:val="0"/>
        <w:autoSpaceDN w:val="0"/>
        <w:adjustRightInd w:val="0"/>
        <w:spacing w:line="360" w:lineRule="auto"/>
        <w:jc w:val="both"/>
        <w:rPr>
          <w:rFonts w:cs="Arial"/>
          <w:sz w:val="24"/>
        </w:rPr>
      </w:pPr>
      <w:r>
        <w:rPr>
          <w:sz w:val="24"/>
        </w:rPr>
        <w:t xml:space="preserve">Le secteur d'activité </w:t>
      </w:r>
      <w:proofErr w:type="spellStart"/>
      <w:r>
        <w:rPr>
          <w:b/>
          <w:sz w:val="24"/>
        </w:rPr>
        <w:t>Adhesive</w:t>
      </w:r>
      <w:proofErr w:type="spellEnd"/>
      <w:r>
        <w:rPr>
          <w:b/>
          <w:sz w:val="24"/>
        </w:rPr>
        <w:t xml:space="preserve"> Technologies</w:t>
      </w:r>
      <w:r>
        <w:rPr>
          <w:sz w:val="24"/>
        </w:rPr>
        <w:t xml:space="preserve"> a réalisé une </w:t>
      </w:r>
      <w:r>
        <w:rPr>
          <w:b/>
          <w:sz w:val="24"/>
        </w:rPr>
        <w:t>croissance</w:t>
      </w:r>
      <w:r>
        <w:rPr>
          <w:sz w:val="24"/>
        </w:rPr>
        <w:t xml:space="preserve"> organique des ventes légèrement négative au cours du premier trimestre : -0,8 %. Nominalement les ventes ont augmenté de 1,7 %, atteignant 2 309 millions d'EUR. Le </w:t>
      </w:r>
      <w:r>
        <w:rPr>
          <w:b/>
          <w:sz w:val="24"/>
        </w:rPr>
        <w:t>résultat d’exploitation ajusté</w:t>
      </w:r>
      <w:r>
        <w:rPr>
          <w:sz w:val="24"/>
        </w:rPr>
        <w:t xml:space="preserve"> a atteint 388 millions d’EUR, contre 410 millions d’EUR au même trimestre de l'année précédente. La </w:t>
      </w:r>
      <w:r>
        <w:rPr>
          <w:b/>
          <w:sz w:val="24"/>
        </w:rPr>
        <w:t>rentabilité des ventes ajustée</w:t>
      </w:r>
      <w:r>
        <w:rPr>
          <w:sz w:val="24"/>
        </w:rPr>
        <w:t xml:space="preserve"> est de 16,8 % (premier trimestre 2018 : 18,1 %).</w:t>
      </w:r>
    </w:p>
    <w:p w14:paraId="149151DE" w14:textId="77777777" w:rsidR="00AE4D15" w:rsidRDefault="00AE4D15" w:rsidP="00AE4D15">
      <w:pPr>
        <w:autoSpaceDE w:val="0"/>
        <w:autoSpaceDN w:val="0"/>
        <w:adjustRightInd w:val="0"/>
        <w:spacing w:line="360" w:lineRule="auto"/>
        <w:jc w:val="both"/>
        <w:rPr>
          <w:rFonts w:cs="Arial"/>
          <w:b/>
          <w:sz w:val="24"/>
        </w:rPr>
      </w:pPr>
    </w:p>
    <w:p w14:paraId="25FE74F0" w14:textId="2E996D94" w:rsidR="00AE4D15" w:rsidRDefault="00AE4D15" w:rsidP="00AE4D15">
      <w:pPr>
        <w:autoSpaceDE w:val="0"/>
        <w:autoSpaceDN w:val="0"/>
        <w:adjustRightInd w:val="0"/>
        <w:spacing w:line="360" w:lineRule="auto"/>
        <w:jc w:val="both"/>
        <w:rPr>
          <w:rFonts w:cs="Arial"/>
          <w:color w:val="000000"/>
          <w:sz w:val="24"/>
        </w:rPr>
      </w:pPr>
      <w:r>
        <w:rPr>
          <w:sz w:val="24"/>
        </w:rPr>
        <w:lastRenderedPageBreak/>
        <w:t xml:space="preserve">Les </w:t>
      </w:r>
      <w:r>
        <w:rPr>
          <w:b/>
          <w:sz w:val="24"/>
        </w:rPr>
        <w:t>ventes</w:t>
      </w:r>
      <w:r>
        <w:rPr>
          <w:sz w:val="24"/>
        </w:rPr>
        <w:t xml:space="preserve"> du secteur d'activité </w:t>
      </w:r>
      <w:r>
        <w:rPr>
          <w:b/>
          <w:bCs/>
          <w:sz w:val="24"/>
        </w:rPr>
        <w:t>Beauty Care</w:t>
      </w:r>
      <w:r>
        <w:rPr>
          <w:sz w:val="24"/>
        </w:rPr>
        <w:t xml:space="preserve"> ont baissé organiquement de 2,2 % au cours du premier trimestre. En valeur nominale, les ventes ont atteint 960 millions d’EUR, contre 965 millions d'EUR au même trimestre de l'année précédente. Le </w:t>
      </w:r>
      <w:r>
        <w:rPr>
          <w:b/>
          <w:sz w:val="24"/>
        </w:rPr>
        <w:t>résultat d’exploitation ajusté</w:t>
      </w:r>
      <w:r>
        <w:rPr>
          <w:sz w:val="24"/>
        </w:rPr>
        <w:t xml:space="preserve"> de 144 millions d’EUR et la </w:t>
      </w:r>
      <w:r>
        <w:rPr>
          <w:b/>
          <w:sz w:val="24"/>
        </w:rPr>
        <w:t>rentabilité des ventes ajustée</w:t>
      </w:r>
      <w:r>
        <w:rPr>
          <w:sz w:val="24"/>
        </w:rPr>
        <w:t xml:space="preserve"> de 15,0 %</w:t>
      </w:r>
      <w:r w:rsidR="00143DA4">
        <w:rPr>
          <w:sz w:val="24"/>
        </w:rPr>
        <w:t xml:space="preserve"> ont été </w:t>
      </w:r>
      <w:r>
        <w:rPr>
          <w:sz w:val="24"/>
        </w:rPr>
        <w:t>inférieurs à ceux du premier trimestre de l’année dernière.</w:t>
      </w:r>
    </w:p>
    <w:p w14:paraId="2DD8D303" w14:textId="77777777" w:rsidR="00AE4D15" w:rsidRDefault="00AE4D15" w:rsidP="00AE4D15">
      <w:pPr>
        <w:spacing w:line="360" w:lineRule="auto"/>
        <w:jc w:val="both"/>
        <w:rPr>
          <w:rFonts w:cs="Arial"/>
          <w:sz w:val="24"/>
        </w:rPr>
      </w:pPr>
    </w:p>
    <w:p w14:paraId="7223D9ED" w14:textId="77777777" w:rsidR="00AE4D15" w:rsidRDefault="00AE4D15" w:rsidP="00AE4D15">
      <w:pPr>
        <w:spacing w:line="360" w:lineRule="auto"/>
        <w:jc w:val="both"/>
        <w:rPr>
          <w:rFonts w:cs="Arial"/>
          <w:i/>
          <w:color w:val="7F7F7F"/>
          <w:sz w:val="24"/>
        </w:rPr>
      </w:pPr>
      <w:r>
        <w:rPr>
          <w:sz w:val="24"/>
        </w:rPr>
        <w:t xml:space="preserve">Le secteur d'activité </w:t>
      </w:r>
      <w:r>
        <w:rPr>
          <w:b/>
          <w:bCs/>
          <w:sz w:val="24"/>
        </w:rPr>
        <w:t>Laundry &amp; Home Care</w:t>
      </w:r>
      <w:r>
        <w:rPr>
          <w:sz w:val="24"/>
        </w:rPr>
        <w:t xml:space="preserve"> a réalisé une croissance organique des </w:t>
      </w:r>
      <w:r>
        <w:rPr>
          <w:b/>
          <w:sz w:val="24"/>
        </w:rPr>
        <w:t>ventes</w:t>
      </w:r>
      <w:r>
        <w:rPr>
          <w:sz w:val="24"/>
        </w:rPr>
        <w:t xml:space="preserve"> de 4,7 % au cours du premier trimestre. En valeur nominale, les ventes ont augmenté de 6,3 % pour atteindre 1 667 millions d'EUR. S'établissant à 286 millions d'EUR, le </w:t>
      </w:r>
      <w:r>
        <w:rPr>
          <w:b/>
          <w:sz w:val="24"/>
        </w:rPr>
        <w:t>résultat d’exploitation ajusté</w:t>
      </w:r>
      <w:r>
        <w:rPr>
          <w:sz w:val="24"/>
        </w:rPr>
        <w:t xml:space="preserve"> est inférieur de 1,9 % à celui du premier trimestre 2018. La </w:t>
      </w:r>
      <w:r>
        <w:rPr>
          <w:b/>
          <w:sz w:val="24"/>
        </w:rPr>
        <w:t>rentabilité des ventes ajustée</w:t>
      </w:r>
      <w:r>
        <w:rPr>
          <w:sz w:val="24"/>
        </w:rPr>
        <w:t xml:space="preserve"> a atteint </w:t>
      </w:r>
      <w:r>
        <w:rPr>
          <w:sz w:val="24"/>
        </w:rPr>
        <w:br/>
        <w:t>17,1 %, soit moins qu’au premier trimestre de l’année dernière.</w:t>
      </w:r>
    </w:p>
    <w:p w14:paraId="2A71110A" w14:textId="77777777" w:rsidR="00AE4D15" w:rsidRDefault="00AE4D15" w:rsidP="00175689">
      <w:pPr>
        <w:spacing w:after="160" w:line="259" w:lineRule="auto"/>
        <w:rPr>
          <w:b/>
          <w:sz w:val="22"/>
          <w:u w:val="single"/>
        </w:rPr>
      </w:pPr>
    </w:p>
    <w:p w14:paraId="62655E7F" w14:textId="4B9190E9" w:rsidR="00640FB4" w:rsidRDefault="00640FB4" w:rsidP="00175689">
      <w:pPr>
        <w:spacing w:after="160" w:line="259" w:lineRule="auto"/>
      </w:pPr>
      <w:r w:rsidRPr="00595B97">
        <w:rPr>
          <w:b/>
          <w:sz w:val="22"/>
          <w:u w:val="single"/>
        </w:rPr>
        <w:t>Ce communiqué de presse en français est une traduction de la version originale.</w:t>
      </w:r>
    </w:p>
    <w:p w14:paraId="65E724AC" w14:textId="77777777" w:rsidR="00640FB4" w:rsidRDefault="00640FB4" w:rsidP="002D5C4C">
      <w:pPr>
        <w:tabs>
          <w:tab w:val="left" w:pos="2955"/>
        </w:tabs>
        <w:spacing w:line="240" w:lineRule="auto"/>
        <w:rPr>
          <w:b/>
          <w:szCs w:val="20"/>
        </w:rPr>
      </w:pPr>
    </w:p>
    <w:p w14:paraId="0C25B125" w14:textId="77777777" w:rsidR="000E03F1" w:rsidRPr="009D0A3B" w:rsidRDefault="000E03F1" w:rsidP="000E03F1">
      <w:pPr>
        <w:spacing w:line="276" w:lineRule="auto"/>
        <w:jc w:val="both"/>
        <w:rPr>
          <w:rFonts w:ascii="Calibri" w:hAnsi="Calibri"/>
          <w:szCs w:val="20"/>
          <w:lang w:eastAsia="zh-CN"/>
        </w:rPr>
      </w:pPr>
      <w:r w:rsidRPr="009D0A3B">
        <w:rPr>
          <w:b/>
          <w:bCs/>
        </w:rPr>
        <w:t>A propos de Henkel</w:t>
      </w:r>
    </w:p>
    <w:p w14:paraId="1D099E21" w14:textId="72F835D6" w:rsidR="000E03F1" w:rsidRPr="00841FC3" w:rsidRDefault="000E03F1" w:rsidP="000E03F1">
      <w:pPr>
        <w:jc w:val="both"/>
      </w:pPr>
      <w:r w:rsidRPr="009D0A3B">
        <w:rPr>
          <w:color w:val="000000"/>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9D0A3B">
        <w:rPr>
          <w:color w:val="000000"/>
        </w:rPr>
        <w:t>Adhesive</w:t>
      </w:r>
      <w:proofErr w:type="spellEnd"/>
      <w:r w:rsidRPr="009D0A3B">
        <w:rPr>
          <w:color w:val="000000"/>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2018, le Groupe a réalisé un chiffre d’affaires de près de 20 milliards d’euros et un résultat d’exploitation ajusté de près de 3,5 milliards d’euros. Henkel emploie plus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sidRPr="009D0A3B">
        <w:t xml:space="preserve"> Les actions préférentielles Henkel sont listées à l’indice boursier allemand DAX. Pour en savoir plus, rendez-vous sur </w:t>
      </w:r>
      <w:hyperlink r:id="rId8" w:history="1">
        <w:r w:rsidR="009A663D" w:rsidRPr="00040498">
          <w:rPr>
            <w:rStyle w:val="Hyperlink"/>
          </w:rPr>
          <w:t>www.henkel.com</w:t>
        </w:r>
      </w:hyperlink>
      <w:r w:rsidRPr="009D0A3B">
        <w:rPr>
          <w:color w:val="00B050"/>
        </w:rPr>
        <w:t>.</w:t>
      </w:r>
    </w:p>
    <w:p w14:paraId="1504089F" w14:textId="77777777" w:rsidR="000E03F1" w:rsidRDefault="000E03F1" w:rsidP="000E03F1">
      <w:pPr>
        <w:spacing w:line="360" w:lineRule="auto"/>
        <w:jc w:val="both"/>
        <w:rPr>
          <w:rFonts w:cs="Arial"/>
          <w:sz w:val="22"/>
          <w:szCs w:val="22"/>
        </w:rPr>
      </w:pPr>
    </w:p>
    <w:p w14:paraId="56CB6AD1" w14:textId="77777777" w:rsidR="00640FB4" w:rsidRPr="00A22E62" w:rsidRDefault="00640FB4" w:rsidP="00640FB4">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w:t>
      </w:r>
      <w:proofErr w:type="spellStart"/>
      <w:r>
        <w:rPr>
          <w:color w:val="000000"/>
          <w:sz w:val="16"/>
        </w:rPr>
        <w:t>KGaA</w:t>
      </w:r>
      <w:proofErr w:type="spellEnd"/>
      <w:r>
        <w:rPr>
          <w:color w:val="000000"/>
          <w:sz w:val="16"/>
        </w:rPr>
        <w:t xml:space="preserve">. Les prévisions sont caractérisées par l’emploi de termes tels </w:t>
      </w:r>
      <w:proofErr w:type="gramStart"/>
      <w:r>
        <w:rPr>
          <w:color w:val="000000"/>
          <w:sz w:val="16"/>
        </w:rPr>
        <w:t>que attendre</w:t>
      </w:r>
      <w:proofErr w:type="gramEnd"/>
      <w:r>
        <w:rPr>
          <w:color w:val="000000"/>
          <w:sz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color w:val="000000"/>
          <w:sz w:val="16"/>
        </w:rPr>
        <w:t>KGaA</w:t>
      </w:r>
      <w:proofErr w:type="spellEnd"/>
      <w:r>
        <w:rPr>
          <w:color w:val="000000"/>
          <w:sz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54CDB076" w14:textId="77777777" w:rsidR="00640FB4" w:rsidRPr="000230E9" w:rsidRDefault="00640FB4" w:rsidP="00640FB4">
      <w:pPr>
        <w:spacing w:line="240" w:lineRule="auto"/>
        <w:jc w:val="both"/>
        <w:rPr>
          <w:rFonts w:cs="Arial"/>
          <w:b/>
          <w:szCs w:val="20"/>
          <w:u w:val="single"/>
        </w:rPr>
      </w:pPr>
    </w:p>
    <w:p w14:paraId="1D50849F" w14:textId="4D2A43CB" w:rsidR="00D44C67" w:rsidRPr="000230E9" w:rsidRDefault="00D44C67" w:rsidP="00D44C67">
      <w:pPr>
        <w:spacing w:line="240" w:lineRule="auto"/>
        <w:jc w:val="both"/>
        <w:rPr>
          <w:sz w:val="16"/>
        </w:rPr>
      </w:pPr>
      <w:r w:rsidRPr="000230E9">
        <w:rPr>
          <w:sz w:val="16"/>
        </w:rPr>
        <w:t xml:space="preserve">Ce document contient – dans le cadre de </w:t>
      </w:r>
      <w:proofErr w:type="spellStart"/>
      <w:r w:rsidRPr="000230E9">
        <w:rPr>
          <w:sz w:val="16"/>
        </w:rPr>
        <w:t>reporting</w:t>
      </w:r>
      <w:proofErr w:type="spellEnd"/>
      <w:r w:rsidRPr="000230E9">
        <w:rPr>
          <w:sz w:val="16"/>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5A0FCB48" w14:textId="0BA4A0B0" w:rsidR="00D44C67" w:rsidRPr="000230E9" w:rsidRDefault="00D44C67" w:rsidP="00D44C67">
      <w:pPr>
        <w:tabs>
          <w:tab w:val="left" w:pos="-142"/>
        </w:tabs>
        <w:spacing w:line="240" w:lineRule="auto"/>
        <w:ind w:hanging="1134"/>
        <w:rPr>
          <w:sz w:val="16"/>
        </w:rPr>
      </w:pPr>
      <w:r w:rsidRPr="000230E9">
        <w:rPr>
          <w:sz w:val="16"/>
        </w:rPr>
        <w:lastRenderedPageBreak/>
        <w:tab/>
      </w:r>
      <w:r w:rsidRPr="000230E9">
        <w:rPr>
          <w:sz w:val="16"/>
        </w:rPr>
        <w:tab/>
        <w:t>Ce communiqué est publié à titre informatif uniquement et ne représente pas un conseil en investissement. Ce n'est pas une offre de vente de titres ni une demande d'offre d'achat de titres.</w:t>
      </w:r>
    </w:p>
    <w:p w14:paraId="71F78537" w14:textId="77777777" w:rsidR="00640FB4" w:rsidRPr="006A514C" w:rsidRDefault="00640FB4" w:rsidP="00640FB4">
      <w:pPr>
        <w:tabs>
          <w:tab w:val="left" w:pos="709"/>
          <w:tab w:val="left" w:pos="4536"/>
          <w:tab w:val="left" w:pos="5245"/>
        </w:tabs>
        <w:spacing w:line="240" w:lineRule="auto"/>
        <w:rPr>
          <w:color w:val="FF0000"/>
          <w:szCs w:val="20"/>
        </w:rPr>
      </w:pPr>
    </w:p>
    <w:p w14:paraId="064A30DF" w14:textId="77777777" w:rsidR="00640FB4" w:rsidRPr="006A514C" w:rsidRDefault="00640FB4" w:rsidP="000E03F1">
      <w:pPr>
        <w:spacing w:line="360" w:lineRule="auto"/>
        <w:jc w:val="both"/>
        <w:rPr>
          <w:rFonts w:cs="Arial"/>
          <w:color w:val="FF0000"/>
          <w:sz w:val="22"/>
          <w:szCs w:val="22"/>
        </w:rPr>
      </w:pPr>
    </w:p>
    <w:p w14:paraId="674195FA" w14:textId="77777777" w:rsidR="007A31AD" w:rsidRPr="00F3382D" w:rsidRDefault="007A31AD" w:rsidP="003C5489">
      <w:pPr>
        <w:spacing w:before="34" w:line="240" w:lineRule="auto"/>
        <w:ind w:right="718"/>
        <w:jc w:val="both"/>
        <w:rPr>
          <w:b/>
          <w:szCs w:val="20"/>
          <w:u w:val="single"/>
        </w:rPr>
      </w:pPr>
      <w:r w:rsidRPr="00F3382D">
        <w:rPr>
          <w:b/>
          <w:szCs w:val="20"/>
          <w:u w:val="single"/>
        </w:rPr>
        <w:t xml:space="preserve">Contacts presse : </w:t>
      </w:r>
    </w:p>
    <w:p w14:paraId="307575B8" w14:textId="77777777" w:rsidR="009A663D" w:rsidRPr="002E10C1" w:rsidRDefault="009A663D" w:rsidP="009A663D">
      <w:pPr>
        <w:tabs>
          <w:tab w:val="left" w:pos="851"/>
          <w:tab w:val="left" w:pos="4536"/>
        </w:tabs>
        <w:spacing w:line="260" w:lineRule="exact"/>
        <w:rPr>
          <w:rFonts w:cs="Arial"/>
          <w:b/>
          <w:szCs w:val="20"/>
          <w:lang w:val="nl-BE" w:eastAsia="de-DE"/>
        </w:rPr>
      </w:pPr>
      <w:r w:rsidRPr="002E10C1">
        <w:rPr>
          <w:rFonts w:cs="Arial"/>
          <w:b/>
          <w:szCs w:val="20"/>
          <w:lang w:val="nl-BE" w:eastAsia="de-DE"/>
        </w:rPr>
        <w:t>Henkel Benelux</w:t>
      </w:r>
    </w:p>
    <w:p w14:paraId="0470072B" w14:textId="0EF5E968" w:rsidR="009A663D" w:rsidRPr="009A663D" w:rsidRDefault="009A663D" w:rsidP="009A663D">
      <w:pPr>
        <w:tabs>
          <w:tab w:val="left" w:pos="851"/>
          <w:tab w:val="left" w:pos="4536"/>
        </w:tabs>
        <w:spacing w:line="240" w:lineRule="auto"/>
        <w:rPr>
          <w:rFonts w:cs="Arial"/>
          <w:szCs w:val="20"/>
          <w:lang w:val="en-US" w:eastAsia="de-DE"/>
        </w:rPr>
      </w:pPr>
      <w:r w:rsidRPr="009A663D">
        <w:rPr>
          <w:rFonts w:cs="Arial"/>
          <w:b/>
          <w:szCs w:val="20"/>
          <w:lang w:val="en-US" w:eastAsia="de-DE"/>
        </w:rPr>
        <w:t>Els Bruyninckx</w:t>
      </w:r>
      <w:r w:rsidRPr="009A663D">
        <w:rPr>
          <w:rFonts w:cs="Arial"/>
          <w:b/>
          <w:szCs w:val="20"/>
          <w:lang w:val="en-US" w:eastAsia="de-DE"/>
        </w:rPr>
        <w:t xml:space="preserve"> / G: </w:t>
      </w:r>
      <w:r w:rsidRPr="009A663D">
        <w:rPr>
          <w:rFonts w:cs="Arial"/>
          <w:b/>
          <w:szCs w:val="20"/>
          <w:lang w:val="en-US" w:eastAsia="de-DE"/>
        </w:rPr>
        <w:t>+32 474 288</w:t>
      </w:r>
      <w:r w:rsidRPr="009A663D">
        <w:rPr>
          <w:rFonts w:cs="Arial"/>
          <w:b/>
          <w:szCs w:val="20"/>
          <w:lang w:val="en-US" w:eastAsia="de-DE"/>
        </w:rPr>
        <w:t> </w:t>
      </w:r>
      <w:r w:rsidRPr="009A663D">
        <w:rPr>
          <w:rFonts w:cs="Arial"/>
          <w:b/>
          <w:szCs w:val="20"/>
          <w:lang w:val="en-US" w:eastAsia="de-DE"/>
        </w:rPr>
        <w:t>177</w:t>
      </w:r>
      <w:r w:rsidRPr="009A663D">
        <w:rPr>
          <w:rFonts w:cs="Arial"/>
          <w:b/>
          <w:szCs w:val="20"/>
          <w:lang w:val="en-US" w:eastAsia="de-DE"/>
        </w:rPr>
        <w:t xml:space="preserve"> / E: els.bruyninckx@henkel.com</w:t>
      </w:r>
      <w:r w:rsidRPr="009A663D">
        <w:rPr>
          <w:rFonts w:cs="Arial"/>
          <w:b/>
          <w:szCs w:val="20"/>
          <w:lang w:val="en-US" w:eastAsia="de-DE"/>
        </w:rPr>
        <w:tab/>
      </w:r>
    </w:p>
    <w:p w14:paraId="072796C2" w14:textId="37364ADA" w:rsidR="00D44C67" w:rsidRPr="009A663D" w:rsidRDefault="00D44C67" w:rsidP="003C5489">
      <w:pPr>
        <w:spacing w:line="240" w:lineRule="auto"/>
        <w:jc w:val="both"/>
        <w:rPr>
          <w:szCs w:val="20"/>
          <w:lang w:val="en-US"/>
        </w:rPr>
      </w:pPr>
      <w:bookmarkStart w:id="2" w:name="_GoBack"/>
      <w:bookmarkEnd w:id="2"/>
    </w:p>
    <w:sectPr w:rsidR="00D44C67" w:rsidRPr="009A663D" w:rsidSect="00F3382D">
      <w:headerReference w:type="default" r:id="rId9"/>
      <w:footerReference w:type="default" r:id="rId10"/>
      <w:headerReference w:type="first" r:id="rId11"/>
      <w:footerReference w:type="first" r:id="rId12"/>
      <w:pgSz w:w="11907" w:h="16840" w:code="9"/>
      <w:pgMar w:top="510" w:right="1417"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D9CBB" w14:textId="77777777" w:rsidR="00E83CA1" w:rsidRDefault="00E83CA1">
      <w:pPr>
        <w:spacing w:line="240" w:lineRule="auto"/>
      </w:pPr>
      <w:r>
        <w:separator/>
      </w:r>
    </w:p>
  </w:endnote>
  <w:endnote w:type="continuationSeparator" w:id="0">
    <w:p w14:paraId="22CA7611" w14:textId="77777777" w:rsidR="00E83CA1" w:rsidRDefault="00E83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E5A8" w14:textId="77777777" w:rsidR="00027FA3" w:rsidRPr="00BA1B20" w:rsidRDefault="002206DF">
    <w:pPr>
      <w:pStyle w:val="Footer"/>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35D7A">
      <w:rPr>
        <w:b w:val="0"/>
        <w:noProof/>
        <w:color w:val="auto"/>
        <w:sz w:val="14"/>
        <w:szCs w:val="14"/>
      </w:rPr>
      <w:t>2</w:t>
    </w:r>
    <w:r w:rsidRPr="00BA1B20">
      <w:rPr>
        <w:b w:val="0"/>
        <w:color w:val="auto"/>
        <w:sz w:val="14"/>
        <w:szCs w:val="14"/>
      </w:rPr>
      <w:fldChar w:fldCharType="end"/>
    </w:r>
    <w:r>
      <w:rPr>
        <w:b w:val="0"/>
        <w:color w:val="auto"/>
        <w:sz w:val="14"/>
      </w:rPr>
      <w:t>/</w:t>
    </w:r>
    <w:r w:rsidR="008F7D82">
      <w:rPr>
        <w:b w:val="0"/>
        <w:noProof/>
        <w:color w:val="auto"/>
        <w:sz w:val="14"/>
        <w:szCs w:val="14"/>
      </w:rPr>
      <w:fldChar w:fldCharType="begin"/>
    </w:r>
    <w:r w:rsidR="008F7D82">
      <w:rPr>
        <w:b w:val="0"/>
        <w:noProof/>
        <w:color w:val="auto"/>
        <w:sz w:val="14"/>
        <w:szCs w:val="14"/>
      </w:rPr>
      <w:instrText xml:space="preserve"> NUMPAGES  \* Arabic  \* MERGEFORMAT </w:instrText>
    </w:r>
    <w:r w:rsidR="008F7D82">
      <w:rPr>
        <w:b w:val="0"/>
        <w:noProof/>
        <w:color w:val="auto"/>
        <w:sz w:val="14"/>
        <w:szCs w:val="14"/>
      </w:rPr>
      <w:fldChar w:fldCharType="separate"/>
    </w:r>
    <w:r w:rsidR="00C35D7A" w:rsidRPr="00C35D7A">
      <w:rPr>
        <w:b w:val="0"/>
        <w:noProof/>
        <w:color w:val="auto"/>
        <w:sz w:val="14"/>
        <w:szCs w:val="14"/>
      </w:rPr>
      <w:t>2</w:t>
    </w:r>
    <w:r w:rsidR="008F7D82">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281C" w14:textId="723B1980" w:rsidR="00D50E20" w:rsidRDefault="009A663D" w:rsidP="00D50E20">
    <w:pPr>
      <w:pStyle w:val="Footer"/>
      <w:jc w:val="distribute"/>
      <w:rPr>
        <w:b w:val="0"/>
      </w:rPr>
    </w:pPr>
    <w:r>
      <w:rPr>
        <w:b w:val="0"/>
        <w:noProof/>
      </w:rPr>
      <w:drawing>
        <wp:inline distT="0" distB="0" distL="0" distR="0" wp14:anchorId="52308A70" wp14:editId="1B8FAF0C">
          <wp:extent cx="5028565" cy="54292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8565" cy="542925"/>
                  </a:xfrm>
                  <a:prstGeom prst="rect">
                    <a:avLst/>
                  </a:prstGeom>
                  <a:noFill/>
                </pic:spPr>
              </pic:pic>
            </a:graphicData>
          </a:graphic>
        </wp:inline>
      </w:drawing>
    </w:r>
  </w:p>
  <w:p w14:paraId="64E485EC" w14:textId="77777777" w:rsidR="00093716" w:rsidRDefault="00093716" w:rsidP="00093716">
    <w:pPr>
      <w:pStyle w:val="Footer"/>
      <w:jc w:val="distribute"/>
      <w:rPr>
        <w:b w:val="0"/>
      </w:rPr>
    </w:pPr>
  </w:p>
  <w:p w14:paraId="2DF2A114" w14:textId="77777777" w:rsidR="00656125" w:rsidRPr="004A4699" w:rsidRDefault="00656125" w:rsidP="00093716">
    <w:pPr>
      <w:pStyle w:val="Footer"/>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267D" w14:textId="77777777" w:rsidR="00E83CA1" w:rsidRDefault="00E83CA1">
      <w:pPr>
        <w:spacing w:line="240" w:lineRule="auto"/>
      </w:pPr>
      <w:r>
        <w:separator/>
      </w:r>
    </w:p>
  </w:footnote>
  <w:footnote w:type="continuationSeparator" w:id="0">
    <w:p w14:paraId="6A1EBF46" w14:textId="77777777" w:rsidR="00E83CA1" w:rsidRDefault="00E83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CBAB" w14:textId="77777777" w:rsidR="00027FA3" w:rsidRDefault="006B6818">
    <w:pPr>
      <w:pStyle w:val="Header"/>
      <w:spacing w:after="567" w:line="280" w:lineRule="exact"/>
      <w:jc w:val="right"/>
    </w:pPr>
    <w:r>
      <w:rPr>
        <w:noProof/>
      </w:rPr>
      <mc:AlternateContent>
        <mc:Choice Requires="wpg">
          <w:drawing>
            <wp:anchor distT="0" distB="0" distL="114300" distR="114300" simplePos="0" relativeHeight="251657728" behindDoc="0" locked="0" layoutInCell="1" allowOverlap="1" wp14:anchorId="624030C6" wp14:editId="539C0D5F">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84567" id="Group 1"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zfvwIAAK8KAAAOAAAAZHJzL2Uyb0RvYy54bWzsVslu2zAQvRfoPxC8O5IseRMiF4WXXNI2&#10;QNIPoClqQSWSIBnLRtF/75CU5Ti9BCka9JCLRGrI0Zv3Zoa8/nRoG7RnSteCZzi6CjFinIq85mWG&#10;vz9sR3OMtCE8J43gLMNHpvGn5ccP151M2VhUosmZQuCE67STGa6MkWkQaFqxlugrIRkHYyFUSwxM&#10;VRnkinTgvW2CcRhOg06oXCpBmdbwde2NeOn8FwWj5ltRaGZQk2HAZtxTuefOPoPlNUlLRWRV0x4G&#10;eQWKltQcfjq4WhND0KOq/3DV1lQJLQpzRUUbiKKoKXMxQDRR+CyaGyUepYulTLtSDjQBtc94erVb&#10;+nV/p1CdZ3iGESctSOT+iiJLTSfLFFbcKHkv75SPD4a3gv7QYA6e2+289IvRrvsicnBHHo1w1BwK&#10;1VoXEDQ6OAWOgwLsYBCFj9E8nkQTjCiY4tliGsa9RLQCHc/bJotJ4rWj1abfO57HfiMYY2sMSOr/&#10;6XD2uGxQkGr6zKb+OzbvKyKZE0lbrno2Ie09m7c1Z2jsyXQLVtwzSQ+8ZxJxsaoIL5lz9XCUwJqj&#10;H3A/2WInGmR4IbNnik7kDgQ5Tgd2SCqVNjdMtMgOMtwAZKcY2d9q44k8LbECcrGtmwa+k7ThqMvw&#10;NJ6EboMWTZ1bo7VpVe5WjUJ7ArW3icIw3PaqXCyDHOe5c1Yxkm/6sSF148eAs+HWH4QBcPqRL66f&#10;i3CxmW/mySgZTzejJFyvR5+3q2Q03UazyTper1br6JeFFiVpVec54xbdqdCj5GXS9y3Hl+hQ6gMN&#10;waV3l3gA9vR2oJ2UVj2ffzuRH++UpbbPxjdKy8VFWroqucgxkv7rtJwn476k39PyPS37bhnB0fyk&#10;XbrW/sZ5GUWLcGb7k2s07jB675f/c790hzrcilyb7W9w9tr1dO766/meufwN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T8378CAACvCgAADgAAAAAAAAAAAAAAAAAuAgAAZHJzL2Uyb0RvYy54bWxQSwECLQAUAAYA&#10;CAAAACEATTLjs+EAAAAKAQAADwAAAAAAAAAAAAAAAAAZBQAAZHJzL2Rvd25yZXYueG1sUEsFBgAA&#10;AAAEAAQA8wAAACcG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EC1A" w14:textId="77777777" w:rsidR="00027FA3" w:rsidRDefault="00ED3C8A" w:rsidP="00A847F3">
    <w:pPr>
      <w:pStyle w:val="Header"/>
      <w:tabs>
        <w:tab w:val="clear" w:pos="4320"/>
        <w:tab w:val="clear" w:pos="8640"/>
        <w:tab w:val="left" w:pos="1275"/>
      </w:tabs>
      <w:spacing w:line="2155" w:lineRule="exact"/>
      <w:rPr>
        <w:b/>
        <w:bCs/>
        <w:sz w:val="36"/>
        <w:szCs w:val="36"/>
      </w:rPr>
    </w:pPr>
    <w:r>
      <w:rPr>
        <w:noProof/>
      </w:rPr>
      <w:drawing>
        <wp:anchor distT="0" distB="0" distL="114300" distR="114300" simplePos="0" relativeHeight="251658752" behindDoc="0" locked="1" layoutInCell="1" allowOverlap="1" wp14:anchorId="24B9CF81" wp14:editId="075A411D">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6DF">
      <w:rPr>
        <w:b/>
        <w:bCs/>
        <w:sz w:val="36"/>
        <w:szCs w:val="36"/>
      </w:rPr>
      <w:tab/>
    </w:r>
  </w:p>
  <w:p w14:paraId="4A8B731E" w14:textId="77777777" w:rsidR="00027FA3" w:rsidRDefault="006B6818">
    <w:pPr>
      <w:pStyle w:val="Header"/>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6704" behindDoc="0" locked="0" layoutInCell="1" allowOverlap="1" wp14:anchorId="2C80A052" wp14:editId="5D9338C3">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1CFD9" id="Group 5"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RouAIAAK4KAAAOAAAAZHJzL2Uyb0RvYy54bWzsVl1vmzAUfZ+0/2DxngIJJASVVFNI+tJt&#10;ldr9AMeYDw1sy3ZDomn/fdc2IUv3UnXSuoe+EJtrH8499/jG1zeHrkV7KlXDWeaFV4GHKCO8aFiV&#10;ed8et5PEQ0pjVuCWM5p5R6q8m9XHD9e9SOmU17wtqEQAwlTai8yrtRap7ytS0w6rKy4og2DJZYc1&#10;TGXlFxL3gN61/jQI5n7PZSEkJ1QpeJu7oLey+GVJif5alopq1GYecNP2Ke1zZ57+6hqnlcSibshA&#10;A7+CRYcbBh8doXKsMXqSzR9QXUMkV7zUV4R3Pi/LhlCbA2QTBs+yuZX8SdhcqrSvxCgTSPtMp1fD&#10;ki/7e4maAmrnIYY7KJH9KoqNNL2oUlhxK8WDuJcuPxjecfJdQdh/Hjfzyi1Gu/4zLwAOP2lupTmU&#10;sjMQkDQ62AocxwrQg0YEXoaL5SKIPUQgNFskQRhbHjglNdTxvC1expGrHak3w95pMnMbITgzQR+n&#10;7puW58DLJAVWU2c11d+p+VBjQW2RlNFqUBOoODXvGkbR3IlpF6yZU5Ic2KAkYnxdY1ZRC/V4FKBa&#10;aBMwVAHTbTETBWV4obJniU7ijgJZ24/q4FRIpW8p75AZZF4LlG3F8P5OaSfkaYkpIOPbpm3hPU5b&#10;hvrMm8/iwG5QvG0KEzQxJavdupVoj+HsbcIgCLZDVS6WgcdZYcFqiovNMNa4ad0YeLbM4EEaQGcY&#10;ucP1YxksN8kmiSbRdL6ZREGeTz5t19Fkvg0XcT7L1+s8/GmohVFaN0VBmWF3Ouhh9LLSDy3HHdHx&#10;qI8y+Jfo1nhA9vRrSYMFXfWc/3a8ON5LI+3gxn9ky+jClos3sGUSTYeu+27Ld1sO3XJ+YcvkDWwZ&#10;hsvAHgfbZ+x/0Xu7/J/bpf1Ph0uR7bLDBc7cun6f2/Z6vmaufgEAAP//AwBQSwMEFAAGAAgAAAAh&#10;AORzzknhAAAACgEAAA8AAABkcnMvZG93bnJldi54bWxMj01Lw0AQhu+C/2EZwZvdpJp+xGxKKeqp&#10;CLZC6W2bnSah2dmQ3Sbpv3c86W2GeXjnebPVaBvRY+drRwriSQQCqXCmplLB9/79aQHCB01GN45Q&#10;wQ09rPL7u0ynxg30hf0ulIJDyKdaQRVCm0rpiwqt9hPXIvHt7DqrA69dKU2nBw63jZxG0UxaXRN/&#10;qHSLmwqLy+5qFXwMelg/x2/99nLe3I775POwjVGpx4dx/Qoi4Bj+YPjVZ3XI2enkrmS8aBRMFy9M&#10;KkiWCQ8MJLM5iBOD8TKag8wz+b9C/gMAAP//AwBQSwECLQAUAAYACAAAACEAtoM4kv4AAADhAQAA&#10;EwAAAAAAAAAAAAAAAAAAAAAAW0NvbnRlbnRfVHlwZXNdLnhtbFBLAQItABQABgAIAAAAIQA4/SH/&#10;1gAAAJQBAAALAAAAAAAAAAAAAAAAAC8BAABfcmVscy8ucmVsc1BLAQItABQABgAIAAAAIQCVzqRo&#10;uAIAAK4KAAAOAAAAAAAAAAAAAAAAAC4CAABkcnMvZTJvRG9jLnhtbFBLAQItABQABgAIAAAAIQDk&#10;c85J4QAAAAoBAAAPAAAAAAAAAAAAAAAAABIFAABkcnMvZG93bnJldi54bWxQSwUGAAAAAAQABADz&#10;AAAAIAY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26F"/>
    <w:multiLevelType w:val="hybridMultilevel"/>
    <w:tmpl w:val="D8782664"/>
    <w:lvl w:ilvl="0" w:tplc="1E481C58">
      <w:numFmt w:val="bullet"/>
      <w:lvlText w:val=""/>
      <w:lvlJc w:val="left"/>
      <w:pPr>
        <w:ind w:left="1598" w:hanging="360"/>
      </w:pPr>
      <w:rPr>
        <w:rFonts w:ascii="Symbol" w:eastAsia="Symbol" w:hAnsi="Symbol" w:cs="Symbol" w:hint="default"/>
        <w:sz w:val="24"/>
        <w:szCs w:val="24"/>
      </w:rPr>
    </w:lvl>
    <w:lvl w:ilvl="1" w:tplc="D4A8C138">
      <w:numFmt w:val="bullet"/>
      <w:lvlText w:val="•"/>
      <w:lvlJc w:val="left"/>
      <w:pPr>
        <w:ind w:left="2492" w:hanging="360"/>
      </w:pPr>
      <w:rPr>
        <w:rFonts w:hint="default"/>
      </w:rPr>
    </w:lvl>
    <w:lvl w:ilvl="2" w:tplc="11D47508">
      <w:numFmt w:val="bullet"/>
      <w:lvlText w:val="•"/>
      <w:lvlJc w:val="left"/>
      <w:pPr>
        <w:ind w:left="3385" w:hanging="360"/>
      </w:pPr>
      <w:rPr>
        <w:rFonts w:hint="default"/>
      </w:rPr>
    </w:lvl>
    <w:lvl w:ilvl="3" w:tplc="2AAA0D70">
      <w:numFmt w:val="bullet"/>
      <w:lvlText w:val="•"/>
      <w:lvlJc w:val="left"/>
      <w:pPr>
        <w:ind w:left="4277" w:hanging="360"/>
      </w:pPr>
      <w:rPr>
        <w:rFonts w:hint="default"/>
      </w:rPr>
    </w:lvl>
    <w:lvl w:ilvl="4" w:tplc="D6DEADC0">
      <w:numFmt w:val="bullet"/>
      <w:lvlText w:val="•"/>
      <w:lvlJc w:val="left"/>
      <w:pPr>
        <w:ind w:left="5170" w:hanging="360"/>
      </w:pPr>
      <w:rPr>
        <w:rFonts w:hint="default"/>
      </w:rPr>
    </w:lvl>
    <w:lvl w:ilvl="5" w:tplc="45BCA892">
      <w:numFmt w:val="bullet"/>
      <w:lvlText w:val="•"/>
      <w:lvlJc w:val="left"/>
      <w:pPr>
        <w:ind w:left="6063" w:hanging="360"/>
      </w:pPr>
      <w:rPr>
        <w:rFonts w:hint="default"/>
      </w:rPr>
    </w:lvl>
    <w:lvl w:ilvl="6" w:tplc="930010BE">
      <w:numFmt w:val="bullet"/>
      <w:lvlText w:val="•"/>
      <w:lvlJc w:val="left"/>
      <w:pPr>
        <w:ind w:left="6955" w:hanging="360"/>
      </w:pPr>
      <w:rPr>
        <w:rFonts w:hint="default"/>
      </w:rPr>
    </w:lvl>
    <w:lvl w:ilvl="7" w:tplc="925EBF84">
      <w:numFmt w:val="bullet"/>
      <w:lvlText w:val="•"/>
      <w:lvlJc w:val="left"/>
      <w:pPr>
        <w:ind w:left="7848" w:hanging="360"/>
      </w:pPr>
      <w:rPr>
        <w:rFonts w:hint="default"/>
      </w:rPr>
    </w:lvl>
    <w:lvl w:ilvl="8" w:tplc="DD348DD0">
      <w:numFmt w:val="bullet"/>
      <w:lvlText w:val="•"/>
      <w:lvlJc w:val="left"/>
      <w:pPr>
        <w:ind w:left="8741" w:hanging="360"/>
      </w:pPr>
      <w:rPr>
        <w:rFonts w:hint="default"/>
      </w:rPr>
    </w:lvl>
  </w:abstractNum>
  <w:abstractNum w:abstractNumId="1" w15:restartNumberingAfterBreak="0">
    <w:nsid w:val="09570FC8"/>
    <w:multiLevelType w:val="hybridMultilevel"/>
    <w:tmpl w:val="453ECC8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2E6F0F35"/>
    <w:multiLevelType w:val="hybridMultilevel"/>
    <w:tmpl w:val="479ED526"/>
    <w:lvl w:ilvl="0" w:tplc="A45CE496">
      <w:start w:val="1"/>
      <w:numFmt w:val="bullet"/>
      <w:lvlText w:val="▪"/>
      <w:lvlJc w:val="left"/>
      <w:pPr>
        <w:ind w:left="838" w:hanging="360"/>
      </w:pPr>
      <w:rPr>
        <w:rFonts w:ascii="Microsoft Sans Serif" w:eastAsia="Times New Roman" w:hAnsi="Microsoft Sans Serif" w:hint="default"/>
        <w:color w:val="E0000E"/>
        <w:sz w:val="24"/>
      </w:rPr>
    </w:lvl>
    <w:lvl w:ilvl="1" w:tplc="CAA46DA0">
      <w:start w:val="1"/>
      <w:numFmt w:val="bullet"/>
      <w:lvlText w:val="•"/>
      <w:lvlJc w:val="left"/>
      <w:pPr>
        <w:ind w:left="1745" w:hanging="360"/>
      </w:pPr>
      <w:rPr>
        <w:rFonts w:hint="default"/>
      </w:rPr>
    </w:lvl>
    <w:lvl w:ilvl="2" w:tplc="279C03FE">
      <w:start w:val="1"/>
      <w:numFmt w:val="bullet"/>
      <w:lvlText w:val="•"/>
      <w:lvlJc w:val="left"/>
      <w:pPr>
        <w:ind w:left="2652" w:hanging="360"/>
      </w:pPr>
      <w:rPr>
        <w:rFonts w:hint="default"/>
      </w:rPr>
    </w:lvl>
    <w:lvl w:ilvl="3" w:tplc="83A28468">
      <w:start w:val="1"/>
      <w:numFmt w:val="bullet"/>
      <w:lvlText w:val="•"/>
      <w:lvlJc w:val="left"/>
      <w:pPr>
        <w:ind w:left="3559" w:hanging="360"/>
      </w:pPr>
      <w:rPr>
        <w:rFonts w:hint="default"/>
      </w:rPr>
    </w:lvl>
    <w:lvl w:ilvl="4" w:tplc="FA1CA6EA">
      <w:start w:val="1"/>
      <w:numFmt w:val="bullet"/>
      <w:lvlText w:val="•"/>
      <w:lvlJc w:val="left"/>
      <w:pPr>
        <w:ind w:left="4465" w:hanging="360"/>
      </w:pPr>
      <w:rPr>
        <w:rFonts w:hint="default"/>
      </w:rPr>
    </w:lvl>
    <w:lvl w:ilvl="5" w:tplc="0E00520C">
      <w:start w:val="1"/>
      <w:numFmt w:val="bullet"/>
      <w:lvlText w:val="•"/>
      <w:lvlJc w:val="left"/>
      <w:pPr>
        <w:ind w:left="5372" w:hanging="360"/>
      </w:pPr>
      <w:rPr>
        <w:rFonts w:hint="default"/>
      </w:rPr>
    </w:lvl>
    <w:lvl w:ilvl="6" w:tplc="ED428124">
      <w:start w:val="1"/>
      <w:numFmt w:val="bullet"/>
      <w:lvlText w:val="•"/>
      <w:lvlJc w:val="left"/>
      <w:pPr>
        <w:ind w:left="6279" w:hanging="360"/>
      </w:pPr>
      <w:rPr>
        <w:rFonts w:hint="default"/>
      </w:rPr>
    </w:lvl>
    <w:lvl w:ilvl="7" w:tplc="BB901F32">
      <w:start w:val="1"/>
      <w:numFmt w:val="bullet"/>
      <w:lvlText w:val="•"/>
      <w:lvlJc w:val="left"/>
      <w:pPr>
        <w:ind w:left="7186" w:hanging="360"/>
      </w:pPr>
      <w:rPr>
        <w:rFonts w:hint="default"/>
      </w:rPr>
    </w:lvl>
    <w:lvl w:ilvl="8" w:tplc="4CB2A8E2">
      <w:start w:val="1"/>
      <w:numFmt w:val="bullet"/>
      <w:lvlText w:val="•"/>
      <w:lvlJc w:val="left"/>
      <w:pPr>
        <w:ind w:left="8092" w:hanging="360"/>
      </w:pPr>
      <w:rPr>
        <w:rFonts w:hint="default"/>
      </w:rPr>
    </w:lvl>
  </w:abstractNum>
  <w:abstractNum w:abstractNumId="3" w15:restartNumberingAfterBreak="0">
    <w:nsid w:val="74AB05F8"/>
    <w:multiLevelType w:val="hybridMultilevel"/>
    <w:tmpl w:val="7B7CE358"/>
    <w:lvl w:ilvl="0" w:tplc="699A9934">
      <w:numFmt w:val="bullet"/>
      <w:lvlText w:val=""/>
      <w:lvlJc w:val="left"/>
      <w:pPr>
        <w:ind w:left="1958" w:hanging="360"/>
      </w:pPr>
      <w:rPr>
        <w:rFonts w:ascii="Symbol" w:eastAsia="Symbol" w:hAnsi="Symbol" w:cs="Symbol" w:hint="default"/>
        <w:w w:val="99"/>
        <w:sz w:val="20"/>
        <w:szCs w:val="20"/>
      </w:rPr>
    </w:lvl>
    <w:lvl w:ilvl="1" w:tplc="F2E4AED4">
      <w:numFmt w:val="bullet"/>
      <w:lvlText w:val="•"/>
      <w:lvlJc w:val="left"/>
      <w:pPr>
        <w:ind w:left="2816" w:hanging="360"/>
      </w:pPr>
      <w:rPr>
        <w:rFonts w:hint="default"/>
      </w:rPr>
    </w:lvl>
    <w:lvl w:ilvl="2" w:tplc="9ED6EE7E">
      <w:numFmt w:val="bullet"/>
      <w:lvlText w:val="•"/>
      <w:lvlJc w:val="left"/>
      <w:pPr>
        <w:ind w:left="3673" w:hanging="360"/>
      </w:pPr>
      <w:rPr>
        <w:rFonts w:hint="default"/>
      </w:rPr>
    </w:lvl>
    <w:lvl w:ilvl="3" w:tplc="16729A66">
      <w:numFmt w:val="bullet"/>
      <w:lvlText w:val="•"/>
      <w:lvlJc w:val="left"/>
      <w:pPr>
        <w:ind w:left="4529" w:hanging="360"/>
      </w:pPr>
      <w:rPr>
        <w:rFonts w:hint="default"/>
      </w:rPr>
    </w:lvl>
    <w:lvl w:ilvl="4" w:tplc="B7B087B0">
      <w:numFmt w:val="bullet"/>
      <w:lvlText w:val="•"/>
      <w:lvlJc w:val="left"/>
      <w:pPr>
        <w:ind w:left="5386" w:hanging="360"/>
      </w:pPr>
      <w:rPr>
        <w:rFonts w:hint="default"/>
      </w:rPr>
    </w:lvl>
    <w:lvl w:ilvl="5" w:tplc="F048AE04">
      <w:numFmt w:val="bullet"/>
      <w:lvlText w:val="•"/>
      <w:lvlJc w:val="left"/>
      <w:pPr>
        <w:ind w:left="6243" w:hanging="360"/>
      </w:pPr>
      <w:rPr>
        <w:rFonts w:hint="default"/>
      </w:rPr>
    </w:lvl>
    <w:lvl w:ilvl="6" w:tplc="5CE2AA8C">
      <w:numFmt w:val="bullet"/>
      <w:lvlText w:val="•"/>
      <w:lvlJc w:val="left"/>
      <w:pPr>
        <w:ind w:left="7099" w:hanging="360"/>
      </w:pPr>
      <w:rPr>
        <w:rFonts w:hint="default"/>
      </w:rPr>
    </w:lvl>
    <w:lvl w:ilvl="7" w:tplc="51ACB36E">
      <w:numFmt w:val="bullet"/>
      <w:lvlText w:val="•"/>
      <w:lvlJc w:val="left"/>
      <w:pPr>
        <w:ind w:left="7956" w:hanging="360"/>
      </w:pPr>
      <w:rPr>
        <w:rFonts w:hint="default"/>
      </w:rPr>
    </w:lvl>
    <w:lvl w:ilvl="8" w:tplc="15EC5E5A">
      <w:numFmt w:val="bullet"/>
      <w:lvlText w:val="•"/>
      <w:lvlJc w:val="left"/>
      <w:pPr>
        <w:ind w:left="8813" w:hanging="360"/>
      </w:pPr>
      <w:rPr>
        <w:rFonts w:hint="default"/>
      </w:rPr>
    </w:lvl>
  </w:abstractNum>
  <w:num w:numId="1">
    <w:abstractNumId w:val="2"/>
  </w:num>
  <w:num w:numId="2">
    <w:abstractNumId w:val="1"/>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DF"/>
    <w:rsid w:val="00011FAE"/>
    <w:rsid w:val="00020D60"/>
    <w:rsid w:val="000230E9"/>
    <w:rsid w:val="000258A5"/>
    <w:rsid w:val="00027FA3"/>
    <w:rsid w:val="000334F4"/>
    <w:rsid w:val="00067E12"/>
    <w:rsid w:val="00093716"/>
    <w:rsid w:val="000E03F1"/>
    <w:rsid w:val="000E73DE"/>
    <w:rsid w:val="00102EEF"/>
    <w:rsid w:val="00125BB9"/>
    <w:rsid w:val="00133CCD"/>
    <w:rsid w:val="0014077E"/>
    <w:rsid w:val="00143DA4"/>
    <w:rsid w:val="00144E14"/>
    <w:rsid w:val="00157164"/>
    <w:rsid w:val="00175689"/>
    <w:rsid w:val="001801F7"/>
    <w:rsid w:val="00181CB7"/>
    <w:rsid w:val="00192CAA"/>
    <w:rsid w:val="001A37F7"/>
    <w:rsid w:val="001C1F1B"/>
    <w:rsid w:val="001E6C9F"/>
    <w:rsid w:val="001F6E36"/>
    <w:rsid w:val="001F7023"/>
    <w:rsid w:val="0020781C"/>
    <w:rsid w:val="002206DF"/>
    <w:rsid w:val="00222402"/>
    <w:rsid w:val="00231C82"/>
    <w:rsid w:val="00233832"/>
    <w:rsid w:val="00240F7C"/>
    <w:rsid w:val="002476D6"/>
    <w:rsid w:val="002532DB"/>
    <w:rsid w:val="0029115C"/>
    <w:rsid w:val="00293595"/>
    <w:rsid w:val="002A41DA"/>
    <w:rsid w:val="002D5C4C"/>
    <w:rsid w:val="002E267C"/>
    <w:rsid w:val="002F750E"/>
    <w:rsid w:val="00315C98"/>
    <w:rsid w:val="00322E05"/>
    <w:rsid w:val="00324D85"/>
    <w:rsid w:val="00332CF3"/>
    <w:rsid w:val="00340A31"/>
    <w:rsid w:val="00346CE5"/>
    <w:rsid w:val="003706C5"/>
    <w:rsid w:val="003923D0"/>
    <w:rsid w:val="003B25F0"/>
    <w:rsid w:val="003C2FE3"/>
    <w:rsid w:val="003C5489"/>
    <w:rsid w:val="003C6771"/>
    <w:rsid w:val="003E24D9"/>
    <w:rsid w:val="003E35C6"/>
    <w:rsid w:val="003F0A0C"/>
    <w:rsid w:val="003F0AFE"/>
    <w:rsid w:val="0040347A"/>
    <w:rsid w:val="004100B0"/>
    <w:rsid w:val="004218CF"/>
    <w:rsid w:val="00430E4B"/>
    <w:rsid w:val="004375EA"/>
    <w:rsid w:val="00445688"/>
    <w:rsid w:val="004512E8"/>
    <w:rsid w:val="00464296"/>
    <w:rsid w:val="004658BD"/>
    <w:rsid w:val="004716E6"/>
    <w:rsid w:val="00477FF8"/>
    <w:rsid w:val="00485163"/>
    <w:rsid w:val="004A4699"/>
    <w:rsid w:val="004B7788"/>
    <w:rsid w:val="004C022C"/>
    <w:rsid w:val="004C2995"/>
    <w:rsid w:val="004E1B68"/>
    <w:rsid w:val="004E5419"/>
    <w:rsid w:val="004F567F"/>
    <w:rsid w:val="005054D1"/>
    <w:rsid w:val="00513D4D"/>
    <w:rsid w:val="0055603C"/>
    <w:rsid w:val="005C01DA"/>
    <w:rsid w:val="005D1D94"/>
    <w:rsid w:val="005F6FE9"/>
    <w:rsid w:val="0060037E"/>
    <w:rsid w:val="00604777"/>
    <w:rsid w:val="006108CA"/>
    <w:rsid w:val="00640FB4"/>
    <w:rsid w:val="00650CB7"/>
    <w:rsid w:val="00656125"/>
    <w:rsid w:val="0069130B"/>
    <w:rsid w:val="00693683"/>
    <w:rsid w:val="006A514C"/>
    <w:rsid w:val="006B6818"/>
    <w:rsid w:val="006C6AAB"/>
    <w:rsid w:val="006F4964"/>
    <w:rsid w:val="00707978"/>
    <w:rsid w:val="0071156B"/>
    <w:rsid w:val="00715501"/>
    <w:rsid w:val="00723D8B"/>
    <w:rsid w:val="00745741"/>
    <w:rsid w:val="007553D1"/>
    <w:rsid w:val="007604C6"/>
    <w:rsid w:val="00760867"/>
    <w:rsid w:val="00780648"/>
    <w:rsid w:val="00786134"/>
    <w:rsid w:val="007A0E29"/>
    <w:rsid w:val="007A31AD"/>
    <w:rsid w:val="007A7B99"/>
    <w:rsid w:val="007C6D02"/>
    <w:rsid w:val="008002F7"/>
    <w:rsid w:val="00800B2F"/>
    <w:rsid w:val="00811F32"/>
    <w:rsid w:val="008202D6"/>
    <w:rsid w:val="008401B8"/>
    <w:rsid w:val="00841FC3"/>
    <w:rsid w:val="00854A8A"/>
    <w:rsid w:val="00872CEA"/>
    <w:rsid w:val="00881687"/>
    <w:rsid w:val="008A08E6"/>
    <w:rsid w:val="008B2CC5"/>
    <w:rsid w:val="008B3246"/>
    <w:rsid w:val="008B6982"/>
    <w:rsid w:val="008C7AF0"/>
    <w:rsid w:val="008F7D82"/>
    <w:rsid w:val="009118D5"/>
    <w:rsid w:val="00921203"/>
    <w:rsid w:val="00941372"/>
    <w:rsid w:val="00950217"/>
    <w:rsid w:val="00954299"/>
    <w:rsid w:val="0096370F"/>
    <w:rsid w:val="0097190A"/>
    <w:rsid w:val="00981078"/>
    <w:rsid w:val="009816F6"/>
    <w:rsid w:val="009901E6"/>
    <w:rsid w:val="009A2825"/>
    <w:rsid w:val="009A663D"/>
    <w:rsid w:val="009B54CF"/>
    <w:rsid w:val="009C1A74"/>
    <w:rsid w:val="009D0A3B"/>
    <w:rsid w:val="009D6667"/>
    <w:rsid w:val="009E1140"/>
    <w:rsid w:val="00A00996"/>
    <w:rsid w:val="00A26A87"/>
    <w:rsid w:val="00A30FAE"/>
    <w:rsid w:val="00A33D63"/>
    <w:rsid w:val="00A75503"/>
    <w:rsid w:val="00A847F3"/>
    <w:rsid w:val="00AA06D3"/>
    <w:rsid w:val="00AB0FB4"/>
    <w:rsid w:val="00AC54D0"/>
    <w:rsid w:val="00AD429B"/>
    <w:rsid w:val="00AE4D15"/>
    <w:rsid w:val="00AF21A1"/>
    <w:rsid w:val="00AF7A2A"/>
    <w:rsid w:val="00B1034E"/>
    <w:rsid w:val="00B53AD5"/>
    <w:rsid w:val="00B66BF0"/>
    <w:rsid w:val="00B72356"/>
    <w:rsid w:val="00B86830"/>
    <w:rsid w:val="00BA1B20"/>
    <w:rsid w:val="00BA22E5"/>
    <w:rsid w:val="00BA3C28"/>
    <w:rsid w:val="00BB32AE"/>
    <w:rsid w:val="00BE6514"/>
    <w:rsid w:val="00BE6D3E"/>
    <w:rsid w:val="00C30997"/>
    <w:rsid w:val="00C35D7A"/>
    <w:rsid w:val="00C50D69"/>
    <w:rsid w:val="00C510A4"/>
    <w:rsid w:val="00C86565"/>
    <w:rsid w:val="00C87735"/>
    <w:rsid w:val="00C87E12"/>
    <w:rsid w:val="00CB2838"/>
    <w:rsid w:val="00CC2982"/>
    <w:rsid w:val="00CD0241"/>
    <w:rsid w:val="00CE0ECB"/>
    <w:rsid w:val="00CE779A"/>
    <w:rsid w:val="00CF059F"/>
    <w:rsid w:val="00D44C67"/>
    <w:rsid w:val="00D50E20"/>
    <w:rsid w:val="00D5467C"/>
    <w:rsid w:val="00D6527F"/>
    <w:rsid w:val="00D7308C"/>
    <w:rsid w:val="00D84090"/>
    <w:rsid w:val="00D85CDA"/>
    <w:rsid w:val="00D87896"/>
    <w:rsid w:val="00DB2AFB"/>
    <w:rsid w:val="00DB3D34"/>
    <w:rsid w:val="00DC0B5E"/>
    <w:rsid w:val="00DC24C8"/>
    <w:rsid w:val="00DD2DF0"/>
    <w:rsid w:val="00E04618"/>
    <w:rsid w:val="00E15318"/>
    <w:rsid w:val="00E26007"/>
    <w:rsid w:val="00E6271B"/>
    <w:rsid w:val="00E83CA1"/>
    <w:rsid w:val="00E90FD1"/>
    <w:rsid w:val="00E97418"/>
    <w:rsid w:val="00E97C8F"/>
    <w:rsid w:val="00EB6003"/>
    <w:rsid w:val="00EC7AC9"/>
    <w:rsid w:val="00ED3C8A"/>
    <w:rsid w:val="00EF2878"/>
    <w:rsid w:val="00F14D8D"/>
    <w:rsid w:val="00F3382D"/>
    <w:rsid w:val="00F37BF9"/>
    <w:rsid w:val="00F4337A"/>
    <w:rsid w:val="00F617CC"/>
    <w:rsid w:val="00F72380"/>
    <w:rsid w:val="00F82012"/>
    <w:rsid w:val="00FD0E85"/>
    <w:rsid w:val="00FE5591"/>
    <w:rsid w:val="00FE6A74"/>
    <w:rsid w:val="00FF3668"/>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B2E0D56"/>
  <w14:defaultImageDpi w14:val="0"/>
  <w15:docId w15:val="{6870C743-CCF1-4B36-8033-8F31847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DF"/>
    <w:pPr>
      <w:spacing w:after="0" w:line="260" w:lineRule="atLeast"/>
    </w:pPr>
    <w:rPr>
      <w:rFonts w:ascii="Arial" w:hAnsi="Arial" w:cs="Times New Roman"/>
      <w:sz w:val="20"/>
      <w:szCs w:val="24"/>
      <w:lang w:eastAsia="fr-FR"/>
    </w:rPr>
  </w:style>
  <w:style w:type="paragraph" w:styleId="Heading1">
    <w:name w:val="heading 1"/>
    <w:basedOn w:val="Normal"/>
    <w:next w:val="Normal"/>
    <w:link w:val="Heading1Char"/>
    <w:uiPriority w:val="99"/>
    <w:qFormat/>
    <w:rsid w:val="00CE0ECB"/>
    <w:pPr>
      <w:keepNext/>
      <w:spacing w:line="420" w:lineRule="atLeast"/>
      <w:outlineLvl w:val="0"/>
    </w:pPr>
    <w:rPr>
      <w:rFonts w:cs="Arial"/>
      <w:b/>
      <w:bCs/>
      <w:kern w:val="32"/>
      <w:sz w:val="36"/>
      <w:szCs w:val="32"/>
      <w:lang w:val="de-DE" w:eastAsia="en-US"/>
    </w:rPr>
  </w:style>
  <w:style w:type="paragraph" w:styleId="Heading2">
    <w:name w:val="heading 2"/>
    <w:basedOn w:val="Normal"/>
    <w:next w:val="Normal"/>
    <w:link w:val="Heading2Char"/>
    <w:uiPriority w:val="1"/>
    <w:unhideWhenUsed/>
    <w:qFormat/>
    <w:rsid w:val="000E03F1"/>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0ECB"/>
    <w:rPr>
      <w:rFonts w:ascii="Arial" w:hAnsi="Arial" w:cs="Arial"/>
      <w:b/>
      <w:bCs/>
      <w:kern w:val="32"/>
      <w:sz w:val="32"/>
      <w:szCs w:val="32"/>
      <w:lang w:val="de-DE" w:eastAsia="x-none"/>
    </w:rPr>
  </w:style>
  <w:style w:type="character" w:customStyle="1" w:styleId="Heading2Char">
    <w:name w:val="Heading 2 Char"/>
    <w:basedOn w:val="DefaultParagraphFont"/>
    <w:link w:val="Heading2"/>
    <w:uiPriority w:val="9"/>
    <w:semiHidden/>
    <w:locked/>
    <w:rsid w:val="000E03F1"/>
    <w:rPr>
      <w:rFonts w:asciiTheme="majorHAnsi" w:eastAsiaTheme="majorEastAsia" w:hAnsiTheme="majorHAnsi" w:cs="Times New Roman"/>
      <w:color w:val="2E74B5" w:themeColor="accent1" w:themeShade="BF"/>
      <w:sz w:val="26"/>
      <w:szCs w:val="26"/>
      <w:lang w:val="x-none" w:eastAsia="fr-FR"/>
    </w:rPr>
  </w:style>
  <w:style w:type="paragraph" w:styleId="Header">
    <w:name w:val="header"/>
    <w:basedOn w:val="Normal"/>
    <w:link w:val="HeaderChar"/>
    <w:uiPriority w:val="99"/>
    <w:rsid w:val="002206DF"/>
    <w:pPr>
      <w:tabs>
        <w:tab w:val="center" w:pos="4320"/>
        <w:tab w:val="right" w:pos="8640"/>
      </w:tabs>
    </w:pPr>
  </w:style>
  <w:style w:type="character" w:customStyle="1" w:styleId="HeaderChar">
    <w:name w:val="Header Char"/>
    <w:basedOn w:val="DefaultParagraphFont"/>
    <w:link w:val="Header"/>
    <w:uiPriority w:val="99"/>
    <w:locked/>
    <w:rsid w:val="002206DF"/>
    <w:rPr>
      <w:rFonts w:ascii="Arial" w:hAnsi="Arial" w:cs="Times New Roman"/>
      <w:sz w:val="24"/>
      <w:szCs w:val="24"/>
      <w:lang w:val="x-none" w:eastAsia="fr-FR"/>
    </w:rPr>
  </w:style>
  <w:style w:type="paragraph" w:styleId="Footer">
    <w:name w:val="footer"/>
    <w:basedOn w:val="Normal"/>
    <w:link w:val="FooterChar"/>
    <w:uiPriority w:val="99"/>
    <w:rsid w:val="002206DF"/>
    <w:pPr>
      <w:tabs>
        <w:tab w:val="right" w:pos="7083"/>
        <w:tab w:val="right" w:pos="8640"/>
      </w:tabs>
      <w:spacing w:line="180" w:lineRule="atLeast"/>
    </w:pPr>
    <w:rPr>
      <w:b/>
      <w:color w:val="E1000F"/>
      <w:sz w:val="24"/>
      <w:szCs w:val="20"/>
    </w:rPr>
  </w:style>
  <w:style w:type="character" w:customStyle="1" w:styleId="FooterChar">
    <w:name w:val="Footer Char"/>
    <w:basedOn w:val="DefaultParagraphFont"/>
    <w:link w:val="Footer"/>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Normal"/>
    <w:rsid w:val="002206DF"/>
    <w:pPr>
      <w:spacing w:line="300" w:lineRule="atLeast"/>
    </w:pPr>
    <w:rPr>
      <w:sz w:val="24"/>
    </w:rPr>
  </w:style>
  <w:style w:type="character" w:styleId="Hyperlink">
    <w:name w:val="Hyperlink"/>
    <w:basedOn w:val="DefaultParagraphFont"/>
    <w:uiPriority w:val="99"/>
    <w:rsid w:val="002206DF"/>
    <w:rPr>
      <w:rFonts w:cs="Times New Roman"/>
      <w:color w:val="0000FF"/>
      <w:u w:val="single"/>
    </w:rPr>
  </w:style>
  <w:style w:type="paragraph" w:styleId="PlainText">
    <w:name w:val="Plain Text"/>
    <w:basedOn w:val="Normal"/>
    <w:link w:val="PlainTextChar"/>
    <w:uiPriority w:val="99"/>
    <w:unhideWhenUsed/>
    <w:rsid w:val="005054D1"/>
    <w:pPr>
      <w:spacing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5054D1"/>
    <w:rPr>
      <w:rFonts w:ascii="Consolas" w:hAnsi="Consolas" w:cs="Times New Roman"/>
      <w:sz w:val="21"/>
      <w:szCs w:val="21"/>
    </w:rPr>
  </w:style>
  <w:style w:type="paragraph" w:styleId="BalloonText">
    <w:name w:val="Balloon Text"/>
    <w:basedOn w:val="Normal"/>
    <w:link w:val="BalloonTextChar"/>
    <w:uiPriority w:val="99"/>
    <w:semiHidden/>
    <w:unhideWhenUsed/>
    <w:rsid w:val="00D840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4090"/>
    <w:rPr>
      <w:rFonts w:ascii="Segoe UI" w:hAnsi="Segoe UI" w:cs="Segoe UI"/>
      <w:sz w:val="18"/>
      <w:szCs w:val="18"/>
      <w:lang w:val="x-none" w:eastAsia="fr-FR"/>
    </w:rPr>
  </w:style>
  <w:style w:type="paragraph" w:styleId="BodyText">
    <w:name w:val="Body Text"/>
    <w:basedOn w:val="Normal"/>
    <w:link w:val="BodyTextChar"/>
    <w:uiPriority w:val="1"/>
    <w:qFormat/>
    <w:rsid w:val="000E03F1"/>
    <w:pPr>
      <w:widowControl w:val="0"/>
      <w:spacing w:before="156" w:line="240" w:lineRule="auto"/>
      <w:ind w:left="118"/>
    </w:pPr>
    <w:rPr>
      <w:sz w:val="24"/>
    </w:rPr>
  </w:style>
  <w:style w:type="character" w:customStyle="1" w:styleId="BodyTextChar">
    <w:name w:val="Body Text Char"/>
    <w:basedOn w:val="DefaultParagraphFont"/>
    <w:link w:val="BodyText"/>
    <w:uiPriority w:val="1"/>
    <w:locked/>
    <w:rsid w:val="000E03F1"/>
    <w:rPr>
      <w:rFonts w:ascii="Arial" w:hAnsi="Arial" w:cs="Times New Roman"/>
      <w:sz w:val="24"/>
      <w:szCs w:val="24"/>
      <w:lang w:val="x-none" w:eastAsia="fr-FR"/>
    </w:rPr>
  </w:style>
  <w:style w:type="paragraph" w:styleId="HTMLPreformatted">
    <w:name w:val="HTML Preformatted"/>
    <w:basedOn w:val="Normal"/>
    <w:link w:val="HTMLPreformattedChar"/>
    <w:uiPriority w:val="99"/>
    <w:unhideWhenUsed/>
    <w:rsid w:val="0060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PreformattedChar">
    <w:name w:val="HTML Preformatted Char"/>
    <w:basedOn w:val="DefaultParagraphFont"/>
    <w:link w:val="HTMLPreformatted"/>
    <w:uiPriority w:val="99"/>
    <w:rsid w:val="0060037E"/>
    <w:rPr>
      <w:rFonts w:ascii="Courier New" w:hAnsi="Courier New" w:cs="Courier New"/>
      <w:sz w:val="20"/>
      <w:szCs w:val="20"/>
      <w:lang w:eastAsia="de-DE"/>
    </w:rPr>
  </w:style>
  <w:style w:type="paragraph" w:customStyle="1" w:styleId="CommentText0">
    <w:name w:val="Comment Text_0"/>
    <w:basedOn w:val="Normal"/>
    <w:uiPriority w:val="99"/>
    <w:semiHidden/>
    <w:unhideWhenUsed/>
    <w:rsid w:val="0060037E"/>
    <w:pPr>
      <w:spacing w:line="240" w:lineRule="auto"/>
    </w:pPr>
    <w:rPr>
      <w:szCs w:val="20"/>
      <w:lang w:eastAsia="en-US"/>
    </w:rPr>
  </w:style>
  <w:style w:type="character" w:customStyle="1" w:styleId="CommentReference0">
    <w:name w:val="Comment Reference_0"/>
    <w:uiPriority w:val="99"/>
    <w:semiHidden/>
    <w:unhideWhenUsed/>
    <w:rsid w:val="0060037E"/>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1"/>
    <w:qFormat/>
    <w:rsid w:val="004716E6"/>
    <w:pPr>
      <w:widowControl w:val="0"/>
      <w:autoSpaceDE w:val="0"/>
      <w:autoSpaceDN w:val="0"/>
      <w:spacing w:line="240" w:lineRule="auto"/>
      <w:ind w:left="1598" w:hanging="360"/>
    </w:pPr>
    <w:rPr>
      <w:rFonts w:eastAsia="Arial" w:cs="Arial"/>
      <w:sz w:val="22"/>
      <w:szCs w:val="22"/>
      <w:lang w:eastAsia="en-US"/>
    </w:rPr>
  </w:style>
  <w:style w:type="character" w:styleId="UnresolvedMention">
    <w:name w:val="Unresolved Mention"/>
    <w:basedOn w:val="DefaultParagraphFont"/>
    <w:uiPriority w:val="99"/>
    <w:semiHidden/>
    <w:unhideWhenUsed/>
    <w:rsid w:val="00D44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88EB-D3FD-4904-9407-4F76C8CE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9251</Characters>
  <Application>Microsoft Office Word</Application>
  <DocSecurity>4</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Henkel AG &amp; Co. KGaA</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Els Bruyninckx (ext)</cp:lastModifiedBy>
  <cp:revision>2</cp:revision>
  <cp:lastPrinted>2019-02-21T11:49:00Z</cp:lastPrinted>
  <dcterms:created xsi:type="dcterms:W3CDTF">2019-05-07T13:17:00Z</dcterms:created>
  <dcterms:modified xsi:type="dcterms:W3CDTF">2019-05-07T13:17:00Z</dcterms:modified>
</cp:coreProperties>
</file>