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8446" w14:textId="77777777" w:rsidR="00C92205" w:rsidRDefault="00C92205" w:rsidP="00C92205">
      <w:pPr>
        <w:jc w:val="right"/>
      </w:pPr>
      <w:r w:rsidRPr="00BD4B28">
        <w:rPr>
          <w:rFonts w:ascii="Times New Roman"/>
          <w:noProof/>
          <w:sz w:val="20"/>
        </w:rPr>
        <w:drawing>
          <wp:inline distT="0" distB="0" distL="0" distR="0" wp14:anchorId="0B95DA74" wp14:editId="0EEA5974">
            <wp:extent cx="1057036" cy="6065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7036" cy="606551"/>
                    </a:xfrm>
                    <a:prstGeom prst="rect">
                      <a:avLst/>
                    </a:prstGeom>
                  </pic:spPr>
                </pic:pic>
              </a:graphicData>
            </a:graphic>
          </wp:inline>
        </w:drawing>
      </w:r>
    </w:p>
    <w:p w14:paraId="1A724A4C" w14:textId="77777777" w:rsidR="00C92205" w:rsidRDefault="00C92205" w:rsidP="00C92205"/>
    <w:p w14:paraId="2D99096C" w14:textId="77777777" w:rsidR="00C92205" w:rsidRDefault="00C92205" w:rsidP="00C92205"/>
    <w:p w14:paraId="630B3678" w14:textId="77777777" w:rsidR="00C92205" w:rsidRDefault="00C92205" w:rsidP="00C92205"/>
    <w:p w14:paraId="40358950" w14:textId="77777777" w:rsidR="00C92205" w:rsidRPr="00C92205" w:rsidRDefault="00C92205" w:rsidP="00C92205">
      <w:pPr>
        <w:jc w:val="right"/>
        <w:rPr>
          <w:rFonts w:ascii="Arial" w:hAnsi="Arial" w:cs="Arial"/>
          <w:b/>
          <w:bCs/>
          <w:sz w:val="40"/>
          <w:szCs w:val="40"/>
        </w:rPr>
      </w:pPr>
      <w:r w:rsidRPr="00C92205">
        <w:rPr>
          <w:rFonts w:ascii="Arial" w:hAnsi="Arial" w:cs="Arial"/>
          <w:b/>
          <w:bCs/>
          <w:sz w:val="40"/>
          <w:szCs w:val="40"/>
        </w:rPr>
        <w:t>Informacja prasowa</w:t>
      </w:r>
    </w:p>
    <w:p w14:paraId="60E1953B" w14:textId="77777777" w:rsidR="00C92205" w:rsidRPr="00C92205" w:rsidRDefault="00C92205" w:rsidP="00C92205">
      <w:pPr>
        <w:jc w:val="right"/>
        <w:rPr>
          <w:rFonts w:ascii="Arial" w:hAnsi="Arial" w:cs="Arial"/>
          <w:sz w:val="24"/>
          <w:szCs w:val="24"/>
        </w:rPr>
      </w:pPr>
      <w:r w:rsidRPr="00C92205">
        <w:rPr>
          <w:rFonts w:ascii="Arial" w:hAnsi="Arial" w:cs="Arial"/>
          <w:sz w:val="28"/>
          <w:szCs w:val="28"/>
        </w:rPr>
        <w:t>13 sierpnia 2019 r.</w:t>
      </w:r>
    </w:p>
    <w:p w14:paraId="4926EA19" w14:textId="77777777" w:rsidR="00C92205" w:rsidRDefault="00C92205" w:rsidP="00C92205"/>
    <w:p w14:paraId="74EFAFF9" w14:textId="77777777" w:rsidR="00C92205" w:rsidRPr="00935EEF" w:rsidRDefault="00C92205" w:rsidP="00C92205">
      <w:pPr>
        <w:rPr>
          <w:rFonts w:ascii="Arial" w:hAnsi="Arial" w:cs="Arial"/>
          <w:color w:val="000000" w:themeColor="text1"/>
          <w:sz w:val="24"/>
          <w:szCs w:val="24"/>
        </w:rPr>
      </w:pPr>
      <w:r w:rsidRPr="00935EEF">
        <w:rPr>
          <w:rFonts w:ascii="Arial" w:hAnsi="Arial" w:cs="Arial"/>
          <w:color w:val="000000" w:themeColor="text1"/>
          <w:sz w:val="24"/>
          <w:szCs w:val="24"/>
        </w:rPr>
        <w:t>Aktualizacja prognozy wyników na rok obrotowy 2019</w:t>
      </w:r>
    </w:p>
    <w:p w14:paraId="2A3EDD11" w14:textId="66C6CAE6" w:rsidR="00C92205" w:rsidRPr="00935EEF" w:rsidRDefault="000279DD" w:rsidP="00C92205">
      <w:pPr>
        <w:rPr>
          <w:rFonts w:ascii="Arial" w:hAnsi="Arial" w:cs="Arial"/>
          <w:b/>
          <w:bCs/>
          <w:color w:val="000000" w:themeColor="text1"/>
          <w:sz w:val="36"/>
          <w:szCs w:val="36"/>
        </w:rPr>
      </w:pPr>
      <w:bookmarkStart w:id="0" w:name="_Hlk16610203"/>
      <w:bookmarkStart w:id="1" w:name="_GoBack"/>
      <w:r w:rsidRPr="00935EEF">
        <w:rPr>
          <w:rFonts w:ascii="Arial" w:hAnsi="Arial" w:cs="Arial"/>
          <w:b/>
          <w:bCs/>
          <w:color w:val="000000" w:themeColor="text1"/>
          <w:sz w:val="36"/>
          <w:szCs w:val="36"/>
        </w:rPr>
        <w:t xml:space="preserve">Henkel przedstawia </w:t>
      </w:r>
      <w:r w:rsidR="00C92205" w:rsidRPr="00935EEF">
        <w:rPr>
          <w:rFonts w:ascii="Arial" w:hAnsi="Arial" w:cs="Arial"/>
          <w:b/>
          <w:bCs/>
          <w:color w:val="000000" w:themeColor="text1"/>
          <w:sz w:val="36"/>
          <w:szCs w:val="36"/>
        </w:rPr>
        <w:t>wyniki</w:t>
      </w:r>
      <w:r w:rsidRPr="00935EEF">
        <w:rPr>
          <w:rFonts w:ascii="Arial" w:hAnsi="Arial" w:cs="Arial"/>
          <w:b/>
          <w:bCs/>
          <w:color w:val="000000" w:themeColor="text1"/>
          <w:sz w:val="36"/>
          <w:szCs w:val="36"/>
        </w:rPr>
        <w:t xml:space="preserve"> finansowe za drugi kwartał</w:t>
      </w:r>
      <w:r w:rsidR="0010023D" w:rsidRPr="00935EEF">
        <w:rPr>
          <w:rFonts w:ascii="Arial" w:hAnsi="Arial" w:cs="Arial"/>
          <w:b/>
          <w:bCs/>
          <w:color w:val="000000" w:themeColor="text1"/>
          <w:sz w:val="36"/>
          <w:szCs w:val="36"/>
        </w:rPr>
        <w:t>,</w:t>
      </w:r>
      <w:r w:rsidR="005B1BB7" w:rsidRPr="00935EEF">
        <w:rPr>
          <w:rFonts w:ascii="Arial" w:hAnsi="Arial" w:cs="Arial"/>
          <w:b/>
          <w:bCs/>
          <w:color w:val="000000" w:themeColor="text1"/>
          <w:sz w:val="36"/>
          <w:szCs w:val="36"/>
        </w:rPr>
        <w:t xml:space="preserve"> </w:t>
      </w:r>
      <w:r w:rsidR="0010023D" w:rsidRPr="00935EEF">
        <w:rPr>
          <w:rFonts w:ascii="Arial" w:hAnsi="Arial" w:cs="Arial"/>
          <w:b/>
          <w:bCs/>
          <w:color w:val="000000" w:themeColor="text1"/>
          <w:sz w:val="36"/>
          <w:szCs w:val="36"/>
        </w:rPr>
        <w:t xml:space="preserve">osiągnięte w wymagającej sytuacji rynkowej. </w:t>
      </w:r>
    </w:p>
    <w:bookmarkEnd w:id="0"/>
    <w:bookmarkEnd w:id="1"/>
    <w:p w14:paraId="48B3A786" w14:textId="77777777" w:rsidR="00C92205" w:rsidRDefault="00C92205" w:rsidP="00095FB8">
      <w:pPr>
        <w:jc w:val="both"/>
      </w:pPr>
    </w:p>
    <w:p w14:paraId="2F2E8B0F" w14:textId="77777777" w:rsidR="002954DD" w:rsidRDefault="00C92205" w:rsidP="009C5C5F">
      <w:pPr>
        <w:spacing w:after="0" w:line="240" w:lineRule="auto"/>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Dobre wyniki sektora </w:t>
      </w:r>
      <w:proofErr w:type="spellStart"/>
      <w:r w:rsidRPr="00C92205">
        <w:rPr>
          <w:rFonts w:ascii="Arial" w:hAnsi="Arial" w:cs="Arial"/>
          <w:b/>
          <w:bCs/>
          <w:sz w:val="24"/>
          <w:szCs w:val="24"/>
        </w:rPr>
        <w:t>Adhesive</w:t>
      </w:r>
      <w:proofErr w:type="spellEnd"/>
      <w:r w:rsidRPr="00C92205">
        <w:rPr>
          <w:rFonts w:ascii="Arial" w:hAnsi="Arial" w:cs="Arial"/>
          <w:b/>
          <w:bCs/>
          <w:sz w:val="24"/>
          <w:szCs w:val="24"/>
        </w:rPr>
        <w:t xml:space="preserve"> Technologies (kleje budowlane </w:t>
      </w:r>
    </w:p>
    <w:p w14:paraId="27998DF3" w14:textId="644F1DD8" w:rsidR="00C92205" w:rsidRDefault="002954DD" w:rsidP="009C5C5F">
      <w:pPr>
        <w:spacing w:after="0" w:line="240" w:lineRule="auto"/>
        <w:rPr>
          <w:rFonts w:ascii="Arial" w:hAnsi="Arial" w:cs="Arial"/>
          <w:b/>
          <w:bCs/>
          <w:sz w:val="24"/>
          <w:szCs w:val="24"/>
        </w:rPr>
      </w:pPr>
      <w:r>
        <w:rPr>
          <w:rFonts w:ascii="Arial" w:hAnsi="Arial" w:cs="Arial"/>
          <w:b/>
          <w:bCs/>
          <w:sz w:val="24"/>
          <w:szCs w:val="24"/>
        </w:rPr>
        <w:tab/>
      </w:r>
      <w:r w:rsidR="00C92205" w:rsidRPr="00C92205">
        <w:rPr>
          <w:rFonts w:ascii="Arial" w:hAnsi="Arial" w:cs="Arial"/>
          <w:b/>
          <w:bCs/>
          <w:sz w:val="24"/>
          <w:szCs w:val="24"/>
        </w:rPr>
        <w:t>i</w:t>
      </w:r>
      <w:r>
        <w:rPr>
          <w:rFonts w:ascii="Arial" w:hAnsi="Arial" w:cs="Arial"/>
          <w:b/>
          <w:bCs/>
          <w:sz w:val="24"/>
          <w:szCs w:val="24"/>
        </w:rPr>
        <w:t xml:space="preserve"> </w:t>
      </w:r>
      <w:r w:rsidR="00C92205" w:rsidRPr="00C92205">
        <w:rPr>
          <w:rFonts w:ascii="Arial" w:hAnsi="Arial" w:cs="Arial"/>
          <w:b/>
          <w:bCs/>
          <w:sz w:val="24"/>
          <w:szCs w:val="24"/>
        </w:rPr>
        <w:t>konsumenckie oraz kleje i technologie dla przemysłu)</w:t>
      </w:r>
    </w:p>
    <w:p w14:paraId="4A38CCC6" w14:textId="77777777" w:rsidR="009C5C5F" w:rsidRPr="00C92205" w:rsidRDefault="009C5C5F" w:rsidP="009C5C5F">
      <w:pPr>
        <w:spacing w:after="0" w:line="240" w:lineRule="auto"/>
        <w:rPr>
          <w:rFonts w:ascii="Arial" w:hAnsi="Arial" w:cs="Arial"/>
          <w:b/>
          <w:bCs/>
          <w:sz w:val="24"/>
          <w:szCs w:val="24"/>
        </w:rPr>
      </w:pPr>
    </w:p>
    <w:p w14:paraId="1ED5133F" w14:textId="77777777" w:rsidR="009C5C5F" w:rsidRDefault="00C92205" w:rsidP="009C5C5F">
      <w:pPr>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Wyniki sektora </w:t>
      </w:r>
      <w:proofErr w:type="spellStart"/>
      <w:r w:rsidRPr="00C92205">
        <w:rPr>
          <w:rFonts w:ascii="Arial" w:hAnsi="Arial" w:cs="Arial"/>
          <w:b/>
          <w:bCs/>
          <w:sz w:val="24"/>
          <w:szCs w:val="24"/>
        </w:rPr>
        <w:t>Beauty</w:t>
      </w:r>
      <w:proofErr w:type="spellEnd"/>
      <w:r w:rsidRPr="00C92205">
        <w:rPr>
          <w:rFonts w:ascii="Arial" w:hAnsi="Arial" w:cs="Arial"/>
          <w:b/>
          <w:bCs/>
          <w:sz w:val="24"/>
          <w:szCs w:val="24"/>
        </w:rPr>
        <w:t xml:space="preserve"> </w:t>
      </w:r>
      <w:proofErr w:type="spellStart"/>
      <w:r w:rsidRPr="00C92205">
        <w:rPr>
          <w:rFonts w:ascii="Arial" w:hAnsi="Arial" w:cs="Arial"/>
          <w:b/>
          <w:bCs/>
          <w:sz w:val="24"/>
          <w:szCs w:val="24"/>
        </w:rPr>
        <w:t>Care</w:t>
      </w:r>
      <w:proofErr w:type="spellEnd"/>
      <w:r w:rsidRPr="00C92205">
        <w:rPr>
          <w:rFonts w:ascii="Arial" w:hAnsi="Arial" w:cs="Arial"/>
          <w:b/>
          <w:bCs/>
          <w:sz w:val="24"/>
          <w:szCs w:val="24"/>
        </w:rPr>
        <w:t xml:space="preserve"> (kosmetyki) poniżej oczekiwań</w:t>
      </w:r>
    </w:p>
    <w:p w14:paraId="714E8CB9" w14:textId="77777777" w:rsidR="009C5C5F" w:rsidRDefault="00C92205" w:rsidP="009C5C5F">
      <w:pPr>
        <w:spacing w:after="0"/>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Pomyślny rozwój działalności w sektorze </w:t>
      </w:r>
      <w:proofErr w:type="spellStart"/>
      <w:r w:rsidRPr="00C92205">
        <w:rPr>
          <w:rFonts w:ascii="Arial" w:hAnsi="Arial" w:cs="Arial"/>
          <w:b/>
          <w:bCs/>
          <w:sz w:val="24"/>
          <w:szCs w:val="24"/>
        </w:rPr>
        <w:t>Laundry</w:t>
      </w:r>
      <w:proofErr w:type="spellEnd"/>
      <w:r w:rsidRPr="00C92205">
        <w:rPr>
          <w:rFonts w:ascii="Arial" w:hAnsi="Arial" w:cs="Arial"/>
          <w:b/>
          <w:bCs/>
          <w:sz w:val="24"/>
          <w:szCs w:val="24"/>
        </w:rPr>
        <w:t xml:space="preserve"> &amp; Home </w:t>
      </w:r>
      <w:proofErr w:type="spellStart"/>
      <w:r w:rsidRPr="00C92205">
        <w:rPr>
          <w:rFonts w:ascii="Arial" w:hAnsi="Arial" w:cs="Arial"/>
          <w:b/>
          <w:bCs/>
          <w:sz w:val="24"/>
          <w:szCs w:val="24"/>
        </w:rPr>
        <w:t>Care</w:t>
      </w:r>
      <w:proofErr w:type="spellEnd"/>
      <w:r w:rsidRPr="00C92205">
        <w:rPr>
          <w:rFonts w:ascii="Arial" w:hAnsi="Arial" w:cs="Arial"/>
          <w:b/>
          <w:bCs/>
          <w:sz w:val="24"/>
          <w:szCs w:val="24"/>
        </w:rPr>
        <w:t xml:space="preserve"> </w:t>
      </w:r>
    </w:p>
    <w:p w14:paraId="721CAC10" w14:textId="1E433C2E" w:rsidR="00C92205" w:rsidRDefault="009C5C5F" w:rsidP="009C5C5F">
      <w:pPr>
        <w:spacing w:after="0"/>
        <w:rPr>
          <w:rFonts w:ascii="Arial" w:hAnsi="Arial" w:cs="Arial"/>
          <w:b/>
          <w:bCs/>
          <w:sz w:val="24"/>
          <w:szCs w:val="24"/>
        </w:rPr>
      </w:pPr>
      <w:r>
        <w:rPr>
          <w:rFonts w:ascii="Arial" w:hAnsi="Arial" w:cs="Arial"/>
          <w:b/>
          <w:bCs/>
          <w:sz w:val="24"/>
          <w:szCs w:val="24"/>
        </w:rPr>
        <w:tab/>
      </w:r>
      <w:r w:rsidR="00C92205" w:rsidRPr="00C92205">
        <w:rPr>
          <w:rFonts w:ascii="Arial" w:hAnsi="Arial" w:cs="Arial"/>
          <w:b/>
          <w:bCs/>
          <w:sz w:val="24"/>
          <w:szCs w:val="24"/>
        </w:rPr>
        <w:t xml:space="preserve">(środków piorących i czystości) </w:t>
      </w:r>
    </w:p>
    <w:p w14:paraId="14687439" w14:textId="77777777" w:rsidR="009C5C5F" w:rsidRPr="00C92205" w:rsidRDefault="009C5C5F" w:rsidP="009C5C5F">
      <w:pPr>
        <w:spacing w:after="0"/>
        <w:rPr>
          <w:rFonts w:ascii="Arial" w:hAnsi="Arial" w:cs="Arial"/>
          <w:b/>
          <w:bCs/>
          <w:sz w:val="24"/>
          <w:szCs w:val="24"/>
        </w:rPr>
      </w:pPr>
    </w:p>
    <w:p w14:paraId="4423293E" w14:textId="77777777" w:rsidR="009C5C5F" w:rsidRDefault="00C92205" w:rsidP="009C5C5F">
      <w:pPr>
        <w:spacing w:after="0"/>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Przychody ze sprzedaży na poziomie </w:t>
      </w:r>
      <w:r w:rsidRPr="00935EEF">
        <w:rPr>
          <w:rFonts w:ascii="Arial" w:hAnsi="Arial" w:cs="Arial"/>
          <w:b/>
          <w:bCs/>
          <w:sz w:val="24"/>
          <w:szCs w:val="24"/>
        </w:rPr>
        <w:t xml:space="preserve">5,121 mld </w:t>
      </w:r>
      <w:r w:rsidRPr="00C92205">
        <w:rPr>
          <w:rFonts w:ascii="Arial" w:hAnsi="Arial" w:cs="Arial"/>
          <w:b/>
          <w:bCs/>
          <w:sz w:val="24"/>
          <w:szCs w:val="24"/>
        </w:rPr>
        <w:t>euro, czyli</w:t>
      </w:r>
      <w:r w:rsidR="009C5C5F">
        <w:rPr>
          <w:rFonts w:ascii="Arial" w:hAnsi="Arial" w:cs="Arial"/>
          <w:b/>
          <w:bCs/>
          <w:sz w:val="24"/>
          <w:szCs w:val="24"/>
        </w:rPr>
        <w:t xml:space="preserve"> </w:t>
      </w:r>
      <w:r w:rsidRPr="00C92205">
        <w:rPr>
          <w:rFonts w:ascii="Arial" w:hAnsi="Arial" w:cs="Arial"/>
          <w:b/>
          <w:bCs/>
          <w:sz w:val="24"/>
          <w:szCs w:val="24"/>
        </w:rPr>
        <w:t>zbliżonym</w:t>
      </w:r>
    </w:p>
    <w:p w14:paraId="5101C910" w14:textId="48217DAA" w:rsidR="00C92205" w:rsidRDefault="009C5C5F" w:rsidP="009C5C5F">
      <w:pPr>
        <w:spacing w:after="0"/>
        <w:rPr>
          <w:rFonts w:ascii="Arial" w:hAnsi="Arial" w:cs="Arial"/>
          <w:b/>
          <w:bCs/>
          <w:sz w:val="24"/>
          <w:szCs w:val="24"/>
        </w:rPr>
      </w:pPr>
      <w:r>
        <w:rPr>
          <w:rFonts w:ascii="Arial" w:hAnsi="Arial" w:cs="Arial"/>
          <w:b/>
          <w:bCs/>
          <w:sz w:val="24"/>
          <w:szCs w:val="24"/>
        </w:rPr>
        <w:tab/>
      </w:r>
      <w:r w:rsidR="00C92205" w:rsidRPr="00C92205">
        <w:rPr>
          <w:rFonts w:ascii="Arial" w:hAnsi="Arial" w:cs="Arial"/>
          <w:b/>
          <w:bCs/>
          <w:sz w:val="24"/>
          <w:szCs w:val="24"/>
        </w:rPr>
        <w:t>do</w:t>
      </w:r>
      <w:r>
        <w:rPr>
          <w:rFonts w:ascii="Arial" w:hAnsi="Arial" w:cs="Arial"/>
          <w:b/>
          <w:bCs/>
          <w:sz w:val="24"/>
          <w:szCs w:val="24"/>
        </w:rPr>
        <w:t xml:space="preserve"> r</w:t>
      </w:r>
      <w:r w:rsidR="00C92205" w:rsidRPr="00C92205">
        <w:rPr>
          <w:rFonts w:ascii="Arial" w:hAnsi="Arial" w:cs="Arial"/>
          <w:b/>
          <w:bCs/>
          <w:sz w:val="24"/>
          <w:szCs w:val="24"/>
        </w:rPr>
        <w:t>oku poprzedniego; w ujęciu organicznym spadek o 0,4%</w:t>
      </w:r>
    </w:p>
    <w:p w14:paraId="5BC71F08" w14:textId="77777777" w:rsidR="009C5C5F" w:rsidRPr="00C92205" w:rsidRDefault="009C5C5F" w:rsidP="009C5C5F">
      <w:pPr>
        <w:spacing w:after="0"/>
        <w:rPr>
          <w:rFonts w:ascii="Arial" w:hAnsi="Arial" w:cs="Arial"/>
          <w:b/>
          <w:bCs/>
          <w:sz w:val="24"/>
          <w:szCs w:val="24"/>
        </w:rPr>
      </w:pPr>
    </w:p>
    <w:p w14:paraId="48AEB1BD" w14:textId="77777777" w:rsidR="009C5C5F" w:rsidRDefault="00C92205" w:rsidP="009C5C5F">
      <w:pPr>
        <w:spacing w:after="0"/>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Marża EBIT* na poziomie 16,5% (spadek o 1,5 </w:t>
      </w:r>
      <w:proofErr w:type="spellStart"/>
      <w:r w:rsidRPr="00C92205">
        <w:rPr>
          <w:rFonts w:ascii="Arial" w:hAnsi="Arial" w:cs="Arial"/>
          <w:b/>
          <w:bCs/>
          <w:sz w:val="24"/>
          <w:szCs w:val="24"/>
        </w:rPr>
        <w:t>p.p</w:t>
      </w:r>
      <w:proofErr w:type="spellEnd"/>
      <w:r w:rsidRPr="00C92205">
        <w:rPr>
          <w:rFonts w:ascii="Arial" w:hAnsi="Arial" w:cs="Arial"/>
          <w:b/>
          <w:bCs/>
          <w:sz w:val="24"/>
          <w:szCs w:val="24"/>
        </w:rPr>
        <w:t>.), zysk na</w:t>
      </w:r>
      <w:r w:rsidR="009C5C5F">
        <w:rPr>
          <w:rFonts w:ascii="Arial" w:hAnsi="Arial" w:cs="Arial"/>
          <w:b/>
          <w:bCs/>
          <w:sz w:val="24"/>
          <w:szCs w:val="24"/>
        </w:rPr>
        <w:t xml:space="preserve"> </w:t>
      </w:r>
    </w:p>
    <w:p w14:paraId="6D976F8F" w14:textId="38D3B42E" w:rsidR="009C5C5F" w:rsidRDefault="009C5C5F" w:rsidP="009C5C5F">
      <w:pPr>
        <w:spacing w:after="0"/>
        <w:rPr>
          <w:rFonts w:ascii="Arial" w:hAnsi="Arial" w:cs="Arial"/>
          <w:b/>
          <w:bCs/>
          <w:sz w:val="24"/>
          <w:szCs w:val="24"/>
        </w:rPr>
      </w:pPr>
      <w:r>
        <w:rPr>
          <w:rFonts w:ascii="Arial" w:hAnsi="Arial" w:cs="Arial"/>
          <w:b/>
          <w:bCs/>
          <w:sz w:val="24"/>
          <w:szCs w:val="24"/>
        </w:rPr>
        <w:tab/>
      </w:r>
      <w:r w:rsidR="00C92205" w:rsidRPr="00C92205">
        <w:rPr>
          <w:rFonts w:ascii="Arial" w:hAnsi="Arial" w:cs="Arial"/>
          <w:b/>
          <w:bCs/>
          <w:sz w:val="24"/>
          <w:szCs w:val="24"/>
        </w:rPr>
        <w:t xml:space="preserve">akcję </w:t>
      </w:r>
      <w:r w:rsidR="00C92205">
        <w:rPr>
          <w:rFonts w:ascii="Arial" w:hAnsi="Arial" w:cs="Arial"/>
          <w:b/>
          <w:bCs/>
          <w:sz w:val="24"/>
          <w:szCs w:val="24"/>
        </w:rPr>
        <w:tab/>
      </w:r>
      <w:r w:rsidR="00C92205" w:rsidRPr="00C92205">
        <w:rPr>
          <w:rFonts w:ascii="Arial" w:hAnsi="Arial" w:cs="Arial"/>
          <w:b/>
          <w:bCs/>
          <w:sz w:val="24"/>
          <w:szCs w:val="24"/>
        </w:rPr>
        <w:t>uprzywilejowaną (EPS)</w:t>
      </w:r>
      <w:r w:rsidR="00C92205" w:rsidRPr="00095FB8">
        <w:rPr>
          <w:rFonts w:ascii="Arial" w:hAnsi="Arial" w:cs="Arial"/>
          <w:b/>
          <w:bCs/>
          <w:color w:val="000000" w:themeColor="text1"/>
          <w:sz w:val="24"/>
          <w:szCs w:val="24"/>
        </w:rPr>
        <w:t>*</w:t>
      </w:r>
      <w:r w:rsidR="00C92205" w:rsidRPr="00C92205">
        <w:rPr>
          <w:rFonts w:ascii="Arial" w:hAnsi="Arial" w:cs="Arial"/>
          <w:b/>
          <w:bCs/>
          <w:sz w:val="24"/>
          <w:szCs w:val="24"/>
        </w:rPr>
        <w:t xml:space="preserve"> w wysokości 1,43 euro (spadek o 9,5%)</w:t>
      </w:r>
    </w:p>
    <w:p w14:paraId="2CB419A3" w14:textId="77777777" w:rsidR="009C5C5F" w:rsidRPr="00C92205" w:rsidRDefault="009C5C5F" w:rsidP="009C5C5F">
      <w:pPr>
        <w:spacing w:after="0"/>
        <w:rPr>
          <w:rFonts w:ascii="Arial" w:hAnsi="Arial" w:cs="Arial"/>
          <w:b/>
          <w:bCs/>
          <w:sz w:val="24"/>
          <w:szCs w:val="24"/>
        </w:rPr>
      </w:pPr>
    </w:p>
    <w:p w14:paraId="1795F82B" w14:textId="3D018447" w:rsidR="00C92205" w:rsidRPr="00C92205" w:rsidRDefault="00C92205" w:rsidP="009C5C5F">
      <w:pPr>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Pierwsze sukcesy wdrożenia zapowiadanych wcześniej </w:t>
      </w:r>
      <w:r>
        <w:rPr>
          <w:rFonts w:ascii="Arial" w:hAnsi="Arial" w:cs="Arial"/>
          <w:b/>
          <w:bCs/>
          <w:sz w:val="24"/>
          <w:szCs w:val="24"/>
        </w:rPr>
        <w:t xml:space="preserve">inwestycji </w:t>
      </w:r>
      <w:r w:rsidRPr="00C92205">
        <w:rPr>
          <w:rFonts w:ascii="Arial" w:hAnsi="Arial" w:cs="Arial"/>
          <w:b/>
          <w:bCs/>
          <w:sz w:val="24"/>
          <w:szCs w:val="24"/>
        </w:rPr>
        <w:t xml:space="preserve"> </w:t>
      </w:r>
      <w:r w:rsidR="002954DD">
        <w:rPr>
          <w:rFonts w:ascii="Arial" w:hAnsi="Arial" w:cs="Arial"/>
          <w:b/>
          <w:bCs/>
          <w:sz w:val="24"/>
          <w:szCs w:val="24"/>
        </w:rPr>
        <w:tab/>
      </w:r>
      <w:r w:rsidRPr="00C92205">
        <w:rPr>
          <w:rFonts w:ascii="Arial" w:hAnsi="Arial" w:cs="Arial"/>
          <w:b/>
          <w:bCs/>
          <w:sz w:val="24"/>
          <w:szCs w:val="24"/>
        </w:rPr>
        <w:t>rozwojowych</w:t>
      </w:r>
    </w:p>
    <w:p w14:paraId="6F5E45F0" w14:textId="77777777" w:rsidR="00C92205" w:rsidRPr="00C92205" w:rsidRDefault="00C92205" w:rsidP="009C5C5F">
      <w:pPr>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Inwestycje w rozwój i cyfryzację</w:t>
      </w:r>
    </w:p>
    <w:p w14:paraId="0EADEA7F" w14:textId="356EBA73" w:rsidR="00C92205" w:rsidRPr="00C92205" w:rsidRDefault="00C92205" w:rsidP="009C5C5F">
      <w:pPr>
        <w:rPr>
          <w:rFonts w:ascii="Arial" w:hAnsi="Arial" w:cs="Arial"/>
          <w:b/>
          <w:bCs/>
          <w:sz w:val="24"/>
          <w:szCs w:val="24"/>
        </w:rPr>
      </w:pPr>
      <w:r w:rsidRPr="00C92205">
        <w:rPr>
          <w:rFonts w:ascii="Arial" w:hAnsi="Arial" w:cs="Arial"/>
          <w:b/>
          <w:bCs/>
          <w:sz w:val="24"/>
          <w:szCs w:val="24"/>
        </w:rPr>
        <w:t>•</w:t>
      </w:r>
      <w:r w:rsidRPr="00C92205">
        <w:rPr>
          <w:rFonts w:ascii="Arial" w:hAnsi="Arial" w:cs="Arial"/>
          <w:b/>
          <w:bCs/>
          <w:sz w:val="24"/>
          <w:szCs w:val="24"/>
        </w:rPr>
        <w:tab/>
        <w:t xml:space="preserve">Korzystna struktura bilansu i </w:t>
      </w:r>
      <w:r w:rsidR="0010023D">
        <w:rPr>
          <w:rFonts w:ascii="Arial" w:hAnsi="Arial" w:cs="Arial"/>
          <w:b/>
          <w:bCs/>
          <w:sz w:val="24"/>
          <w:szCs w:val="24"/>
        </w:rPr>
        <w:t>dobre</w:t>
      </w:r>
      <w:r w:rsidR="0010023D" w:rsidRPr="00C92205">
        <w:rPr>
          <w:rFonts w:ascii="Arial" w:hAnsi="Arial" w:cs="Arial"/>
          <w:b/>
          <w:bCs/>
          <w:sz w:val="24"/>
          <w:szCs w:val="24"/>
        </w:rPr>
        <w:t xml:space="preserve"> </w:t>
      </w:r>
      <w:r w:rsidRPr="00C92205">
        <w:rPr>
          <w:rFonts w:ascii="Arial" w:hAnsi="Arial" w:cs="Arial"/>
          <w:b/>
          <w:bCs/>
          <w:sz w:val="24"/>
          <w:szCs w:val="24"/>
        </w:rPr>
        <w:t xml:space="preserve">zarządzanie środkami </w:t>
      </w:r>
      <w:r>
        <w:rPr>
          <w:rFonts w:ascii="Arial" w:hAnsi="Arial" w:cs="Arial"/>
          <w:b/>
          <w:bCs/>
          <w:sz w:val="24"/>
          <w:szCs w:val="24"/>
        </w:rPr>
        <w:tab/>
      </w:r>
      <w:r w:rsidRPr="00C92205">
        <w:rPr>
          <w:rFonts w:ascii="Arial" w:hAnsi="Arial" w:cs="Arial"/>
          <w:b/>
          <w:bCs/>
          <w:sz w:val="24"/>
          <w:szCs w:val="24"/>
        </w:rPr>
        <w:t>pieniężnymi</w:t>
      </w:r>
    </w:p>
    <w:p w14:paraId="4109C99A" w14:textId="77777777" w:rsidR="00C92205" w:rsidRDefault="00C92205" w:rsidP="0010023D">
      <w:pPr>
        <w:jc w:val="both"/>
      </w:pPr>
    </w:p>
    <w:p w14:paraId="2F87ED04" w14:textId="645B569D" w:rsidR="00C92205" w:rsidRPr="0010023D" w:rsidRDefault="00C92205" w:rsidP="0010023D">
      <w:pPr>
        <w:jc w:val="both"/>
        <w:rPr>
          <w:rFonts w:ascii="Arial" w:hAnsi="Arial" w:cs="Arial"/>
          <w:sz w:val="24"/>
          <w:szCs w:val="24"/>
        </w:rPr>
      </w:pPr>
      <w:proofErr w:type="spellStart"/>
      <w:r w:rsidRPr="0010023D">
        <w:rPr>
          <w:rFonts w:ascii="Arial" w:hAnsi="Arial" w:cs="Arial"/>
          <w:b/>
          <w:bCs/>
          <w:sz w:val="24"/>
          <w:szCs w:val="24"/>
        </w:rPr>
        <w:t>Düsseldorf</w:t>
      </w:r>
      <w:proofErr w:type="spellEnd"/>
      <w:r w:rsidRPr="0010023D">
        <w:rPr>
          <w:rFonts w:ascii="Arial" w:hAnsi="Arial" w:cs="Arial"/>
          <w:sz w:val="24"/>
          <w:szCs w:val="24"/>
        </w:rPr>
        <w:t xml:space="preserve"> – W </w:t>
      </w:r>
      <w:r w:rsidRPr="0010023D">
        <w:rPr>
          <w:rFonts w:ascii="Arial" w:hAnsi="Arial" w:cs="Arial"/>
          <w:b/>
          <w:bCs/>
          <w:sz w:val="24"/>
          <w:szCs w:val="24"/>
        </w:rPr>
        <w:t>drugim kwartale</w:t>
      </w:r>
      <w:r w:rsidRPr="0010023D">
        <w:rPr>
          <w:rFonts w:ascii="Arial" w:hAnsi="Arial" w:cs="Arial"/>
          <w:sz w:val="24"/>
          <w:szCs w:val="24"/>
        </w:rPr>
        <w:t xml:space="preserve"> 2019 r. </w:t>
      </w:r>
      <w:r>
        <w:rPr>
          <w:rFonts w:ascii="Arial" w:hAnsi="Arial" w:cs="Arial"/>
          <w:sz w:val="24"/>
          <w:szCs w:val="24"/>
        </w:rPr>
        <w:t xml:space="preserve">na działalność </w:t>
      </w:r>
      <w:r w:rsidRPr="0010023D">
        <w:rPr>
          <w:rFonts w:ascii="Arial" w:hAnsi="Arial" w:cs="Arial"/>
          <w:sz w:val="24"/>
          <w:szCs w:val="24"/>
        </w:rPr>
        <w:t>Henk</w:t>
      </w:r>
      <w:r>
        <w:rPr>
          <w:rFonts w:ascii="Arial" w:hAnsi="Arial" w:cs="Arial"/>
          <w:sz w:val="24"/>
          <w:szCs w:val="24"/>
        </w:rPr>
        <w:t>la</w:t>
      </w:r>
      <w:r w:rsidRPr="0010023D">
        <w:rPr>
          <w:rFonts w:ascii="Arial" w:hAnsi="Arial" w:cs="Arial"/>
          <w:sz w:val="24"/>
          <w:szCs w:val="24"/>
        </w:rPr>
        <w:t xml:space="preserve"> </w:t>
      </w:r>
      <w:r>
        <w:rPr>
          <w:rFonts w:ascii="Arial" w:hAnsi="Arial" w:cs="Arial"/>
          <w:sz w:val="24"/>
          <w:szCs w:val="24"/>
        </w:rPr>
        <w:t>duży wpływ miało</w:t>
      </w:r>
      <w:r w:rsidRPr="0010023D">
        <w:rPr>
          <w:rFonts w:ascii="Arial" w:hAnsi="Arial" w:cs="Arial"/>
          <w:sz w:val="24"/>
          <w:szCs w:val="24"/>
        </w:rPr>
        <w:t xml:space="preserve"> coraz trudniejsze otocz</w:t>
      </w:r>
      <w:r>
        <w:rPr>
          <w:rFonts w:ascii="Arial" w:hAnsi="Arial" w:cs="Arial"/>
          <w:sz w:val="24"/>
          <w:szCs w:val="24"/>
        </w:rPr>
        <w:t>enie</w:t>
      </w:r>
      <w:r w:rsidRPr="0010023D">
        <w:rPr>
          <w:rFonts w:ascii="Arial" w:hAnsi="Arial" w:cs="Arial"/>
          <w:sz w:val="24"/>
          <w:szCs w:val="24"/>
        </w:rPr>
        <w:t xml:space="preserve"> rynkowe. </w:t>
      </w:r>
      <w:r w:rsidRPr="0010023D">
        <w:rPr>
          <w:rFonts w:ascii="Arial" w:hAnsi="Arial" w:cs="Arial"/>
          <w:b/>
          <w:bCs/>
          <w:sz w:val="24"/>
          <w:szCs w:val="24"/>
        </w:rPr>
        <w:t>Przychody ze sprzedaży</w:t>
      </w:r>
      <w:r w:rsidRPr="0010023D">
        <w:rPr>
          <w:rFonts w:ascii="Arial" w:hAnsi="Arial" w:cs="Arial"/>
          <w:sz w:val="24"/>
          <w:szCs w:val="24"/>
        </w:rPr>
        <w:t xml:space="preserve"> w ujęciu nominalnym i organicznym ukształtowały się </w:t>
      </w:r>
      <w:r w:rsidR="0010023D">
        <w:rPr>
          <w:rFonts w:ascii="Arial" w:hAnsi="Arial" w:cs="Arial"/>
          <w:sz w:val="24"/>
          <w:szCs w:val="24"/>
        </w:rPr>
        <w:t>w przybliżeniu</w:t>
      </w:r>
      <w:r w:rsidR="0010023D" w:rsidRPr="0010023D">
        <w:rPr>
          <w:rFonts w:ascii="Arial" w:hAnsi="Arial" w:cs="Arial"/>
          <w:sz w:val="24"/>
          <w:szCs w:val="24"/>
        </w:rPr>
        <w:t xml:space="preserve"> </w:t>
      </w:r>
      <w:r w:rsidRPr="0010023D">
        <w:rPr>
          <w:rFonts w:ascii="Arial" w:hAnsi="Arial" w:cs="Arial"/>
          <w:sz w:val="24"/>
          <w:szCs w:val="24"/>
        </w:rPr>
        <w:t xml:space="preserve">na poziomie roku ubiegłego. </w:t>
      </w:r>
      <w:r w:rsidRPr="0010023D">
        <w:rPr>
          <w:rFonts w:ascii="Arial" w:hAnsi="Arial" w:cs="Arial"/>
          <w:b/>
          <w:bCs/>
          <w:sz w:val="24"/>
          <w:szCs w:val="24"/>
        </w:rPr>
        <w:t>Skorygowana marża EBIT</w:t>
      </w:r>
      <w:r w:rsidRPr="0010023D">
        <w:rPr>
          <w:rFonts w:ascii="Arial" w:hAnsi="Arial" w:cs="Arial"/>
          <w:sz w:val="24"/>
          <w:szCs w:val="24"/>
        </w:rPr>
        <w:t xml:space="preserve">, skorygowany zysk z działalności operacyjnej EBIT oraz </w:t>
      </w:r>
      <w:r w:rsidRPr="0010023D">
        <w:rPr>
          <w:rFonts w:ascii="Arial" w:hAnsi="Arial" w:cs="Arial"/>
          <w:b/>
          <w:bCs/>
          <w:sz w:val="24"/>
          <w:szCs w:val="24"/>
        </w:rPr>
        <w:lastRenderedPageBreak/>
        <w:t>skorygowany zysk na akcję uprzywilejowaną (EPS)</w:t>
      </w:r>
      <w:r w:rsidRPr="0010023D">
        <w:rPr>
          <w:rFonts w:ascii="Arial" w:hAnsi="Arial" w:cs="Arial"/>
          <w:sz w:val="24"/>
          <w:szCs w:val="24"/>
        </w:rPr>
        <w:t xml:space="preserve"> były niższe niż w poprzednim roku.</w:t>
      </w:r>
    </w:p>
    <w:p w14:paraId="0C9C84A7" w14:textId="77777777" w:rsidR="00C92205" w:rsidRPr="0010023D" w:rsidRDefault="00C92205" w:rsidP="0010023D">
      <w:pPr>
        <w:jc w:val="both"/>
        <w:rPr>
          <w:rFonts w:ascii="Arial" w:hAnsi="Arial" w:cs="Arial"/>
          <w:sz w:val="24"/>
          <w:szCs w:val="24"/>
        </w:rPr>
      </w:pPr>
    </w:p>
    <w:p w14:paraId="6B99B81B" w14:textId="4C6F2B2A" w:rsidR="00C92205" w:rsidRPr="0010023D" w:rsidRDefault="00C92205" w:rsidP="0010023D">
      <w:pPr>
        <w:jc w:val="both"/>
        <w:rPr>
          <w:rFonts w:ascii="Arial" w:hAnsi="Arial" w:cs="Arial"/>
          <w:sz w:val="24"/>
          <w:szCs w:val="24"/>
        </w:rPr>
      </w:pPr>
      <w:r w:rsidRPr="0010023D">
        <w:rPr>
          <w:rFonts w:ascii="Arial" w:hAnsi="Arial" w:cs="Arial"/>
          <w:b/>
          <w:bCs/>
          <w:sz w:val="24"/>
          <w:szCs w:val="24"/>
        </w:rPr>
        <w:t>W pierwszym półroczu 2019</w:t>
      </w:r>
      <w:r w:rsidRPr="0010023D">
        <w:rPr>
          <w:rFonts w:ascii="Arial" w:hAnsi="Arial" w:cs="Arial"/>
          <w:sz w:val="24"/>
          <w:szCs w:val="24"/>
        </w:rPr>
        <w:t xml:space="preserve"> r. odnotowana przez Henkl</w:t>
      </w:r>
      <w:r w:rsidR="00CE2884">
        <w:rPr>
          <w:rFonts w:ascii="Arial" w:hAnsi="Arial" w:cs="Arial"/>
          <w:sz w:val="24"/>
          <w:szCs w:val="24"/>
        </w:rPr>
        <w:t>a</w:t>
      </w:r>
      <w:r w:rsidRPr="0010023D">
        <w:rPr>
          <w:rFonts w:ascii="Arial" w:hAnsi="Arial" w:cs="Arial"/>
          <w:sz w:val="24"/>
          <w:szCs w:val="24"/>
        </w:rPr>
        <w:t xml:space="preserve"> dynamika sprzedaży w</w:t>
      </w:r>
      <w:r w:rsidR="009C5C5F">
        <w:rPr>
          <w:rFonts w:ascii="Arial" w:hAnsi="Arial" w:cs="Arial"/>
          <w:sz w:val="24"/>
          <w:szCs w:val="24"/>
        </w:rPr>
        <w:t> </w:t>
      </w:r>
      <w:r w:rsidRPr="0010023D">
        <w:rPr>
          <w:rFonts w:ascii="Arial" w:hAnsi="Arial" w:cs="Arial"/>
          <w:sz w:val="24"/>
          <w:szCs w:val="24"/>
        </w:rPr>
        <w:t>ujęciu organicznym wykazywała nieznaczną tendencję wzrostową, natomiast marże obniżyły się – zgodnie z oczekiwaniami, po ogłoszeniu z początkiem roku zwiększenia inwestycji rozwojowych.</w:t>
      </w:r>
    </w:p>
    <w:p w14:paraId="383F9C75" w14:textId="77777777" w:rsidR="002954DD" w:rsidRPr="0010023D" w:rsidRDefault="002954DD" w:rsidP="0010023D">
      <w:pPr>
        <w:jc w:val="both"/>
        <w:rPr>
          <w:rFonts w:ascii="Arial" w:hAnsi="Arial" w:cs="Arial"/>
          <w:sz w:val="24"/>
          <w:szCs w:val="24"/>
        </w:rPr>
      </w:pPr>
    </w:p>
    <w:p w14:paraId="7B621529" w14:textId="021C6CBC"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 Na wyniki osiągnięte w drugim kwartale wpływ miał głównie znaczny spadek popytu ze strony kluczowych sektorów, takich jak przemysł motoryzacyjny. Skutki tego spadku dotknęły w szczególności nasz segment </w:t>
      </w:r>
      <w:r w:rsidR="00CE2884">
        <w:rPr>
          <w:rFonts w:ascii="Arial" w:hAnsi="Arial" w:cs="Arial"/>
          <w:sz w:val="24"/>
          <w:szCs w:val="24"/>
        </w:rPr>
        <w:t>klejów</w:t>
      </w:r>
      <w:r w:rsidR="00935EEF">
        <w:rPr>
          <w:rFonts w:ascii="Arial" w:hAnsi="Arial" w:cs="Arial"/>
          <w:sz w:val="24"/>
          <w:szCs w:val="24"/>
        </w:rPr>
        <w:t xml:space="preserve"> </w:t>
      </w:r>
      <w:r w:rsidRPr="0010023D">
        <w:rPr>
          <w:rFonts w:ascii="Arial" w:hAnsi="Arial" w:cs="Arial"/>
          <w:sz w:val="24"/>
          <w:szCs w:val="24"/>
        </w:rPr>
        <w:t xml:space="preserve">przemysłowych. Niemniej jednak sektor </w:t>
      </w:r>
      <w:proofErr w:type="spellStart"/>
      <w:r w:rsidRPr="0010023D">
        <w:rPr>
          <w:rFonts w:ascii="Arial" w:hAnsi="Arial" w:cs="Arial"/>
          <w:b/>
          <w:bCs/>
          <w:sz w:val="24"/>
          <w:szCs w:val="24"/>
        </w:rPr>
        <w:t>Adhesive</w:t>
      </w:r>
      <w:proofErr w:type="spellEnd"/>
      <w:r w:rsidRPr="0010023D">
        <w:rPr>
          <w:rFonts w:ascii="Arial" w:hAnsi="Arial" w:cs="Arial"/>
          <w:b/>
          <w:bCs/>
          <w:sz w:val="24"/>
          <w:szCs w:val="24"/>
        </w:rPr>
        <w:t xml:space="preserve"> Technologies</w:t>
      </w:r>
      <w:r w:rsidRPr="0010023D">
        <w:rPr>
          <w:rFonts w:ascii="Arial" w:hAnsi="Arial" w:cs="Arial"/>
          <w:sz w:val="24"/>
          <w:szCs w:val="24"/>
        </w:rPr>
        <w:t xml:space="preserve"> (kleje budowlane i konsumenckie oraz kleje i</w:t>
      </w:r>
      <w:r>
        <w:rPr>
          <w:rFonts w:ascii="Arial" w:hAnsi="Arial" w:cs="Arial"/>
          <w:sz w:val="24"/>
          <w:szCs w:val="24"/>
        </w:rPr>
        <w:t> </w:t>
      </w:r>
      <w:r w:rsidRPr="0010023D">
        <w:rPr>
          <w:rFonts w:ascii="Arial" w:hAnsi="Arial" w:cs="Arial"/>
          <w:sz w:val="24"/>
          <w:szCs w:val="24"/>
        </w:rPr>
        <w:t xml:space="preserve">technologie dla przemysłu) </w:t>
      </w:r>
      <w:r w:rsidR="00CE2884">
        <w:rPr>
          <w:rFonts w:ascii="Arial" w:hAnsi="Arial" w:cs="Arial"/>
          <w:sz w:val="24"/>
          <w:szCs w:val="24"/>
        </w:rPr>
        <w:t>odnotował</w:t>
      </w:r>
      <w:r w:rsidR="00CE2884" w:rsidRPr="0010023D">
        <w:rPr>
          <w:rFonts w:ascii="Arial" w:hAnsi="Arial" w:cs="Arial"/>
          <w:sz w:val="24"/>
          <w:szCs w:val="24"/>
        </w:rPr>
        <w:t xml:space="preserve"> </w:t>
      </w:r>
      <w:r w:rsidRPr="0010023D">
        <w:rPr>
          <w:rFonts w:ascii="Arial" w:hAnsi="Arial" w:cs="Arial"/>
          <w:sz w:val="24"/>
          <w:szCs w:val="24"/>
        </w:rPr>
        <w:t xml:space="preserve">solidne wyniki, osiągając przychody ze sprzedaży niemal na poziomie sprzed roku oraz znakomitą marżę EBIT – powiedział Hans Van </w:t>
      </w:r>
      <w:proofErr w:type="spellStart"/>
      <w:r w:rsidRPr="0010023D">
        <w:rPr>
          <w:rFonts w:ascii="Arial" w:hAnsi="Arial" w:cs="Arial"/>
          <w:sz w:val="24"/>
          <w:szCs w:val="24"/>
        </w:rPr>
        <w:t>Bylen</w:t>
      </w:r>
      <w:proofErr w:type="spellEnd"/>
      <w:r w:rsidRPr="0010023D">
        <w:rPr>
          <w:rFonts w:ascii="Arial" w:hAnsi="Arial" w:cs="Arial"/>
          <w:sz w:val="24"/>
          <w:szCs w:val="24"/>
        </w:rPr>
        <w:t xml:space="preserve">, prezes zarządu </w:t>
      </w:r>
      <w:r w:rsidR="00CE2884">
        <w:rPr>
          <w:rFonts w:ascii="Arial" w:hAnsi="Arial" w:cs="Arial"/>
          <w:sz w:val="24"/>
          <w:szCs w:val="24"/>
        </w:rPr>
        <w:t xml:space="preserve">firmy </w:t>
      </w:r>
      <w:r w:rsidRPr="0010023D">
        <w:rPr>
          <w:rFonts w:ascii="Arial" w:hAnsi="Arial" w:cs="Arial"/>
          <w:sz w:val="24"/>
          <w:szCs w:val="24"/>
        </w:rPr>
        <w:t>Henkel.</w:t>
      </w:r>
    </w:p>
    <w:p w14:paraId="7CD2C2DF" w14:textId="77777777" w:rsidR="00C92205" w:rsidRPr="0010023D" w:rsidRDefault="00C92205" w:rsidP="0010023D">
      <w:pPr>
        <w:jc w:val="both"/>
        <w:rPr>
          <w:rFonts w:ascii="Arial" w:hAnsi="Arial" w:cs="Arial"/>
          <w:sz w:val="24"/>
          <w:szCs w:val="24"/>
        </w:rPr>
      </w:pPr>
    </w:p>
    <w:p w14:paraId="3C8AE451" w14:textId="696647D8"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 Rozwój sektora detalicznego </w:t>
      </w:r>
      <w:proofErr w:type="spellStart"/>
      <w:r w:rsidRPr="0010023D">
        <w:rPr>
          <w:rFonts w:ascii="Arial" w:hAnsi="Arial" w:cs="Arial"/>
          <w:b/>
          <w:bCs/>
          <w:sz w:val="24"/>
          <w:szCs w:val="24"/>
        </w:rPr>
        <w:t>Beauty</w:t>
      </w:r>
      <w:proofErr w:type="spellEnd"/>
      <w:r w:rsidRPr="0010023D">
        <w:rPr>
          <w:rFonts w:ascii="Arial" w:hAnsi="Arial" w:cs="Arial"/>
          <w:b/>
          <w:bCs/>
          <w:sz w:val="24"/>
          <w:szCs w:val="24"/>
        </w:rPr>
        <w:t xml:space="preserv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(kosmetyki) był znacznie poniżej naszych oczekiwań. Było to spowodowane między innymi </w:t>
      </w:r>
      <w:r>
        <w:rPr>
          <w:rFonts w:ascii="Arial" w:hAnsi="Arial" w:cs="Arial"/>
          <w:sz w:val="24"/>
          <w:szCs w:val="24"/>
        </w:rPr>
        <w:t>niezbyt korzyst</w:t>
      </w:r>
      <w:r w:rsidR="00935EEF">
        <w:rPr>
          <w:rFonts w:ascii="Arial" w:hAnsi="Arial" w:cs="Arial"/>
          <w:sz w:val="24"/>
          <w:szCs w:val="24"/>
        </w:rPr>
        <w:t>n</w:t>
      </w:r>
      <w:r w:rsidR="00CE2884">
        <w:rPr>
          <w:rFonts w:ascii="Arial" w:hAnsi="Arial" w:cs="Arial"/>
          <w:sz w:val="24"/>
          <w:szCs w:val="24"/>
        </w:rPr>
        <w:t>ą</w:t>
      </w:r>
      <w:r>
        <w:rPr>
          <w:rFonts w:ascii="Arial" w:hAnsi="Arial" w:cs="Arial"/>
          <w:sz w:val="24"/>
          <w:szCs w:val="24"/>
        </w:rPr>
        <w:t xml:space="preserve"> </w:t>
      </w:r>
      <w:r w:rsidR="00CE2884">
        <w:rPr>
          <w:rFonts w:ascii="Arial" w:hAnsi="Arial" w:cs="Arial"/>
          <w:sz w:val="24"/>
          <w:szCs w:val="24"/>
        </w:rPr>
        <w:t>sytuacją</w:t>
      </w:r>
      <w:r>
        <w:rPr>
          <w:rFonts w:ascii="Arial" w:hAnsi="Arial" w:cs="Arial"/>
          <w:sz w:val="24"/>
          <w:szCs w:val="24"/>
        </w:rPr>
        <w:t xml:space="preserve"> </w:t>
      </w:r>
      <w:r w:rsidR="00CE2884">
        <w:rPr>
          <w:rFonts w:ascii="Arial" w:hAnsi="Arial" w:cs="Arial"/>
          <w:sz w:val="24"/>
          <w:szCs w:val="24"/>
        </w:rPr>
        <w:t xml:space="preserve">gospodarczą </w:t>
      </w:r>
      <w:r>
        <w:rPr>
          <w:rFonts w:ascii="Arial" w:hAnsi="Arial" w:cs="Arial"/>
          <w:sz w:val="24"/>
          <w:szCs w:val="24"/>
        </w:rPr>
        <w:t>na</w:t>
      </w:r>
      <w:r w:rsidRPr="0010023D">
        <w:rPr>
          <w:rFonts w:ascii="Arial" w:hAnsi="Arial" w:cs="Arial"/>
          <w:sz w:val="24"/>
          <w:szCs w:val="24"/>
        </w:rPr>
        <w:t xml:space="preserve"> rynkach rozwiniętych, takich jak Ameryka Północna i</w:t>
      </w:r>
      <w:r>
        <w:rPr>
          <w:rFonts w:ascii="Arial" w:hAnsi="Arial" w:cs="Arial"/>
          <w:sz w:val="24"/>
          <w:szCs w:val="24"/>
        </w:rPr>
        <w:t> </w:t>
      </w:r>
      <w:r w:rsidRPr="0010023D">
        <w:rPr>
          <w:rFonts w:ascii="Arial" w:hAnsi="Arial" w:cs="Arial"/>
          <w:sz w:val="24"/>
          <w:szCs w:val="24"/>
        </w:rPr>
        <w:t xml:space="preserve">Europa Zachodnia. W Chinach na działalność detaliczną wpływ miały bieżące korekty zapasów. Dodatkowo wzrosły ogólne koszty marketingu i sprzedaży – powiedział Hans Van </w:t>
      </w:r>
      <w:proofErr w:type="spellStart"/>
      <w:r w:rsidRPr="0010023D">
        <w:rPr>
          <w:rFonts w:ascii="Arial" w:hAnsi="Arial" w:cs="Arial"/>
          <w:sz w:val="24"/>
          <w:szCs w:val="24"/>
        </w:rPr>
        <w:t>Bylen</w:t>
      </w:r>
      <w:proofErr w:type="spellEnd"/>
      <w:r w:rsidRPr="0010023D">
        <w:rPr>
          <w:rFonts w:ascii="Arial" w:hAnsi="Arial" w:cs="Arial"/>
          <w:sz w:val="24"/>
          <w:szCs w:val="24"/>
        </w:rPr>
        <w:t>. – Natomiast sektor produktów profesjonalnych w dalszym ciągu odnotowywał dobre wyniki.</w:t>
      </w:r>
    </w:p>
    <w:p w14:paraId="3765C248" w14:textId="77777777" w:rsidR="00C92205" w:rsidRPr="0010023D" w:rsidRDefault="00C92205" w:rsidP="0010023D">
      <w:pPr>
        <w:jc w:val="both"/>
        <w:rPr>
          <w:rFonts w:ascii="Arial" w:hAnsi="Arial" w:cs="Arial"/>
          <w:sz w:val="24"/>
          <w:szCs w:val="24"/>
        </w:rPr>
      </w:pPr>
    </w:p>
    <w:p w14:paraId="55DB093D"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 W sektorze </w:t>
      </w:r>
      <w:proofErr w:type="spellStart"/>
      <w:r w:rsidRPr="0010023D">
        <w:rPr>
          <w:rFonts w:ascii="Arial" w:hAnsi="Arial" w:cs="Arial"/>
          <w:b/>
          <w:bCs/>
          <w:sz w:val="24"/>
          <w:szCs w:val="24"/>
        </w:rPr>
        <w:t>Laundry</w:t>
      </w:r>
      <w:proofErr w:type="spellEnd"/>
      <w:r w:rsidRPr="0010023D">
        <w:rPr>
          <w:rFonts w:ascii="Arial" w:hAnsi="Arial" w:cs="Arial"/>
          <w:b/>
          <w:bCs/>
          <w:sz w:val="24"/>
          <w:szCs w:val="24"/>
        </w:rPr>
        <w:t xml:space="preserve"> &amp; Home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(środków piorących i czystości) zanotowaliśmy wysoki wzrost sprzedaży w ujęciu organicznym. Pomimo zapowiedzianych inwestycji skorygowana marża EBIT utrzymała się na wysokim poziomie. Wdrożone ostatnio innowacje również przyczyniły się do osiągnięcia ogólnego dobrego wyniku w tym sektorze biznesowym.</w:t>
      </w:r>
    </w:p>
    <w:p w14:paraId="4EFE5522" w14:textId="77777777" w:rsidR="00C92205" w:rsidRPr="0010023D" w:rsidRDefault="00C92205" w:rsidP="0010023D">
      <w:pPr>
        <w:jc w:val="both"/>
        <w:rPr>
          <w:rFonts w:ascii="Arial" w:hAnsi="Arial" w:cs="Arial"/>
          <w:sz w:val="24"/>
          <w:szCs w:val="24"/>
        </w:rPr>
      </w:pPr>
    </w:p>
    <w:p w14:paraId="0E14C961" w14:textId="35D52D22" w:rsidR="00C92205" w:rsidRDefault="00C92205" w:rsidP="00C92205">
      <w:pPr>
        <w:jc w:val="both"/>
        <w:rPr>
          <w:rFonts w:ascii="Arial" w:hAnsi="Arial" w:cs="Arial"/>
          <w:b/>
          <w:bCs/>
          <w:sz w:val="24"/>
          <w:szCs w:val="24"/>
        </w:rPr>
      </w:pPr>
      <w:r w:rsidRPr="0010023D">
        <w:rPr>
          <w:rFonts w:ascii="Arial" w:hAnsi="Arial" w:cs="Arial"/>
          <w:b/>
          <w:bCs/>
          <w:sz w:val="24"/>
          <w:szCs w:val="24"/>
        </w:rPr>
        <w:t>Inwestycje w rozwój i cyfryzację</w:t>
      </w:r>
    </w:p>
    <w:p w14:paraId="4E7E416A" w14:textId="77777777" w:rsidR="002954DD" w:rsidRPr="0010023D" w:rsidRDefault="002954DD" w:rsidP="0010023D">
      <w:pPr>
        <w:jc w:val="both"/>
        <w:rPr>
          <w:rFonts w:ascii="Arial" w:hAnsi="Arial" w:cs="Arial"/>
          <w:b/>
          <w:bCs/>
          <w:sz w:val="24"/>
          <w:szCs w:val="24"/>
        </w:rPr>
      </w:pPr>
    </w:p>
    <w:p w14:paraId="0EE99900"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 Pomimo nienajlepszych perspektyw gospodarczych nadal będziemy realizować nasze </w:t>
      </w:r>
      <w:r w:rsidRPr="0010023D">
        <w:rPr>
          <w:rFonts w:ascii="Arial" w:hAnsi="Arial" w:cs="Arial"/>
          <w:b/>
          <w:bCs/>
          <w:sz w:val="24"/>
          <w:szCs w:val="24"/>
        </w:rPr>
        <w:t>priorytety strategiczne</w:t>
      </w:r>
      <w:r w:rsidRPr="0010023D">
        <w:rPr>
          <w:rFonts w:ascii="Arial" w:hAnsi="Arial" w:cs="Arial"/>
          <w:sz w:val="24"/>
          <w:szCs w:val="24"/>
        </w:rPr>
        <w:t xml:space="preserve"> oraz zapowiedziane </w:t>
      </w:r>
      <w:r w:rsidRPr="0010023D">
        <w:rPr>
          <w:rFonts w:ascii="Arial" w:hAnsi="Arial" w:cs="Arial"/>
          <w:b/>
          <w:bCs/>
          <w:sz w:val="24"/>
          <w:szCs w:val="24"/>
        </w:rPr>
        <w:t>inwestycje rozwojowe</w:t>
      </w:r>
      <w:r w:rsidRPr="0010023D">
        <w:rPr>
          <w:rFonts w:ascii="Arial" w:hAnsi="Arial" w:cs="Arial"/>
          <w:sz w:val="24"/>
          <w:szCs w:val="24"/>
        </w:rPr>
        <w:t xml:space="preserve">. Koncentrujemy się </w:t>
      </w:r>
      <w:r>
        <w:rPr>
          <w:rFonts w:ascii="Arial" w:hAnsi="Arial" w:cs="Arial"/>
          <w:sz w:val="24"/>
          <w:szCs w:val="24"/>
        </w:rPr>
        <w:t xml:space="preserve">na </w:t>
      </w:r>
      <w:r w:rsidRPr="0010023D">
        <w:rPr>
          <w:rFonts w:ascii="Arial" w:hAnsi="Arial" w:cs="Arial"/>
          <w:sz w:val="24"/>
          <w:szCs w:val="24"/>
        </w:rPr>
        <w:t xml:space="preserve">wzmacnianiu naszej działalności, zwiększając dalej konkurencyjność w celu zapewnienia zrównoważonego i rentownego wzrostu – dodał Hans Van </w:t>
      </w:r>
      <w:proofErr w:type="spellStart"/>
      <w:r w:rsidRPr="0010023D">
        <w:rPr>
          <w:rFonts w:ascii="Arial" w:hAnsi="Arial" w:cs="Arial"/>
          <w:sz w:val="24"/>
          <w:szCs w:val="24"/>
        </w:rPr>
        <w:t>Bylen</w:t>
      </w:r>
      <w:proofErr w:type="spellEnd"/>
      <w:r w:rsidRPr="0010023D">
        <w:rPr>
          <w:rFonts w:ascii="Arial" w:hAnsi="Arial" w:cs="Arial"/>
          <w:sz w:val="24"/>
          <w:szCs w:val="24"/>
        </w:rPr>
        <w:t xml:space="preserve">. </w:t>
      </w:r>
    </w:p>
    <w:p w14:paraId="329F3B5D" w14:textId="77777777" w:rsidR="00C92205" w:rsidRPr="0010023D" w:rsidRDefault="00C92205" w:rsidP="0010023D">
      <w:pPr>
        <w:jc w:val="both"/>
        <w:rPr>
          <w:rFonts w:ascii="Arial" w:hAnsi="Arial" w:cs="Arial"/>
          <w:sz w:val="24"/>
          <w:szCs w:val="24"/>
        </w:rPr>
      </w:pPr>
    </w:p>
    <w:p w14:paraId="21B538A0" w14:textId="77777777" w:rsidR="00C92205" w:rsidRPr="0010023D" w:rsidRDefault="00C92205" w:rsidP="0010023D">
      <w:pPr>
        <w:jc w:val="both"/>
        <w:rPr>
          <w:rFonts w:ascii="Arial" w:hAnsi="Arial" w:cs="Arial"/>
          <w:b/>
          <w:bCs/>
          <w:sz w:val="24"/>
          <w:szCs w:val="24"/>
        </w:rPr>
      </w:pPr>
      <w:r w:rsidRPr="0010023D">
        <w:rPr>
          <w:rFonts w:ascii="Arial" w:hAnsi="Arial" w:cs="Arial"/>
          <w:sz w:val="24"/>
          <w:szCs w:val="24"/>
        </w:rPr>
        <w:lastRenderedPageBreak/>
        <w:t xml:space="preserve">– Jednocześnie w naszej prognozie na cały 2019 rok uwzględniliśmy </w:t>
      </w:r>
      <w:r w:rsidRPr="0010023D">
        <w:rPr>
          <w:rFonts w:ascii="Arial" w:hAnsi="Arial" w:cs="Arial"/>
          <w:b/>
          <w:bCs/>
          <w:sz w:val="24"/>
          <w:szCs w:val="24"/>
        </w:rPr>
        <w:t>zmieniające się otoczenie gospodarcze.</w:t>
      </w:r>
    </w:p>
    <w:p w14:paraId="404A23CC" w14:textId="77777777" w:rsidR="00C92205" w:rsidRPr="0010023D" w:rsidRDefault="00C92205" w:rsidP="0010023D">
      <w:pPr>
        <w:jc w:val="both"/>
        <w:rPr>
          <w:rFonts w:ascii="Arial" w:hAnsi="Arial" w:cs="Arial"/>
          <w:sz w:val="24"/>
          <w:szCs w:val="24"/>
        </w:rPr>
      </w:pPr>
    </w:p>
    <w:p w14:paraId="730FE952" w14:textId="77777777" w:rsidR="00C92205" w:rsidRPr="0010023D" w:rsidRDefault="00C92205" w:rsidP="0010023D">
      <w:pPr>
        <w:jc w:val="both"/>
        <w:rPr>
          <w:rFonts w:ascii="Arial" w:hAnsi="Arial" w:cs="Arial"/>
          <w:b/>
          <w:bCs/>
          <w:sz w:val="24"/>
          <w:szCs w:val="24"/>
        </w:rPr>
      </w:pPr>
      <w:r w:rsidRPr="0010023D">
        <w:rPr>
          <w:rFonts w:ascii="Arial" w:hAnsi="Arial" w:cs="Arial"/>
          <w:b/>
          <w:bCs/>
          <w:sz w:val="24"/>
          <w:szCs w:val="24"/>
        </w:rPr>
        <w:t>Aktualizacja prognozy na rok obrotowy 2019</w:t>
      </w:r>
    </w:p>
    <w:p w14:paraId="4476E121" w14:textId="77777777" w:rsidR="00C92205" w:rsidRPr="0010023D" w:rsidRDefault="00C92205" w:rsidP="0010023D">
      <w:pPr>
        <w:jc w:val="both"/>
        <w:rPr>
          <w:rFonts w:ascii="Arial" w:hAnsi="Arial" w:cs="Arial"/>
          <w:b/>
          <w:bCs/>
          <w:sz w:val="24"/>
          <w:szCs w:val="24"/>
        </w:rPr>
      </w:pPr>
    </w:p>
    <w:p w14:paraId="1FA79006" w14:textId="77777777" w:rsidR="00C92205" w:rsidRPr="0010023D" w:rsidRDefault="00C92205" w:rsidP="0010023D">
      <w:pPr>
        <w:jc w:val="both"/>
        <w:rPr>
          <w:rFonts w:ascii="Arial" w:hAnsi="Arial" w:cs="Arial"/>
          <w:b/>
          <w:bCs/>
          <w:sz w:val="24"/>
          <w:szCs w:val="24"/>
        </w:rPr>
      </w:pPr>
      <w:r w:rsidRPr="0010023D">
        <w:rPr>
          <w:rFonts w:ascii="Arial" w:hAnsi="Arial" w:cs="Arial"/>
          <w:sz w:val="24"/>
          <w:szCs w:val="24"/>
        </w:rPr>
        <w:t xml:space="preserve">W przeciwieństwie do wcześniejszych prognoz obecnie Henkel nie spodziewa się wzrostu popytu ze strony branży przemysłowej w drugiej połowie roku. Ponadto oczekuje się, że rozwój w sektorze </w:t>
      </w:r>
      <w:proofErr w:type="spellStart"/>
      <w:r w:rsidRPr="0010023D">
        <w:rPr>
          <w:rFonts w:ascii="Arial" w:hAnsi="Arial" w:cs="Arial"/>
          <w:sz w:val="24"/>
          <w:szCs w:val="24"/>
        </w:rPr>
        <w:t>Beauty</w:t>
      </w:r>
      <w:proofErr w:type="spellEnd"/>
      <w:r w:rsidRPr="0010023D">
        <w:rPr>
          <w:rFonts w:ascii="Arial" w:hAnsi="Arial" w:cs="Arial"/>
          <w:sz w:val="24"/>
          <w:szCs w:val="24"/>
        </w:rPr>
        <w:t xml:space="preserve"> </w:t>
      </w:r>
      <w:proofErr w:type="spellStart"/>
      <w:r w:rsidRPr="0010023D">
        <w:rPr>
          <w:rFonts w:ascii="Arial" w:hAnsi="Arial" w:cs="Arial"/>
          <w:sz w:val="24"/>
          <w:szCs w:val="24"/>
        </w:rPr>
        <w:t>Care</w:t>
      </w:r>
      <w:proofErr w:type="spellEnd"/>
      <w:r w:rsidRPr="0010023D">
        <w:rPr>
          <w:rFonts w:ascii="Arial" w:hAnsi="Arial" w:cs="Arial"/>
          <w:sz w:val="24"/>
          <w:szCs w:val="24"/>
        </w:rPr>
        <w:t xml:space="preserve"> (kosmetyki) będzie niższy niż wcześniej zakładano. W związku z powyższym Henkel </w:t>
      </w:r>
      <w:r w:rsidRPr="0010023D">
        <w:rPr>
          <w:rFonts w:ascii="Arial" w:hAnsi="Arial" w:cs="Arial"/>
          <w:b/>
          <w:bCs/>
          <w:sz w:val="24"/>
          <w:szCs w:val="24"/>
        </w:rPr>
        <w:t>zaktualizował prognozę wyników na rok obrotowy 2019.</w:t>
      </w:r>
    </w:p>
    <w:p w14:paraId="7A4CF245" w14:textId="77777777" w:rsidR="00C92205" w:rsidRPr="0010023D" w:rsidRDefault="00C92205" w:rsidP="0010023D">
      <w:pPr>
        <w:jc w:val="both"/>
        <w:rPr>
          <w:rFonts w:ascii="Arial" w:hAnsi="Arial" w:cs="Arial"/>
          <w:sz w:val="24"/>
          <w:szCs w:val="24"/>
        </w:rPr>
      </w:pPr>
    </w:p>
    <w:p w14:paraId="74F734D4" w14:textId="79CFCE07" w:rsidR="00C92205" w:rsidRPr="0010023D" w:rsidRDefault="00C92205" w:rsidP="0010023D">
      <w:pPr>
        <w:jc w:val="both"/>
        <w:rPr>
          <w:rFonts w:ascii="Arial" w:hAnsi="Arial" w:cs="Arial"/>
          <w:sz w:val="24"/>
          <w:szCs w:val="24"/>
        </w:rPr>
      </w:pPr>
      <w:r w:rsidRPr="0010023D">
        <w:rPr>
          <w:rFonts w:ascii="Arial" w:hAnsi="Arial" w:cs="Arial"/>
          <w:sz w:val="24"/>
          <w:szCs w:val="24"/>
        </w:rPr>
        <w:t>Wcześniejsze prognozy Henk</w:t>
      </w:r>
      <w:r>
        <w:rPr>
          <w:rFonts w:ascii="Arial" w:hAnsi="Arial" w:cs="Arial"/>
          <w:sz w:val="24"/>
          <w:szCs w:val="24"/>
        </w:rPr>
        <w:t>la</w:t>
      </w:r>
      <w:r w:rsidRPr="0010023D">
        <w:rPr>
          <w:rFonts w:ascii="Arial" w:hAnsi="Arial" w:cs="Arial"/>
          <w:sz w:val="24"/>
          <w:szCs w:val="24"/>
        </w:rPr>
        <w:t xml:space="preserve"> przewidywały wzrost przychodów ze sprzedaży w ujęciu organicznym na poziomie 2–4% dla</w:t>
      </w:r>
      <w:r w:rsidR="00CE2884">
        <w:rPr>
          <w:rFonts w:ascii="Arial" w:hAnsi="Arial" w:cs="Arial"/>
          <w:sz w:val="24"/>
          <w:szCs w:val="24"/>
        </w:rPr>
        <w:t xml:space="preserve"> całej</w:t>
      </w:r>
      <w:r w:rsidRPr="0010023D">
        <w:rPr>
          <w:rFonts w:ascii="Arial" w:hAnsi="Arial" w:cs="Arial"/>
          <w:sz w:val="24"/>
          <w:szCs w:val="24"/>
        </w:rPr>
        <w:t xml:space="preserve"> </w:t>
      </w:r>
      <w:r w:rsidRPr="0010023D">
        <w:rPr>
          <w:rFonts w:ascii="Arial" w:hAnsi="Arial" w:cs="Arial"/>
          <w:b/>
          <w:bCs/>
          <w:sz w:val="24"/>
          <w:szCs w:val="24"/>
        </w:rPr>
        <w:t>Grupy i wszystkich trzech sektorów biznesowych</w:t>
      </w:r>
      <w:r w:rsidRPr="0010023D">
        <w:rPr>
          <w:rFonts w:ascii="Arial" w:hAnsi="Arial" w:cs="Arial"/>
          <w:sz w:val="24"/>
          <w:szCs w:val="24"/>
        </w:rPr>
        <w:t xml:space="preserve">. Obecnie Henkel przewiduje dla </w:t>
      </w:r>
      <w:r w:rsidRPr="0010023D">
        <w:rPr>
          <w:rFonts w:ascii="Arial" w:hAnsi="Arial" w:cs="Arial"/>
          <w:b/>
          <w:bCs/>
          <w:sz w:val="24"/>
          <w:szCs w:val="24"/>
        </w:rPr>
        <w:t>Grupy</w:t>
      </w:r>
      <w:r w:rsidRPr="0010023D">
        <w:rPr>
          <w:rFonts w:ascii="Arial" w:hAnsi="Arial" w:cs="Arial"/>
          <w:sz w:val="24"/>
          <w:szCs w:val="24"/>
        </w:rPr>
        <w:t xml:space="preserve"> wzrost przychodów ze sprzedaży w ujęciu organicznym na poziomie 0−2%. W wypadku sektora </w:t>
      </w:r>
      <w:proofErr w:type="spellStart"/>
      <w:r w:rsidRPr="0010023D">
        <w:rPr>
          <w:rFonts w:ascii="Arial" w:hAnsi="Arial" w:cs="Arial"/>
          <w:b/>
          <w:bCs/>
          <w:sz w:val="24"/>
          <w:szCs w:val="24"/>
        </w:rPr>
        <w:t>Adhesive</w:t>
      </w:r>
      <w:proofErr w:type="spellEnd"/>
      <w:r w:rsidRPr="0010023D">
        <w:rPr>
          <w:rFonts w:ascii="Arial" w:hAnsi="Arial" w:cs="Arial"/>
          <w:sz w:val="24"/>
          <w:szCs w:val="24"/>
        </w:rPr>
        <w:t xml:space="preserve"> </w:t>
      </w:r>
      <w:r w:rsidRPr="0010023D">
        <w:rPr>
          <w:rFonts w:ascii="Arial" w:hAnsi="Arial" w:cs="Arial"/>
          <w:b/>
          <w:bCs/>
          <w:sz w:val="24"/>
          <w:szCs w:val="24"/>
        </w:rPr>
        <w:t>Technologies</w:t>
      </w:r>
      <w:r w:rsidRPr="0010023D">
        <w:rPr>
          <w:rFonts w:ascii="Arial" w:hAnsi="Arial" w:cs="Arial"/>
          <w:sz w:val="24"/>
          <w:szCs w:val="24"/>
        </w:rPr>
        <w:t xml:space="preserve"> (kleje budowlane i konsumenckie oraz kleje i technologie dla przemysłu) spodziewana jest </w:t>
      </w:r>
      <w:r w:rsidR="00CE2884">
        <w:rPr>
          <w:rFonts w:ascii="Arial" w:hAnsi="Arial" w:cs="Arial"/>
          <w:sz w:val="24"/>
          <w:szCs w:val="24"/>
        </w:rPr>
        <w:t>dynamika</w:t>
      </w:r>
      <w:r w:rsidRPr="0010023D">
        <w:rPr>
          <w:rFonts w:ascii="Arial" w:hAnsi="Arial" w:cs="Arial"/>
          <w:sz w:val="24"/>
          <w:szCs w:val="24"/>
        </w:rPr>
        <w:t xml:space="preserve"> sprzedaży w ujęciu organicznym pomiędzy</w:t>
      </w:r>
      <w:r w:rsidR="009C5C5F">
        <w:rPr>
          <w:rFonts w:ascii="Arial" w:hAnsi="Arial" w:cs="Arial"/>
          <w:sz w:val="24"/>
          <w:szCs w:val="24"/>
        </w:rPr>
        <w:t xml:space="preserve">        - 1</w:t>
      </w:r>
      <w:r w:rsidRPr="0010023D">
        <w:rPr>
          <w:rFonts w:ascii="Arial" w:hAnsi="Arial" w:cs="Arial"/>
          <w:sz w:val="24"/>
          <w:szCs w:val="24"/>
        </w:rPr>
        <w:t xml:space="preserve">% a 1%. Dla sektora </w:t>
      </w:r>
      <w:proofErr w:type="spellStart"/>
      <w:r w:rsidRPr="0010023D">
        <w:rPr>
          <w:rFonts w:ascii="Arial" w:hAnsi="Arial" w:cs="Arial"/>
          <w:b/>
          <w:bCs/>
          <w:sz w:val="24"/>
          <w:szCs w:val="24"/>
        </w:rPr>
        <w:t>Beauty</w:t>
      </w:r>
      <w:proofErr w:type="spellEnd"/>
      <w:r w:rsidRPr="0010023D">
        <w:rPr>
          <w:rFonts w:ascii="Arial" w:hAnsi="Arial" w:cs="Arial"/>
          <w:b/>
          <w:bCs/>
          <w:sz w:val="24"/>
          <w:szCs w:val="24"/>
        </w:rPr>
        <w:t xml:space="preserv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(kosmetyki) Henkel prognozuje zmianę wielkości przychodów ze sprzedaży w ujęciu organicznym pomiędzy -2% a 0%. W sektorze </w:t>
      </w:r>
      <w:proofErr w:type="spellStart"/>
      <w:r w:rsidRPr="0010023D">
        <w:rPr>
          <w:rFonts w:ascii="Arial" w:hAnsi="Arial" w:cs="Arial"/>
          <w:b/>
          <w:bCs/>
          <w:sz w:val="24"/>
          <w:szCs w:val="24"/>
        </w:rPr>
        <w:t>Laundry</w:t>
      </w:r>
      <w:proofErr w:type="spellEnd"/>
      <w:r w:rsidRPr="0010023D">
        <w:rPr>
          <w:rFonts w:ascii="Arial" w:hAnsi="Arial" w:cs="Arial"/>
          <w:b/>
          <w:bCs/>
          <w:sz w:val="24"/>
          <w:szCs w:val="24"/>
        </w:rPr>
        <w:t xml:space="preserve"> &amp; Home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(środki piorące i czystości) wzrost w ujęciu organicznym jest nadal przewidywany w przedziale 2</w:t>
      </w:r>
      <w:r>
        <w:rPr>
          <w:rFonts w:ascii="Arial" w:hAnsi="Arial" w:cs="Arial"/>
          <w:sz w:val="24"/>
          <w:szCs w:val="24"/>
        </w:rPr>
        <w:t xml:space="preserve"> do </w:t>
      </w:r>
      <w:r w:rsidRPr="0010023D">
        <w:rPr>
          <w:rFonts w:ascii="Arial" w:hAnsi="Arial" w:cs="Arial"/>
          <w:sz w:val="24"/>
          <w:szCs w:val="24"/>
        </w:rPr>
        <w:t>4%.</w:t>
      </w:r>
    </w:p>
    <w:p w14:paraId="4AB29B48" w14:textId="77777777" w:rsidR="00C92205" w:rsidRPr="0010023D" w:rsidRDefault="00C92205" w:rsidP="0010023D">
      <w:pPr>
        <w:jc w:val="both"/>
        <w:rPr>
          <w:rFonts w:ascii="Arial" w:hAnsi="Arial" w:cs="Arial"/>
          <w:sz w:val="24"/>
          <w:szCs w:val="24"/>
        </w:rPr>
      </w:pPr>
    </w:p>
    <w:p w14:paraId="40FBF325"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Henkel podtrzymuje prognozę </w:t>
      </w:r>
      <w:r w:rsidRPr="0010023D">
        <w:rPr>
          <w:rFonts w:ascii="Arial" w:hAnsi="Arial" w:cs="Arial"/>
          <w:b/>
          <w:bCs/>
          <w:sz w:val="24"/>
          <w:szCs w:val="24"/>
        </w:rPr>
        <w:t>skorygowanej rentowności sprzedaży</w:t>
      </w:r>
      <w:r w:rsidRPr="0010023D">
        <w:rPr>
          <w:rFonts w:ascii="Arial" w:hAnsi="Arial" w:cs="Arial"/>
          <w:sz w:val="24"/>
          <w:szCs w:val="24"/>
        </w:rPr>
        <w:t xml:space="preserve"> na poziomie Grupy w przedziale 16–17%.</w:t>
      </w:r>
    </w:p>
    <w:p w14:paraId="1CABB20D" w14:textId="77777777" w:rsidR="00C92205" w:rsidRPr="0010023D" w:rsidRDefault="00C92205" w:rsidP="0010023D">
      <w:pPr>
        <w:jc w:val="both"/>
        <w:rPr>
          <w:rFonts w:ascii="Arial" w:hAnsi="Arial" w:cs="Arial"/>
          <w:sz w:val="24"/>
          <w:szCs w:val="24"/>
        </w:rPr>
      </w:pPr>
    </w:p>
    <w:p w14:paraId="01DA6DE0" w14:textId="5C88E6FE"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W wypadku </w:t>
      </w:r>
      <w:r w:rsidRPr="0010023D">
        <w:rPr>
          <w:rFonts w:ascii="Arial" w:hAnsi="Arial" w:cs="Arial"/>
          <w:b/>
          <w:bCs/>
          <w:sz w:val="24"/>
          <w:szCs w:val="24"/>
        </w:rPr>
        <w:t>skorygowanego zysku na akcję uprzywilejowaną</w:t>
      </w:r>
      <w:r w:rsidRPr="0010023D">
        <w:rPr>
          <w:rFonts w:ascii="Arial" w:hAnsi="Arial" w:cs="Arial"/>
          <w:sz w:val="24"/>
          <w:szCs w:val="24"/>
        </w:rPr>
        <w:t xml:space="preserve"> (EPS) Henkel przewiduje obecnie</w:t>
      </w:r>
      <w:r w:rsidR="00584CB9">
        <w:rPr>
          <w:rFonts w:ascii="Arial" w:hAnsi="Arial" w:cs="Arial"/>
          <w:sz w:val="24"/>
          <w:szCs w:val="24"/>
        </w:rPr>
        <w:t>,</w:t>
      </w:r>
      <w:r w:rsidRPr="0010023D">
        <w:rPr>
          <w:rFonts w:ascii="Arial" w:hAnsi="Arial" w:cs="Arial"/>
          <w:sz w:val="24"/>
          <w:szCs w:val="24"/>
        </w:rPr>
        <w:t xml:space="preserve"> </w:t>
      </w:r>
      <w:r w:rsidR="00584CB9" w:rsidRPr="0010023D">
        <w:rPr>
          <w:rFonts w:ascii="Arial" w:hAnsi="Arial" w:cs="Arial"/>
          <w:sz w:val="24"/>
          <w:szCs w:val="24"/>
        </w:rPr>
        <w:t>przy założeniu stałego kursu wymiany</w:t>
      </w:r>
      <w:r w:rsidR="00584CB9">
        <w:rPr>
          <w:rFonts w:ascii="Arial" w:hAnsi="Arial" w:cs="Arial"/>
          <w:sz w:val="24"/>
          <w:szCs w:val="24"/>
        </w:rPr>
        <w:t>,</w:t>
      </w:r>
      <w:r w:rsidR="00584CB9" w:rsidRPr="0010023D">
        <w:rPr>
          <w:rFonts w:ascii="Arial" w:hAnsi="Arial" w:cs="Arial"/>
          <w:sz w:val="24"/>
          <w:szCs w:val="24"/>
        </w:rPr>
        <w:t xml:space="preserve"> </w:t>
      </w:r>
      <w:r w:rsidR="00584CB9">
        <w:rPr>
          <w:rFonts w:ascii="Arial" w:hAnsi="Arial" w:cs="Arial"/>
          <w:sz w:val="24"/>
          <w:szCs w:val="24"/>
        </w:rPr>
        <w:t xml:space="preserve">procentowy spadek </w:t>
      </w:r>
      <w:r w:rsidRPr="0010023D">
        <w:rPr>
          <w:rFonts w:ascii="Arial" w:hAnsi="Arial" w:cs="Arial"/>
          <w:sz w:val="24"/>
          <w:szCs w:val="24"/>
        </w:rPr>
        <w:t xml:space="preserve"> </w:t>
      </w:r>
      <w:r w:rsidR="00584CB9">
        <w:rPr>
          <w:rFonts w:ascii="Arial" w:hAnsi="Arial" w:cs="Arial"/>
          <w:sz w:val="24"/>
          <w:szCs w:val="24"/>
        </w:rPr>
        <w:t>na poziomie jednocyfrowym – średnim lub wysokim – w stosunku do wyniku ubiegłego roku</w:t>
      </w:r>
      <w:r w:rsidR="00453BE8">
        <w:rPr>
          <w:rFonts w:ascii="Arial" w:hAnsi="Arial" w:cs="Arial"/>
          <w:sz w:val="24"/>
          <w:szCs w:val="24"/>
        </w:rPr>
        <w:t xml:space="preserve"> </w:t>
      </w:r>
      <w:r w:rsidRPr="0010023D">
        <w:rPr>
          <w:rFonts w:ascii="Arial" w:hAnsi="Arial" w:cs="Arial"/>
          <w:sz w:val="24"/>
          <w:szCs w:val="24"/>
        </w:rPr>
        <w:t>(wcześniej</w:t>
      </w:r>
      <w:r w:rsidR="00584CB9">
        <w:rPr>
          <w:rFonts w:ascii="Arial" w:hAnsi="Arial" w:cs="Arial"/>
          <w:sz w:val="24"/>
          <w:szCs w:val="24"/>
        </w:rPr>
        <w:t xml:space="preserve">sza prognoza zakładała </w:t>
      </w:r>
      <w:r w:rsidR="00584CB9" w:rsidRPr="0010023D">
        <w:rPr>
          <w:rFonts w:ascii="Arial" w:hAnsi="Arial" w:cs="Arial"/>
          <w:sz w:val="24"/>
          <w:szCs w:val="24"/>
        </w:rPr>
        <w:t>przy stałym kursie wymiany</w:t>
      </w:r>
      <w:r w:rsidRPr="0010023D">
        <w:rPr>
          <w:rFonts w:ascii="Arial" w:hAnsi="Arial" w:cs="Arial"/>
          <w:sz w:val="24"/>
          <w:szCs w:val="24"/>
        </w:rPr>
        <w:t xml:space="preserve"> </w:t>
      </w:r>
      <w:r w:rsidR="00584CB9">
        <w:rPr>
          <w:rFonts w:ascii="Arial" w:hAnsi="Arial" w:cs="Arial"/>
          <w:sz w:val="24"/>
          <w:szCs w:val="24"/>
        </w:rPr>
        <w:t xml:space="preserve">spadek </w:t>
      </w:r>
      <w:r w:rsidRPr="0010023D">
        <w:rPr>
          <w:rFonts w:ascii="Arial" w:hAnsi="Arial" w:cs="Arial"/>
          <w:sz w:val="24"/>
          <w:szCs w:val="24"/>
        </w:rPr>
        <w:t xml:space="preserve">jednocyfrowy </w:t>
      </w:r>
      <w:r w:rsidR="00584CB9">
        <w:rPr>
          <w:rFonts w:ascii="Arial" w:hAnsi="Arial" w:cs="Arial"/>
          <w:sz w:val="24"/>
          <w:szCs w:val="24"/>
        </w:rPr>
        <w:t xml:space="preserve">na średnim poziomie </w:t>
      </w:r>
      <w:r w:rsidRPr="0010023D">
        <w:rPr>
          <w:rFonts w:ascii="Arial" w:hAnsi="Arial" w:cs="Arial"/>
          <w:sz w:val="24"/>
          <w:szCs w:val="24"/>
        </w:rPr>
        <w:t>rok do roku).</w:t>
      </w:r>
    </w:p>
    <w:p w14:paraId="33B5D2FD" w14:textId="77777777" w:rsidR="00C92205" w:rsidRPr="0010023D" w:rsidRDefault="00C92205" w:rsidP="0010023D">
      <w:pPr>
        <w:jc w:val="both"/>
        <w:rPr>
          <w:rFonts w:ascii="Arial" w:hAnsi="Arial" w:cs="Arial"/>
          <w:sz w:val="24"/>
          <w:szCs w:val="24"/>
        </w:rPr>
      </w:pPr>
    </w:p>
    <w:p w14:paraId="616BF89F" w14:textId="77777777" w:rsidR="00C92205" w:rsidRPr="0010023D" w:rsidRDefault="00C92205" w:rsidP="0010023D">
      <w:pPr>
        <w:jc w:val="both"/>
        <w:rPr>
          <w:rFonts w:ascii="Arial" w:hAnsi="Arial" w:cs="Arial"/>
          <w:b/>
          <w:bCs/>
          <w:sz w:val="24"/>
          <w:szCs w:val="24"/>
        </w:rPr>
      </w:pPr>
      <w:r w:rsidRPr="0010023D">
        <w:rPr>
          <w:rFonts w:ascii="Arial" w:hAnsi="Arial" w:cs="Arial"/>
          <w:b/>
          <w:bCs/>
          <w:sz w:val="24"/>
          <w:szCs w:val="24"/>
        </w:rPr>
        <w:t>Przychody ze sprzedaży i wynik finansowy za drugi kwartał 2019 r.</w:t>
      </w:r>
    </w:p>
    <w:p w14:paraId="062DCBE6" w14:textId="77777777" w:rsidR="00C92205" w:rsidRPr="0010023D" w:rsidRDefault="00C92205" w:rsidP="0010023D">
      <w:pPr>
        <w:jc w:val="both"/>
        <w:rPr>
          <w:rFonts w:ascii="Arial" w:hAnsi="Arial" w:cs="Arial"/>
          <w:b/>
          <w:bCs/>
          <w:sz w:val="24"/>
          <w:szCs w:val="24"/>
        </w:rPr>
      </w:pPr>
    </w:p>
    <w:p w14:paraId="25F3EBC1" w14:textId="196674F9" w:rsidR="00C92205" w:rsidRPr="0010023D" w:rsidRDefault="00C92205" w:rsidP="0010023D">
      <w:pPr>
        <w:jc w:val="both"/>
        <w:rPr>
          <w:rFonts w:ascii="Arial" w:hAnsi="Arial" w:cs="Arial"/>
          <w:sz w:val="24"/>
          <w:szCs w:val="24"/>
        </w:rPr>
      </w:pPr>
      <w:r w:rsidRPr="0010023D">
        <w:rPr>
          <w:rFonts w:ascii="Arial" w:hAnsi="Arial" w:cs="Arial"/>
          <w:b/>
          <w:bCs/>
          <w:sz w:val="24"/>
          <w:szCs w:val="24"/>
        </w:rPr>
        <w:t>Sprzedaż</w:t>
      </w:r>
      <w:r w:rsidRPr="0010023D">
        <w:rPr>
          <w:rFonts w:ascii="Arial" w:hAnsi="Arial" w:cs="Arial"/>
          <w:sz w:val="24"/>
          <w:szCs w:val="24"/>
        </w:rPr>
        <w:t xml:space="preserve"> na poziomie </w:t>
      </w:r>
      <w:r w:rsidRPr="00935EEF">
        <w:rPr>
          <w:rFonts w:ascii="Arial" w:hAnsi="Arial" w:cs="Arial"/>
          <w:sz w:val="24"/>
          <w:szCs w:val="24"/>
        </w:rPr>
        <w:t xml:space="preserve">5,121 mld </w:t>
      </w:r>
      <w:r w:rsidRPr="0010023D">
        <w:rPr>
          <w:rFonts w:ascii="Arial" w:hAnsi="Arial" w:cs="Arial"/>
          <w:sz w:val="24"/>
          <w:szCs w:val="24"/>
        </w:rPr>
        <w:t xml:space="preserve">euro w drugim kwartale 2019 r. </w:t>
      </w:r>
      <w:r w:rsidR="00F37D92">
        <w:rPr>
          <w:rFonts w:ascii="Arial" w:hAnsi="Arial" w:cs="Arial"/>
          <w:sz w:val="24"/>
          <w:szCs w:val="24"/>
        </w:rPr>
        <w:t xml:space="preserve">pozostała na poziomie </w:t>
      </w:r>
      <w:r w:rsidRPr="0010023D">
        <w:rPr>
          <w:rFonts w:ascii="Arial" w:hAnsi="Arial" w:cs="Arial"/>
          <w:sz w:val="24"/>
          <w:szCs w:val="24"/>
        </w:rPr>
        <w:t xml:space="preserve">analogicznego okresu roku ubiegłego. Sprzedaż </w:t>
      </w:r>
      <w:r w:rsidRPr="0010023D">
        <w:rPr>
          <w:rFonts w:ascii="Arial" w:hAnsi="Arial" w:cs="Arial"/>
          <w:b/>
          <w:bCs/>
          <w:sz w:val="24"/>
          <w:szCs w:val="24"/>
        </w:rPr>
        <w:t>w ujęciu organicznym</w:t>
      </w:r>
      <w:r w:rsidRPr="0010023D">
        <w:rPr>
          <w:rFonts w:ascii="Arial" w:hAnsi="Arial" w:cs="Arial"/>
          <w:sz w:val="24"/>
          <w:szCs w:val="24"/>
        </w:rPr>
        <w:t>, tj. bez uwzględnienia wpływu różnic kursowych oraz transakcji przejęć i zbycia aktywów, nieznacznie spadła o 0</w:t>
      </w:r>
      <w:r w:rsidR="00F37D92">
        <w:rPr>
          <w:rFonts w:ascii="Arial" w:hAnsi="Arial" w:cs="Arial"/>
          <w:sz w:val="24"/>
          <w:szCs w:val="24"/>
        </w:rPr>
        <w:t>,</w:t>
      </w:r>
      <w:r w:rsidRPr="0010023D">
        <w:rPr>
          <w:rFonts w:ascii="Arial" w:hAnsi="Arial" w:cs="Arial"/>
          <w:sz w:val="24"/>
          <w:szCs w:val="24"/>
        </w:rPr>
        <w:t>4%. Wpływ transakcji przejęć i zbycia aktywów wyniósł 0,5%. Jednak zmian</w:t>
      </w:r>
      <w:r w:rsidR="00F37D92">
        <w:rPr>
          <w:rFonts w:ascii="Arial" w:hAnsi="Arial" w:cs="Arial"/>
          <w:sz w:val="24"/>
          <w:szCs w:val="24"/>
        </w:rPr>
        <w:t>y</w:t>
      </w:r>
      <w:r w:rsidRPr="0010023D">
        <w:rPr>
          <w:rFonts w:ascii="Arial" w:hAnsi="Arial" w:cs="Arial"/>
          <w:sz w:val="24"/>
          <w:szCs w:val="24"/>
        </w:rPr>
        <w:t xml:space="preserve"> kursów walut </w:t>
      </w:r>
      <w:r w:rsidR="00F37D92">
        <w:rPr>
          <w:rFonts w:ascii="Arial" w:hAnsi="Arial" w:cs="Arial"/>
          <w:sz w:val="24"/>
          <w:szCs w:val="24"/>
        </w:rPr>
        <w:t xml:space="preserve">wywarły negatywny wpływ rzędu 0,5% na </w:t>
      </w:r>
      <w:r w:rsidRPr="0010023D">
        <w:rPr>
          <w:rFonts w:ascii="Arial" w:hAnsi="Arial" w:cs="Arial"/>
          <w:sz w:val="24"/>
          <w:szCs w:val="24"/>
        </w:rPr>
        <w:t>przychody ze sprzedaży</w:t>
      </w:r>
      <w:r w:rsidR="00F37D92">
        <w:rPr>
          <w:rFonts w:ascii="Arial" w:hAnsi="Arial" w:cs="Arial"/>
          <w:sz w:val="24"/>
          <w:szCs w:val="24"/>
        </w:rPr>
        <w:t>.</w:t>
      </w:r>
    </w:p>
    <w:p w14:paraId="19A8239B" w14:textId="77777777" w:rsidR="00C92205" w:rsidRPr="0010023D" w:rsidRDefault="00C92205" w:rsidP="0010023D">
      <w:pPr>
        <w:jc w:val="both"/>
        <w:rPr>
          <w:rFonts w:ascii="Arial" w:hAnsi="Arial" w:cs="Arial"/>
          <w:sz w:val="24"/>
          <w:szCs w:val="24"/>
        </w:rPr>
      </w:pPr>
    </w:p>
    <w:p w14:paraId="626AB8A3" w14:textId="433FDCD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Sektor </w:t>
      </w:r>
      <w:proofErr w:type="spellStart"/>
      <w:r w:rsidRPr="0010023D">
        <w:rPr>
          <w:rFonts w:ascii="Arial" w:hAnsi="Arial" w:cs="Arial"/>
          <w:b/>
          <w:bCs/>
          <w:sz w:val="24"/>
          <w:szCs w:val="24"/>
        </w:rPr>
        <w:t>Adhesive</w:t>
      </w:r>
      <w:proofErr w:type="spellEnd"/>
      <w:r w:rsidRPr="0010023D">
        <w:rPr>
          <w:rFonts w:ascii="Arial" w:hAnsi="Arial" w:cs="Arial"/>
          <w:b/>
          <w:bCs/>
          <w:sz w:val="24"/>
          <w:szCs w:val="24"/>
        </w:rPr>
        <w:t xml:space="preserve"> Technologies</w:t>
      </w:r>
      <w:r w:rsidRPr="0010023D">
        <w:rPr>
          <w:rFonts w:ascii="Arial" w:hAnsi="Arial" w:cs="Arial"/>
          <w:sz w:val="24"/>
          <w:szCs w:val="24"/>
        </w:rPr>
        <w:t xml:space="preserve"> (kleje budowlane i konsumenckie oraz kleje i technologie dla przemysłu) odnotował nieznaczny spadek przychodów ze sprzedaży w ujęciu organicznym </w:t>
      </w:r>
      <w:r w:rsidR="00F37D92">
        <w:rPr>
          <w:rFonts w:ascii="Arial" w:hAnsi="Arial" w:cs="Arial"/>
          <w:sz w:val="24"/>
          <w:szCs w:val="24"/>
        </w:rPr>
        <w:t>o</w:t>
      </w:r>
      <w:r w:rsidRPr="0010023D">
        <w:rPr>
          <w:rFonts w:ascii="Arial" w:hAnsi="Arial" w:cs="Arial"/>
          <w:sz w:val="24"/>
          <w:szCs w:val="24"/>
        </w:rPr>
        <w:t xml:space="preserve"> 1,2%. W sektorze </w:t>
      </w:r>
      <w:proofErr w:type="spellStart"/>
      <w:r w:rsidRPr="0010023D">
        <w:rPr>
          <w:rFonts w:ascii="Arial" w:hAnsi="Arial" w:cs="Arial"/>
          <w:b/>
          <w:bCs/>
          <w:sz w:val="24"/>
          <w:szCs w:val="24"/>
        </w:rPr>
        <w:t>Beauty</w:t>
      </w:r>
      <w:proofErr w:type="spellEnd"/>
      <w:r w:rsidRPr="0010023D">
        <w:rPr>
          <w:rFonts w:ascii="Arial" w:hAnsi="Arial" w:cs="Arial"/>
          <w:b/>
          <w:bCs/>
          <w:sz w:val="24"/>
          <w:szCs w:val="24"/>
        </w:rPr>
        <w:t xml:space="preserv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(kosmetyki) sprzedaż w ujęciu organicznym była o 2,4% niższa w stosunku do analogicznego kwartału ubiegłego roku. Sektor biznesowy </w:t>
      </w:r>
      <w:proofErr w:type="spellStart"/>
      <w:r w:rsidRPr="0010023D">
        <w:rPr>
          <w:rFonts w:ascii="Arial" w:hAnsi="Arial" w:cs="Arial"/>
          <w:b/>
          <w:bCs/>
          <w:sz w:val="24"/>
          <w:szCs w:val="24"/>
        </w:rPr>
        <w:t>Laundry</w:t>
      </w:r>
      <w:proofErr w:type="spellEnd"/>
      <w:r w:rsidRPr="0010023D">
        <w:rPr>
          <w:rFonts w:ascii="Arial" w:hAnsi="Arial" w:cs="Arial"/>
          <w:b/>
          <w:bCs/>
          <w:sz w:val="24"/>
          <w:szCs w:val="24"/>
        </w:rPr>
        <w:t xml:space="preserve"> &amp; Home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(środków piorących i czystości) osiągnął wysoki wzrost sprzedaży w ujęciu organicznym na poziomie 2,0%.</w:t>
      </w:r>
    </w:p>
    <w:p w14:paraId="333A426C" w14:textId="77777777" w:rsidR="00C92205" w:rsidRPr="0010023D" w:rsidRDefault="00C92205" w:rsidP="0010023D">
      <w:pPr>
        <w:jc w:val="both"/>
        <w:rPr>
          <w:rFonts w:ascii="Arial" w:hAnsi="Arial" w:cs="Arial"/>
          <w:sz w:val="24"/>
          <w:szCs w:val="24"/>
        </w:rPr>
      </w:pPr>
    </w:p>
    <w:p w14:paraId="5D12F0B7"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Na </w:t>
      </w:r>
      <w:r w:rsidRPr="0010023D">
        <w:rPr>
          <w:rFonts w:ascii="Arial" w:hAnsi="Arial" w:cs="Arial"/>
          <w:b/>
          <w:bCs/>
          <w:sz w:val="24"/>
          <w:szCs w:val="24"/>
        </w:rPr>
        <w:t>rynkach wschodzących</w:t>
      </w:r>
      <w:r w:rsidRPr="0010023D">
        <w:rPr>
          <w:rFonts w:ascii="Arial" w:hAnsi="Arial" w:cs="Arial"/>
          <w:sz w:val="24"/>
          <w:szCs w:val="24"/>
        </w:rPr>
        <w:t xml:space="preserve"> odnotowano dynamiczny wzrost przychodów ze sprzedaży w ujęciu organicznym na poziomie 3,9%. Afryka/Bliski Wschód i Ameryka Łacińska osiągnęły dwucyfrowy wzrost. Natomiast na </w:t>
      </w:r>
      <w:r w:rsidRPr="0010023D">
        <w:rPr>
          <w:rFonts w:ascii="Arial" w:hAnsi="Arial" w:cs="Arial"/>
          <w:b/>
          <w:bCs/>
          <w:sz w:val="24"/>
          <w:szCs w:val="24"/>
        </w:rPr>
        <w:t>rynkach rozwiniętych</w:t>
      </w:r>
      <w:r w:rsidRPr="0010023D">
        <w:rPr>
          <w:rFonts w:ascii="Arial" w:hAnsi="Arial" w:cs="Arial"/>
          <w:sz w:val="24"/>
          <w:szCs w:val="24"/>
        </w:rPr>
        <w:t xml:space="preserve"> dynamika sprzedaży w ujęciu organicznym była ujemna, na poziomie -3,2%.</w:t>
      </w:r>
    </w:p>
    <w:p w14:paraId="3AA98142" w14:textId="77777777" w:rsidR="00C92205" w:rsidRPr="0010023D" w:rsidRDefault="00C92205" w:rsidP="0010023D">
      <w:pPr>
        <w:jc w:val="both"/>
        <w:rPr>
          <w:rFonts w:ascii="Arial" w:hAnsi="Arial" w:cs="Arial"/>
          <w:sz w:val="24"/>
          <w:szCs w:val="24"/>
        </w:rPr>
      </w:pPr>
    </w:p>
    <w:p w14:paraId="13D0A695" w14:textId="60EF872D"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W wysoce konkurencyjnym otoczeniu rynkowym sprzedaż w </w:t>
      </w:r>
      <w:r w:rsidRPr="0010023D">
        <w:rPr>
          <w:rFonts w:ascii="Arial" w:hAnsi="Arial" w:cs="Arial"/>
          <w:b/>
          <w:bCs/>
          <w:sz w:val="24"/>
          <w:szCs w:val="24"/>
        </w:rPr>
        <w:t>Europie Zachodniej</w:t>
      </w:r>
      <w:r w:rsidRPr="0010023D">
        <w:rPr>
          <w:rFonts w:ascii="Arial" w:hAnsi="Arial" w:cs="Arial"/>
          <w:sz w:val="24"/>
          <w:szCs w:val="24"/>
        </w:rPr>
        <w:t xml:space="preserve"> w</w:t>
      </w:r>
      <w:r w:rsidR="00453BE8">
        <w:rPr>
          <w:rFonts w:ascii="Arial" w:hAnsi="Arial" w:cs="Arial"/>
          <w:sz w:val="24"/>
          <w:szCs w:val="24"/>
        </w:rPr>
        <w:t> </w:t>
      </w:r>
      <w:r w:rsidRPr="0010023D">
        <w:rPr>
          <w:rFonts w:ascii="Arial" w:hAnsi="Arial" w:cs="Arial"/>
          <w:sz w:val="24"/>
          <w:szCs w:val="24"/>
        </w:rPr>
        <w:t xml:space="preserve">ujęciu organicznym spadła o 1,8%. Natomiast w regionie </w:t>
      </w:r>
      <w:r w:rsidRPr="0010023D">
        <w:rPr>
          <w:rFonts w:ascii="Arial" w:hAnsi="Arial" w:cs="Arial"/>
          <w:b/>
          <w:bCs/>
          <w:sz w:val="24"/>
          <w:szCs w:val="24"/>
        </w:rPr>
        <w:t>Europy Wschodniej</w:t>
      </w:r>
      <w:r w:rsidRPr="0010023D">
        <w:rPr>
          <w:rFonts w:ascii="Arial" w:hAnsi="Arial" w:cs="Arial"/>
          <w:sz w:val="24"/>
          <w:szCs w:val="24"/>
        </w:rPr>
        <w:t xml:space="preserve"> nastąpił wzrost </w:t>
      </w:r>
      <w:r w:rsidR="00F37D92">
        <w:rPr>
          <w:rFonts w:ascii="Arial" w:hAnsi="Arial" w:cs="Arial"/>
          <w:sz w:val="24"/>
          <w:szCs w:val="24"/>
        </w:rPr>
        <w:t>organiczny sprzedaży</w:t>
      </w:r>
      <w:r w:rsidRPr="0010023D">
        <w:rPr>
          <w:rFonts w:ascii="Arial" w:hAnsi="Arial" w:cs="Arial"/>
          <w:sz w:val="24"/>
          <w:szCs w:val="24"/>
        </w:rPr>
        <w:t xml:space="preserve"> o 8,0%. W </w:t>
      </w:r>
      <w:r w:rsidRPr="0010023D">
        <w:rPr>
          <w:rFonts w:ascii="Arial" w:hAnsi="Arial" w:cs="Arial"/>
          <w:b/>
          <w:bCs/>
          <w:sz w:val="24"/>
          <w:szCs w:val="24"/>
        </w:rPr>
        <w:t>Afryce i na Bliskim Wschodzie</w:t>
      </w:r>
      <w:r w:rsidRPr="0010023D">
        <w:rPr>
          <w:rFonts w:ascii="Arial" w:hAnsi="Arial" w:cs="Arial"/>
          <w:sz w:val="24"/>
          <w:szCs w:val="24"/>
        </w:rPr>
        <w:t xml:space="preserve"> przychody ze sprzedaży w ujęciu organicznym zwiększyły się o 16,5%. W </w:t>
      </w:r>
      <w:r w:rsidRPr="0010023D">
        <w:rPr>
          <w:rFonts w:ascii="Arial" w:hAnsi="Arial" w:cs="Arial"/>
          <w:b/>
          <w:bCs/>
          <w:sz w:val="24"/>
          <w:szCs w:val="24"/>
        </w:rPr>
        <w:t>Ameryce Północnej</w:t>
      </w:r>
      <w:r w:rsidRPr="0010023D">
        <w:rPr>
          <w:rFonts w:ascii="Arial" w:hAnsi="Arial" w:cs="Arial"/>
          <w:sz w:val="24"/>
          <w:szCs w:val="24"/>
        </w:rPr>
        <w:t xml:space="preserve"> odnotowano spadek sprzedaży w ujęciu organicznym o 5,0%. W </w:t>
      </w:r>
      <w:r w:rsidRPr="0010023D">
        <w:rPr>
          <w:rFonts w:ascii="Arial" w:hAnsi="Arial" w:cs="Arial"/>
          <w:b/>
          <w:bCs/>
          <w:sz w:val="24"/>
          <w:szCs w:val="24"/>
        </w:rPr>
        <w:t>Ameryce Łacińskiej</w:t>
      </w:r>
      <w:r w:rsidRPr="0010023D">
        <w:rPr>
          <w:rFonts w:ascii="Arial" w:hAnsi="Arial" w:cs="Arial"/>
          <w:sz w:val="24"/>
          <w:szCs w:val="24"/>
        </w:rPr>
        <w:t xml:space="preserve"> sprzedaż w ujęciu organicznym wzrosła o 11,0%, natomiast w regionie Azji i Pacyfiku spadła o 7,9%.</w:t>
      </w:r>
    </w:p>
    <w:p w14:paraId="4693614B" w14:textId="77777777" w:rsidR="00C92205" w:rsidRPr="0010023D" w:rsidRDefault="00C92205" w:rsidP="0010023D">
      <w:pPr>
        <w:jc w:val="both"/>
        <w:rPr>
          <w:rFonts w:ascii="Arial" w:hAnsi="Arial" w:cs="Arial"/>
          <w:sz w:val="24"/>
          <w:szCs w:val="24"/>
        </w:rPr>
      </w:pPr>
    </w:p>
    <w:p w14:paraId="1F0858CF" w14:textId="53060867"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Skorygowany zysk operacyjny (EBIT)</w:t>
      </w:r>
      <w:r w:rsidRPr="0010023D">
        <w:rPr>
          <w:rFonts w:ascii="Arial" w:hAnsi="Arial" w:cs="Arial"/>
          <w:sz w:val="24"/>
          <w:szCs w:val="24"/>
        </w:rPr>
        <w:t xml:space="preserve"> zmniejszył się o 8,6%, z 926 mln euro w analogicznym okresie ubiegłego roku do poziomu 846 mln euro.</w:t>
      </w:r>
    </w:p>
    <w:p w14:paraId="1E43B985" w14:textId="77777777" w:rsidR="00C92205" w:rsidRPr="0010023D" w:rsidRDefault="00C92205" w:rsidP="0010023D">
      <w:pPr>
        <w:jc w:val="both"/>
        <w:rPr>
          <w:rFonts w:ascii="Arial" w:hAnsi="Arial" w:cs="Arial"/>
          <w:sz w:val="24"/>
          <w:szCs w:val="24"/>
        </w:rPr>
      </w:pPr>
    </w:p>
    <w:p w14:paraId="2730DF43" w14:textId="297D269E"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Skorygowana rentowność sprzedaży (marża EBIT)</w:t>
      </w:r>
      <w:r w:rsidRPr="0010023D">
        <w:rPr>
          <w:rFonts w:ascii="Arial" w:hAnsi="Arial" w:cs="Arial"/>
          <w:sz w:val="24"/>
          <w:szCs w:val="24"/>
        </w:rPr>
        <w:t xml:space="preserve"> wyniosła 16,5% i była o 1,5 punktu procentowego niższa niż w roku ubiegłym.</w:t>
      </w:r>
    </w:p>
    <w:p w14:paraId="18F1CCCF" w14:textId="77777777" w:rsidR="00C92205" w:rsidRPr="0010023D" w:rsidRDefault="00C92205" w:rsidP="0010023D">
      <w:pPr>
        <w:jc w:val="both"/>
        <w:rPr>
          <w:rFonts w:ascii="Arial" w:hAnsi="Arial" w:cs="Arial"/>
          <w:sz w:val="24"/>
          <w:szCs w:val="24"/>
        </w:rPr>
      </w:pPr>
    </w:p>
    <w:p w14:paraId="0F4ACEE9" w14:textId="77777777"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Skorygowany zysk na akcję uprzywilejowaną</w:t>
      </w:r>
      <w:r w:rsidRPr="0010023D">
        <w:rPr>
          <w:rFonts w:ascii="Arial" w:hAnsi="Arial" w:cs="Arial"/>
          <w:sz w:val="24"/>
          <w:szCs w:val="24"/>
        </w:rPr>
        <w:t xml:space="preserve"> obniżył się o 9,5%, z kwoty 1,58 euro w drugim kwartale 2018 r. do 1,43 euro w drugim kwartale bieżącego roku. Również przy założeniu stałego kursu wymiany skorygowany zysk na akcję uprzywilejowaną zmniejszył się o 9,5%.</w:t>
      </w:r>
    </w:p>
    <w:p w14:paraId="43F06C7A" w14:textId="77777777" w:rsidR="00C92205" w:rsidRPr="0010023D" w:rsidRDefault="00C92205" w:rsidP="0010023D">
      <w:pPr>
        <w:jc w:val="both"/>
        <w:rPr>
          <w:rFonts w:ascii="Arial" w:hAnsi="Arial" w:cs="Arial"/>
          <w:sz w:val="24"/>
          <w:szCs w:val="24"/>
        </w:rPr>
      </w:pPr>
    </w:p>
    <w:p w14:paraId="797E681F"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Stosunek </w:t>
      </w:r>
      <w:r w:rsidRPr="0010023D">
        <w:rPr>
          <w:rFonts w:ascii="Arial" w:hAnsi="Arial" w:cs="Arial"/>
          <w:b/>
          <w:bCs/>
          <w:sz w:val="24"/>
          <w:szCs w:val="24"/>
        </w:rPr>
        <w:t>kapitału obrotowego</w:t>
      </w:r>
      <w:r w:rsidRPr="0010023D">
        <w:rPr>
          <w:rFonts w:ascii="Arial" w:hAnsi="Arial" w:cs="Arial"/>
          <w:sz w:val="24"/>
          <w:szCs w:val="24"/>
        </w:rPr>
        <w:t xml:space="preserve"> netto do przychodów ze sprzedaży wyniósł 6,7%, co oznacza niewielki wzrost w stosunku do poziomu odnotowanego w drugim kwartale 2018 r. (gdy wynosił 6,3%).</w:t>
      </w:r>
    </w:p>
    <w:p w14:paraId="016D6B5F" w14:textId="77777777" w:rsidR="00C92205" w:rsidRPr="0010023D" w:rsidRDefault="00C92205" w:rsidP="0010023D">
      <w:pPr>
        <w:jc w:val="both"/>
        <w:rPr>
          <w:rFonts w:ascii="Arial" w:hAnsi="Arial" w:cs="Arial"/>
          <w:sz w:val="24"/>
          <w:szCs w:val="24"/>
        </w:rPr>
      </w:pPr>
    </w:p>
    <w:p w14:paraId="5DBCC399" w14:textId="77777777" w:rsidR="00C92205" w:rsidRPr="0010023D" w:rsidRDefault="00C92205" w:rsidP="0010023D">
      <w:pPr>
        <w:jc w:val="both"/>
        <w:rPr>
          <w:rFonts w:ascii="Arial" w:hAnsi="Arial" w:cs="Arial"/>
          <w:b/>
          <w:bCs/>
          <w:sz w:val="24"/>
          <w:szCs w:val="24"/>
        </w:rPr>
      </w:pPr>
      <w:r w:rsidRPr="0010023D">
        <w:rPr>
          <w:rFonts w:ascii="Arial" w:hAnsi="Arial" w:cs="Arial"/>
          <w:b/>
          <w:bCs/>
          <w:sz w:val="24"/>
          <w:szCs w:val="24"/>
        </w:rPr>
        <w:t>Wyniki w podziale na sektory biznesowe</w:t>
      </w:r>
    </w:p>
    <w:p w14:paraId="39D8069A" w14:textId="77777777" w:rsidR="002954DD" w:rsidRPr="0010023D" w:rsidRDefault="002954DD" w:rsidP="0010023D">
      <w:pPr>
        <w:jc w:val="both"/>
        <w:rPr>
          <w:rFonts w:ascii="Arial" w:hAnsi="Arial" w:cs="Arial"/>
          <w:b/>
          <w:bCs/>
          <w:sz w:val="24"/>
          <w:szCs w:val="24"/>
        </w:rPr>
      </w:pPr>
    </w:p>
    <w:p w14:paraId="2D767F6F" w14:textId="3165A761" w:rsidR="00C92205" w:rsidRPr="0010023D" w:rsidRDefault="00C92205" w:rsidP="0010023D">
      <w:pPr>
        <w:jc w:val="both"/>
        <w:rPr>
          <w:rFonts w:ascii="Arial" w:hAnsi="Arial" w:cs="Arial"/>
          <w:sz w:val="24"/>
          <w:szCs w:val="24"/>
        </w:rPr>
      </w:pPr>
      <w:r w:rsidRPr="0010023D">
        <w:rPr>
          <w:rFonts w:ascii="Arial" w:hAnsi="Arial" w:cs="Arial"/>
          <w:sz w:val="24"/>
          <w:szCs w:val="24"/>
        </w:rPr>
        <w:lastRenderedPageBreak/>
        <w:t xml:space="preserve">W drugim kwartale 2019 r. przychody ze sprzedaży w sektorze </w:t>
      </w:r>
      <w:proofErr w:type="spellStart"/>
      <w:r w:rsidRPr="0010023D">
        <w:rPr>
          <w:rFonts w:ascii="Arial" w:hAnsi="Arial" w:cs="Arial"/>
          <w:b/>
          <w:bCs/>
          <w:sz w:val="24"/>
          <w:szCs w:val="24"/>
        </w:rPr>
        <w:t>Adhesive</w:t>
      </w:r>
      <w:proofErr w:type="spellEnd"/>
      <w:r w:rsidRPr="0010023D">
        <w:rPr>
          <w:rFonts w:ascii="Arial" w:hAnsi="Arial" w:cs="Arial"/>
          <w:b/>
          <w:bCs/>
          <w:sz w:val="24"/>
          <w:szCs w:val="24"/>
        </w:rPr>
        <w:t xml:space="preserve"> Technologies</w:t>
      </w:r>
      <w:r w:rsidRPr="0010023D">
        <w:rPr>
          <w:rFonts w:ascii="Arial" w:hAnsi="Arial" w:cs="Arial"/>
          <w:sz w:val="24"/>
          <w:szCs w:val="24"/>
        </w:rPr>
        <w:t xml:space="preserve"> (kleje budowlane i konsumenckie oraz kleje i technologie dla przemysłu) osiągnęły poziom </w:t>
      </w:r>
      <w:r w:rsidRPr="00935EEF">
        <w:rPr>
          <w:rFonts w:ascii="Arial" w:hAnsi="Arial" w:cs="Arial"/>
          <w:sz w:val="24"/>
          <w:szCs w:val="24"/>
        </w:rPr>
        <w:t xml:space="preserve">2,422 mld </w:t>
      </w:r>
      <w:r w:rsidRPr="0010023D">
        <w:rPr>
          <w:rFonts w:ascii="Arial" w:hAnsi="Arial" w:cs="Arial"/>
          <w:sz w:val="24"/>
          <w:szCs w:val="24"/>
        </w:rPr>
        <w:t xml:space="preserve">euro, niemal równy wartości w analogicznym kwartale ubiegłego roku. </w:t>
      </w:r>
      <w:r w:rsidRPr="0010023D">
        <w:rPr>
          <w:rFonts w:ascii="Arial" w:hAnsi="Arial" w:cs="Arial"/>
          <w:b/>
          <w:bCs/>
          <w:sz w:val="24"/>
          <w:szCs w:val="24"/>
        </w:rPr>
        <w:t>W ujęciu organicznym przychody ze sprzedaży</w:t>
      </w:r>
      <w:r w:rsidRPr="0010023D">
        <w:rPr>
          <w:rFonts w:ascii="Arial" w:hAnsi="Arial" w:cs="Arial"/>
          <w:sz w:val="24"/>
          <w:szCs w:val="24"/>
        </w:rPr>
        <w:t xml:space="preserve"> spadły o 1,2%. </w:t>
      </w:r>
      <w:r w:rsidRPr="0010023D">
        <w:rPr>
          <w:rFonts w:ascii="Arial" w:hAnsi="Arial" w:cs="Arial"/>
          <w:b/>
          <w:bCs/>
          <w:sz w:val="24"/>
          <w:szCs w:val="24"/>
        </w:rPr>
        <w:t>Skorygowany zysk operacyjny</w:t>
      </w:r>
      <w:r w:rsidRPr="0010023D">
        <w:rPr>
          <w:rFonts w:ascii="Arial" w:hAnsi="Arial" w:cs="Arial"/>
          <w:sz w:val="24"/>
          <w:szCs w:val="24"/>
        </w:rPr>
        <w:t xml:space="preserve"> był wyższy o 1,5% i wyniósł 469 mln euro. </w:t>
      </w:r>
      <w:r w:rsidRPr="0010023D">
        <w:rPr>
          <w:rFonts w:ascii="Arial" w:hAnsi="Arial" w:cs="Arial"/>
          <w:b/>
          <w:bCs/>
          <w:sz w:val="24"/>
          <w:szCs w:val="24"/>
        </w:rPr>
        <w:t>Skorygowana rentowność sprzedaży</w:t>
      </w:r>
      <w:r w:rsidRPr="0010023D">
        <w:rPr>
          <w:rFonts w:ascii="Arial" w:hAnsi="Arial" w:cs="Arial"/>
          <w:sz w:val="24"/>
          <w:szCs w:val="24"/>
        </w:rPr>
        <w:t xml:space="preserve"> wyraźnie wzrosła w stosunku do drugiego kwartału 2018, osiągając wartość</w:t>
      </w:r>
      <w:r w:rsidR="0017309A">
        <w:rPr>
          <w:rFonts w:ascii="Arial" w:hAnsi="Arial" w:cs="Arial"/>
          <w:sz w:val="24"/>
          <w:szCs w:val="24"/>
        </w:rPr>
        <w:t xml:space="preserve"> </w:t>
      </w:r>
      <w:r w:rsidRPr="0010023D">
        <w:rPr>
          <w:rFonts w:ascii="Arial" w:hAnsi="Arial" w:cs="Arial"/>
          <w:sz w:val="24"/>
          <w:szCs w:val="24"/>
        </w:rPr>
        <w:t xml:space="preserve">19,3%. Szczególnie korzystną dynamikę odnotował segment rozwiązań dla przemysłu lotniczego, gdzie w drugim kwartale odnotowano </w:t>
      </w:r>
      <w:r w:rsidR="00F37D92">
        <w:rPr>
          <w:rFonts w:ascii="Arial" w:hAnsi="Arial" w:cs="Arial"/>
          <w:sz w:val="24"/>
          <w:szCs w:val="24"/>
        </w:rPr>
        <w:t xml:space="preserve">rekordowy </w:t>
      </w:r>
      <w:r w:rsidRPr="0010023D">
        <w:rPr>
          <w:rFonts w:ascii="Arial" w:hAnsi="Arial" w:cs="Arial"/>
          <w:sz w:val="24"/>
          <w:szCs w:val="24"/>
        </w:rPr>
        <w:t>dwucyfrowy wzrost.</w:t>
      </w:r>
    </w:p>
    <w:p w14:paraId="42B06EEE" w14:textId="77777777" w:rsidR="002954DD" w:rsidRPr="0010023D" w:rsidRDefault="002954DD" w:rsidP="0010023D">
      <w:pPr>
        <w:jc w:val="both"/>
        <w:rPr>
          <w:rFonts w:ascii="Arial" w:hAnsi="Arial" w:cs="Arial"/>
          <w:b/>
          <w:bCs/>
          <w:sz w:val="24"/>
          <w:szCs w:val="24"/>
        </w:rPr>
      </w:pPr>
    </w:p>
    <w:p w14:paraId="61A1CFE6" w14:textId="413F5503" w:rsidR="00C92205" w:rsidRPr="0010023D" w:rsidRDefault="00C92205" w:rsidP="0010023D">
      <w:pPr>
        <w:jc w:val="both"/>
        <w:rPr>
          <w:rFonts w:ascii="Arial" w:hAnsi="Arial" w:cs="Arial"/>
          <w:sz w:val="24"/>
          <w:szCs w:val="24"/>
        </w:rPr>
      </w:pPr>
      <w:r w:rsidRPr="0010023D">
        <w:rPr>
          <w:rFonts w:ascii="Arial" w:hAnsi="Arial" w:cs="Arial"/>
          <w:b/>
          <w:bCs/>
          <w:sz w:val="24"/>
          <w:szCs w:val="24"/>
        </w:rPr>
        <w:t>Przychody ze sprzedaży</w:t>
      </w:r>
      <w:r w:rsidRPr="0010023D">
        <w:rPr>
          <w:rFonts w:ascii="Arial" w:hAnsi="Arial" w:cs="Arial"/>
          <w:sz w:val="24"/>
          <w:szCs w:val="24"/>
        </w:rPr>
        <w:t xml:space="preserve"> w sektorze </w:t>
      </w:r>
      <w:proofErr w:type="spellStart"/>
      <w:r w:rsidRPr="0010023D">
        <w:rPr>
          <w:rFonts w:ascii="Arial" w:hAnsi="Arial" w:cs="Arial"/>
          <w:sz w:val="24"/>
          <w:szCs w:val="24"/>
        </w:rPr>
        <w:t>Beauty</w:t>
      </w:r>
      <w:proofErr w:type="spellEnd"/>
      <w:r w:rsidRPr="0010023D">
        <w:rPr>
          <w:rFonts w:ascii="Arial" w:hAnsi="Arial" w:cs="Arial"/>
          <w:sz w:val="24"/>
          <w:szCs w:val="24"/>
        </w:rPr>
        <w:t xml:space="preserve"> </w:t>
      </w:r>
      <w:proofErr w:type="spellStart"/>
      <w:r w:rsidRPr="0010023D">
        <w:rPr>
          <w:rFonts w:ascii="Arial" w:hAnsi="Arial" w:cs="Arial"/>
          <w:sz w:val="24"/>
          <w:szCs w:val="24"/>
        </w:rPr>
        <w:t>Care</w:t>
      </w:r>
      <w:proofErr w:type="spellEnd"/>
      <w:r w:rsidRPr="0010023D">
        <w:rPr>
          <w:rFonts w:ascii="Arial" w:hAnsi="Arial" w:cs="Arial"/>
          <w:sz w:val="24"/>
          <w:szCs w:val="24"/>
        </w:rPr>
        <w:t xml:space="preserve"> (kosmetyki) spadły w ujęciu </w:t>
      </w:r>
      <w:r w:rsidRPr="0010023D">
        <w:rPr>
          <w:rFonts w:ascii="Arial" w:hAnsi="Arial" w:cs="Arial"/>
          <w:b/>
          <w:bCs/>
          <w:sz w:val="24"/>
          <w:szCs w:val="24"/>
        </w:rPr>
        <w:t>organicznym</w:t>
      </w:r>
      <w:r w:rsidRPr="0010023D">
        <w:rPr>
          <w:rFonts w:ascii="Arial" w:hAnsi="Arial" w:cs="Arial"/>
          <w:sz w:val="24"/>
          <w:szCs w:val="24"/>
        </w:rPr>
        <w:t xml:space="preserve"> o</w:t>
      </w:r>
      <w:r w:rsidR="0017309A">
        <w:rPr>
          <w:rFonts w:ascii="Arial" w:hAnsi="Arial" w:cs="Arial"/>
          <w:sz w:val="24"/>
          <w:szCs w:val="24"/>
        </w:rPr>
        <w:t xml:space="preserve"> </w:t>
      </w:r>
      <w:r w:rsidRPr="0010023D">
        <w:rPr>
          <w:rFonts w:ascii="Arial" w:hAnsi="Arial" w:cs="Arial"/>
          <w:sz w:val="24"/>
          <w:szCs w:val="24"/>
        </w:rPr>
        <w:t xml:space="preserve">2,4%. W ujęciu nominalnym sprzedaż spadła o 3,2% rok do roku, do </w:t>
      </w:r>
      <w:r w:rsidR="00744202">
        <w:rPr>
          <w:rFonts w:ascii="Arial" w:hAnsi="Arial" w:cs="Arial"/>
          <w:sz w:val="24"/>
          <w:szCs w:val="24"/>
        </w:rPr>
        <w:t xml:space="preserve">poziomu </w:t>
      </w:r>
      <w:r w:rsidRPr="00935EEF">
        <w:rPr>
          <w:rFonts w:ascii="Arial" w:hAnsi="Arial" w:cs="Arial"/>
          <w:sz w:val="24"/>
          <w:szCs w:val="24"/>
        </w:rPr>
        <w:t xml:space="preserve">1,002 mld </w:t>
      </w:r>
      <w:r w:rsidRPr="0010023D">
        <w:rPr>
          <w:rFonts w:ascii="Arial" w:hAnsi="Arial" w:cs="Arial"/>
          <w:sz w:val="24"/>
          <w:szCs w:val="24"/>
        </w:rPr>
        <w:t xml:space="preserve">euro. </w:t>
      </w:r>
      <w:r w:rsidRPr="0010023D">
        <w:rPr>
          <w:rFonts w:ascii="Arial" w:hAnsi="Arial" w:cs="Arial"/>
          <w:b/>
          <w:bCs/>
          <w:sz w:val="24"/>
          <w:szCs w:val="24"/>
        </w:rPr>
        <w:t>Skorygowany zysk operacyjny</w:t>
      </w:r>
      <w:r w:rsidRPr="0010023D">
        <w:rPr>
          <w:rFonts w:ascii="Arial" w:hAnsi="Arial" w:cs="Arial"/>
          <w:sz w:val="24"/>
          <w:szCs w:val="24"/>
        </w:rPr>
        <w:t xml:space="preserve"> ukształtował się na poziomie 122 mln euro, co oznacza spadek o 34,9% w stosunku do drugiego kwartału 2018 r.</w:t>
      </w:r>
    </w:p>
    <w:p w14:paraId="11CED5BE" w14:textId="77777777" w:rsidR="002954DD" w:rsidRPr="0010023D" w:rsidRDefault="002954DD" w:rsidP="0010023D">
      <w:pPr>
        <w:jc w:val="both"/>
        <w:rPr>
          <w:rFonts w:ascii="Arial" w:hAnsi="Arial" w:cs="Arial"/>
          <w:b/>
          <w:bCs/>
          <w:sz w:val="24"/>
          <w:szCs w:val="24"/>
        </w:rPr>
      </w:pPr>
    </w:p>
    <w:p w14:paraId="46EAA16E" w14:textId="2A639D2F"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Skorygowana rentowność sprzedaży</w:t>
      </w:r>
      <w:r w:rsidRPr="0010023D">
        <w:rPr>
          <w:rFonts w:ascii="Arial" w:hAnsi="Arial" w:cs="Arial"/>
          <w:sz w:val="24"/>
          <w:szCs w:val="24"/>
        </w:rPr>
        <w:t xml:space="preserve"> wykazała ujemną dynamikę, osiągając poziom 12,2%. Na dynamikę </w:t>
      </w:r>
      <w:r w:rsidRPr="0010023D">
        <w:rPr>
          <w:rFonts w:ascii="Arial" w:hAnsi="Arial" w:cs="Arial"/>
          <w:b/>
          <w:bCs/>
          <w:sz w:val="24"/>
          <w:szCs w:val="24"/>
        </w:rPr>
        <w:t>sektora detalicznego</w:t>
      </w:r>
      <w:r w:rsidRPr="0010023D">
        <w:rPr>
          <w:rFonts w:ascii="Arial" w:hAnsi="Arial" w:cs="Arial"/>
          <w:sz w:val="24"/>
          <w:szCs w:val="24"/>
        </w:rPr>
        <w:t xml:space="preserve"> </w:t>
      </w:r>
      <w:proofErr w:type="spellStart"/>
      <w:r w:rsidRPr="0010023D">
        <w:rPr>
          <w:rFonts w:ascii="Arial" w:hAnsi="Arial" w:cs="Arial"/>
          <w:sz w:val="24"/>
          <w:szCs w:val="24"/>
        </w:rPr>
        <w:t>Beauty</w:t>
      </w:r>
      <w:proofErr w:type="spellEnd"/>
      <w:r w:rsidRPr="0010023D">
        <w:rPr>
          <w:rFonts w:ascii="Arial" w:hAnsi="Arial" w:cs="Arial"/>
          <w:sz w:val="24"/>
          <w:szCs w:val="24"/>
        </w:rPr>
        <w:t xml:space="preserve"> </w:t>
      </w:r>
      <w:proofErr w:type="spellStart"/>
      <w:r w:rsidRPr="0010023D">
        <w:rPr>
          <w:rFonts w:ascii="Arial" w:hAnsi="Arial" w:cs="Arial"/>
          <w:sz w:val="24"/>
          <w:szCs w:val="24"/>
        </w:rPr>
        <w:t>Care</w:t>
      </w:r>
      <w:proofErr w:type="spellEnd"/>
      <w:r w:rsidRPr="0010023D">
        <w:rPr>
          <w:rFonts w:ascii="Arial" w:hAnsi="Arial" w:cs="Arial"/>
          <w:sz w:val="24"/>
          <w:szCs w:val="24"/>
        </w:rPr>
        <w:t xml:space="preserve"> (kosmetyki) miały wpływ słabe wyniki na rynkach rozwiniętych. Ponadto na działalność detaliczną w Chinach wpływ miały bieżące korekty zapasów. Jednocześnie odnotowano wzrost kosztów z powodu większych inwestycji w obszarach marketingu i sprzedaży oraz wyższych cen materiałów. Natomiast segment </w:t>
      </w:r>
      <w:r w:rsidR="00744202">
        <w:rPr>
          <w:rFonts w:ascii="Arial" w:hAnsi="Arial" w:cs="Arial"/>
          <w:sz w:val="24"/>
          <w:szCs w:val="24"/>
        </w:rPr>
        <w:t>kosmetyków profesjonalnych dla salonów fryzjerskich</w:t>
      </w:r>
      <w:r w:rsidRPr="0010023D">
        <w:rPr>
          <w:rFonts w:ascii="Arial" w:hAnsi="Arial" w:cs="Arial"/>
          <w:sz w:val="24"/>
          <w:szCs w:val="24"/>
        </w:rPr>
        <w:t xml:space="preserve"> ponownie odnotował dobre wyniki i silny wzrost w ujęciu organicznym. </w:t>
      </w:r>
    </w:p>
    <w:p w14:paraId="561F2D4A" w14:textId="77777777" w:rsidR="002954DD" w:rsidRDefault="002954DD" w:rsidP="0017309A">
      <w:pPr>
        <w:jc w:val="both"/>
        <w:rPr>
          <w:rFonts w:ascii="Arial" w:hAnsi="Arial" w:cs="Arial"/>
          <w:sz w:val="24"/>
          <w:szCs w:val="24"/>
        </w:rPr>
      </w:pPr>
    </w:p>
    <w:p w14:paraId="12C282D6" w14:textId="22E92679"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W drugim kwartale roku sektor biznesowy </w:t>
      </w:r>
      <w:proofErr w:type="spellStart"/>
      <w:r w:rsidRPr="0010023D">
        <w:rPr>
          <w:rFonts w:ascii="Arial" w:hAnsi="Arial" w:cs="Arial"/>
          <w:b/>
          <w:bCs/>
          <w:sz w:val="24"/>
          <w:szCs w:val="24"/>
        </w:rPr>
        <w:t>Laundry</w:t>
      </w:r>
      <w:proofErr w:type="spellEnd"/>
      <w:r w:rsidRPr="0010023D">
        <w:rPr>
          <w:rFonts w:ascii="Arial" w:hAnsi="Arial" w:cs="Arial"/>
          <w:b/>
          <w:bCs/>
          <w:sz w:val="24"/>
          <w:szCs w:val="24"/>
        </w:rPr>
        <w:t xml:space="preserve"> &amp; Home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(środków piorących i czystości) odnotował wysoki </w:t>
      </w:r>
      <w:r w:rsidRPr="0010023D">
        <w:rPr>
          <w:rFonts w:ascii="Arial" w:hAnsi="Arial" w:cs="Arial"/>
          <w:b/>
          <w:bCs/>
          <w:sz w:val="24"/>
          <w:szCs w:val="24"/>
        </w:rPr>
        <w:t>wzrost sprzedaży w ujęciu organicznym, na poziomie</w:t>
      </w:r>
      <w:r w:rsidRPr="0010023D">
        <w:rPr>
          <w:rFonts w:ascii="Arial" w:hAnsi="Arial" w:cs="Arial"/>
          <w:sz w:val="24"/>
          <w:szCs w:val="24"/>
        </w:rPr>
        <w:t xml:space="preserve"> 2,0%. W ujęciu nominalnym przychody ze sprzedaży wzrosły o 1,3%, do poziomu </w:t>
      </w:r>
      <w:r w:rsidRPr="00935EEF">
        <w:rPr>
          <w:rFonts w:ascii="Arial" w:hAnsi="Arial" w:cs="Arial"/>
          <w:sz w:val="24"/>
          <w:szCs w:val="24"/>
        </w:rPr>
        <w:t xml:space="preserve">1,666 mld </w:t>
      </w:r>
      <w:r w:rsidRPr="00744202">
        <w:rPr>
          <w:rFonts w:ascii="Arial" w:hAnsi="Arial" w:cs="Arial"/>
          <w:sz w:val="24"/>
          <w:szCs w:val="24"/>
        </w:rPr>
        <w:t xml:space="preserve">euro, wobec </w:t>
      </w:r>
      <w:r w:rsidRPr="00935EEF">
        <w:rPr>
          <w:rFonts w:ascii="Arial" w:hAnsi="Arial" w:cs="Arial"/>
          <w:sz w:val="24"/>
          <w:szCs w:val="24"/>
        </w:rPr>
        <w:t xml:space="preserve">1,644 mld </w:t>
      </w:r>
      <w:r w:rsidRPr="0010023D">
        <w:rPr>
          <w:rFonts w:ascii="Arial" w:hAnsi="Arial" w:cs="Arial"/>
          <w:sz w:val="24"/>
          <w:szCs w:val="24"/>
        </w:rPr>
        <w:t xml:space="preserve">euro w analogicznym kwartale 2018 r. </w:t>
      </w:r>
      <w:r w:rsidRPr="0010023D">
        <w:rPr>
          <w:rFonts w:ascii="Arial" w:hAnsi="Arial" w:cs="Arial"/>
          <w:b/>
          <w:bCs/>
          <w:sz w:val="24"/>
          <w:szCs w:val="24"/>
        </w:rPr>
        <w:t>Skorygowany zysk operacyjny</w:t>
      </w:r>
      <w:r w:rsidRPr="0010023D">
        <w:rPr>
          <w:rFonts w:ascii="Arial" w:hAnsi="Arial" w:cs="Arial"/>
          <w:sz w:val="24"/>
          <w:szCs w:val="24"/>
        </w:rPr>
        <w:t xml:space="preserve"> zamknął się kwotą 279 mln euro, a zatem był o 5,3% niższy niż w drugim kwartale ubiegłego roku. </w:t>
      </w:r>
      <w:r w:rsidRPr="0010023D">
        <w:rPr>
          <w:rFonts w:ascii="Arial" w:hAnsi="Arial" w:cs="Arial"/>
          <w:b/>
          <w:bCs/>
          <w:sz w:val="24"/>
          <w:szCs w:val="24"/>
        </w:rPr>
        <w:t>Skorygowana rentowność sprzedaży</w:t>
      </w:r>
      <w:r w:rsidRPr="0010023D">
        <w:rPr>
          <w:rFonts w:ascii="Arial" w:hAnsi="Arial" w:cs="Arial"/>
          <w:sz w:val="24"/>
          <w:szCs w:val="24"/>
        </w:rPr>
        <w:t xml:space="preserve"> na poziomie 16,8% była nieznacznie niższa niż w drugim kwartale 2018 r., głównie w związku z</w:t>
      </w:r>
      <w:r w:rsidR="00744202">
        <w:rPr>
          <w:rFonts w:ascii="Arial" w:hAnsi="Arial" w:cs="Arial"/>
          <w:sz w:val="24"/>
          <w:szCs w:val="24"/>
        </w:rPr>
        <w:t xml:space="preserve"> zapowiadanym</w:t>
      </w:r>
      <w:r w:rsidRPr="0010023D">
        <w:rPr>
          <w:rFonts w:ascii="Arial" w:hAnsi="Arial" w:cs="Arial"/>
          <w:sz w:val="24"/>
          <w:szCs w:val="24"/>
        </w:rPr>
        <w:t xml:space="preserve"> wzrostem inwestycji w obszarach marketingu i sprzedaży oraz wprowadz</w:t>
      </w:r>
      <w:r w:rsidR="00744202">
        <w:rPr>
          <w:rFonts w:ascii="Arial" w:hAnsi="Arial" w:cs="Arial"/>
          <w:sz w:val="24"/>
          <w:szCs w:val="24"/>
        </w:rPr>
        <w:t>a</w:t>
      </w:r>
      <w:r w:rsidRPr="0010023D">
        <w:rPr>
          <w:rFonts w:ascii="Arial" w:hAnsi="Arial" w:cs="Arial"/>
          <w:sz w:val="24"/>
          <w:szCs w:val="24"/>
        </w:rPr>
        <w:t>niem</w:t>
      </w:r>
      <w:r w:rsidR="0017309A">
        <w:rPr>
          <w:rFonts w:ascii="Arial" w:hAnsi="Arial" w:cs="Arial"/>
          <w:sz w:val="24"/>
          <w:szCs w:val="24"/>
        </w:rPr>
        <w:t xml:space="preserve"> </w:t>
      </w:r>
      <w:r w:rsidR="00744202">
        <w:rPr>
          <w:rFonts w:ascii="Arial" w:hAnsi="Arial" w:cs="Arial"/>
          <w:sz w:val="24"/>
          <w:szCs w:val="24"/>
        </w:rPr>
        <w:t xml:space="preserve">na rynek </w:t>
      </w:r>
      <w:r w:rsidRPr="0010023D">
        <w:rPr>
          <w:rFonts w:ascii="Arial" w:hAnsi="Arial" w:cs="Arial"/>
          <w:sz w:val="24"/>
          <w:szCs w:val="24"/>
        </w:rPr>
        <w:t>innowacji</w:t>
      </w:r>
      <w:r w:rsidR="0017309A">
        <w:rPr>
          <w:rFonts w:ascii="Arial" w:hAnsi="Arial" w:cs="Arial"/>
          <w:sz w:val="24"/>
          <w:szCs w:val="24"/>
        </w:rPr>
        <w:t xml:space="preserve">. </w:t>
      </w:r>
      <w:r w:rsidRPr="0010023D">
        <w:rPr>
          <w:rFonts w:ascii="Arial" w:hAnsi="Arial" w:cs="Arial"/>
          <w:sz w:val="24"/>
          <w:szCs w:val="24"/>
        </w:rPr>
        <w:t xml:space="preserve">Szczególnie dobre wyniki odnotowano w segmencie Home </w:t>
      </w:r>
      <w:proofErr w:type="spellStart"/>
      <w:r w:rsidRPr="0010023D">
        <w:rPr>
          <w:rFonts w:ascii="Arial" w:hAnsi="Arial" w:cs="Arial"/>
          <w:sz w:val="24"/>
          <w:szCs w:val="24"/>
        </w:rPr>
        <w:t>Care</w:t>
      </w:r>
      <w:proofErr w:type="spellEnd"/>
      <w:r w:rsidRPr="0010023D">
        <w:rPr>
          <w:rFonts w:ascii="Arial" w:hAnsi="Arial" w:cs="Arial"/>
          <w:sz w:val="24"/>
          <w:szCs w:val="24"/>
        </w:rPr>
        <w:t xml:space="preserve"> (środków czystości), który osiągnął bardzo wysoką stopę wzrostu w ujęciu organicznym. Na kilku rynkach z powodzeniem rozpoczęto sprzedaż czterokomorowych kapsułek Persil.</w:t>
      </w:r>
    </w:p>
    <w:p w14:paraId="4B21F673" w14:textId="77777777" w:rsidR="00C92205" w:rsidRPr="0010023D" w:rsidRDefault="00C92205" w:rsidP="0010023D">
      <w:pPr>
        <w:jc w:val="both"/>
        <w:rPr>
          <w:rFonts w:ascii="Arial" w:hAnsi="Arial" w:cs="Arial"/>
          <w:sz w:val="24"/>
          <w:szCs w:val="24"/>
        </w:rPr>
      </w:pPr>
    </w:p>
    <w:p w14:paraId="70F88825" w14:textId="413A335C" w:rsidR="00C92205" w:rsidRDefault="00C92205" w:rsidP="0010023D">
      <w:pPr>
        <w:jc w:val="both"/>
        <w:rPr>
          <w:rFonts w:ascii="Arial" w:hAnsi="Arial" w:cs="Arial"/>
          <w:b/>
          <w:bCs/>
          <w:sz w:val="24"/>
          <w:szCs w:val="24"/>
        </w:rPr>
      </w:pPr>
      <w:r w:rsidRPr="0010023D">
        <w:rPr>
          <w:rFonts w:ascii="Arial" w:hAnsi="Arial" w:cs="Arial"/>
          <w:b/>
          <w:bCs/>
          <w:sz w:val="24"/>
          <w:szCs w:val="24"/>
        </w:rPr>
        <w:t>Wyniki działalności za pierwsze półrocze 2019 r.</w:t>
      </w:r>
    </w:p>
    <w:p w14:paraId="70D127B6" w14:textId="77777777" w:rsidR="002B49DC" w:rsidRPr="0010023D" w:rsidRDefault="002B49DC" w:rsidP="0010023D">
      <w:pPr>
        <w:jc w:val="both"/>
        <w:rPr>
          <w:rFonts w:ascii="Arial" w:hAnsi="Arial" w:cs="Arial"/>
          <w:b/>
          <w:bCs/>
          <w:sz w:val="24"/>
          <w:szCs w:val="24"/>
        </w:rPr>
      </w:pPr>
    </w:p>
    <w:p w14:paraId="6042C53E" w14:textId="6D6A86BA"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Wartość </w:t>
      </w:r>
      <w:r w:rsidRPr="0010023D">
        <w:rPr>
          <w:rFonts w:ascii="Arial" w:hAnsi="Arial" w:cs="Arial"/>
          <w:b/>
          <w:bCs/>
          <w:sz w:val="24"/>
          <w:szCs w:val="24"/>
        </w:rPr>
        <w:t>sprzedaży</w:t>
      </w:r>
      <w:r w:rsidRPr="0010023D">
        <w:rPr>
          <w:rFonts w:ascii="Arial" w:hAnsi="Arial" w:cs="Arial"/>
          <w:sz w:val="24"/>
          <w:szCs w:val="24"/>
        </w:rPr>
        <w:t xml:space="preserve"> zrealizowanej przez Henkel w pierwszym półroczu 2019 r. wyniosła 10,1 mld euro, co oznacza wzrost o 1,1%. </w:t>
      </w:r>
      <w:r w:rsidR="00744202">
        <w:rPr>
          <w:rFonts w:ascii="Arial" w:hAnsi="Arial" w:cs="Arial"/>
          <w:b/>
          <w:bCs/>
          <w:sz w:val="24"/>
          <w:szCs w:val="24"/>
        </w:rPr>
        <w:t>Wzrost</w:t>
      </w:r>
      <w:r w:rsidRPr="0010023D">
        <w:rPr>
          <w:rFonts w:ascii="Arial" w:hAnsi="Arial" w:cs="Arial"/>
          <w:b/>
          <w:bCs/>
          <w:sz w:val="24"/>
          <w:szCs w:val="24"/>
        </w:rPr>
        <w:t xml:space="preserve"> przychodów ze sprzedaży w ujęciu organicznym</w:t>
      </w:r>
      <w:r w:rsidRPr="0010023D">
        <w:rPr>
          <w:rFonts w:ascii="Arial" w:hAnsi="Arial" w:cs="Arial"/>
          <w:sz w:val="24"/>
          <w:szCs w:val="24"/>
        </w:rPr>
        <w:t xml:space="preserve">, tj. bez uwzględnienia wpływu różnic kursowych </w:t>
      </w:r>
      <w:r w:rsidRPr="0010023D">
        <w:rPr>
          <w:rFonts w:ascii="Arial" w:hAnsi="Arial" w:cs="Arial"/>
          <w:sz w:val="24"/>
          <w:szCs w:val="24"/>
        </w:rPr>
        <w:lastRenderedPageBreak/>
        <w:t xml:space="preserve">oraz transakcji przejęć i zbycia aktywów, </w:t>
      </w:r>
      <w:r w:rsidR="00744202">
        <w:rPr>
          <w:rFonts w:ascii="Arial" w:hAnsi="Arial" w:cs="Arial"/>
          <w:sz w:val="24"/>
          <w:szCs w:val="24"/>
        </w:rPr>
        <w:t>wyniósł</w:t>
      </w:r>
      <w:r w:rsidR="00744202" w:rsidRPr="0010023D">
        <w:rPr>
          <w:rFonts w:ascii="Arial" w:hAnsi="Arial" w:cs="Arial"/>
          <w:sz w:val="24"/>
          <w:szCs w:val="24"/>
        </w:rPr>
        <w:t xml:space="preserve"> </w:t>
      </w:r>
      <w:r w:rsidRPr="0010023D">
        <w:rPr>
          <w:rFonts w:ascii="Arial" w:hAnsi="Arial" w:cs="Arial"/>
          <w:sz w:val="24"/>
          <w:szCs w:val="24"/>
        </w:rPr>
        <w:t>0,1%. Wpływ różnic kursowych na poziom sprzedaży wyniósł 0,4%.</w:t>
      </w:r>
    </w:p>
    <w:p w14:paraId="7C95C7CB" w14:textId="77777777" w:rsidR="00C92205" w:rsidRPr="0010023D" w:rsidRDefault="00C92205" w:rsidP="0010023D">
      <w:pPr>
        <w:jc w:val="both"/>
        <w:rPr>
          <w:rFonts w:ascii="Arial" w:hAnsi="Arial" w:cs="Arial"/>
          <w:sz w:val="24"/>
          <w:szCs w:val="24"/>
        </w:rPr>
      </w:pPr>
    </w:p>
    <w:p w14:paraId="191EA2A5" w14:textId="3D7C0F3D"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Skorygowany zysk operacyjny</w:t>
      </w:r>
      <w:r w:rsidRPr="0010023D">
        <w:rPr>
          <w:rFonts w:ascii="Arial" w:hAnsi="Arial" w:cs="Arial"/>
          <w:sz w:val="24"/>
          <w:szCs w:val="24"/>
        </w:rPr>
        <w:t xml:space="preserve"> obniżył się o 7,2%, </w:t>
      </w:r>
      <w:r w:rsidRPr="00744202">
        <w:rPr>
          <w:rFonts w:ascii="Arial" w:hAnsi="Arial" w:cs="Arial"/>
          <w:sz w:val="24"/>
          <w:szCs w:val="24"/>
        </w:rPr>
        <w:t xml:space="preserve">z </w:t>
      </w:r>
      <w:r w:rsidRPr="00935EEF">
        <w:rPr>
          <w:rFonts w:ascii="Arial" w:hAnsi="Arial" w:cs="Arial"/>
          <w:sz w:val="24"/>
          <w:szCs w:val="24"/>
        </w:rPr>
        <w:t xml:space="preserve">1,768 mld </w:t>
      </w:r>
      <w:r w:rsidRPr="00744202">
        <w:rPr>
          <w:rFonts w:ascii="Arial" w:hAnsi="Arial" w:cs="Arial"/>
          <w:sz w:val="24"/>
          <w:szCs w:val="24"/>
        </w:rPr>
        <w:t xml:space="preserve">euro do </w:t>
      </w:r>
      <w:r w:rsidRPr="00935EEF">
        <w:rPr>
          <w:rFonts w:ascii="Arial" w:hAnsi="Arial" w:cs="Arial"/>
          <w:sz w:val="24"/>
          <w:szCs w:val="24"/>
        </w:rPr>
        <w:t xml:space="preserve">1,641 mld </w:t>
      </w:r>
      <w:r w:rsidRPr="0010023D">
        <w:rPr>
          <w:rFonts w:ascii="Arial" w:hAnsi="Arial" w:cs="Arial"/>
          <w:sz w:val="24"/>
          <w:szCs w:val="24"/>
        </w:rPr>
        <w:t>euro.</w:t>
      </w:r>
    </w:p>
    <w:p w14:paraId="47525CFF" w14:textId="77777777" w:rsidR="00C92205" w:rsidRPr="0010023D" w:rsidRDefault="00C92205" w:rsidP="0010023D">
      <w:pPr>
        <w:jc w:val="both"/>
        <w:rPr>
          <w:rFonts w:ascii="Arial" w:hAnsi="Arial" w:cs="Arial"/>
          <w:sz w:val="24"/>
          <w:szCs w:val="24"/>
        </w:rPr>
      </w:pPr>
    </w:p>
    <w:p w14:paraId="3DC6804C" w14:textId="07E52233"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Skorygowana rentowność sprzedaży</w:t>
      </w:r>
      <w:r w:rsidRPr="0010023D">
        <w:rPr>
          <w:rFonts w:ascii="Arial" w:hAnsi="Arial" w:cs="Arial"/>
          <w:sz w:val="24"/>
          <w:szCs w:val="24"/>
        </w:rPr>
        <w:t xml:space="preserve"> ukształtowała się na poziomie 16,3%, w</w:t>
      </w:r>
      <w:r w:rsidR="002B49DC">
        <w:rPr>
          <w:rFonts w:ascii="Arial" w:hAnsi="Arial" w:cs="Arial"/>
          <w:sz w:val="24"/>
          <w:szCs w:val="24"/>
        </w:rPr>
        <w:t> </w:t>
      </w:r>
      <w:r w:rsidRPr="0010023D">
        <w:rPr>
          <w:rFonts w:ascii="Arial" w:hAnsi="Arial" w:cs="Arial"/>
          <w:sz w:val="24"/>
          <w:szCs w:val="24"/>
        </w:rPr>
        <w:t>porównaniu z 17,7% w pierwszej połowie 2018 r.</w:t>
      </w:r>
    </w:p>
    <w:p w14:paraId="0334BF67" w14:textId="77777777" w:rsidR="00C92205" w:rsidRPr="0010023D" w:rsidRDefault="00C92205" w:rsidP="0010023D">
      <w:pPr>
        <w:jc w:val="both"/>
        <w:rPr>
          <w:rFonts w:ascii="Arial" w:hAnsi="Arial" w:cs="Arial"/>
          <w:sz w:val="24"/>
          <w:szCs w:val="24"/>
        </w:rPr>
      </w:pPr>
    </w:p>
    <w:p w14:paraId="150EF454" w14:textId="422AD657" w:rsidR="00C92205" w:rsidRPr="0010023D" w:rsidRDefault="00C92205" w:rsidP="0010023D">
      <w:pPr>
        <w:jc w:val="both"/>
        <w:rPr>
          <w:rFonts w:ascii="Arial" w:hAnsi="Arial" w:cs="Arial"/>
          <w:sz w:val="24"/>
          <w:szCs w:val="24"/>
        </w:rPr>
      </w:pPr>
      <w:r w:rsidRPr="0010023D">
        <w:rPr>
          <w:rFonts w:ascii="Arial" w:hAnsi="Arial" w:cs="Arial"/>
          <w:b/>
          <w:bCs/>
          <w:sz w:val="24"/>
          <w:szCs w:val="24"/>
        </w:rPr>
        <w:t>Skorygowany zysk na akcję uprzywilejowaną</w:t>
      </w:r>
      <w:r w:rsidRPr="0010023D">
        <w:rPr>
          <w:rFonts w:ascii="Arial" w:hAnsi="Arial" w:cs="Arial"/>
          <w:sz w:val="24"/>
          <w:szCs w:val="24"/>
        </w:rPr>
        <w:t xml:space="preserve"> był niższy o 8,0% i spadł z poziomu 3,01 euro do 2,77 euro. Także przy założeniu stałych kursów wymiany skorygowany zysk na akcję uprzywilejowaną był niższy o 8,0%.</w:t>
      </w:r>
    </w:p>
    <w:p w14:paraId="79C0031E" w14:textId="77777777" w:rsidR="00C92205" w:rsidRPr="0010023D" w:rsidRDefault="00C92205" w:rsidP="0010023D">
      <w:pPr>
        <w:jc w:val="both"/>
        <w:rPr>
          <w:rFonts w:ascii="Arial" w:hAnsi="Arial" w:cs="Arial"/>
          <w:sz w:val="24"/>
          <w:szCs w:val="24"/>
        </w:rPr>
      </w:pPr>
    </w:p>
    <w:p w14:paraId="56449679" w14:textId="77777777"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W pierwszym półroczu 2019 r. sektor biznesowy </w:t>
      </w:r>
      <w:proofErr w:type="spellStart"/>
      <w:r w:rsidRPr="0010023D">
        <w:rPr>
          <w:rFonts w:ascii="Arial" w:hAnsi="Arial" w:cs="Arial"/>
          <w:b/>
          <w:bCs/>
          <w:sz w:val="24"/>
          <w:szCs w:val="24"/>
        </w:rPr>
        <w:t>Adhesive</w:t>
      </w:r>
      <w:proofErr w:type="spellEnd"/>
      <w:r w:rsidRPr="0010023D">
        <w:rPr>
          <w:rFonts w:ascii="Arial" w:hAnsi="Arial" w:cs="Arial"/>
          <w:b/>
          <w:bCs/>
          <w:sz w:val="24"/>
          <w:szCs w:val="24"/>
        </w:rPr>
        <w:t xml:space="preserve"> Technologies</w:t>
      </w:r>
      <w:r w:rsidRPr="0010023D">
        <w:rPr>
          <w:rFonts w:ascii="Arial" w:hAnsi="Arial" w:cs="Arial"/>
          <w:sz w:val="24"/>
          <w:szCs w:val="24"/>
        </w:rPr>
        <w:t xml:space="preserve"> (klejów budowlanych i konsumenckich oraz klejów i technologii dla przemysłu) odnotował nieznaczny spadek </w:t>
      </w:r>
      <w:r w:rsidRPr="0010023D">
        <w:rPr>
          <w:rFonts w:ascii="Arial" w:hAnsi="Arial" w:cs="Arial"/>
          <w:b/>
          <w:bCs/>
          <w:sz w:val="24"/>
          <w:szCs w:val="24"/>
        </w:rPr>
        <w:t>sprzedaży</w:t>
      </w:r>
      <w:r w:rsidRPr="0010023D">
        <w:rPr>
          <w:rFonts w:ascii="Arial" w:hAnsi="Arial" w:cs="Arial"/>
          <w:sz w:val="24"/>
          <w:szCs w:val="24"/>
        </w:rPr>
        <w:t xml:space="preserve"> w ujęciu organicznym o 1,0%. Skorygowana rentowność sprzedaży wyniosła 18,1% (18,5% w poprzednim roku).</w:t>
      </w:r>
    </w:p>
    <w:p w14:paraId="1AB40B20" w14:textId="77777777" w:rsidR="0017309A" w:rsidRDefault="0017309A" w:rsidP="00C92205">
      <w:pPr>
        <w:jc w:val="both"/>
        <w:rPr>
          <w:rFonts w:ascii="Arial" w:hAnsi="Arial" w:cs="Arial"/>
          <w:sz w:val="24"/>
          <w:szCs w:val="24"/>
        </w:rPr>
      </w:pPr>
    </w:p>
    <w:p w14:paraId="22C1519C" w14:textId="2ABF786B" w:rsidR="00C92205" w:rsidRPr="0010023D" w:rsidRDefault="00C92205" w:rsidP="0010023D">
      <w:pPr>
        <w:spacing w:line="240" w:lineRule="auto"/>
        <w:jc w:val="both"/>
        <w:rPr>
          <w:rFonts w:ascii="Arial" w:hAnsi="Arial" w:cs="Arial"/>
          <w:sz w:val="24"/>
          <w:szCs w:val="24"/>
        </w:rPr>
      </w:pPr>
      <w:r w:rsidRPr="0010023D">
        <w:rPr>
          <w:rFonts w:ascii="Arial" w:hAnsi="Arial" w:cs="Arial"/>
          <w:sz w:val="24"/>
          <w:szCs w:val="24"/>
        </w:rPr>
        <w:t xml:space="preserve">Sektor </w:t>
      </w:r>
      <w:proofErr w:type="spellStart"/>
      <w:r w:rsidRPr="0010023D">
        <w:rPr>
          <w:rFonts w:ascii="Arial" w:hAnsi="Arial" w:cs="Arial"/>
          <w:b/>
          <w:bCs/>
          <w:sz w:val="24"/>
          <w:szCs w:val="24"/>
        </w:rPr>
        <w:t>Beauty</w:t>
      </w:r>
      <w:proofErr w:type="spellEnd"/>
      <w:r w:rsidRPr="0010023D">
        <w:rPr>
          <w:rFonts w:ascii="Arial" w:hAnsi="Arial" w:cs="Arial"/>
          <w:b/>
          <w:bCs/>
          <w:sz w:val="24"/>
          <w:szCs w:val="24"/>
        </w:rPr>
        <w:t xml:space="preserv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(kosmetyki) odnotował spadek przychodów ze sprzedaży w ujęciu organicznym o 2,3%, przy skorygowanej rentowności sprzedaży na poziomie 13,5%</w:t>
      </w:r>
      <w:r w:rsidR="0017309A">
        <w:rPr>
          <w:rFonts w:ascii="Arial" w:hAnsi="Arial" w:cs="Arial"/>
          <w:sz w:val="24"/>
          <w:szCs w:val="24"/>
        </w:rPr>
        <w:t xml:space="preserve"> </w:t>
      </w:r>
      <w:r w:rsidRPr="0010023D">
        <w:rPr>
          <w:rFonts w:ascii="Arial" w:hAnsi="Arial" w:cs="Arial"/>
          <w:sz w:val="24"/>
          <w:szCs w:val="24"/>
        </w:rPr>
        <w:t>(17,4% w poprzednim roku).</w:t>
      </w:r>
    </w:p>
    <w:p w14:paraId="4630E427" w14:textId="77777777" w:rsidR="00C92205" w:rsidRPr="0010023D" w:rsidRDefault="00C92205" w:rsidP="0010023D">
      <w:pPr>
        <w:jc w:val="both"/>
        <w:rPr>
          <w:rFonts w:ascii="Arial" w:hAnsi="Arial" w:cs="Arial"/>
          <w:sz w:val="24"/>
          <w:szCs w:val="24"/>
        </w:rPr>
      </w:pPr>
    </w:p>
    <w:p w14:paraId="5CAD97D7" w14:textId="7C5DC003" w:rsidR="00C92205" w:rsidRDefault="00C92205" w:rsidP="0010023D">
      <w:pPr>
        <w:jc w:val="both"/>
        <w:rPr>
          <w:rFonts w:ascii="Arial" w:hAnsi="Arial" w:cs="Arial"/>
          <w:sz w:val="24"/>
          <w:szCs w:val="24"/>
        </w:rPr>
      </w:pPr>
      <w:r w:rsidRPr="0010023D">
        <w:rPr>
          <w:rFonts w:ascii="Arial" w:hAnsi="Arial" w:cs="Arial"/>
          <w:sz w:val="24"/>
          <w:szCs w:val="24"/>
        </w:rPr>
        <w:t xml:space="preserve">Sektor biznesowy </w:t>
      </w:r>
      <w:proofErr w:type="spellStart"/>
      <w:r w:rsidRPr="0010023D">
        <w:rPr>
          <w:rFonts w:ascii="Arial" w:hAnsi="Arial" w:cs="Arial"/>
          <w:b/>
          <w:bCs/>
          <w:sz w:val="24"/>
          <w:szCs w:val="24"/>
        </w:rPr>
        <w:t>Laundry</w:t>
      </w:r>
      <w:proofErr w:type="spellEnd"/>
      <w:r w:rsidRPr="0010023D">
        <w:rPr>
          <w:rFonts w:ascii="Arial" w:hAnsi="Arial" w:cs="Arial"/>
          <w:b/>
          <w:bCs/>
          <w:sz w:val="24"/>
          <w:szCs w:val="24"/>
        </w:rPr>
        <w:t xml:space="preserve"> &amp; Home </w:t>
      </w:r>
      <w:proofErr w:type="spellStart"/>
      <w:r w:rsidRPr="0010023D">
        <w:rPr>
          <w:rFonts w:ascii="Arial" w:hAnsi="Arial" w:cs="Arial"/>
          <w:b/>
          <w:bCs/>
          <w:sz w:val="24"/>
          <w:szCs w:val="24"/>
        </w:rPr>
        <w:t>Care</w:t>
      </w:r>
      <w:proofErr w:type="spellEnd"/>
      <w:r w:rsidRPr="0010023D">
        <w:rPr>
          <w:rFonts w:ascii="Arial" w:hAnsi="Arial" w:cs="Arial"/>
          <w:sz w:val="24"/>
          <w:szCs w:val="24"/>
        </w:rPr>
        <w:t xml:space="preserve"> (środków piorących i czystości) osiągnął znaczny wzrost przychodów ze sprzedaży w ujęciu organicznym, wynoszący 3,3%. Skorygowana rentowność sprzedaży ukształtowała się na poziomie 16,9% (18,2% w poprzednim roku).</w:t>
      </w:r>
    </w:p>
    <w:p w14:paraId="339C29DA" w14:textId="77777777" w:rsidR="002B49DC" w:rsidRPr="0010023D" w:rsidRDefault="002B49DC" w:rsidP="0010023D">
      <w:pPr>
        <w:jc w:val="both"/>
        <w:rPr>
          <w:rFonts w:ascii="Arial" w:hAnsi="Arial" w:cs="Arial"/>
          <w:sz w:val="24"/>
          <w:szCs w:val="24"/>
        </w:rPr>
      </w:pPr>
    </w:p>
    <w:p w14:paraId="35B1BE27" w14:textId="7CF0F0A7" w:rsidR="00C92205" w:rsidRPr="0010023D" w:rsidRDefault="00C92205" w:rsidP="0010023D">
      <w:pPr>
        <w:jc w:val="both"/>
        <w:rPr>
          <w:rFonts w:ascii="Arial" w:hAnsi="Arial" w:cs="Arial"/>
          <w:sz w:val="24"/>
          <w:szCs w:val="24"/>
        </w:rPr>
      </w:pPr>
      <w:r w:rsidRPr="0010023D">
        <w:rPr>
          <w:rFonts w:ascii="Arial" w:hAnsi="Arial" w:cs="Arial"/>
          <w:b/>
          <w:bCs/>
          <w:sz w:val="24"/>
          <w:szCs w:val="24"/>
        </w:rPr>
        <w:t>Pozycja finansowa netto</w:t>
      </w:r>
      <w:r w:rsidRPr="0010023D">
        <w:rPr>
          <w:rFonts w:ascii="Arial" w:hAnsi="Arial" w:cs="Arial"/>
          <w:sz w:val="24"/>
          <w:szCs w:val="24"/>
        </w:rPr>
        <w:t xml:space="preserve"> firmy Henkel na 30 czerwca 2019 r. wyniosła </w:t>
      </w:r>
      <w:r w:rsidRPr="00744202">
        <w:rPr>
          <w:rFonts w:ascii="Arial" w:hAnsi="Arial" w:cs="Arial"/>
          <w:sz w:val="24"/>
          <w:szCs w:val="24"/>
        </w:rPr>
        <w:t>-</w:t>
      </w:r>
      <w:r w:rsidRPr="00935EEF">
        <w:rPr>
          <w:rFonts w:ascii="Arial" w:hAnsi="Arial" w:cs="Arial"/>
          <w:sz w:val="24"/>
          <w:szCs w:val="24"/>
        </w:rPr>
        <w:t>2</w:t>
      </w:r>
      <w:r w:rsidR="0017309A" w:rsidRPr="00935EEF">
        <w:rPr>
          <w:rFonts w:ascii="Arial" w:hAnsi="Arial" w:cs="Arial"/>
          <w:sz w:val="24"/>
          <w:szCs w:val="24"/>
        </w:rPr>
        <w:t>,</w:t>
      </w:r>
      <w:r w:rsidRPr="00935EEF">
        <w:rPr>
          <w:rFonts w:ascii="Arial" w:hAnsi="Arial" w:cs="Arial"/>
          <w:sz w:val="24"/>
          <w:szCs w:val="24"/>
        </w:rPr>
        <w:t xml:space="preserve">820 mld </w:t>
      </w:r>
      <w:r w:rsidRPr="00744202">
        <w:rPr>
          <w:rFonts w:ascii="Arial" w:hAnsi="Arial" w:cs="Arial"/>
          <w:sz w:val="24"/>
          <w:szCs w:val="24"/>
        </w:rPr>
        <w:t>euro (31 grudnia 2018 r.: -</w:t>
      </w:r>
      <w:r w:rsidRPr="00935EEF">
        <w:rPr>
          <w:rFonts w:ascii="Arial" w:hAnsi="Arial" w:cs="Arial"/>
          <w:sz w:val="24"/>
          <w:szCs w:val="24"/>
        </w:rPr>
        <w:t>2</w:t>
      </w:r>
      <w:r w:rsidR="0017309A" w:rsidRPr="00935EEF">
        <w:rPr>
          <w:rFonts w:ascii="Arial" w:hAnsi="Arial" w:cs="Arial"/>
          <w:sz w:val="24"/>
          <w:szCs w:val="24"/>
        </w:rPr>
        <w:t>,</w:t>
      </w:r>
      <w:r w:rsidRPr="00935EEF">
        <w:rPr>
          <w:rFonts w:ascii="Arial" w:hAnsi="Arial" w:cs="Arial"/>
          <w:sz w:val="24"/>
          <w:szCs w:val="24"/>
        </w:rPr>
        <w:t xml:space="preserve">895 mld </w:t>
      </w:r>
      <w:r w:rsidRPr="00744202">
        <w:rPr>
          <w:rFonts w:ascii="Arial" w:hAnsi="Arial" w:cs="Arial"/>
          <w:sz w:val="24"/>
          <w:szCs w:val="24"/>
        </w:rPr>
        <w:t xml:space="preserve">euro), </w:t>
      </w:r>
      <w:r w:rsidRPr="0010023D">
        <w:rPr>
          <w:rFonts w:ascii="Arial" w:hAnsi="Arial" w:cs="Arial"/>
          <w:sz w:val="24"/>
          <w:szCs w:val="24"/>
        </w:rPr>
        <w:t>co oznacza dalszą poprawę pomimo wypłaty rekordowo wysokiej dywidendy w drugim kwartale, w kwocie około 800 mln euro.</w:t>
      </w:r>
    </w:p>
    <w:p w14:paraId="1C198D59" w14:textId="77777777" w:rsidR="0017309A" w:rsidRDefault="0017309A" w:rsidP="00C92205">
      <w:pPr>
        <w:jc w:val="both"/>
        <w:rPr>
          <w:rFonts w:ascii="Arial" w:hAnsi="Arial" w:cs="Arial"/>
          <w:sz w:val="24"/>
          <w:szCs w:val="24"/>
        </w:rPr>
      </w:pPr>
    </w:p>
    <w:p w14:paraId="1B503F70" w14:textId="77777777" w:rsidR="00C92205" w:rsidRPr="0010023D" w:rsidRDefault="00C92205" w:rsidP="0010023D">
      <w:pPr>
        <w:jc w:val="both"/>
        <w:rPr>
          <w:rFonts w:ascii="Arial" w:hAnsi="Arial" w:cs="Arial"/>
          <w:b/>
          <w:bCs/>
          <w:sz w:val="24"/>
          <w:szCs w:val="24"/>
        </w:rPr>
      </w:pPr>
      <w:r w:rsidRPr="0010023D">
        <w:rPr>
          <w:rFonts w:ascii="Arial" w:hAnsi="Arial" w:cs="Arial"/>
          <w:b/>
          <w:bCs/>
          <w:sz w:val="24"/>
          <w:szCs w:val="24"/>
        </w:rPr>
        <w:t>Koncentracja na trwałym rentownym wzroście</w:t>
      </w:r>
    </w:p>
    <w:p w14:paraId="709E76B0" w14:textId="77777777" w:rsidR="00C92205" w:rsidRPr="0010023D" w:rsidRDefault="00C92205" w:rsidP="0010023D">
      <w:pPr>
        <w:jc w:val="both"/>
        <w:rPr>
          <w:rFonts w:ascii="Arial" w:hAnsi="Arial" w:cs="Arial"/>
          <w:sz w:val="24"/>
          <w:szCs w:val="24"/>
        </w:rPr>
      </w:pPr>
    </w:p>
    <w:p w14:paraId="0A3C3753" w14:textId="6A0A9396" w:rsidR="00C92205" w:rsidRPr="0010023D" w:rsidRDefault="00C92205" w:rsidP="0010023D">
      <w:pPr>
        <w:jc w:val="both"/>
        <w:rPr>
          <w:rFonts w:ascii="Arial" w:hAnsi="Arial" w:cs="Arial"/>
          <w:sz w:val="24"/>
          <w:szCs w:val="24"/>
        </w:rPr>
      </w:pPr>
      <w:r w:rsidRPr="0010023D">
        <w:rPr>
          <w:rFonts w:ascii="Arial" w:hAnsi="Arial" w:cs="Arial"/>
          <w:sz w:val="24"/>
          <w:szCs w:val="24"/>
        </w:rPr>
        <w:t xml:space="preserve">– Realizujemy długoterminową strategię </w:t>
      </w:r>
      <w:r w:rsidR="00744202">
        <w:rPr>
          <w:rFonts w:ascii="Arial" w:hAnsi="Arial" w:cs="Arial"/>
          <w:sz w:val="24"/>
          <w:szCs w:val="24"/>
        </w:rPr>
        <w:t>w oparciu o</w:t>
      </w:r>
      <w:r w:rsidR="00744202" w:rsidRPr="0010023D">
        <w:rPr>
          <w:rFonts w:ascii="Arial" w:hAnsi="Arial" w:cs="Arial"/>
          <w:sz w:val="24"/>
          <w:szCs w:val="24"/>
        </w:rPr>
        <w:t xml:space="preserve"> </w:t>
      </w:r>
      <w:r w:rsidRPr="0010023D">
        <w:rPr>
          <w:rFonts w:ascii="Arial" w:hAnsi="Arial" w:cs="Arial"/>
          <w:sz w:val="24"/>
          <w:szCs w:val="24"/>
        </w:rPr>
        <w:t xml:space="preserve">jasne priorytety i ambitne cele – powiedział Hans Van </w:t>
      </w:r>
      <w:proofErr w:type="spellStart"/>
      <w:r w:rsidRPr="0010023D">
        <w:rPr>
          <w:rFonts w:ascii="Arial" w:hAnsi="Arial" w:cs="Arial"/>
          <w:sz w:val="24"/>
          <w:szCs w:val="24"/>
        </w:rPr>
        <w:t>Bylen</w:t>
      </w:r>
      <w:proofErr w:type="spellEnd"/>
      <w:r w:rsidRPr="0010023D">
        <w:rPr>
          <w:rFonts w:ascii="Arial" w:hAnsi="Arial" w:cs="Arial"/>
          <w:sz w:val="24"/>
          <w:szCs w:val="24"/>
        </w:rPr>
        <w:t>. – Inwestycje w marki, technologie, innowacje i cyfryzację stanowią fundament</w:t>
      </w:r>
      <w:r w:rsidR="00744202">
        <w:rPr>
          <w:rFonts w:ascii="Arial" w:hAnsi="Arial" w:cs="Arial"/>
          <w:sz w:val="24"/>
          <w:szCs w:val="24"/>
        </w:rPr>
        <w:t xml:space="preserve">, na którym chcemy budować nasz dalszy rentowny wzrost. </w:t>
      </w:r>
    </w:p>
    <w:p w14:paraId="36D64717" w14:textId="77777777" w:rsidR="00C92205" w:rsidRPr="0010023D" w:rsidRDefault="00C92205" w:rsidP="0010023D">
      <w:pPr>
        <w:jc w:val="both"/>
        <w:rPr>
          <w:rFonts w:ascii="Arial" w:hAnsi="Arial" w:cs="Arial"/>
          <w:sz w:val="16"/>
          <w:szCs w:val="16"/>
        </w:rPr>
      </w:pPr>
    </w:p>
    <w:p w14:paraId="55720FDA" w14:textId="424D31A0" w:rsidR="00C92205" w:rsidRPr="0010023D" w:rsidRDefault="00C92205" w:rsidP="0010023D">
      <w:pPr>
        <w:jc w:val="both"/>
        <w:rPr>
          <w:rFonts w:ascii="Arial" w:hAnsi="Arial" w:cs="Arial"/>
          <w:sz w:val="16"/>
          <w:szCs w:val="16"/>
        </w:rPr>
      </w:pPr>
      <w:r w:rsidRPr="0010023D">
        <w:rPr>
          <w:rFonts w:ascii="Arial" w:hAnsi="Arial" w:cs="Arial"/>
          <w:sz w:val="16"/>
          <w:szCs w:val="16"/>
        </w:rPr>
        <w:lastRenderedPageBreak/>
        <w:t>* Po uwzględnieniu kosztów/zysków o charakterze jednorazowym oraz kosztów restrukturyzacji.</w:t>
      </w:r>
    </w:p>
    <w:p w14:paraId="13D6F783" w14:textId="77777777" w:rsidR="00C92205" w:rsidRPr="0010023D" w:rsidRDefault="00C92205" w:rsidP="0010023D">
      <w:pPr>
        <w:jc w:val="both"/>
        <w:rPr>
          <w:rFonts w:ascii="Arial" w:hAnsi="Arial" w:cs="Arial"/>
          <w:sz w:val="24"/>
          <w:szCs w:val="24"/>
        </w:rPr>
      </w:pPr>
    </w:p>
    <w:p w14:paraId="7FDA8975" w14:textId="2675A3D0" w:rsidR="00C92205" w:rsidRPr="0010023D" w:rsidRDefault="00C92205" w:rsidP="0010023D">
      <w:pPr>
        <w:jc w:val="both"/>
        <w:rPr>
          <w:rFonts w:ascii="Arial" w:hAnsi="Arial" w:cs="Arial"/>
          <w:b/>
          <w:bCs/>
        </w:rPr>
      </w:pPr>
      <w:r w:rsidRPr="0010023D">
        <w:rPr>
          <w:rFonts w:ascii="Arial" w:hAnsi="Arial" w:cs="Arial"/>
          <w:b/>
          <w:bCs/>
        </w:rPr>
        <w:t>O firmie Henkel Polska</w:t>
      </w:r>
    </w:p>
    <w:p w14:paraId="7DD85CFD" w14:textId="5AD6EB49" w:rsidR="00C92205" w:rsidRPr="0010023D" w:rsidRDefault="00C92205" w:rsidP="0010023D">
      <w:pPr>
        <w:jc w:val="both"/>
        <w:rPr>
          <w:rFonts w:ascii="Arial" w:hAnsi="Arial" w:cs="Arial"/>
        </w:rPr>
      </w:pPr>
      <w:r w:rsidRPr="0010023D">
        <w:rPr>
          <w:rFonts w:ascii="Arial" w:hAnsi="Arial" w:cs="Arial"/>
        </w:rPr>
        <w:t xml:space="preserve">Henkel jest firmą globalną, o zrównoważonej i różnorodnej ofercie produktów i usług. Dzięki wiodącym markom, innowacjom i technologiom spółka zajmuje czołowe pozycje rynkowe zarówno w sektorze </w:t>
      </w:r>
      <w:r w:rsidRPr="0010023D">
        <w:rPr>
          <w:rFonts w:ascii="Arial" w:hAnsi="Arial" w:cs="Arial"/>
        </w:rPr>
        <w:tab/>
        <w:t>przemysłowym</w:t>
      </w:r>
      <w:r w:rsidR="002B49DC">
        <w:rPr>
          <w:rFonts w:ascii="Arial" w:hAnsi="Arial" w:cs="Arial"/>
        </w:rPr>
        <w:t xml:space="preserve"> </w:t>
      </w:r>
      <w:r w:rsidRPr="0010023D">
        <w:rPr>
          <w:rFonts w:ascii="Arial" w:hAnsi="Arial" w:cs="Arial"/>
        </w:rPr>
        <w:t xml:space="preserve">jak i dóbr konsumpcyjnych. Henkel </w:t>
      </w:r>
      <w:proofErr w:type="spellStart"/>
      <w:r w:rsidRPr="0010023D">
        <w:rPr>
          <w:rFonts w:ascii="Arial" w:hAnsi="Arial" w:cs="Arial"/>
        </w:rPr>
        <w:t>Adhesive</w:t>
      </w:r>
      <w:proofErr w:type="spellEnd"/>
      <w:r w:rsidRPr="0010023D">
        <w:rPr>
          <w:rFonts w:ascii="Arial" w:hAnsi="Arial" w:cs="Arial"/>
        </w:rPr>
        <w:t xml:space="preserve"> Technologies (dział klejów budowlanych i </w:t>
      </w:r>
      <w:r w:rsidRPr="0010023D">
        <w:rPr>
          <w:rFonts w:ascii="Arial" w:hAnsi="Arial" w:cs="Arial"/>
        </w:rPr>
        <w:tab/>
        <w:t xml:space="preserve">konsumenckich oraz technologii dla przemysłu) jest światowym liderem rynku klejów. Działy </w:t>
      </w:r>
      <w:proofErr w:type="spellStart"/>
      <w:r w:rsidRPr="0010023D">
        <w:rPr>
          <w:rFonts w:ascii="Arial" w:hAnsi="Arial" w:cs="Arial"/>
        </w:rPr>
        <w:t>Laundry</w:t>
      </w:r>
      <w:proofErr w:type="spellEnd"/>
      <w:r w:rsidRPr="0010023D">
        <w:rPr>
          <w:rFonts w:ascii="Arial" w:hAnsi="Arial" w:cs="Arial"/>
        </w:rPr>
        <w:t xml:space="preserve"> &amp;</w:t>
      </w:r>
      <w:r w:rsidR="002B49DC">
        <w:rPr>
          <w:rFonts w:ascii="Arial" w:hAnsi="Arial" w:cs="Arial"/>
        </w:rPr>
        <w:t xml:space="preserve"> </w:t>
      </w:r>
      <w:r w:rsidRPr="0010023D">
        <w:rPr>
          <w:rFonts w:ascii="Arial" w:hAnsi="Arial" w:cs="Arial"/>
        </w:rPr>
        <w:t xml:space="preserve">Home </w:t>
      </w:r>
      <w:proofErr w:type="spellStart"/>
      <w:r w:rsidRPr="0010023D">
        <w:rPr>
          <w:rFonts w:ascii="Arial" w:hAnsi="Arial" w:cs="Arial"/>
        </w:rPr>
        <w:t>Care</w:t>
      </w:r>
      <w:proofErr w:type="spellEnd"/>
      <w:r w:rsidRPr="0010023D">
        <w:rPr>
          <w:rFonts w:ascii="Arial" w:hAnsi="Arial" w:cs="Arial"/>
        </w:rPr>
        <w:t xml:space="preserve"> (środków piorących i czystości) oraz </w:t>
      </w:r>
      <w:proofErr w:type="spellStart"/>
      <w:r w:rsidRPr="0010023D">
        <w:rPr>
          <w:rFonts w:ascii="Arial" w:hAnsi="Arial" w:cs="Arial"/>
        </w:rPr>
        <w:t>Beauty</w:t>
      </w:r>
      <w:proofErr w:type="spellEnd"/>
      <w:r w:rsidRPr="0010023D">
        <w:rPr>
          <w:rFonts w:ascii="Arial" w:hAnsi="Arial" w:cs="Arial"/>
        </w:rPr>
        <w:t xml:space="preserve"> </w:t>
      </w:r>
      <w:proofErr w:type="spellStart"/>
      <w:r w:rsidRPr="0010023D">
        <w:rPr>
          <w:rFonts w:ascii="Arial" w:hAnsi="Arial" w:cs="Arial"/>
        </w:rPr>
        <w:t>Care</w:t>
      </w:r>
      <w:proofErr w:type="spellEnd"/>
      <w:r w:rsidRPr="0010023D">
        <w:rPr>
          <w:rFonts w:ascii="Arial" w:hAnsi="Arial" w:cs="Arial"/>
        </w:rPr>
        <w:t xml:space="preserve"> (kosmetyków) zajmują wiodące pozycje </w:t>
      </w:r>
      <w:r w:rsidRPr="0010023D">
        <w:rPr>
          <w:rFonts w:ascii="Arial" w:hAnsi="Arial" w:cs="Arial"/>
        </w:rPr>
        <w:tab/>
        <w:t xml:space="preserve">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w:t>
      </w:r>
      <w:r w:rsidRPr="0010023D">
        <w:rPr>
          <w:rFonts w:ascii="Arial" w:hAnsi="Arial" w:cs="Arial"/>
        </w:rPr>
        <w:tab/>
        <w:t xml:space="preserve">korporacyjnej i wspólnych wartościach, która dąży do kreowania trwałej wartości. Jako uznany lider </w:t>
      </w:r>
      <w:r w:rsidRPr="0010023D">
        <w:rPr>
          <w:rFonts w:ascii="Arial" w:hAnsi="Arial" w:cs="Arial"/>
        </w:rPr>
        <w:tab/>
        <w:t xml:space="preserve">zrównoważonego rozwoju Henkel zajmuje czołowe miejsca w wielu międzynarodowych indeksach i </w:t>
      </w:r>
      <w:r w:rsidRPr="0010023D">
        <w:rPr>
          <w:rFonts w:ascii="Arial" w:hAnsi="Arial" w:cs="Arial"/>
        </w:rPr>
        <w:tab/>
        <w:t xml:space="preserve">rankingach. Akcje uprzywilejowane spółki wchodzą w skład niemieckiego indeksu giełdowego DAX. </w:t>
      </w:r>
      <w:r w:rsidRPr="0010023D">
        <w:rPr>
          <w:rFonts w:ascii="Arial" w:hAnsi="Arial" w:cs="Arial"/>
        </w:rPr>
        <w:tab/>
        <w:t>Więcej</w:t>
      </w:r>
      <w:r w:rsidR="002B49DC">
        <w:rPr>
          <w:rFonts w:ascii="Arial" w:hAnsi="Arial" w:cs="Arial"/>
        </w:rPr>
        <w:t xml:space="preserve"> </w:t>
      </w:r>
      <w:r w:rsidRPr="0010023D">
        <w:rPr>
          <w:rFonts w:ascii="Arial" w:hAnsi="Arial" w:cs="Arial"/>
        </w:rPr>
        <w:t>informacji na www.henkel.com oraz www.henkel.pl.</w:t>
      </w:r>
    </w:p>
    <w:p w14:paraId="7074501E" w14:textId="77777777" w:rsidR="00C92205" w:rsidRPr="0010023D" w:rsidRDefault="00C92205" w:rsidP="0010023D">
      <w:pPr>
        <w:jc w:val="both"/>
        <w:rPr>
          <w:rFonts w:ascii="Arial" w:hAnsi="Arial" w:cs="Arial"/>
          <w:sz w:val="24"/>
          <w:szCs w:val="24"/>
        </w:rPr>
      </w:pPr>
    </w:p>
    <w:p w14:paraId="393272A1" w14:textId="429DEF6C" w:rsidR="00C92205" w:rsidRPr="0010023D" w:rsidRDefault="00C92205" w:rsidP="0010023D">
      <w:pPr>
        <w:jc w:val="both"/>
        <w:rPr>
          <w:rFonts w:ascii="Arial" w:hAnsi="Arial" w:cs="Arial"/>
          <w:sz w:val="16"/>
          <w:szCs w:val="16"/>
        </w:rPr>
      </w:pPr>
      <w:r w:rsidRPr="0010023D">
        <w:rPr>
          <w:rFonts w:ascii="Arial" w:hAnsi="Arial" w:cs="Arial"/>
          <w:sz w:val="16"/>
          <w:szCs w:val="16"/>
        </w:rPr>
        <w:t xml:space="preserve">Niniejszy dokument zawiera stwierdzenia dotyczące przyszłości sformułowane na podstawie aktualnych założeń i szacunków zarządu Henkel </w:t>
      </w:r>
      <w:r w:rsidRPr="0010023D">
        <w:rPr>
          <w:rFonts w:ascii="Arial" w:hAnsi="Arial" w:cs="Arial"/>
          <w:sz w:val="16"/>
          <w:szCs w:val="16"/>
        </w:rPr>
        <w:tab/>
        <w:t xml:space="preserve">AG &amp; Co. </w:t>
      </w:r>
      <w:proofErr w:type="spellStart"/>
      <w:r w:rsidRPr="0010023D">
        <w:rPr>
          <w:rFonts w:ascii="Arial" w:hAnsi="Arial" w:cs="Arial"/>
          <w:sz w:val="16"/>
          <w:szCs w:val="16"/>
        </w:rPr>
        <w:t>KGaA</w:t>
      </w:r>
      <w:proofErr w:type="spellEnd"/>
      <w:r w:rsidRPr="0010023D">
        <w:rPr>
          <w:rFonts w:ascii="Arial" w:hAnsi="Arial" w:cs="Arial"/>
          <w:sz w:val="16"/>
          <w:szCs w:val="16"/>
        </w:rPr>
        <w:t xml:space="preserve">. Stwierdzenia odnoszące się do przyszłości charakteryzują się użyciem słów takich, jak „oczekiwać”, „zamierzać”, „planować”, </w:t>
      </w:r>
      <w:r w:rsidRPr="0010023D">
        <w:rPr>
          <w:rFonts w:ascii="Arial" w:hAnsi="Arial" w:cs="Arial"/>
          <w:sz w:val="16"/>
          <w:szCs w:val="16"/>
        </w:rPr>
        <w:tab/>
        <w:t>„przewidywać”, „uważać”, „szacować” i podobnych wyrażeń. Stwierdzeń dotyczących przyszłości nie należy traktować jako gwarancji, że</w:t>
      </w:r>
      <w:r w:rsidR="002954DD">
        <w:rPr>
          <w:rFonts w:ascii="Arial" w:hAnsi="Arial" w:cs="Arial"/>
          <w:sz w:val="16"/>
          <w:szCs w:val="16"/>
        </w:rPr>
        <w:t xml:space="preserve"> </w:t>
      </w:r>
      <w:r w:rsidRPr="0010023D">
        <w:rPr>
          <w:rFonts w:ascii="Arial" w:hAnsi="Arial" w:cs="Arial"/>
          <w:sz w:val="16"/>
          <w:szCs w:val="16"/>
        </w:rPr>
        <w:t xml:space="preserve">określone założenia czy oczekiwania okażą się trafne. Faktyczne przyszłe wyniki spółki Henkel AG &amp; Co. </w:t>
      </w:r>
      <w:proofErr w:type="spellStart"/>
      <w:r w:rsidRPr="0010023D">
        <w:rPr>
          <w:rFonts w:ascii="Arial" w:hAnsi="Arial" w:cs="Arial"/>
          <w:sz w:val="16"/>
          <w:szCs w:val="16"/>
        </w:rPr>
        <w:t>KGaA</w:t>
      </w:r>
      <w:proofErr w:type="spellEnd"/>
      <w:r w:rsidRPr="0010023D">
        <w:rPr>
          <w:rFonts w:ascii="Arial" w:hAnsi="Arial" w:cs="Arial"/>
          <w:sz w:val="16"/>
          <w:szCs w:val="16"/>
        </w:rPr>
        <w:t xml:space="preserve"> i jej podmiotów powiązanych </w:t>
      </w:r>
      <w:r w:rsidRPr="0010023D">
        <w:rPr>
          <w:rFonts w:ascii="Arial" w:hAnsi="Arial" w:cs="Arial"/>
          <w:sz w:val="16"/>
          <w:szCs w:val="16"/>
        </w:rPr>
        <w:tab/>
        <w:t xml:space="preserve">uzależnione są od szeregu czynników ryzyka i niepewności, w związku z czym mogą one istotnie odbiegać od wyników wskazanych w </w:t>
      </w:r>
      <w:r w:rsidRPr="0010023D">
        <w:rPr>
          <w:rFonts w:ascii="Arial" w:hAnsi="Arial" w:cs="Arial"/>
          <w:sz w:val="16"/>
          <w:szCs w:val="16"/>
        </w:rPr>
        <w:tab/>
        <w:t>stwierdzeniach</w:t>
      </w:r>
      <w:r w:rsidR="002954DD">
        <w:rPr>
          <w:rFonts w:ascii="Arial" w:hAnsi="Arial" w:cs="Arial"/>
          <w:sz w:val="16"/>
          <w:szCs w:val="16"/>
        </w:rPr>
        <w:t xml:space="preserve"> </w:t>
      </w:r>
      <w:r w:rsidRPr="0010023D">
        <w:rPr>
          <w:rFonts w:ascii="Arial" w:hAnsi="Arial" w:cs="Arial"/>
          <w:sz w:val="16"/>
          <w:szCs w:val="16"/>
        </w:rPr>
        <w:t xml:space="preserve">dotyczących przyszłości. Na wiele z tych czynników, np. przyszłą sytuację gospodarczą czy działania konkurencji i innych </w:t>
      </w:r>
      <w:r w:rsidRPr="0010023D">
        <w:rPr>
          <w:rFonts w:ascii="Arial" w:hAnsi="Arial" w:cs="Arial"/>
          <w:sz w:val="16"/>
          <w:szCs w:val="16"/>
        </w:rPr>
        <w:tab/>
        <w:t>uczestników rynku, Henkel nie ma wpływu, a ich dokładne przewidzenie nie jest możliwe. Henkel nie zamierza ani nie podejmuje się aktualizować stwierdzeń dotyczących przyszłości.</w:t>
      </w:r>
    </w:p>
    <w:p w14:paraId="2810CBB5" w14:textId="06959A69" w:rsidR="00C92205" w:rsidRPr="0010023D" w:rsidRDefault="00C92205" w:rsidP="0010023D">
      <w:pPr>
        <w:jc w:val="both"/>
        <w:rPr>
          <w:rFonts w:ascii="Arial" w:hAnsi="Arial" w:cs="Arial"/>
          <w:sz w:val="16"/>
          <w:szCs w:val="16"/>
        </w:rPr>
      </w:pPr>
      <w:r w:rsidRPr="0010023D">
        <w:rPr>
          <w:rFonts w:ascii="Arial" w:hAnsi="Arial" w:cs="Arial"/>
          <w:sz w:val="16"/>
          <w:szCs w:val="16"/>
        </w:rPr>
        <w:t>Niniejszy dokument zawiera niezdefiniowane wyraźnie w obowiązujących zasadach sprawozdawczości finansowej dodatkowe wskaźniki finansowe, które stanowią lub mogą stanowić alternatywne mierniki wyników (niebędące wskaźnikami przewidzianymi w ogólnie przyjętych zasadach rachunkowości). Takie dodatkowe wskaźniki finansowe nie powinny być analizowane w oderwaniu od wskaźników prezentujących aktywa netto, sytuację finansową lub wyniki działalności Henkel, które zostały przedstawione zgodnie z obowiązującymi zasadami sprawozdawczości finansowej w skonsolidowanym sprawozdaniu finansowym spółki, ani traktowane jako alternatywa dla tych wskaźników. Podobnie nazwane alternatywne mierniki wyników podawane lub opisywane przez inne spółki mogą być obliczane w inny sposób.</w:t>
      </w:r>
    </w:p>
    <w:p w14:paraId="2763B3F3" w14:textId="77777777" w:rsidR="00C92205" w:rsidRPr="0010023D" w:rsidRDefault="00C92205" w:rsidP="0010023D">
      <w:pPr>
        <w:jc w:val="both"/>
        <w:rPr>
          <w:rFonts w:ascii="Arial" w:hAnsi="Arial" w:cs="Arial"/>
          <w:sz w:val="16"/>
          <w:szCs w:val="16"/>
        </w:rPr>
      </w:pPr>
    </w:p>
    <w:p w14:paraId="36FB38E9" w14:textId="2F2F588D" w:rsidR="00C92205" w:rsidRPr="0010023D" w:rsidRDefault="00C92205" w:rsidP="0010023D">
      <w:pPr>
        <w:jc w:val="both"/>
        <w:rPr>
          <w:rFonts w:ascii="Arial" w:hAnsi="Arial" w:cs="Arial"/>
          <w:sz w:val="16"/>
          <w:szCs w:val="16"/>
        </w:rPr>
      </w:pPr>
      <w:r w:rsidRPr="0010023D">
        <w:rPr>
          <w:rFonts w:ascii="Arial" w:hAnsi="Arial" w:cs="Arial"/>
          <w:sz w:val="16"/>
          <w:szCs w:val="16"/>
        </w:rPr>
        <w:t>Niniejszy dokument ma charakter wyłącznie informacyjny i nie stanowi porady inwestycyjnej ani oferty sprzedaży lub zaproszenia do składania ofert nabycia jakichkolwiek papierów wartościowych.</w:t>
      </w:r>
    </w:p>
    <w:p w14:paraId="7C2329FE" w14:textId="77777777" w:rsidR="002954DD" w:rsidRDefault="00C92205" w:rsidP="00C92205">
      <w:pPr>
        <w:jc w:val="both"/>
        <w:rPr>
          <w:rFonts w:ascii="Arial" w:hAnsi="Arial" w:cs="Arial"/>
          <w:sz w:val="24"/>
          <w:szCs w:val="24"/>
        </w:rPr>
      </w:pPr>
      <w:r w:rsidRPr="0010023D">
        <w:rPr>
          <w:rFonts w:ascii="Arial" w:hAnsi="Arial" w:cs="Arial"/>
          <w:sz w:val="24"/>
          <w:szCs w:val="24"/>
        </w:rPr>
        <w:tab/>
      </w:r>
    </w:p>
    <w:p w14:paraId="6C0F01E9" w14:textId="77777777" w:rsidR="00C92205" w:rsidRPr="0010023D" w:rsidRDefault="00C92205" w:rsidP="0010023D">
      <w:pPr>
        <w:jc w:val="both"/>
        <w:rPr>
          <w:rFonts w:ascii="Arial" w:hAnsi="Arial" w:cs="Arial"/>
          <w:b/>
          <w:bCs/>
        </w:rPr>
      </w:pPr>
      <w:r w:rsidRPr="0010023D">
        <w:rPr>
          <w:rFonts w:ascii="Arial" w:hAnsi="Arial" w:cs="Arial"/>
          <w:b/>
          <w:bCs/>
        </w:rPr>
        <w:t>Kontakt dla prasy:</w:t>
      </w:r>
    </w:p>
    <w:p w14:paraId="16C9459A" w14:textId="4664DA69" w:rsidR="00C92205" w:rsidRPr="0010023D" w:rsidRDefault="00C92205" w:rsidP="0010023D">
      <w:pPr>
        <w:spacing w:after="0" w:line="240" w:lineRule="auto"/>
        <w:jc w:val="both"/>
        <w:rPr>
          <w:rFonts w:ascii="Arial" w:hAnsi="Arial" w:cs="Arial"/>
          <w:b/>
          <w:bCs/>
        </w:rPr>
      </w:pPr>
      <w:r w:rsidRPr="0010023D">
        <w:rPr>
          <w:rFonts w:ascii="Arial" w:hAnsi="Arial" w:cs="Arial"/>
          <w:b/>
          <w:bCs/>
        </w:rPr>
        <w:t>Dorota Strosznajder</w:t>
      </w:r>
      <w:r w:rsidRPr="0010023D">
        <w:rPr>
          <w:rFonts w:ascii="Arial" w:hAnsi="Arial" w:cs="Arial"/>
          <w:b/>
          <w:bCs/>
        </w:rPr>
        <w:tab/>
      </w:r>
      <w:r w:rsidRPr="0010023D">
        <w:rPr>
          <w:rFonts w:ascii="Arial" w:hAnsi="Arial" w:cs="Arial"/>
          <w:b/>
          <w:bCs/>
        </w:rPr>
        <w:tab/>
      </w:r>
      <w:r w:rsidRPr="0010023D">
        <w:rPr>
          <w:rFonts w:ascii="Arial" w:hAnsi="Arial" w:cs="Arial"/>
        </w:rPr>
        <w:tab/>
      </w:r>
      <w:r w:rsidRPr="0010023D">
        <w:rPr>
          <w:rFonts w:ascii="Arial" w:hAnsi="Arial" w:cs="Arial"/>
        </w:rPr>
        <w:tab/>
      </w:r>
      <w:r w:rsidRPr="0010023D">
        <w:rPr>
          <w:rFonts w:ascii="Arial" w:hAnsi="Arial" w:cs="Arial"/>
          <w:b/>
          <w:bCs/>
        </w:rPr>
        <w:t>Magdalena Bryksa-Szymańczak</w:t>
      </w:r>
    </w:p>
    <w:p w14:paraId="427FE575" w14:textId="261BC909" w:rsidR="00C92205" w:rsidRPr="0010023D" w:rsidRDefault="00C92205" w:rsidP="0010023D">
      <w:pPr>
        <w:spacing w:after="0" w:line="240" w:lineRule="auto"/>
        <w:jc w:val="both"/>
        <w:rPr>
          <w:rFonts w:ascii="Arial" w:hAnsi="Arial" w:cs="Arial"/>
          <w:lang w:val="en-US"/>
        </w:rPr>
      </w:pPr>
      <w:r w:rsidRPr="0010023D">
        <w:rPr>
          <w:rFonts w:ascii="Arial" w:hAnsi="Arial" w:cs="Arial"/>
        </w:rPr>
        <w:t>Henkel Polska Sp. z o.o.</w:t>
      </w:r>
      <w:r w:rsidRPr="0010023D">
        <w:rPr>
          <w:rFonts w:ascii="Arial" w:hAnsi="Arial" w:cs="Arial"/>
        </w:rPr>
        <w:tab/>
      </w:r>
      <w:r w:rsidRPr="0010023D">
        <w:rPr>
          <w:rFonts w:ascii="Arial" w:hAnsi="Arial" w:cs="Arial"/>
        </w:rPr>
        <w:tab/>
      </w:r>
      <w:r w:rsidRPr="0010023D">
        <w:rPr>
          <w:rFonts w:ascii="Arial" w:hAnsi="Arial" w:cs="Arial"/>
        </w:rPr>
        <w:tab/>
      </w:r>
      <w:r w:rsidRPr="0010023D">
        <w:rPr>
          <w:rFonts w:ascii="Arial" w:hAnsi="Arial" w:cs="Arial"/>
          <w:lang w:val="en-US"/>
        </w:rPr>
        <w:t>Solski Communications</w:t>
      </w:r>
    </w:p>
    <w:p w14:paraId="3F92A267" w14:textId="12FC1E69" w:rsidR="00C92205" w:rsidRPr="0010023D" w:rsidRDefault="00C92205" w:rsidP="0010023D">
      <w:pPr>
        <w:spacing w:after="0" w:line="240" w:lineRule="auto"/>
        <w:jc w:val="both"/>
        <w:rPr>
          <w:rFonts w:ascii="Arial" w:hAnsi="Arial" w:cs="Arial"/>
          <w:lang w:val="en-US"/>
        </w:rPr>
      </w:pPr>
      <w:proofErr w:type="spellStart"/>
      <w:r w:rsidRPr="0010023D">
        <w:rPr>
          <w:rFonts w:ascii="Arial" w:hAnsi="Arial" w:cs="Arial"/>
          <w:lang w:val="en-US"/>
        </w:rPr>
        <w:t>tel</w:t>
      </w:r>
      <w:proofErr w:type="spellEnd"/>
      <w:r w:rsidRPr="0010023D">
        <w:rPr>
          <w:rFonts w:ascii="Arial" w:hAnsi="Arial" w:cs="Arial"/>
          <w:lang w:val="en-US"/>
        </w:rPr>
        <w:t>: (022) 565 66 65</w:t>
      </w:r>
      <w:r w:rsidRPr="0010023D">
        <w:rPr>
          <w:rFonts w:ascii="Arial" w:hAnsi="Arial" w:cs="Arial"/>
          <w:lang w:val="en-US"/>
        </w:rPr>
        <w:tab/>
      </w:r>
      <w:r w:rsidRPr="0010023D">
        <w:rPr>
          <w:rFonts w:ascii="Arial" w:hAnsi="Arial" w:cs="Arial"/>
          <w:lang w:val="en-US"/>
        </w:rPr>
        <w:tab/>
      </w:r>
      <w:r w:rsidRPr="0010023D">
        <w:rPr>
          <w:rFonts w:ascii="Arial" w:hAnsi="Arial" w:cs="Arial"/>
          <w:lang w:val="en-US"/>
        </w:rPr>
        <w:tab/>
      </w:r>
      <w:r w:rsidRPr="0010023D">
        <w:rPr>
          <w:rFonts w:ascii="Arial" w:hAnsi="Arial" w:cs="Arial"/>
          <w:lang w:val="en-US"/>
        </w:rPr>
        <w:tab/>
      </w:r>
      <w:proofErr w:type="spellStart"/>
      <w:r w:rsidRPr="0010023D">
        <w:rPr>
          <w:rFonts w:ascii="Arial" w:hAnsi="Arial" w:cs="Arial"/>
          <w:lang w:val="en-US"/>
        </w:rPr>
        <w:t>tel</w:t>
      </w:r>
      <w:proofErr w:type="spellEnd"/>
      <w:r w:rsidRPr="0010023D">
        <w:rPr>
          <w:rFonts w:ascii="Arial" w:hAnsi="Arial" w:cs="Arial"/>
          <w:lang w:val="en-US"/>
        </w:rPr>
        <w:t>: (022) 242 86 43</w:t>
      </w:r>
    </w:p>
    <w:p w14:paraId="32A358FE" w14:textId="020D2923" w:rsidR="00C92205" w:rsidRPr="0010023D" w:rsidRDefault="00AE01C7" w:rsidP="002B49DC">
      <w:pPr>
        <w:spacing w:after="0" w:line="240" w:lineRule="auto"/>
        <w:jc w:val="both"/>
        <w:rPr>
          <w:rFonts w:ascii="Arial" w:hAnsi="Arial" w:cs="Arial"/>
          <w:lang w:val="en-US"/>
        </w:rPr>
      </w:pPr>
      <w:hyperlink r:id="rId6" w:history="1">
        <w:r w:rsidR="00C92205" w:rsidRPr="0010023D">
          <w:rPr>
            <w:rStyle w:val="Hipercze"/>
            <w:rFonts w:ascii="Arial" w:hAnsi="Arial" w:cs="Arial"/>
            <w:lang w:val="en-US"/>
          </w:rPr>
          <w:t>dorota.strosznajder@henkel.com</w:t>
        </w:r>
      </w:hyperlink>
      <w:r w:rsidR="00C92205" w:rsidRPr="0010023D">
        <w:rPr>
          <w:rFonts w:ascii="Arial" w:hAnsi="Arial" w:cs="Arial"/>
          <w:lang w:val="en-US"/>
        </w:rPr>
        <w:t xml:space="preserve"> </w:t>
      </w:r>
      <w:r w:rsidR="00C92205" w:rsidRPr="0010023D">
        <w:rPr>
          <w:rFonts w:ascii="Arial" w:hAnsi="Arial" w:cs="Arial"/>
          <w:lang w:val="en-US"/>
        </w:rPr>
        <w:tab/>
      </w:r>
      <w:r w:rsidR="00C92205" w:rsidRPr="0010023D">
        <w:rPr>
          <w:rFonts w:ascii="Arial" w:hAnsi="Arial" w:cs="Arial"/>
          <w:lang w:val="en-US"/>
        </w:rPr>
        <w:tab/>
      </w:r>
      <w:hyperlink r:id="rId7" w:history="1">
        <w:r w:rsidR="00C92205" w:rsidRPr="0010023D">
          <w:rPr>
            <w:rStyle w:val="Hipercze"/>
            <w:rFonts w:ascii="Arial" w:hAnsi="Arial" w:cs="Arial"/>
            <w:lang w:val="en-US"/>
          </w:rPr>
          <w:t>mszymanczak@solskipr.pl</w:t>
        </w:r>
      </w:hyperlink>
      <w:r w:rsidR="00C92205" w:rsidRPr="0010023D">
        <w:rPr>
          <w:rFonts w:ascii="Arial" w:hAnsi="Arial" w:cs="Arial"/>
          <w:lang w:val="en-US"/>
        </w:rPr>
        <w:t xml:space="preserve"> </w:t>
      </w:r>
    </w:p>
    <w:p w14:paraId="3F99D53A" w14:textId="77777777" w:rsidR="00934CDC" w:rsidRPr="0010023D" w:rsidRDefault="00AE01C7" w:rsidP="0010023D">
      <w:pPr>
        <w:jc w:val="both"/>
        <w:rPr>
          <w:rFonts w:ascii="Arial" w:hAnsi="Arial" w:cs="Arial"/>
          <w:sz w:val="24"/>
          <w:szCs w:val="24"/>
          <w:lang w:val="en-US"/>
        </w:rPr>
      </w:pPr>
    </w:p>
    <w:sectPr w:rsidR="00934CDC" w:rsidRPr="0010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05"/>
    <w:rsid w:val="00011617"/>
    <w:rsid w:val="000279DD"/>
    <w:rsid w:val="00095FB8"/>
    <w:rsid w:val="0010023D"/>
    <w:rsid w:val="0017309A"/>
    <w:rsid w:val="00253D05"/>
    <w:rsid w:val="002954DD"/>
    <w:rsid w:val="002B49DC"/>
    <w:rsid w:val="00453BE8"/>
    <w:rsid w:val="00584CB9"/>
    <w:rsid w:val="005B1BB7"/>
    <w:rsid w:val="00744202"/>
    <w:rsid w:val="007A7DA8"/>
    <w:rsid w:val="00935EEF"/>
    <w:rsid w:val="009C5C5F"/>
    <w:rsid w:val="00AE01C7"/>
    <w:rsid w:val="00B30B5D"/>
    <w:rsid w:val="00C92205"/>
    <w:rsid w:val="00CD449F"/>
    <w:rsid w:val="00CE2884"/>
    <w:rsid w:val="00F37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DFE9"/>
  <w15:chartTrackingRefBased/>
  <w15:docId w15:val="{A0932ED3-354F-438F-BAB9-6D162BF1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2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2205"/>
    <w:rPr>
      <w:rFonts w:ascii="Segoe UI" w:hAnsi="Segoe UI" w:cs="Segoe UI"/>
      <w:sz w:val="18"/>
      <w:szCs w:val="18"/>
    </w:rPr>
  </w:style>
  <w:style w:type="character" w:styleId="Hipercze">
    <w:name w:val="Hyperlink"/>
    <w:basedOn w:val="Domylnaczcionkaakapitu"/>
    <w:uiPriority w:val="99"/>
    <w:unhideWhenUsed/>
    <w:rsid w:val="0017309A"/>
    <w:rPr>
      <w:color w:val="0563C1" w:themeColor="hyperlink"/>
      <w:u w:val="single"/>
    </w:rPr>
  </w:style>
  <w:style w:type="character" w:styleId="Nierozpoznanawzmianka">
    <w:name w:val="Unresolved Mention"/>
    <w:basedOn w:val="Domylnaczcionkaakapitu"/>
    <w:uiPriority w:val="99"/>
    <w:semiHidden/>
    <w:unhideWhenUsed/>
    <w:rsid w:val="00173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szymanczak\Desktop\mszymanczak@solskipr.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mszymanczak\Desktop\dorota.strosznajder@henke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D142-896C-4C1F-A122-B6519E6A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13326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Bryksa-Szymańczak</dc:creator>
  <cp:keywords/>
  <dc:description/>
  <cp:lastModifiedBy>Magdalena Bryksa-Szymańczak</cp:lastModifiedBy>
  <cp:revision>2</cp:revision>
  <dcterms:created xsi:type="dcterms:W3CDTF">2019-08-13T15:55:00Z</dcterms:created>
  <dcterms:modified xsi:type="dcterms:W3CDTF">2019-08-13T15:55:00Z</dcterms:modified>
</cp:coreProperties>
</file>