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C" w:rsidRPr="00E90E08" w:rsidRDefault="004D4CB6" w:rsidP="00A66DB1">
      <w:pPr>
        <w:spacing w:before="120"/>
        <w:jc w:val="right"/>
        <w:rPr>
          <w:i/>
          <w:sz w:val="24"/>
          <w:lang w:val="hu-HU"/>
        </w:rPr>
      </w:pPr>
      <w:r w:rsidRPr="00EA1752">
        <w:rPr>
          <w:bCs/>
          <w:i/>
          <w:iCs/>
          <w:sz w:val="24"/>
          <w:lang w:val="en-US"/>
        </w:rPr>
        <w:t xml:space="preserve"> </w:t>
      </w:r>
      <w:r w:rsidR="003C6A25">
        <w:rPr>
          <w:sz w:val="24"/>
          <w:lang w:val="hu-HU"/>
        </w:rPr>
        <w:t>201</w:t>
      </w:r>
      <w:r w:rsidR="004C1803">
        <w:rPr>
          <w:sz w:val="24"/>
          <w:lang w:val="hu-HU"/>
        </w:rPr>
        <w:t>9</w:t>
      </w:r>
      <w:r w:rsidR="003C6A25">
        <w:rPr>
          <w:sz w:val="24"/>
          <w:lang w:val="hu-HU"/>
        </w:rPr>
        <w:t xml:space="preserve">. </w:t>
      </w:r>
      <w:r w:rsidR="002A6AB9">
        <w:rPr>
          <w:sz w:val="24"/>
          <w:lang w:val="hu-HU"/>
        </w:rPr>
        <w:t>november 14</w:t>
      </w:r>
      <w:r w:rsidR="003C6A25">
        <w:rPr>
          <w:sz w:val="24"/>
          <w:lang w:val="hu-HU"/>
        </w:rPr>
        <w:t>.</w:t>
      </w:r>
    </w:p>
    <w:p w:rsidR="005E69D9" w:rsidRDefault="005E69D9" w:rsidP="00B422EC">
      <w:pPr>
        <w:pStyle w:val="Standard12pt"/>
        <w:rPr>
          <w:lang w:val="en-US"/>
        </w:rPr>
      </w:pPr>
    </w:p>
    <w:p w:rsidR="002A6AB9" w:rsidRDefault="002A6AB9" w:rsidP="002A6AB9">
      <w:pPr>
        <w:autoSpaceDE w:val="0"/>
        <w:autoSpaceDN w:val="0"/>
        <w:adjustRightInd w:val="0"/>
        <w:spacing w:line="24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sz w:val="24"/>
          <w:lang w:val="hu-HU"/>
        </w:rPr>
        <w:t>A Henkel megerősíti a 2019-es pénzügyi évre vonatkozó kilátásait</w:t>
      </w:r>
    </w:p>
    <w:p w:rsidR="002A6AB9" w:rsidRDefault="002A6AB9" w:rsidP="002A6AB9">
      <w:pPr>
        <w:pStyle w:val="Cmsor1"/>
      </w:pPr>
    </w:p>
    <w:p w:rsidR="002A6AB9" w:rsidRDefault="002A6AB9" w:rsidP="002A6AB9">
      <w:pPr>
        <w:pStyle w:val="Cmsor1"/>
      </w:pPr>
      <w:r>
        <w:rPr>
          <w:lang w:val="hu-HU"/>
        </w:rPr>
        <w:t>Differenciált teljesítmény egyre nehezebb piaci környezetben</w:t>
      </w:r>
    </w:p>
    <w:p w:rsidR="002A6AB9" w:rsidRDefault="002A6AB9" w:rsidP="002A6AB9">
      <w:pPr>
        <w:pStyle w:val="Cmsor1"/>
      </w:pP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en-US"/>
        </w:rPr>
      </w:pPr>
      <w:bookmarkStart w:id="0" w:name="_Hlk513195024"/>
      <w:r>
        <w:rPr>
          <w:b/>
          <w:bCs/>
          <w:sz w:val="24"/>
          <w:lang w:val="hu-HU"/>
        </w:rPr>
        <w:t>Az Adhesive Technologies kimagasló teljesítményt nyújtott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en-US"/>
        </w:rPr>
      </w:pPr>
      <w:r>
        <w:rPr>
          <w:b/>
          <w:bCs/>
          <w:sz w:val="24"/>
          <w:lang w:val="hu-HU"/>
        </w:rPr>
        <w:t>A Beauty Care az előző évi szint alatt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en-US"/>
        </w:rPr>
      </w:pPr>
      <w:r>
        <w:rPr>
          <w:b/>
          <w:bCs/>
          <w:sz w:val="24"/>
          <w:lang w:val="hu-HU"/>
        </w:rPr>
        <w:t>A Laundry &amp; Home Care jó üzleti fejlődést ér el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en-US"/>
        </w:rPr>
      </w:pPr>
      <w:r>
        <w:rPr>
          <w:b/>
          <w:bCs/>
          <w:sz w:val="24"/>
          <w:lang w:val="hu-HU"/>
        </w:rPr>
        <w:t>A csoport árbevétele 0,8%-kal 5 077 millió euróra nőtt, szervesen -0,3%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-HU"/>
        </w:rPr>
        <w:t>EBIT marzs* 16,7%-on (-1,7 pp)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-HU"/>
        </w:rPr>
        <w:t xml:space="preserve">Elsőbbségi részvények hozama* elérte az 1,43 eurót, </w:t>
      </w:r>
      <w:r>
        <w:rPr>
          <w:sz w:val="24"/>
          <w:lang w:val="hu-HU"/>
        </w:rPr>
        <w:br/>
      </w:r>
      <w:r>
        <w:rPr>
          <w:b/>
          <w:bCs/>
          <w:sz w:val="24"/>
          <w:lang w:val="hu-HU"/>
        </w:rPr>
        <w:t xml:space="preserve">nominálisan -9,5%, állandó árfolyamon -10,8% 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-HU"/>
        </w:rPr>
        <w:t>Növekvő befektetések a márkákba és a digitalizálásba</w:t>
      </w:r>
    </w:p>
    <w:p w:rsidR="002A6AB9" w:rsidRDefault="002A6AB9" w:rsidP="002A6A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lang w:val="en-US"/>
        </w:rPr>
      </w:pPr>
      <w:r>
        <w:rPr>
          <w:b/>
          <w:bCs/>
          <w:sz w:val="24"/>
          <w:lang w:val="hu-HU"/>
        </w:rPr>
        <w:t>Nagyon erős szabad cash flow: 823 millió euró (+339 millió euró)</w:t>
      </w:r>
    </w:p>
    <w:bookmarkEnd w:id="0"/>
    <w:p w:rsidR="002A6AB9" w:rsidRDefault="002A6AB9" w:rsidP="002A6AB9">
      <w:pPr>
        <w:autoSpaceDE w:val="0"/>
        <w:autoSpaceDN w:val="0"/>
        <w:adjustRightInd w:val="0"/>
        <w:spacing w:line="360" w:lineRule="auto"/>
        <w:rPr>
          <w:b/>
          <w:sz w:val="24"/>
          <w:lang w:val="en-US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lang w:val="hu-HU"/>
        </w:rPr>
      </w:pPr>
      <w:r>
        <w:rPr>
          <w:sz w:val="24"/>
          <w:lang w:val="hu-HU"/>
        </w:rPr>
        <w:t xml:space="preserve">Düsseldorf - 2019 </w:t>
      </w:r>
      <w:r>
        <w:rPr>
          <w:b/>
          <w:bCs/>
          <w:sz w:val="24"/>
          <w:lang w:val="hu-HU"/>
        </w:rPr>
        <w:t>harmadik negyedévében</w:t>
      </w:r>
      <w:r>
        <w:rPr>
          <w:sz w:val="24"/>
          <w:lang w:val="hu-HU"/>
        </w:rPr>
        <w:t xml:space="preserve"> a Henkel üzleti fejlődését egyre nehezebb piaci környezet jellemezte. Az</w:t>
      </w:r>
      <w:r>
        <w:rPr>
          <w:b/>
          <w:bCs/>
          <w:sz w:val="24"/>
          <w:lang w:val="hu-HU"/>
        </w:rPr>
        <w:t xml:space="preserve"> árbevétel </w:t>
      </w:r>
      <w:r>
        <w:rPr>
          <w:sz w:val="24"/>
          <w:lang w:val="hu-HU"/>
        </w:rPr>
        <w:t xml:space="preserve">nominálisan emelkedett, és szervesen kissé elmaradt az előző év szintjétől. A </w:t>
      </w:r>
      <w:r>
        <w:rPr>
          <w:b/>
          <w:bCs/>
          <w:sz w:val="24"/>
          <w:lang w:val="hu-HU"/>
        </w:rPr>
        <w:t>korrigált EBIT marzs</w:t>
      </w:r>
      <w:r>
        <w:rPr>
          <w:sz w:val="24"/>
          <w:lang w:val="hu-HU"/>
        </w:rPr>
        <w:t xml:space="preserve">, a </w:t>
      </w:r>
      <w:r>
        <w:rPr>
          <w:b/>
          <w:bCs/>
          <w:sz w:val="24"/>
          <w:lang w:val="hu-HU"/>
        </w:rPr>
        <w:t xml:space="preserve">korrigált EBIT </w:t>
      </w:r>
      <w:r>
        <w:rPr>
          <w:sz w:val="24"/>
          <w:lang w:val="hu-HU"/>
        </w:rPr>
        <w:t xml:space="preserve">és az </w:t>
      </w:r>
      <w:r>
        <w:rPr>
          <w:b/>
          <w:bCs/>
          <w:sz w:val="24"/>
          <w:lang w:val="hu-HU"/>
        </w:rPr>
        <w:t>elsőbbségi részvények hozama (EPS)</w:t>
      </w:r>
      <w:r>
        <w:rPr>
          <w:sz w:val="24"/>
          <w:lang w:val="hu-HU"/>
        </w:rPr>
        <w:t xml:space="preserve"> az előző évi szint alatt maradt, elsősorban a fogyasztási cikkek üzletágba történő további, növekedést célzó beruházások és az év elején bejelentett digitalizáció hatására.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„A harmadik negyedévben üzletágaink differenciált teljesítményről számoltak be. Az </w:t>
      </w:r>
      <w:r>
        <w:rPr>
          <w:b/>
          <w:bCs/>
          <w:sz w:val="24"/>
          <w:lang w:val="hu-HU"/>
        </w:rPr>
        <w:t>Adhesive Technologies</w:t>
      </w:r>
      <w:r>
        <w:rPr>
          <w:sz w:val="24"/>
          <w:lang w:val="hu-HU"/>
        </w:rPr>
        <w:t xml:space="preserve"> üzletágunk fejlődését a kulcsfontosságú iparágak keresletének további jelentős csökkenése befolyásolta. Ennek ellenére az üzletág </w:t>
      </w:r>
      <w:r>
        <w:rPr>
          <w:sz w:val="24"/>
          <w:lang w:val="hu-HU"/>
        </w:rPr>
        <w:lastRenderedPageBreak/>
        <w:t xml:space="preserve">erőteljes teljesítményt nyújtott, és az EBIT ráta ismét nagyon magas volt. </w:t>
      </w:r>
      <w:r>
        <w:rPr>
          <w:sz w:val="24"/>
          <w:lang w:val="hu-HU"/>
        </w:rPr>
        <w:br/>
        <w:t xml:space="preserve">A márkákba és az innovációkba történő további beruházásaink első pozitív hatásai ellenére a </w:t>
      </w:r>
      <w:r>
        <w:rPr>
          <w:b/>
          <w:bCs/>
          <w:sz w:val="24"/>
          <w:lang w:val="hu-HU"/>
        </w:rPr>
        <w:t>Beauty Care</w:t>
      </w:r>
      <w:r>
        <w:rPr>
          <w:sz w:val="24"/>
          <w:lang w:val="hu-HU"/>
        </w:rPr>
        <w:t xml:space="preserve"> üzletág fejlődése az előző évi alatt volt. Miközben a professzionális üzletág fenntartotta pozitív fejlődését, kiskereskedelmi üzletágunkat befolyásolta a Nyugat-Európában tapasztalható lassabb fellendülés és a várakozások szerint folytatódott Kínában a készletek csökkentése. A </w:t>
      </w:r>
      <w:r>
        <w:rPr>
          <w:b/>
          <w:bCs/>
          <w:sz w:val="24"/>
          <w:lang w:val="hu-HU"/>
        </w:rPr>
        <w:t>Laundry &amp; Home Care</w:t>
      </w:r>
      <w:r>
        <w:rPr>
          <w:sz w:val="24"/>
          <w:lang w:val="hu-HU"/>
        </w:rPr>
        <w:t xml:space="preserve"> területén viszont az innovációk sikeres bevezetése hozzájárult a pozitív fejlődéshez” – mondta Hans Van Bylen, a Henkel </w:t>
      </w:r>
      <w:r>
        <w:rPr>
          <w:sz w:val="24"/>
        </w:rPr>
        <w:t>igazgatóságának elnöke.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hu-HU"/>
        </w:rPr>
      </w:pPr>
      <w:r>
        <w:rPr>
          <w:b/>
          <w:bCs/>
          <w:sz w:val="24"/>
          <w:lang w:val="hu-HU"/>
        </w:rPr>
        <w:t>A 2019-es pénzügyi év kilátásai megerősítést nyertek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2019 pénzügyi évre a Henkel megerősítette kilátásait. A Henkel Csoport szinten 0–2 százalékos szerves árbevétel-növekedésre számít. Az </w:t>
      </w:r>
      <w:r>
        <w:rPr>
          <w:b/>
          <w:bCs/>
          <w:sz w:val="24"/>
          <w:lang w:val="hu-HU"/>
        </w:rPr>
        <w:t xml:space="preserve">Adhesive Technologies </w:t>
      </w:r>
      <w:r>
        <w:rPr>
          <w:sz w:val="24"/>
          <w:lang w:val="hu-HU"/>
        </w:rPr>
        <w:t xml:space="preserve">esetében a Henkel szerves árbevételének növekedését várja -1–1 százalékkal. A </w:t>
      </w:r>
      <w:r>
        <w:rPr>
          <w:b/>
          <w:bCs/>
          <w:sz w:val="24"/>
          <w:lang w:val="hu-HU"/>
        </w:rPr>
        <w:t>Beauty Care</w:t>
      </w:r>
      <w:r>
        <w:rPr>
          <w:sz w:val="24"/>
          <w:lang w:val="hu-HU"/>
        </w:rPr>
        <w:t xml:space="preserve"> területén a Henkel várakozásai szerint a szerves árbevétel növekedése -2–0 százalék lesz. A</w:t>
      </w:r>
      <w:r>
        <w:rPr>
          <w:b/>
          <w:bCs/>
          <w:sz w:val="24"/>
          <w:lang w:val="hu-HU"/>
        </w:rPr>
        <w:t xml:space="preserve"> Laundry</w:t>
      </w:r>
      <w:r>
        <w:rPr>
          <w:sz w:val="24"/>
          <w:lang w:val="hu-HU"/>
        </w:rPr>
        <w:t xml:space="preserve"> </w:t>
      </w:r>
      <w:r>
        <w:rPr>
          <w:b/>
          <w:bCs/>
          <w:sz w:val="24"/>
          <w:lang w:val="hu-HU"/>
        </w:rPr>
        <w:t>&amp;</w:t>
      </w:r>
      <w:r>
        <w:rPr>
          <w:sz w:val="24"/>
          <w:lang w:val="hu-HU"/>
        </w:rPr>
        <w:t xml:space="preserve"> </w:t>
      </w:r>
      <w:r>
        <w:rPr>
          <w:b/>
          <w:bCs/>
          <w:sz w:val="24"/>
          <w:lang w:val="hu-HU"/>
        </w:rPr>
        <w:t>Home</w:t>
      </w:r>
      <w:r>
        <w:rPr>
          <w:sz w:val="24"/>
          <w:lang w:val="hu-HU"/>
        </w:rPr>
        <w:t xml:space="preserve"> </w:t>
      </w:r>
      <w:r>
        <w:rPr>
          <w:b/>
          <w:bCs/>
          <w:sz w:val="24"/>
          <w:lang w:val="hu-HU"/>
        </w:rPr>
        <w:t>Care</w:t>
      </w:r>
      <w:r>
        <w:rPr>
          <w:sz w:val="24"/>
          <w:lang w:val="hu-HU"/>
        </w:rPr>
        <w:t xml:space="preserve"> üzletág esetében a Henkel továbbra is a 2–4 százalékos tartományban számít szerves növekedésre.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Henkel továbbra is 16–17 százalékos </w:t>
      </w:r>
      <w:r>
        <w:rPr>
          <w:b/>
          <w:sz w:val="24"/>
        </w:rPr>
        <w:t>korrigált árbevétel-arányos megtérülés</w:t>
      </w:r>
      <w:r>
        <w:rPr>
          <w:b/>
          <w:bCs/>
          <w:sz w:val="24"/>
          <w:lang w:val="hu-HU"/>
        </w:rPr>
        <w:t>t</w:t>
      </w:r>
      <w:r>
        <w:rPr>
          <w:sz w:val="24"/>
          <w:lang w:val="hu-HU"/>
        </w:rPr>
        <w:t xml:space="preserve"> vár el Csoport szinten. 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</w:t>
      </w:r>
      <w:r>
        <w:rPr>
          <w:b/>
          <w:sz w:val="24"/>
        </w:rPr>
        <w:t>elsőbbségi részvények korrigált hozama</w:t>
      </w:r>
      <w:r>
        <w:rPr>
          <w:sz w:val="24"/>
        </w:rPr>
        <w:t xml:space="preserve"> </w:t>
      </w:r>
      <w:r>
        <w:rPr>
          <w:b/>
          <w:bCs/>
          <w:sz w:val="24"/>
          <w:lang w:val="hu-HU"/>
        </w:rPr>
        <w:t>(EPS)</w:t>
      </w:r>
      <w:r>
        <w:rPr>
          <w:sz w:val="24"/>
          <w:lang w:val="hu-HU"/>
        </w:rPr>
        <w:t xml:space="preserve"> tekintetében a Henkel most a közepes és a magas egy számjegyű százalékos sáv alakulását várja, az előző év alatt, állandó árfolyamon.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hu-HU"/>
        </w:rPr>
      </w:pPr>
      <w:r>
        <w:rPr>
          <w:b/>
          <w:bCs/>
          <w:sz w:val="24"/>
          <w:lang w:val="hu-HU"/>
        </w:rPr>
        <w:t>Értékesítés és bevételek 2019 harmadik negyedévében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Az </w:t>
      </w:r>
      <w:r>
        <w:rPr>
          <w:rFonts w:cs="Arial"/>
          <w:b/>
          <w:bCs/>
          <w:sz w:val="24"/>
          <w:lang w:val="hu-HU"/>
        </w:rPr>
        <w:t xml:space="preserve">árbevétel </w:t>
      </w:r>
      <w:r>
        <w:rPr>
          <w:rFonts w:cs="Arial"/>
          <w:sz w:val="24"/>
          <w:lang w:val="hu-HU"/>
        </w:rPr>
        <w:t xml:space="preserve">2019 harmadik negyedévében névlegesen 0,8 százalékkal, 5 077 millió euróra nőtt. Az árfolyamhatások és a felvásárlások/befektetés-megszüntetések hatásainak kiszűrése utáni </w:t>
      </w:r>
      <w:r>
        <w:rPr>
          <w:rFonts w:cs="Arial"/>
          <w:b/>
          <w:bCs/>
          <w:sz w:val="24"/>
          <w:lang w:val="hu-HU"/>
        </w:rPr>
        <w:t>szerves</w:t>
      </w:r>
      <w:r>
        <w:rPr>
          <w:rFonts w:cs="Arial"/>
          <w:sz w:val="24"/>
          <w:lang w:val="hu-HU"/>
        </w:rPr>
        <w:t xml:space="preserve"> árbevétel kis mértékben negatív, -0,3 százalékos tendenciát mutatott. A felvásárlásokból és befektetés-megszüntetésekből származó hozzájárulások mértéke 0,4 százalék volt. A valutahatások 0,7 százalékos pozitív hatást gyakoroltak az árbevétel növekedésére.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Az </w:t>
      </w:r>
      <w:r>
        <w:rPr>
          <w:rFonts w:cs="Arial"/>
          <w:b/>
          <w:bCs/>
          <w:sz w:val="24"/>
          <w:lang w:val="hu-HU"/>
        </w:rPr>
        <w:t>Adhesive Technologies</w:t>
      </w:r>
      <w:r>
        <w:rPr>
          <w:rFonts w:cs="Arial"/>
          <w:sz w:val="24"/>
          <w:lang w:val="hu-HU"/>
        </w:rPr>
        <w:t xml:space="preserve"> üzletág -2,4 százalékos, enyhén negatív szerves árbevételt produkált. A </w:t>
      </w:r>
      <w:r>
        <w:rPr>
          <w:rFonts w:cs="Arial"/>
          <w:b/>
          <w:bCs/>
          <w:sz w:val="24"/>
          <w:lang w:val="hu-HU"/>
        </w:rPr>
        <w:t xml:space="preserve">Beauty Care </w:t>
      </w:r>
      <w:r>
        <w:rPr>
          <w:rFonts w:cs="Arial"/>
          <w:sz w:val="24"/>
          <w:lang w:val="hu-HU"/>
        </w:rPr>
        <w:t xml:space="preserve">üzletágban az árbevétel szervesen </w:t>
      </w:r>
      <w:r>
        <w:rPr>
          <w:rFonts w:cs="Arial"/>
          <w:sz w:val="24"/>
          <w:lang w:val="hu-HU"/>
        </w:rPr>
        <w:br/>
        <w:t xml:space="preserve">-2,2 százalékkal alacsonyabb az előző évi azonos negyedév szintjénél. A </w:t>
      </w:r>
      <w:r>
        <w:rPr>
          <w:rFonts w:cs="Arial"/>
          <w:b/>
          <w:bCs/>
          <w:sz w:val="24"/>
          <w:lang w:val="hu-HU"/>
        </w:rPr>
        <w:t>Laundry &amp; Home Care</w:t>
      </w:r>
      <w:r>
        <w:rPr>
          <w:rFonts w:cs="Arial"/>
          <w:sz w:val="24"/>
          <w:lang w:val="hu-HU"/>
        </w:rPr>
        <w:t xml:space="preserve"> üzletág kedvező, 4,0 százalékos szerves árbevétel</w:t>
      </w:r>
      <w:r>
        <w:rPr>
          <w:rFonts w:cs="Arial"/>
          <w:sz w:val="24"/>
          <w:lang w:val="hu-HU"/>
        </w:rPr>
        <w:noBreakHyphen/>
        <w:t xml:space="preserve">növekedést könyvelhetett el.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sz w:val="24"/>
          <w:lang w:val="hu-HU"/>
        </w:rPr>
        <w:t>A</w:t>
      </w:r>
      <w:r>
        <w:rPr>
          <w:b/>
          <w:bCs/>
          <w:sz w:val="24"/>
          <w:lang w:val="hu-HU"/>
        </w:rPr>
        <w:t xml:space="preserve"> feltörekvő piacok</w:t>
      </w:r>
      <w:r>
        <w:rPr>
          <w:sz w:val="24"/>
          <w:lang w:val="hu-HU"/>
        </w:rPr>
        <w:t xml:space="preserve"> erőteljes, 2,7 százalékos szerves árbevétel-növekedést értek el. </w:t>
      </w:r>
      <w:r>
        <w:rPr>
          <w:sz w:val="24"/>
          <w:lang w:val="hu-HU"/>
        </w:rPr>
        <w:br/>
        <w:t xml:space="preserve">Az </w:t>
      </w:r>
      <w:r>
        <w:rPr>
          <w:b/>
          <w:bCs/>
          <w:sz w:val="24"/>
          <w:lang w:val="hu-HU"/>
        </w:rPr>
        <w:t>érett piacokon</w:t>
      </w:r>
      <w:r>
        <w:rPr>
          <w:sz w:val="24"/>
          <w:lang w:val="hu-HU"/>
        </w:rPr>
        <w:t xml:space="preserve"> -2,3 százalékos negatív szerves árbevétel alakult ki.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bCs/>
          <w:sz w:val="24"/>
          <w:lang w:val="hu-HU"/>
        </w:rPr>
        <w:t xml:space="preserve">Az árbevétel </w:t>
      </w:r>
      <w:r>
        <w:rPr>
          <w:rFonts w:cs="Arial"/>
          <w:b/>
          <w:bCs/>
          <w:sz w:val="24"/>
          <w:lang w:val="hu-HU"/>
        </w:rPr>
        <w:t>Nyugat-Európában</w:t>
      </w:r>
      <w:r>
        <w:rPr>
          <w:rFonts w:cs="Arial"/>
          <w:sz w:val="24"/>
          <w:lang w:val="hu-HU"/>
        </w:rPr>
        <w:t xml:space="preserve"> negatív, -2,1 százalékos szerves növekedést mutatott. </w:t>
      </w:r>
      <w:r>
        <w:rPr>
          <w:rFonts w:cs="Arial"/>
          <w:b/>
          <w:bCs/>
          <w:sz w:val="24"/>
          <w:lang w:val="hu-HU"/>
        </w:rPr>
        <w:t>Kelet-Európa</w:t>
      </w:r>
      <w:r>
        <w:rPr>
          <w:rFonts w:cs="Arial"/>
          <w:sz w:val="24"/>
          <w:lang w:val="hu-HU"/>
        </w:rPr>
        <w:t xml:space="preserve"> 7,7 százalékos szerves növekedést ért el. </w:t>
      </w:r>
      <w:r>
        <w:rPr>
          <w:rFonts w:cs="Arial"/>
          <w:b/>
          <w:bCs/>
          <w:sz w:val="24"/>
          <w:lang w:val="hu-HU"/>
        </w:rPr>
        <w:t>Afrikában/</w:t>
      </w:r>
      <w:r>
        <w:rPr>
          <w:rFonts w:cs="Arial"/>
          <w:sz w:val="24"/>
          <w:lang w:val="hu-HU"/>
        </w:rPr>
        <w:t>a</w:t>
      </w:r>
      <w:r>
        <w:rPr>
          <w:rFonts w:cs="Arial"/>
          <w:b/>
          <w:bCs/>
          <w:sz w:val="24"/>
          <w:lang w:val="hu-HU"/>
        </w:rPr>
        <w:t xml:space="preserve"> Közel-Keleten</w:t>
      </w:r>
      <w:r>
        <w:rPr>
          <w:rFonts w:cs="Arial"/>
          <w:sz w:val="24"/>
          <w:lang w:val="hu-HU"/>
        </w:rPr>
        <w:t xml:space="preserve"> a szerves árbevétel-növekedés 19,1 százalék volt. </w:t>
      </w:r>
      <w:r>
        <w:rPr>
          <w:rFonts w:cs="Arial"/>
          <w:b/>
          <w:bCs/>
          <w:sz w:val="24"/>
          <w:lang w:val="hu-HU"/>
        </w:rPr>
        <w:t>Észak-Amerikában</w:t>
      </w:r>
      <w:r>
        <w:rPr>
          <w:rFonts w:cs="Arial"/>
          <w:sz w:val="24"/>
          <w:lang w:val="hu-HU"/>
        </w:rPr>
        <w:t xml:space="preserve"> a szerves árbevétel -3,1 százalékkal csökkent.</w:t>
      </w:r>
      <w:r>
        <w:rPr>
          <w:rFonts w:cs="Arial"/>
          <w:b/>
          <w:bCs/>
          <w:sz w:val="24"/>
          <w:lang w:val="hu-HU"/>
        </w:rPr>
        <w:t xml:space="preserve"> Latin-Amerikában</w:t>
      </w:r>
      <w:r>
        <w:rPr>
          <w:rFonts w:cs="Arial"/>
          <w:sz w:val="24"/>
          <w:lang w:val="hu-HU"/>
        </w:rPr>
        <w:t xml:space="preserve"> az szerves árbevétel -3,4 százalékkal csökkent. Az </w:t>
      </w:r>
      <w:r>
        <w:rPr>
          <w:rFonts w:cs="Arial"/>
          <w:b/>
          <w:bCs/>
          <w:sz w:val="24"/>
          <w:lang w:val="hu-HU"/>
        </w:rPr>
        <w:t xml:space="preserve">ázsiai-csendes-óceáni térségben </w:t>
      </w:r>
      <w:r>
        <w:rPr>
          <w:rFonts w:cs="Arial"/>
          <w:sz w:val="24"/>
          <w:lang w:val="hu-HU"/>
        </w:rPr>
        <w:t>a szerves árbevétel -5,7 százalékkal csökkent.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</w:t>
      </w:r>
      <w:r>
        <w:rPr>
          <w:rFonts w:cs="Arial"/>
          <w:b/>
          <w:bCs/>
          <w:sz w:val="24"/>
          <w:lang w:val="hu-HU"/>
        </w:rPr>
        <w:t xml:space="preserve">korrigált üzemi eredmény (EBIT) </w:t>
      </w:r>
      <w:r>
        <w:rPr>
          <w:rFonts w:cs="Arial"/>
          <w:sz w:val="24"/>
          <w:lang w:val="hu-HU"/>
        </w:rPr>
        <w:t>-8,2 százalékkal csökkent a 2018. évi harmadik negyedévi 926 millió euróról 850 millió euróra.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</w:t>
      </w:r>
      <w:r>
        <w:rPr>
          <w:b/>
          <w:sz w:val="24"/>
        </w:rPr>
        <w:t>korrigált árbevétel-arányos megtérülés</w:t>
      </w:r>
      <w:r>
        <w:rPr>
          <w:rFonts w:cs="Arial"/>
          <w:b/>
          <w:bCs/>
          <w:sz w:val="24"/>
          <w:lang w:val="hu-HU"/>
        </w:rPr>
        <w:t xml:space="preserve"> (EBIT)</w:t>
      </w:r>
      <w:r>
        <w:rPr>
          <w:rFonts w:cs="Arial"/>
          <w:sz w:val="24"/>
          <w:lang w:val="hu-HU"/>
        </w:rPr>
        <w:t xml:space="preserve"> 16,7 százalék volt, -1,7 százalékponttal alacsonyabb az előző évi negyedévnél.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sz w:val="24"/>
          <w:lang w:val="hu-HU"/>
        </w:rPr>
        <w:t xml:space="preserve">Az </w:t>
      </w:r>
      <w:r>
        <w:rPr>
          <w:b/>
          <w:sz w:val="24"/>
        </w:rPr>
        <w:t>elsőbbségi részvények korrigált hozama</w:t>
      </w:r>
      <w:r>
        <w:rPr>
          <w:b/>
          <w:bCs/>
          <w:sz w:val="24"/>
        </w:rPr>
        <w:t xml:space="preserve"> </w:t>
      </w:r>
      <w:r>
        <w:rPr>
          <w:sz w:val="24"/>
          <w:lang w:val="hu-HU"/>
        </w:rPr>
        <w:t xml:space="preserve">-9,5 százalékkal csökkent a 2018 harmadik negyedévi 1,58 euróról 1,43 euróra. Állandó átváltási árfolyam mellett az </w:t>
      </w:r>
      <w:r>
        <w:rPr>
          <w:sz w:val="24"/>
        </w:rPr>
        <w:t>elsőbbségi részvények korrigált hozama</w:t>
      </w:r>
      <w:r>
        <w:rPr>
          <w:sz w:val="24"/>
          <w:lang w:val="hu-HU"/>
        </w:rPr>
        <w:t xml:space="preserve"> szintén -10,8 százalékkal csökkent.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r>
        <w:rPr>
          <w:b/>
          <w:bCs/>
          <w:sz w:val="24"/>
          <w:lang w:val="hu-HU"/>
        </w:rPr>
        <w:t>nettó forgótőke</w:t>
      </w:r>
      <w:r>
        <w:rPr>
          <w:sz w:val="24"/>
          <w:lang w:val="hu-HU"/>
        </w:rPr>
        <w:t xml:space="preserve"> az árbevétel százalékában 5,7 százalékra javult (2018. harmadik negyedév: 6,6 százalék).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lastRenderedPageBreak/>
        <w:t xml:space="preserve">823 millió euróval a </w:t>
      </w:r>
      <w:r>
        <w:rPr>
          <w:b/>
          <w:bCs/>
          <w:sz w:val="24"/>
          <w:lang w:val="hu-HU"/>
        </w:rPr>
        <w:t>szabad pénzforgalom</w:t>
      </w:r>
      <w:r>
        <w:rPr>
          <w:sz w:val="24"/>
          <w:lang w:val="hu-HU"/>
        </w:rPr>
        <w:t xml:space="preserve"> 2019 harmadik negyedévében lényegesen magasabb volt, mint az előző év azonos időszakában (484 millió euró). Ez bizonyítja a vállalat szabad pénzforgalom generálására irányuló képességét. </w:t>
      </w:r>
    </w:p>
    <w:p w:rsidR="002A6AB9" w:rsidRDefault="002A6AB9" w:rsidP="002A6AB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hu-HU"/>
        </w:rPr>
      </w:pPr>
      <w:r>
        <w:rPr>
          <w:b/>
          <w:bCs/>
          <w:sz w:val="24"/>
          <w:lang w:val="hu-HU"/>
        </w:rPr>
        <w:t>Üzletágak teljesítménye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2019 harmadik negyedévében az </w:t>
      </w:r>
      <w:r>
        <w:rPr>
          <w:rFonts w:cs="Arial"/>
          <w:b/>
          <w:bCs/>
          <w:sz w:val="24"/>
          <w:lang w:val="hu-HU"/>
        </w:rPr>
        <w:t>Adhesive Technologies</w:t>
      </w:r>
      <w:r>
        <w:rPr>
          <w:rFonts w:cs="Arial"/>
          <w:sz w:val="24"/>
          <w:lang w:val="hu-HU"/>
        </w:rPr>
        <w:t xml:space="preserve"> üzletágban az árbevétel elérte a 2395 millió eurót, és 0,9 százalékkal növekedett az előző évi negyedév szintjéhez képest. Tovább gyengülő ipari termelési környezetben, különösen az autóiparban, a </w:t>
      </w:r>
      <w:r>
        <w:rPr>
          <w:rFonts w:cs="Arial"/>
          <w:b/>
          <w:sz w:val="24"/>
          <w:lang w:val="hu-HU"/>
        </w:rPr>
        <w:t>szerves</w:t>
      </w:r>
      <w:r>
        <w:rPr>
          <w:rFonts w:cs="Arial"/>
          <w:sz w:val="24"/>
          <w:lang w:val="hu-HU"/>
        </w:rPr>
        <w:t xml:space="preserve"> </w:t>
      </w:r>
      <w:r>
        <w:rPr>
          <w:rFonts w:cs="Arial"/>
          <w:b/>
          <w:bCs/>
          <w:sz w:val="24"/>
          <w:lang w:val="hu-HU"/>
        </w:rPr>
        <w:t>árbevétel</w:t>
      </w:r>
      <w:r>
        <w:rPr>
          <w:rFonts w:cs="Arial"/>
          <w:sz w:val="24"/>
          <w:lang w:val="hu-HU"/>
        </w:rPr>
        <w:t xml:space="preserve"> -2,4 százalékkal csökkent. A </w:t>
      </w:r>
      <w:r>
        <w:rPr>
          <w:rFonts w:cs="Arial"/>
          <w:b/>
          <w:bCs/>
          <w:sz w:val="24"/>
          <w:lang w:val="hu-HU"/>
        </w:rPr>
        <w:t xml:space="preserve">korrigált üzemi eredmény </w:t>
      </w:r>
      <w:r>
        <w:rPr>
          <w:rFonts w:cs="Arial"/>
          <w:sz w:val="24"/>
          <w:lang w:val="hu-HU"/>
        </w:rPr>
        <w:t xml:space="preserve">458 millió eurós értéke -1,7 százalékkal alulmúlta az előző év negyedévének értékét. A </w:t>
      </w:r>
      <w:r>
        <w:rPr>
          <w:rFonts w:cs="Arial"/>
          <w:b/>
          <w:bCs/>
          <w:sz w:val="24"/>
          <w:lang w:val="hu-HU"/>
        </w:rPr>
        <w:t>korrigált árbevétel-arányos megtérülés</w:t>
      </w:r>
      <w:r>
        <w:rPr>
          <w:rFonts w:cs="Arial"/>
          <w:sz w:val="24"/>
          <w:lang w:val="hu-HU"/>
        </w:rPr>
        <w:t xml:space="preserve"> elérte a 19,1 százalékot és a 2018. harmadik negyedévi szint alatt maradt.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</w:t>
      </w:r>
      <w:r>
        <w:rPr>
          <w:rFonts w:cs="Arial"/>
          <w:b/>
          <w:bCs/>
          <w:sz w:val="24"/>
          <w:lang w:val="hu-HU"/>
        </w:rPr>
        <w:t>Beauty Care</w:t>
      </w:r>
      <w:r>
        <w:rPr>
          <w:rFonts w:cs="Arial"/>
          <w:sz w:val="24"/>
          <w:lang w:val="hu-HU"/>
        </w:rPr>
        <w:t xml:space="preserve"> üzletágban az </w:t>
      </w:r>
      <w:r>
        <w:rPr>
          <w:rFonts w:cs="Arial"/>
          <w:b/>
          <w:bCs/>
          <w:sz w:val="24"/>
          <w:lang w:val="hu-HU"/>
        </w:rPr>
        <w:t xml:space="preserve">árbevétel </w:t>
      </w:r>
      <w:r>
        <w:rPr>
          <w:rFonts w:cs="Arial"/>
          <w:sz w:val="24"/>
          <w:lang w:val="hu-HU"/>
        </w:rPr>
        <w:t xml:space="preserve">2019 harmadik negyedévében -2,2 százalékos </w:t>
      </w:r>
      <w:r>
        <w:rPr>
          <w:rFonts w:cs="Arial"/>
          <w:b/>
          <w:bCs/>
          <w:sz w:val="24"/>
          <w:lang w:val="hu-HU"/>
        </w:rPr>
        <w:t>szerves</w:t>
      </w:r>
      <w:r>
        <w:rPr>
          <w:rFonts w:cs="Arial"/>
          <w:sz w:val="24"/>
          <w:lang w:val="hu-HU"/>
        </w:rPr>
        <w:t xml:space="preserve"> változást mutatott. Az üzletágat továbbra is befolyásolta a nyugat-európai erős verseny jellemezte piaci környezet lassú fellendülése, és </w:t>
      </w:r>
      <w:r>
        <w:rPr>
          <w:rFonts w:cs="Arial"/>
          <w:sz w:val="24"/>
          <w:lang w:val="en-US"/>
        </w:rPr>
        <w:t>–</w:t>
      </w:r>
      <w:r>
        <w:rPr>
          <w:rFonts w:cs="Arial"/>
          <w:sz w:val="24"/>
          <w:lang w:val="hu-HU"/>
        </w:rPr>
        <w:t xml:space="preserve"> amint az várható volt </w:t>
      </w:r>
      <w:r>
        <w:rPr>
          <w:rFonts w:cs="Arial"/>
          <w:sz w:val="24"/>
          <w:lang w:val="en-US"/>
        </w:rPr>
        <w:t xml:space="preserve">– </w:t>
      </w:r>
      <w:r>
        <w:rPr>
          <w:rFonts w:cs="Arial"/>
          <w:sz w:val="24"/>
          <w:lang w:val="hu-HU"/>
        </w:rPr>
        <w:t xml:space="preserve">a kínai kiskereskedelmi üzletágban folytatódott a készletek leépítése. Ezzel szemben a Beauty Care pozitív fejlődést mutatott Észak-Amerikában. Névlegesen az árbevétel -2,3 százalékkal alacsonyabb volt az előző évinél, elérve a 970 millió eurót. A </w:t>
      </w:r>
      <w:r>
        <w:rPr>
          <w:rFonts w:cs="Arial"/>
          <w:b/>
          <w:bCs/>
          <w:sz w:val="24"/>
          <w:lang w:val="hu-HU"/>
        </w:rPr>
        <w:t>korrigált üzemi eredmény</w:t>
      </w:r>
      <w:r>
        <w:rPr>
          <w:rFonts w:cs="Arial"/>
          <w:sz w:val="24"/>
          <w:lang w:val="hu-HU"/>
        </w:rPr>
        <w:t xml:space="preserve"> elérte a 144 millió eurót, és -21,2 százalékkal maradt el a 2018. harmadik negyedévi szinttől. A </w:t>
      </w:r>
      <w:r>
        <w:rPr>
          <w:b/>
          <w:bCs/>
          <w:sz w:val="24"/>
          <w:lang w:val="hu-HU"/>
        </w:rPr>
        <w:t>korrigált árbevétel-arányos megtérülés</w:t>
      </w:r>
      <w:r>
        <w:rPr>
          <w:rFonts w:cs="Arial"/>
          <w:sz w:val="24"/>
          <w:lang w:val="hu-HU"/>
        </w:rPr>
        <w:t xml:space="preserve"> szintén elmaradt az előző évi negyedévtől és elérte a 14,8 százalékot, szintén a további, növekedést célzó beruházások miatt.</w:t>
      </w:r>
    </w:p>
    <w:p w:rsidR="002A6AB9" w:rsidRDefault="002A6AB9" w:rsidP="002A6AB9">
      <w:pPr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</w:t>
      </w:r>
      <w:r>
        <w:rPr>
          <w:rFonts w:cs="Arial"/>
          <w:b/>
          <w:bCs/>
          <w:sz w:val="24"/>
          <w:lang w:val="hu-HU"/>
        </w:rPr>
        <w:t>Laundry &amp; Home Care</w:t>
      </w:r>
      <w:r>
        <w:rPr>
          <w:rFonts w:cs="Arial"/>
          <w:sz w:val="24"/>
          <w:lang w:val="hu-HU"/>
        </w:rPr>
        <w:t xml:space="preserve"> üzletág 2019 harmadik negyedévében erőteljes, 4,0 százalékos szerves árbevétel-növekedést ért el, a feltörekvő piacok kétszámjegyű növekedésének köszönhetően. Ezzel szemben az észak-amerikai Laundry Care üzletág továbbra is nyomás alatt állt. A nominális árbevétel 2,5 százalékkal 1682 millió euróra nőtt, miután az előző évi negyedévben 1641 millió eurót tett ki. A </w:t>
      </w:r>
      <w:r>
        <w:rPr>
          <w:rFonts w:cs="Arial"/>
          <w:b/>
          <w:bCs/>
          <w:sz w:val="24"/>
          <w:lang w:val="hu-HU"/>
        </w:rPr>
        <w:t xml:space="preserve">korrigált üzemi eredmény </w:t>
      </w:r>
      <w:r>
        <w:rPr>
          <w:rFonts w:cs="Arial"/>
          <w:sz w:val="24"/>
          <w:lang w:val="hu-HU"/>
        </w:rPr>
        <w:t xml:space="preserve">267 millió eurós értéke -9,0 százalékkal alulmúlta az előző év negyedévének értékét. </w:t>
      </w:r>
      <w:r>
        <w:rPr>
          <w:rFonts w:cs="Arial"/>
          <w:color w:val="000000"/>
          <w:sz w:val="24"/>
          <w:lang w:val="hu-HU"/>
        </w:rPr>
        <w:t>15,9 százalékkal a</w:t>
      </w:r>
      <w:r>
        <w:rPr>
          <w:rFonts w:cs="Arial"/>
          <w:sz w:val="24"/>
          <w:lang w:val="hu-HU"/>
        </w:rPr>
        <w:t xml:space="preserve"> </w:t>
      </w:r>
      <w:r>
        <w:rPr>
          <w:rFonts w:cs="Arial"/>
          <w:b/>
          <w:bCs/>
          <w:sz w:val="24"/>
          <w:lang w:val="hu-HU"/>
        </w:rPr>
        <w:t>korrigált árbevétel-arányos megtérülés</w:t>
      </w:r>
      <w:r>
        <w:rPr>
          <w:rFonts w:cs="Arial"/>
          <w:sz w:val="24"/>
          <w:lang w:val="hu-HU"/>
        </w:rPr>
        <w:t xml:space="preserve"> a 2018. harmadik </w:t>
      </w:r>
      <w:r>
        <w:rPr>
          <w:rFonts w:cs="Arial"/>
          <w:sz w:val="24"/>
          <w:lang w:val="hu-HU"/>
        </w:rPr>
        <w:lastRenderedPageBreak/>
        <w:t xml:space="preserve">negyedévi szint alatt volt, főként az év elején bejelentett, magasabb növekedést célzó beruházásoknak köszönhetően.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  <w:lang w:val="hu-HU"/>
        </w:rPr>
      </w:pPr>
      <w:r>
        <w:rPr>
          <w:b/>
          <w:bCs/>
          <w:sz w:val="24"/>
          <w:lang w:val="hu-HU"/>
        </w:rPr>
        <w:t>Üzleti teljesítmény 2019 első kilenc hónapjában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2019 első kilenc hónapjában a Henkel 15,2 milliárd euró </w:t>
      </w:r>
      <w:r>
        <w:rPr>
          <w:rFonts w:cs="Arial"/>
          <w:b/>
          <w:bCs/>
          <w:sz w:val="24"/>
          <w:lang w:val="hu-HU"/>
        </w:rPr>
        <w:t xml:space="preserve">árbevételt </w:t>
      </w:r>
      <w:r>
        <w:rPr>
          <w:rFonts w:cs="Arial"/>
          <w:sz w:val="24"/>
          <w:lang w:val="hu-HU"/>
        </w:rPr>
        <w:t xml:space="preserve">realizált, ami 1,0 százalékos növekedést jelent. A </w:t>
      </w:r>
      <w:r>
        <w:rPr>
          <w:rFonts w:cs="Arial"/>
          <w:b/>
          <w:sz w:val="24"/>
          <w:lang w:val="hu-HU"/>
        </w:rPr>
        <w:t>szerves</w:t>
      </w:r>
      <w:r>
        <w:rPr>
          <w:rFonts w:cs="Arial"/>
          <w:sz w:val="24"/>
          <w:lang w:val="hu-HU"/>
        </w:rPr>
        <w:t xml:space="preserve"> árbevétel, amely nem foglalja magába a valutahatások és az akvizíciók/eladások hatásait, pontosan az előző évi időszak szintjén volt. Az árfolyamhatás 0,5 százalékkal járult hozzá az árbevétel növekedéséhez.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</w:t>
      </w:r>
      <w:r>
        <w:rPr>
          <w:rFonts w:cs="Arial"/>
          <w:b/>
          <w:bCs/>
          <w:sz w:val="24"/>
          <w:lang w:val="hu-HU"/>
        </w:rPr>
        <w:t>korrigált üzemi eredmény</w:t>
      </w:r>
      <w:r>
        <w:rPr>
          <w:rFonts w:cs="Arial"/>
          <w:sz w:val="24"/>
          <w:lang w:val="hu-HU"/>
        </w:rPr>
        <w:t xml:space="preserve"> -7,5 százalékkal csökkent, 2694 millió euróról </w:t>
      </w:r>
      <w:r>
        <w:rPr>
          <w:rFonts w:cs="Arial"/>
          <w:sz w:val="24"/>
          <w:lang w:val="hu-HU"/>
        </w:rPr>
        <w:br/>
        <w:t xml:space="preserve">2491 millió euróra.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</w:t>
      </w:r>
      <w:r>
        <w:rPr>
          <w:rFonts w:cs="Arial"/>
          <w:b/>
          <w:bCs/>
          <w:sz w:val="24"/>
          <w:lang w:val="hu-HU"/>
        </w:rPr>
        <w:t>korrigált árbevétel-arányos megtérülés</w:t>
      </w:r>
      <w:r>
        <w:rPr>
          <w:rFonts w:cs="Arial"/>
          <w:sz w:val="24"/>
          <w:lang w:val="hu-HU"/>
        </w:rPr>
        <w:t xml:space="preserve"> 16,4 százalék volt, a 2018 első kilenc hónapjában elért 17,9 százalékot követően.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sz w:val="24"/>
          <w:lang w:val="hu-HU"/>
        </w:rPr>
        <w:t xml:space="preserve">Az </w:t>
      </w:r>
      <w:r>
        <w:rPr>
          <w:b/>
          <w:sz w:val="24"/>
        </w:rPr>
        <w:t>elsőbbségi részvények korrigált hozama</w:t>
      </w:r>
      <w:r>
        <w:rPr>
          <w:b/>
          <w:bCs/>
          <w:sz w:val="24"/>
        </w:rPr>
        <w:t xml:space="preserve"> </w:t>
      </w:r>
      <w:r>
        <w:rPr>
          <w:sz w:val="24"/>
          <w:lang w:val="hu-HU"/>
        </w:rPr>
        <w:t xml:space="preserve">negatív, -8,5 százalékos változást mutatott, és 4,59 euróról 4,20 euróra csökkent. Állandó átváltási árfolyam mellett az </w:t>
      </w:r>
      <w:r>
        <w:rPr>
          <w:sz w:val="24"/>
        </w:rPr>
        <w:t>elsőbbségi részvények korrigált hozama</w:t>
      </w:r>
      <w:r>
        <w:rPr>
          <w:sz w:val="24"/>
          <w:lang w:val="hu-HU"/>
        </w:rPr>
        <w:t xml:space="preserve"> szintén -8,9 százalékkal csökkent.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Az </w:t>
      </w:r>
      <w:r>
        <w:rPr>
          <w:rFonts w:cs="Arial"/>
          <w:b/>
          <w:bCs/>
          <w:sz w:val="24"/>
          <w:lang w:val="hu-HU"/>
        </w:rPr>
        <w:t>Adhesive Technologies</w:t>
      </w:r>
      <w:r>
        <w:rPr>
          <w:rFonts w:cs="Arial"/>
          <w:sz w:val="24"/>
          <w:lang w:val="hu-HU"/>
        </w:rPr>
        <w:t xml:space="preserve"> üzletág 2019 első kilenc hónapjában -1,5 százalékos, negatív szerves árbevételt</w:t>
      </w:r>
      <w:r>
        <w:rPr>
          <w:rFonts w:cs="Arial"/>
          <w:b/>
          <w:bCs/>
          <w:sz w:val="24"/>
          <w:lang w:val="hu-HU"/>
        </w:rPr>
        <w:t xml:space="preserve"> </w:t>
      </w:r>
      <w:r>
        <w:rPr>
          <w:rFonts w:cs="Arial"/>
          <w:sz w:val="24"/>
          <w:lang w:val="hu-HU"/>
        </w:rPr>
        <w:t xml:space="preserve">produkált. A korrigált árbevétel-arányos megtérülés 18,5 százalék volt (előző év: 18,9 százalék). A </w:t>
      </w:r>
      <w:r>
        <w:rPr>
          <w:rFonts w:cs="Arial"/>
          <w:b/>
          <w:bCs/>
          <w:sz w:val="24"/>
          <w:lang w:val="hu-HU"/>
        </w:rPr>
        <w:t xml:space="preserve">Beauty Care </w:t>
      </w:r>
      <w:r>
        <w:rPr>
          <w:rFonts w:cs="Arial"/>
          <w:sz w:val="24"/>
          <w:lang w:val="hu-HU"/>
        </w:rPr>
        <w:t xml:space="preserve">üzletágban az árbevétel szerves változása -2,3 százalék volt. A korrigált árbevétel-arányos megtérülés 14,0 százalék volt (előző év: 17,7 százalék). A </w:t>
      </w:r>
      <w:r>
        <w:rPr>
          <w:rFonts w:cs="Arial"/>
          <w:b/>
          <w:bCs/>
          <w:sz w:val="24"/>
          <w:lang w:val="hu-HU"/>
        </w:rPr>
        <w:t>Laundry &amp; Home Care</w:t>
      </w:r>
      <w:r>
        <w:rPr>
          <w:rFonts w:cs="Arial"/>
          <w:sz w:val="24"/>
          <w:lang w:val="hu-HU"/>
        </w:rPr>
        <w:t xml:space="preserve"> üzletág erős, 3,5 százalékos szerves árbevétel</w:t>
      </w:r>
      <w:r>
        <w:rPr>
          <w:rFonts w:cs="Arial"/>
          <w:sz w:val="24"/>
          <w:lang w:val="hu-HU"/>
        </w:rPr>
        <w:noBreakHyphen/>
        <w:t xml:space="preserve">növekedést könyvelhetett el. </w:t>
      </w:r>
      <w:r>
        <w:rPr>
          <w:rFonts w:cs="Arial"/>
          <w:color w:val="000000"/>
          <w:sz w:val="24"/>
          <w:lang w:val="hu-HU"/>
        </w:rPr>
        <w:t>A korrigált árbevétel-arányos megtérülés 16,6 százalék</w:t>
      </w:r>
      <w:r>
        <w:rPr>
          <w:rFonts w:cs="Arial"/>
          <w:sz w:val="24"/>
          <w:lang w:val="hu-HU"/>
        </w:rPr>
        <w:t xml:space="preserve"> volt (előző év: 18,1 százalék). 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  <w:r>
        <w:rPr>
          <w:rFonts w:cs="Arial"/>
          <w:sz w:val="24"/>
          <w:lang w:val="hu-HU"/>
        </w:rPr>
        <w:t xml:space="preserve">A szigorú készpénzkezelésnek és a nettó forgótőke javulásnak köszönhetően, </w:t>
      </w:r>
      <w:r>
        <w:rPr>
          <w:rFonts w:cs="Arial"/>
          <w:sz w:val="24"/>
          <w:lang w:val="hu-HU"/>
        </w:rPr>
        <w:br/>
        <w:t xml:space="preserve">a </w:t>
      </w:r>
      <w:r>
        <w:rPr>
          <w:rFonts w:cs="Arial"/>
          <w:b/>
          <w:bCs/>
          <w:sz w:val="24"/>
          <w:lang w:val="hu-HU"/>
        </w:rPr>
        <w:t>szabad készpénzáramlás</w:t>
      </w:r>
      <w:r>
        <w:rPr>
          <w:rFonts w:cs="Arial"/>
          <w:sz w:val="24"/>
          <w:lang w:val="hu-HU"/>
        </w:rPr>
        <w:t xml:space="preserve"> 2019 első kilenc hónapjában új rekordszintet elérve 690 millió euróval emelkedett, 1813 millió euróra.</w:t>
      </w: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-HU"/>
        </w:rPr>
      </w:pPr>
    </w:p>
    <w:p w:rsidR="002A6AB9" w:rsidRDefault="002A6AB9" w:rsidP="002A6AB9">
      <w:pPr>
        <w:autoSpaceDE w:val="0"/>
        <w:autoSpaceDN w:val="0"/>
        <w:adjustRightInd w:val="0"/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lastRenderedPageBreak/>
        <w:t xml:space="preserve">A Henkel </w:t>
      </w:r>
      <w:r>
        <w:rPr>
          <w:b/>
          <w:bCs/>
          <w:sz w:val="24"/>
          <w:lang w:val="hu-HU"/>
        </w:rPr>
        <w:t xml:space="preserve">nettó pénzügyi helyzete </w:t>
      </w:r>
      <w:r>
        <w:rPr>
          <w:sz w:val="24"/>
          <w:lang w:val="hu-HU"/>
        </w:rPr>
        <w:t>csaknem egy milliárd euróval javult az előző évi negyedévhez képest. 2019. szeptember 30-án a Henkel nettó pénzügyi helyzete a következő egyenleget mutatta: -2256 millió euró (2018. szeptember 30.: -3248 millió euró).</w:t>
      </w:r>
    </w:p>
    <w:p w:rsidR="00225227" w:rsidRDefault="00225227" w:rsidP="00782139">
      <w:pPr>
        <w:spacing w:line="276" w:lineRule="auto"/>
        <w:jc w:val="both"/>
        <w:rPr>
          <w:b/>
          <w:bCs/>
          <w:szCs w:val="20"/>
          <w:lang w:val="hu-HU"/>
        </w:rPr>
      </w:pPr>
    </w:p>
    <w:p w:rsidR="00225227" w:rsidRDefault="00225227" w:rsidP="00782139">
      <w:pPr>
        <w:spacing w:line="276" w:lineRule="auto"/>
        <w:jc w:val="both"/>
        <w:rPr>
          <w:b/>
          <w:bCs/>
          <w:szCs w:val="20"/>
          <w:lang w:val="hu-HU"/>
        </w:rPr>
      </w:pPr>
    </w:p>
    <w:p w:rsidR="00782139" w:rsidRPr="009A3057" w:rsidRDefault="00782139" w:rsidP="00782139">
      <w:pPr>
        <w:spacing w:line="276" w:lineRule="auto"/>
        <w:jc w:val="both"/>
        <w:rPr>
          <w:szCs w:val="20"/>
          <w:lang w:val="hu-HU" w:eastAsia="en-GB"/>
        </w:rPr>
      </w:pPr>
      <w:bookmarkStart w:id="1" w:name="_GoBack"/>
      <w:bookmarkEnd w:id="1"/>
      <w:r w:rsidRPr="009A3057">
        <w:rPr>
          <w:b/>
          <w:bCs/>
          <w:szCs w:val="20"/>
          <w:lang w:val="hu-HU"/>
        </w:rPr>
        <w:t>A Henkelről</w:t>
      </w:r>
    </w:p>
    <w:p w:rsidR="00782139" w:rsidRPr="009A3057" w:rsidRDefault="00782139" w:rsidP="00782139">
      <w:pPr>
        <w:spacing w:line="276" w:lineRule="auto"/>
        <w:jc w:val="both"/>
        <w:rPr>
          <w:rFonts w:cs="Arial"/>
          <w:szCs w:val="20"/>
          <w:lang w:val="hu-HU"/>
        </w:rPr>
      </w:pPr>
      <w:r w:rsidRPr="009A3057">
        <w:rPr>
          <w:rFonts w:cs="Arial"/>
          <w:szCs w:val="20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Adhesive Technologies üzletága globális vezető szerepet tölt be a ragasztók piacán – valamennyi iparági szegmensben, világszerte. A Henkel Laundry &amp; Home Care és a Beauty Care üzletágaival számos piacon és kategóriában vezető szerepet tölt be, szerte a világon. Az 1876-ban alapított Henkel több mint 140 éves sikert tudhat maga mögött. A Henkel 2018-ban 20 milliárd euró árbevételt és 3,5 milliárd euró korrigált üzemi eredményt ért el. A Henkel világszerte több mint 53 000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8" w:history="1">
        <w:r w:rsidRPr="009A3057">
          <w:rPr>
            <w:rStyle w:val="Hiperhivatkozs"/>
            <w:szCs w:val="20"/>
            <w:lang w:val="hu-HU"/>
          </w:rPr>
          <w:t>www.henkel.com</w:t>
        </w:r>
      </w:hyperlink>
      <w:r w:rsidRPr="009A3057">
        <w:rPr>
          <w:rFonts w:cs="Arial"/>
          <w:szCs w:val="20"/>
          <w:lang w:val="hu-HU"/>
        </w:rPr>
        <w:t>.</w:t>
      </w:r>
    </w:p>
    <w:p w:rsidR="00782139" w:rsidRDefault="00782139" w:rsidP="00782139">
      <w:pPr>
        <w:spacing w:line="276" w:lineRule="auto"/>
        <w:jc w:val="both"/>
        <w:rPr>
          <w:rFonts w:cs="Arial"/>
          <w:bCs/>
          <w:sz w:val="24"/>
          <w:lang w:val="hu-HU"/>
        </w:rPr>
      </w:pPr>
    </w:p>
    <w:p w:rsidR="00782139" w:rsidRPr="008129BB" w:rsidRDefault="00782139" w:rsidP="00782139">
      <w:pPr>
        <w:spacing w:line="240" w:lineRule="auto"/>
        <w:jc w:val="both"/>
        <w:rPr>
          <w:bCs/>
          <w:sz w:val="16"/>
        </w:rPr>
      </w:pPr>
      <w:r>
        <w:rPr>
          <w:sz w:val="16"/>
          <w:lang w:val="hu"/>
        </w:rPr>
        <w:t xml:space="preserve">Ez a tájékoztatás a jövőre vonatkozó állításokat tartalmaz, amelyek a Henkel AG &amp; Co. KGaA vállalati vezetősége jelenlegi becslésein és feltételezésein alapulnak. A jövőre vonatkozó állításokat olyan és hasonló szavakkal fejezzük ki, mint a „vár”, „szándékozik”, „tervez”, „jósol”, „feltételez”, „vél”, „becsül” és hasonló kifejezések. Az ilyen állítások semmiképpen sem értelmezendők úgy, hogy azok garanciát jelentenének az általuk kifejezett várakozások pontos teljesülésére. A Henkel AG &amp; Co. KGaA és kapcsolt vállalkozásainak jövőbeli teljesítménye és tényleges eredményei számos kockázat és bizonytalanság függvényei, és így jelentősen eltérhetnek a jövőre vonatkozó állításoktól. Sok ilyen tényezőre nincs befolyása a Henkelnek, és ezek előre nem becsülhetők fel pontosan, mint például a későbbi gazdasági környezet, vagy a versenytársak és más piaci szereplők tevékenysége. A Henkel nem tervezi és nem vállalja, hogy a jövőre vonatkozó állításait frissítse. </w:t>
      </w:r>
    </w:p>
    <w:p w:rsidR="00782139" w:rsidRDefault="00782139" w:rsidP="00782139">
      <w:pPr>
        <w:spacing w:line="240" w:lineRule="auto"/>
        <w:jc w:val="both"/>
        <w:rPr>
          <w:bCs/>
          <w:sz w:val="16"/>
        </w:rPr>
      </w:pPr>
    </w:p>
    <w:p w:rsidR="00782139" w:rsidRPr="008129BB" w:rsidRDefault="00782139" w:rsidP="00782139">
      <w:pPr>
        <w:spacing w:line="240" w:lineRule="auto"/>
        <w:jc w:val="both"/>
        <w:rPr>
          <w:bCs/>
          <w:sz w:val="16"/>
        </w:rPr>
      </w:pPr>
      <w:r>
        <w:rPr>
          <w:sz w:val="16"/>
          <w:lang w:val="hu"/>
        </w:rPr>
        <w:t>Ez a dokumentum - az alkalmazandó pénzügyi beszámolási keretrendszerben nem egyértelműen meghatározva - tartalmazza azokat a kiegészítő pénzügyi intézkedéseket, amelyek alternatív teljesítménymutatók, vagy azok lehetnek (nem GAAP-intézkedések). Ezeket a kiegészítő pénzügyi intézkedéseket nem szabad külön-külön vagy a Henkel nettó eszközeinek, illetve pénzügyi pozícióinak vagy eredményeinek vagy ezek alternatíváinak tekinteni, a konszolidált pénzügyi kimutatásaiban szereplő vonatkozó pénzügyi beszámolási keretrendszer szerint. Más, hasonlóan megnevezett alternatív teljesítménymutatókat jelentő vagy leíró vállalatok eltérő módon számíthatják ki őket.</w:t>
      </w:r>
    </w:p>
    <w:p w:rsidR="00782139" w:rsidRDefault="00782139" w:rsidP="00782139">
      <w:pPr>
        <w:spacing w:line="240" w:lineRule="auto"/>
        <w:jc w:val="both"/>
        <w:rPr>
          <w:bCs/>
          <w:sz w:val="16"/>
        </w:rPr>
      </w:pPr>
    </w:p>
    <w:p w:rsidR="00782139" w:rsidRDefault="00782139" w:rsidP="00782139">
      <w:pPr>
        <w:spacing w:line="240" w:lineRule="auto"/>
        <w:jc w:val="both"/>
        <w:rPr>
          <w:rFonts w:cs="Arial"/>
          <w:b/>
          <w:szCs w:val="20"/>
        </w:rPr>
      </w:pPr>
      <w:r>
        <w:rPr>
          <w:sz w:val="16"/>
          <w:lang w:val="hu"/>
        </w:rPr>
        <w:t>Ezt a dokumentumot csak tájékoztatási célból bocsátották ki, és nem célja befektetési tanácsadás, vagy értékpapírokra vonatkozó eladási ajánlat, vagy vételi ajánlat kérése.</w:t>
      </w:r>
    </w:p>
    <w:p w:rsidR="00782139" w:rsidRPr="002D012E" w:rsidRDefault="00782139" w:rsidP="00782139">
      <w:pPr>
        <w:spacing w:line="240" w:lineRule="auto"/>
        <w:jc w:val="both"/>
        <w:rPr>
          <w:bCs/>
          <w:sz w:val="16"/>
          <w:szCs w:val="20"/>
          <w:lang w:val="hu-HU" w:eastAsia="de-DE"/>
        </w:rPr>
      </w:pPr>
    </w:p>
    <w:p w:rsidR="00782139" w:rsidRDefault="00782139" w:rsidP="00782139">
      <w:pPr>
        <w:spacing w:line="240" w:lineRule="auto"/>
        <w:rPr>
          <w:rFonts w:cs="Arial"/>
          <w:b/>
          <w:szCs w:val="20"/>
          <w:lang w:val="hu-HU" w:eastAsia="de-DE"/>
        </w:rPr>
      </w:pPr>
    </w:p>
    <w:p w:rsidR="00782139" w:rsidRPr="007B252C" w:rsidRDefault="00782139" w:rsidP="00782139">
      <w:pPr>
        <w:spacing w:line="240" w:lineRule="auto"/>
        <w:rPr>
          <w:rFonts w:cs="Arial"/>
          <w:b/>
          <w:szCs w:val="20"/>
          <w:lang w:val="en-US" w:eastAsia="de-DE"/>
        </w:rPr>
      </w:pPr>
      <w:r>
        <w:rPr>
          <w:rFonts w:cs="Arial"/>
          <w:b/>
          <w:szCs w:val="20"/>
          <w:lang w:val="en-US" w:eastAsia="de-DE"/>
        </w:rPr>
        <w:t>Kapcsolat</w:t>
      </w:r>
    </w:p>
    <w:p w:rsidR="00782139" w:rsidRPr="007B252C" w:rsidRDefault="00782139" w:rsidP="00782139">
      <w:pPr>
        <w:tabs>
          <w:tab w:val="left" w:pos="851"/>
          <w:tab w:val="left" w:pos="4536"/>
        </w:tabs>
        <w:spacing w:line="260" w:lineRule="exact"/>
        <w:rPr>
          <w:rFonts w:cs="Arial"/>
          <w:b/>
          <w:szCs w:val="20"/>
          <w:lang w:val="en-US" w:eastAsia="de-DE"/>
        </w:rPr>
      </w:pPr>
      <w:r>
        <w:rPr>
          <w:rFonts w:cs="Arial"/>
          <w:b/>
          <w:bCs/>
          <w:szCs w:val="20"/>
          <w:lang w:val="hu"/>
        </w:rPr>
        <w:t>Befektetők &amp; elemzők</w:t>
      </w:r>
      <w:r w:rsidRPr="007B252C">
        <w:rPr>
          <w:rFonts w:cs="Arial"/>
          <w:b/>
          <w:szCs w:val="20"/>
          <w:lang w:val="en-US" w:eastAsia="de-DE"/>
        </w:rPr>
        <w:tab/>
      </w:r>
      <w:r>
        <w:rPr>
          <w:rFonts w:cs="Arial"/>
          <w:b/>
          <w:bCs/>
          <w:szCs w:val="20"/>
          <w:lang w:val="hu"/>
        </w:rPr>
        <w:t>Sajtó &amp; Média</w:t>
      </w:r>
    </w:p>
    <w:p w:rsidR="00225227" w:rsidRDefault="00225227" w:rsidP="00782139">
      <w:pPr>
        <w:tabs>
          <w:tab w:val="left" w:pos="851"/>
          <w:tab w:val="left" w:pos="4536"/>
        </w:tabs>
        <w:spacing w:line="240" w:lineRule="auto"/>
        <w:rPr>
          <w:rFonts w:cs="Arial"/>
          <w:b/>
          <w:szCs w:val="20"/>
          <w:lang w:val="en-US" w:eastAsia="de-DE"/>
        </w:rPr>
      </w:pPr>
    </w:p>
    <w:p w:rsidR="00782139" w:rsidRPr="006D27FC" w:rsidRDefault="00782139" w:rsidP="00782139">
      <w:pPr>
        <w:tabs>
          <w:tab w:val="left" w:pos="851"/>
          <w:tab w:val="left" w:pos="4536"/>
        </w:tabs>
        <w:spacing w:line="240" w:lineRule="auto"/>
        <w:rPr>
          <w:rFonts w:cs="Arial"/>
          <w:b/>
          <w:szCs w:val="20"/>
          <w:lang w:val="en-US" w:eastAsia="de-DE"/>
        </w:rPr>
      </w:pPr>
      <w:r w:rsidRPr="006D27FC">
        <w:rPr>
          <w:rFonts w:cs="Arial"/>
          <w:b/>
          <w:szCs w:val="20"/>
          <w:lang w:val="en-US" w:eastAsia="de-DE"/>
        </w:rPr>
        <w:t>Lars Korinth</w:t>
      </w:r>
      <w:r w:rsidRPr="006D27FC">
        <w:rPr>
          <w:rFonts w:cs="Arial"/>
          <w:b/>
          <w:szCs w:val="20"/>
          <w:lang w:val="en-US" w:eastAsia="de-DE"/>
        </w:rPr>
        <w:tab/>
        <w:t>Lars Witteck</w:t>
      </w:r>
    </w:p>
    <w:p w:rsidR="00782139" w:rsidRDefault="005F58CE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  <w:r>
        <w:rPr>
          <w:rFonts w:cs="Arial"/>
          <w:szCs w:val="20"/>
          <w:lang w:val="en-US" w:eastAsia="de-DE"/>
        </w:rPr>
        <w:t>Tel:</w:t>
      </w:r>
      <w:r w:rsidR="00782139" w:rsidRPr="00640C2A">
        <w:rPr>
          <w:rFonts w:cs="Arial"/>
          <w:szCs w:val="20"/>
          <w:lang w:val="en-US" w:eastAsia="de-DE"/>
        </w:rPr>
        <w:tab/>
        <w:t xml:space="preserve">+49 211 797 </w:t>
      </w:r>
      <w:r w:rsidR="00782139">
        <w:rPr>
          <w:rFonts w:cs="Arial"/>
          <w:szCs w:val="20"/>
          <w:lang w:val="en-US" w:eastAsia="de-DE"/>
        </w:rPr>
        <w:t>- 1631</w:t>
      </w:r>
      <w:r w:rsidR="00782139">
        <w:rPr>
          <w:rFonts w:cs="Arial"/>
          <w:szCs w:val="20"/>
          <w:lang w:val="en-US" w:eastAsia="de-DE"/>
        </w:rPr>
        <w:tab/>
      </w:r>
      <w:r>
        <w:rPr>
          <w:rFonts w:cs="Arial"/>
          <w:szCs w:val="20"/>
          <w:lang w:val="en-US" w:eastAsia="de-DE"/>
        </w:rPr>
        <w:t>Tel</w:t>
      </w:r>
      <w:r w:rsidR="00782139" w:rsidRPr="00FA1210">
        <w:rPr>
          <w:rFonts w:cs="Arial"/>
          <w:szCs w:val="20"/>
          <w:lang w:val="en-US" w:eastAsia="de-DE"/>
        </w:rPr>
        <w:t>:</w:t>
      </w:r>
      <w:r w:rsidR="00782139" w:rsidRPr="00FA1210">
        <w:rPr>
          <w:rFonts w:cs="Arial"/>
          <w:szCs w:val="20"/>
          <w:lang w:val="en-US" w:eastAsia="de-DE"/>
        </w:rPr>
        <w:tab/>
        <w:t>+49 211 797 - 2606</w:t>
      </w:r>
    </w:p>
    <w:p w:rsidR="00782139" w:rsidRPr="007B3269" w:rsidRDefault="00782139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b/>
          <w:szCs w:val="20"/>
          <w:lang w:val="en-US" w:eastAsia="de-DE"/>
        </w:rPr>
      </w:pPr>
      <w:r w:rsidRPr="009F1AE6">
        <w:rPr>
          <w:rFonts w:cs="Arial"/>
          <w:color w:val="000000"/>
          <w:szCs w:val="20"/>
          <w:lang w:val="en-US" w:eastAsia="de-DE"/>
        </w:rPr>
        <w:t>E</w:t>
      </w:r>
      <w:r>
        <w:rPr>
          <w:rFonts w:cs="Arial"/>
          <w:color w:val="000000"/>
          <w:szCs w:val="20"/>
          <w:lang w:val="en-US" w:eastAsia="de-DE"/>
        </w:rPr>
        <w:t>m</w:t>
      </w:r>
      <w:r w:rsidRPr="009F1AE6">
        <w:rPr>
          <w:rFonts w:cs="Arial"/>
          <w:color w:val="000000"/>
          <w:szCs w:val="20"/>
          <w:lang w:val="en-US" w:eastAsia="de-DE"/>
        </w:rPr>
        <w:t>ail</w:t>
      </w:r>
      <w:r w:rsidRPr="00640C2A">
        <w:rPr>
          <w:rFonts w:cs="Arial"/>
          <w:color w:val="000000"/>
          <w:szCs w:val="20"/>
          <w:lang w:val="en-US" w:eastAsia="de-DE"/>
        </w:rPr>
        <w:t>:</w:t>
      </w:r>
      <w:r w:rsidRPr="00640C2A">
        <w:rPr>
          <w:rFonts w:cs="Arial"/>
          <w:color w:val="000000"/>
          <w:szCs w:val="20"/>
          <w:lang w:val="en-US" w:eastAsia="de-DE"/>
        </w:rPr>
        <w:tab/>
      </w:r>
      <w:hyperlink r:id="rId9" w:history="1">
        <w:r w:rsidRPr="00BA6CF1">
          <w:rPr>
            <w:rStyle w:val="Hiperhivatkozs"/>
            <w:szCs w:val="20"/>
            <w:lang w:val="en-US"/>
          </w:rPr>
          <w:t>lars.korinth@henkel.com</w:t>
        </w:r>
      </w:hyperlink>
      <w:r>
        <w:rPr>
          <w:szCs w:val="20"/>
          <w:lang w:val="en-US"/>
        </w:rPr>
        <w:tab/>
      </w:r>
      <w:r w:rsidRPr="009F1AE6">
        <w:rPr>
          <w:rFonts w:cs="Arial"/>
          <w:color w:val="000000"/>
          <w:szCs w:val="20"/>
          <w:lang w:val="en-US" w:eastAsia="de-DE"/>
        </w:rPr>
        <w:t>E</w:t>
      </w:r>
      <w:r>
        <w:rPr>
          <w:rFonts w:cs="Arial"/>
          <w:color w:val="000000"/>
          <w:szCs w:val="20"/>
          <w:lang w:val="en-US" w:eastAsia="de-DE"/>
        </w:rPr>
        <w:t>m</w:t>
      </w:r>
      <w:r w:rsidRPr="009F1AE6">
        <w:rPr>
          <w:rFonts w:cs="Arial"/>
          <w:color w:val="000000"/>
          <w:szCs w:val="20"/>
          <w:lang w:val="en-US" w:eastAsia="de-DE"/>
        </w:rPr>
        <w:t>ai</w:t>
      </w:r>
      <w:r w:rsidRPr="00FA1210">
        <w:rPr>
          <w:rFonts w:cs="Arial"/>
          <w:color w:val="000000"/>
          <w:szCs w:val="20"/>
          <w:lang w:val="en-US" w:eastAsia="de-DE"/>
        </w:rPr>
        <w:t>l:</w:t>
      </w:r>
      <w:r>
        <w:rPr>
          <w:rFonts w:cs="Arial"/>
          <w:color w:val="000000"/>
          <w:szCs w:val="20"/>
          <w:lang w:val="en-US" w:eastAsia="de-DE"/>
        </w:rPr>
        <w:tab/>
      </w:r>
      <w:hyperlink r:id="rId10" w:history="1">
        <w:r w:rsidRPr="00FA1210">
          <w:rPr>
            <w:rStyle w:val="Hiperhivatkozs"/>
            <w:rFonts w:cs="Arial"/>
            <w:szCs w:val="20"/>
            <w:lang w:val="en-US" w:eastAsia="de-DE"/>
          </w:rPr>
          <w:t>lars.witteck@henkel.com</w:t>
        </w:r>
      </w:hyperlink>
    </w:p>
    <w:p w:rsidR="00782139" w:rsidRPr="007B3269" w:rsidRDefault="00782139" w:rsidP="00782139">
      <w:pPr>
        <w:tabs>
          <w:tab w:val="left" w:pos="851"/>
          <w:tab w:val="left" w:pos="4536"/>
        </w:tabs>
        <w:spacing w:line="240" w:lineRule="auto"/>
        <w:rPr>
          <w:rFonts w:cs="Arial"/>
          <w:b/>
          <w:szCs w:val="20"/>
          <w:lang w:val="en-US" w:eastAsia="de-DE"/>
        </w:rPr>
      </w:pPr>
    </w:p>
    <w:p w:rsidR="00782139" w:rsidRPr="00202388" w:rsidRDefault="00782139" w:rsidP="00782139">
      <w:pPr>
        <w:tabs>
          <w:tab w:val="left" w:pos="851"/>
          <w:tab w:val="left" w:pos="4536"/>
        </w:tabs>
        <w:spacing w:line="240" w:lineRule="auto"/>
        <w:rPr>
          <w:rFonts w:cs="Arial"/>
          <w:szCs w:val="20"/>
          <w:lang w:eastAsia="de-DE"/>
        </w:rPr>
      </w:pPr>
      <w:r w:rsidRPr="003176AB">
        <w:rPr>
          <w:rFonts w:cs="Arial"/>
          <w:b/>
          <w:szCs w:val="20"/>
          <w:lang w:eastAsia="de-DE"/>
        </w:rPr>
        <w:t>Mona Niermann</w:t>
      </w:r>
      <w:r w:rsidRPr="00ED14F4">
        <w:rPr>
          <w:rFonts w:cs="Arial"/>
          <w:b/>
          <w:szCs w:val="20"/>
          <w:lang w:eastAsia="de-DE"/>
        </w:rPr>
        <w:tab/>
      </w:r>
      <w:r w:rsidRPr="00202388">
        <w:rPr>
          <w:rFonts w:cs="Arial"/>
          <w:b/>
          <w:szCs w:val="20"/>
          <w:lang w:eastAsia="de-DE"/>
        </w:rPr>
        <w:t>Wulf Klüppelholz</w:t>
      </w:r>
    </w:p>
    <w:p w:rsidR="00782139" w:rsidRPr="006D27FC" w:rsidRDefault="005F58CE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>Tel</w:t>
      </w:r>
      <w:r w:rsidR="00782139" w:rsidRPr="006D27FC">
        <w:rPr>
          <w:rFonts w:cs="Arial"/>
          <w:szCs w:val="20"/>
          <w:lang w:eastAsia="de-DE"/>
        </w:rPr>
        <w:t>:</w:t>
      </w:r>
      <w:r w:rsidR="00782139" w:rsidRPr="006D27FC">
        <w:rPr>
          <w:rFonts w:cs="Arial"/>
          <w:szCs w:val="20"/>
          <w:lang w:eastAsia="de-DE"/>
        </w:rPr>
        <w:tab/>
        <w:t>+49 211 797 - 7151</w:t>
      </w:r>
      <w:r w:rsidR="00782139" w:rsidRPr="006D27FC">
        <w:rPr>
          <w:rFonts w:cs="Arial"/>
          <w:szCs w:val="20"/>
          <w:lang w:eastAsia="de-DE"/>
        </w:rPr>
        <w:tab/>
      </w:r>
      <w:r>
        <w:rPr>
          <w:rFonts w:cs="Arial"/>
          <w:szCs w:val="20"/>
          <w:lang w:eastAsia="de-DE"/>
        </w:rPr>
        <w:t>Tel</w:t>
      </w:r>
      <w:r w:rsidR="00782139" w:rsidRPr="006D27FC">
        <w:rPr>
          <w:rFonts w:cs="Arial"/>
          <w:szCs w:val="20"/>
          <w:lang w:eastAsia="de-DE"/>
        </w:rPr>
        <w:t xml:space="preserve">: </w:t>
      </w:r>
      <w:r w:rsidR="00782139" w:rsidRPr="006D27FC">
        <w:rPr>
          <w:rFonts w:cs="Arial"/>
          <w:szCs w:val="20"/>
          <w:lang w:eastAsia="de-DE"/>
        </w:rPr>
        <w:tab/>
        <w:t>+49 211 797 - 1875</w:t>
      </w:r>
    </w:p>
    <w:p w:rsidR="00782139" w:rsidRPr="006D27FC" w:rsidRDefault="00782139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color w:val="000000"/>
          <w:szCs w:val="20"/>
          <w:lang w:eastAsia="de-DE"/>
        </w:rPr>
      </w:pPr>
      <w:r w:rsidRPr="006D27FC">
        <w:rPr>
          <w:rFonts w:cs="Arial"/>
          <w:color w:val="000000"/>
          <w:szCs w:val="20"/>
          <w:lang w:eastAsia="de-DE"/>
        </w:rPr>
        <w:t>Email:</w:t>
      </w:r>
      <w:r w:rsidRPr="006D27FC">
        <w:rPr>
          <w:rFonts w:cs="Arial"/>
          <w:color w:val="000000"/>
          <w:szCs w:val="20"/>
          <w:lang w:eastAsia="de-DE"/>
        </w:rPr>
        <w:tab/>
      </w:r>
      <w:hyperlink r:id="rId11" w:history="1">
        <w:r w:rsidRPr="006D27FC">
          <w:rPr>
            <w:rStyle w:val="Hiperhivatkozs"/>
            <w:rFonts w:cs="Arial"/>
            <w:szCs w:val="20"/>
            <w:lang w:eastAsia="de-DE"/>
          </w:rPr>
          <w:t>mona.niermann@henkel.com</w:t>
        </w:r>
      </w:hyperlink>
      <w:r w:rsidRPr="006D27FC">
        <w:rPr>
          <w:rFonts w:cs="Arial"/>
          <w:color w:val="000000"/>
          <w:szCs w:val="20"/>
          <w:lang w:eastAsia="de-DE"/>
        </w:rPr>
        <w:tab/>
        <w:t>Email</w:t>
      </w:r>
      <w:r w:rsidRPr="006D27FC">
        <w:rPr>
          <w:rFonts w:cs="Arial"/>
          <w:szCs w:val="20"/>
          <w:lang w:eastAsia="de-DE"/>
        </w:rPr>
        <w:t>:</w:t>
      </w:r>
      <w:r w:rsidRPr="006D27FC">
        <w:rPr>
          <w:rFonts w:cs="Arial"/>
          <w:color w:val="0000FF"/>
          <w:szCs w:val="20"/>
          <w:lang w:eastAsia="de-DE"/>
        </w:rPr>
        <w:tab/>
      </w:r>
      <w:r w:rsidRPr="006D27FC">
        <w:rPr>
          <w:color w:val="0000FF"/>
          <w:szCs w:val="20"/>
          <w:u w:val="single"/>
          <w:lang w:eastAsia="de-DE"/>
        </w:rPr>
        <w:t>wulf.klueppelholz@henkel.</w:t>
      </w:r>
      <w:r w:rsidRPr="006D27FC">
        <w:rPr>
          <w:color w:val="0000FF"/>
          <w:szCs w:val="20"/>
          <w:u w:val="single"/>
        </w:rPr>
        <w:t>com</w:t>
      </w:r>
    </w:p>
    <w:p w:rsidR="00782139" w:rsidRPr="006D27FC" w:rsidRDefault="00782139" w:rsidP="0078213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de-DE"/>
        </w:rPr>
      </w:pPr>
    </w:p>
    <w:p w:rsidR="00225227" w:rsidRDefault="00225227" w:rsidP="00225227">
      <w:pPr>
        <w:tabs>
          <w:tab w:val="left" w:pos="709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de-DE"/>
        </w:rPr>
      </w:pPr>
      <w:r>
        <w:rPr>
          <w:rFonts w:cs="Arial"/>
          <w:b/>
          <w:szCs w:val="20"/>
          <w:lang w:val="en-US" w:eastAsia="de-DE"/>
        </w:rPr>
        <w:t>Dorothee Brinkmann</w:t>
      </w:r>
      <w:r>
        <w:rPr>
          <w:rFonts w:cs="Arial"/>
          <w:b/>
          <w:color w:val="000000"/>
          <w:szCs w:val="20"/>
          <w:lang w:val="en-US" w:eastAsia="de-DE"/>
        </w:rPr>
        <w:t xml:space="preserve"> </w:t>
      </w:r>
      <w:r>
        <w:rPr>
          <w:rFonts w:cs="Arial"/>
          <w:b/>
          <w:color w:val="000000"/>
          <w:szCs w:val="20"/>
          <w:lang w:val="en-US" w:eastAsia="de-DE"/>
        </w:rPr>
        <w:tab/>
        <w:t>Jennifer Ott</w:t>
      </w:r>
    </w:p>
    <w:p w:rsidR="00225227" w:rsidRDefault="00225227" w:rsidP="00225227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  <w:r>
        <w:rPr>
          <w:rFonts w:cs="Arial"/>
          <w:szCs w:val="20"/>
          <w:lang w:val="en-US" w:eastAsia="de-DE"/>
        </w:rPr>
        <w:t>Phone:</w:t>
      </w:r>
      <w:r>
        <w:rPr>
          <w:rFonts w:cs="Arial"/>
          <w:szCs w:val="20"/>
          <w:lang w:val="en-US" w:eastAsia="de-DE"/>
        </w:rPr>
        <w:tab/>
        <w:t xml:space="preserve">+49 211 797 - 5299 </w:t>
      </w:r>
      <w:r>
        <w:rPr>
          <w:rFonts w:cs="Arial"/>
          <w:szCs w:val="20"/>
          <w:lang w:val="en-US" w:eastAsia="de-DE"/>
        </w:rPr>
        <w:tab/>
        <w:t>Phone:</w:t>
      </w:r>
      <w:r>
        <w:rPr>
          <w:rFonts w:cs="Arial"/>
          <w:szCs w:val="20"/>
          <w:lang w:val="en-US" w:eastAsia="de-DE"/>
        </w:rPr>
        <w:tab/>
        <w:t>+49 211 797 - 2756</w:t>
      </w:r>
    </w:p>
    <w:p w:rsidR="00225227" w:rsidRDefault="00225227" w:rsidP="00225227">
      <w:pPr>
        <w:tabs>
          <w:tab w:val="left" w:pos="709"/>
          <w:tab w:val="left" w:pos="4536"/>
          <w:tab w:val="left" w:pos="5245"/>
        </w:tabs>
        <w:spacing w:line="240" w:lineRule="auto"/>
        <w:rPr>
          <w:szCs w:val="20"/>
          <w:lang w:val="en-US"/>
        </w:rPr>
      </w:pPr>
      <w:r>
        <w:rPr>
          <w:rFonts w:cs="Arial"/>
          <w:color w:val="000000"/>
          <w:szCs w:val="20"/>
          <w:lang w:val="en-US" w:eastAsia="de-DE"/>
        </w:rPr>
        <w:t xml:space="preserve">Email: </w:t>
      </w:r>
      <w:r>
        <w:rPr>
          <w:rFonts w:cs="Arial"/>
          <w:color w:val="000000"/>
          <w:szCs w:val="20"/>
          <w:lang w:val="en-US" w:eastAsia="de-DE"/>
        </w:rPr>
        <w:tab/>
      </w:r>
      <w:hyperlink r:id="rId12" w:history="1">
        <w:r>
          <w:rPr>
            <w:rStyle w:val="Hiperhivatkozs"/>
            <w:lang w:val="en-US"/>
          </w:rPr>
          <w:t>dorothee.brinkmann@henkel.com</w:t>
        </w:r>
      </w:hyperlink>
      <w:r>
        <w:rPr>
          <w:rFonts w:cs="Arial"/>
          <w:szCs w:val="20"/>
          <w:lang w:val="en-US" w:eastAsia="de-DE"/>
        </w:rPr>
        <w:t xml:space="preserve"> </w:t>
      </w:r>
      <w:r>
        <w:rPr>
          <w:rFonts w:cs="Arial"/>
          <w:szCs w:val="20"/>
          <w:lang w:val="en-US" w:eastAsia="de-DE"/>
        </w:rPr>
        <w:tab/>
        <w:t>Email:</w:t>
      </w:r>
      <w:r>
        <w:rPr>
          <w:rFonts w:cs="Arial"/>
          <w:szCs w:val="20"/>
          <w:lang w:val="en-US" w:eastAsia="de-DE"/>
        </w:rPr>
        <w:tab/>
      </w:r>
      <w:hyperlink r:id="rId13" w:history="1">
        <w:r>
          <w:rPr>
            <w:rStyle w:val="Hiperhivatkozs"/>
            <w:rFonts w:cs="Arial"/>
            <w:szCs w:val="20"/>
            <w:lang w:val="en-US" w:eastAsia="de-DE"/>
          </w:rPr>
          <w:t>jennifer.ott@henkel.com</w:t>
        </w:r>
      </w:hyperlink>
    </w:p>
    <w:p w:rsidR="00225227" w:rsidRDefault="00225227" w:rsidP="0078213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lang w:val="hu-HU"/>
        </w:rPr>
      </w:pPr>
    </w:p>
    <w:p w:rsidR="00225227" w:rsidRDefault="00225227" w:rsidP="0078213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lang w:val="hu-HU"/>
        </w:rPr>
      </w:pPr>
    </w:p>
    <w:p w:rsidR="00782139" w:rsidRPr="007B252C" w:rsidRDefault="00225227" w:rsidP="0078213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  <w:r w:rsidRPr="00225227">
        <w:rPr>
          <w:lang w:val="hu-HU"/>
        </w:rPr>
        <w:t>2019 harmadik negyedéves pénzügyi jelentés és további letölthető dokumentum található:</w:t>
      </w:r>
    </w:p>
    <w:p w:rsidR="00225227" w:rsidRDefault="00225227" w:rsidP="00225227">
      <w:pPr>
        <w:autoSpaceDE w:val="0"/>
        <w:autoSpaceDN w:val="0"/>
        <w:rPr>
          <w:lang w:val="en-US"/>
        </w:rPr>
      </w:pPr>
      <w:hyperlink r:id="rId14" w:history="1">
        <w:r>
          <w:rPr>
            <w:rStyle w:val="Hiperhivatkozs"/>
            <w:lang w:val="en-US"/>
          </w:rPr>
          <w:t>www.henkel.com/press</w:t>
        </w:r>
      </w:hyperlink>
      <w:r>
        <w:rPr>
          <w:lang w:val="en-US"/>
        </w:rPr>
        <w:t xml:space="preserve">; </w:t>
      </w:r>
      <w:hyperlink r:id="rId15" w:history="1">
        <w:r>
          <w:rPr>
            <w:rStyle w:val="Hiperhivatkozs"/>
            <w:lang w:val="en-US"/>
          </w:rPr>
          <w:t>www.henkel.com/ir</w:t>
        </w:r>
      </w:hyperlink>
    </w:p>
    <w:p w:rsidR="00782139" w:rsidRPr="00160AD3" w:rsidRDefault="00782139" w:rsidP="00782139">
      <w:pPr>
        <w:autoSpaceDE w:val="0"/>
        <w:autoSpaceDN w:val="0"/>
        <w:rPr>
          <w:lang w:val="en-US"/>
        </w:rPr>
      </w:pPr>
    </w:p>
    <w:p w:rsidR="00782139" w:rsidRDefault="00782139" w:rsidP="00782139">
      <w:pPr>
        <w:spacing w:line="360" w:lineRule="auto"/>
        <w:jc w:val="both"/>
        <w:rPr>
          <w:lang w:val="hu"/>
        </w:rPr>
      </w:pPr>
    </w:p>
    <w:p w:rsidR="00782139" w:rsidRPr="00A858AE" w:rsidRDefault="00782139" w:rsidP="00782139">
      <w:pPr>
        <w:spacing w:line="280" w:lineRule="exact"/>
        <w:rPr>
          <w:lang w:val="hu-HU" w:eastAsia="de-DE"/>
        </w:rPr>
      </w:pPr>
      <w:r w:rsidRPr="00A858AE">
        <w:rPr>
          <w:lang w:val="hu-HU" w:eastAsia="de-DE"/>
        </w:rPr>
        <w:t>Dispiter Dorottya</w:t>
      </w:r>
    </w:p>
    <w:p w:rsidR="00782139" w:rsidRPr="00A858AE" w:rsidRDefault="00782139" w:rsidP="00782139">
      <w:pPr>
        <w:spacing w:line="280" w:lineRule="exact"/>
        <w:rPr>
          <w:rFonts w:cs="Arial"/>
          <w:lang w:val="hu-HU" w:eastAsia="de-DE"/>
        </w:rPr>
      </w:pPr>
      <w:r w:rsidRPr="00A858AE">
        <w:rPr>
          <w:rFonts w:cs="Arial"/>
          <w:lang w:val="hu-HU" w:eastAsia="de-DE"/>
        </w:rPr>
        <w:t>Tel.</w:t>
      </w:r>
      <w:r w:rsidRPr="00A858AE">
        <w:rPr>
          <w:rFonts w:cs="Arial"/>
          <w:lang w:val="hu-HU" w:eastAsia="de-DE"/>
        </w:rPr>
        <w:tab/>
        <w:t>(1) 372-55</w:t>
      </w:r>
      <w:r>
        <w:rPr>
          <w:rFonts w:cs="Arial"/>
          <w:lang w:val="hu-HU" w:eastAsia="de-DE"/>
        </w:rPr>
        <w:t>55</w:t>
      </w:r>
    </w:p>
    <w:p w:rsidR="00782139" w:rsidRPr="00A858AE" w:rsidRDefault="00782139" w:rsidP="00782139">
      <w:pPr>
        <w:spacing w:line="280" w:lineRule="exact"/>
        <w:rPr>
          <w:rFonts w:cs="Arial"/>
          <w:color w:val="000000"/>
          <w:lang w:val="hu-HU" w:eastAsia="de-DE"/>
        </w:rPr>
      </w:pPr>
      <w:r w:rsidRPr="00A858AE">
        <w:rPr>
          <w:rFonts w:cs="Arial"/>
          <w:color w:val="000000"/>
          <w:lang w:val="hu-HU" w:eastAsia="de-DE"/>
        </w:rPr>
        <w:t xml:space="preserve">Email: </w:t>
      </w:r>
      <w:hyperlink r:id="rId16" w:history="1">
        <w:r w:rsidRPr="00A858AE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:rsidR="00782139" w:rsidRPr="00A858AE" w:rsidRDefault="00782139" w:rsidP="0078213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A858AE">
        <w:rPr>
          <w:rFonts w:cs="Arial"/>
          <w:szCs w:val="20"/>
          <w:lang w:val="hu-HU"/>
        </w:rPr>
        <w:t>Henkel Magyarország Kft.</w:t>
      </w:r>
    </w:p>
    <w:p w:rsidR="003C6A25" w:rsidRPr="00A858AE" w:rsidRDefault="00782139" w:rsidP="005F58CE">
      <w:pPr>
        <w:pStyle w:val="lfej"/>
        <w:jc w:val="both"/>
        <w:rPr>
          <w:lang w:val="hu-HU"/>
        </w:rPr>
      </w:pPr>
      <w:r w:rsidRPr="00A858AE">
        <w:rPr>
          <w:rFonts w:cs="Arial"/>
          <w:szCs w:val="20"/>
          <w:lang w:val="hu-HU"/>
        </w:rPr>
        <w:t>Vállalati kommunikáció</w:t>
      </w:r>
    </w:p>
    <w:sectPr w:rsidR="003C6A25" w:rsidRPr="00A858AE" w:rsidSect="00782139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276" w:right="1275" w:bottom="1985" w:left="1418" w:header="1247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8A" w:rsidRDefault="00F6288A">
      <w:r>
        <w:separator/>
      </w:r>
    </w:p>
  </w:endnote>
  <w:endnote w:type="continuationSeparator" w:id="0">
    <w:p w:rsidR="00F6288A" w:rsidRDefault="00F6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Pr="00B80304" w:rsidRDefault="0036554D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36554D">
      <w:rPr>
        <w:color w:val="auto"/>
        <w:lang w:val="en-US"/>
      </w:rPr>
      <w:t>Henkel AG &amp; Co. KGaA  / Henkel Magyarország Kft. Vállalati kommunikáció</w:t>
    </w:r>
    <w:r w:rsidR="00CF6F33" w:rsidRPr="00B80304">
      <w:rPr>
        <w:color w:val="auto"/>
      </w:rPr>
      <w:tab/>
    </w:r>
    <w:r w:rsidR="00B80304" w:rsidRPr="00B80304">
      <w:rPr>
        <w:b w:val="0"/>
        <w:color w:val="auto"/>
      </w:rPr>
      <w:t>Oldal</w:t>
    </w:r>
    <w:r w:rsidR="00CF6F33" w:rsidRPr="00B80304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  <w:r w:rsidR="00CF6F33" w:rsidRPr="00B80304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39" w:rsidRDefault="00782139" w:rsidP="00782139">
    <w:pPr>
      <w:spacing w:line="276" w:lineRule="auto"/>
      <w:jc w:val="both"/>
      <w:rPr>
        <w:sz w:val="14"/>
        <w:szCs w:val="14"/>
        <w:lang w:val="hu"/>
      </w:rPr>
    </w:pPr>
    <w:bookmarkStart w:id="2" w:name="_Hlk16606439"/>
    <w:r>
      <w:rPr>
        <w:sz w:val="14"/>
        <w:szCs w:val="14"/>
        <w:lang w:val="hu"/>
      </w:rPr>
      <w:t>*Egyszeri költségekkel/nyereségekkel és átszervezési költségekkel kiigazítva.</w:t>
    </w:r>
  </w:p>
  <w:bookmarkEnd w:id="2"/>
  <w:p w:rsidR="00782139" w:rsidRPr="007C698C" w:rsidRDefault="00782139" w:rsidP="00782139">
    <w:pPr>
      <w:spacing w:line="276" w:lineRule="auto"/>
      <w:jc w:val="both"/>
      <w:rPr>
        <w:sz w:val="14"/>
        <w:szCs w:val="14"/>
      </w:rPr>
    </w:pPr>
    <w:r>
      <w:rPr>
        <w:sz w:val="14"/>
        <w:szCs w:val="14"/>
        <w:lang w:val="hu"/>
      </w:rPr>
      <w:br/>
    </w:r>
  </w:p>
  <w:p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3B6C8366" wp14:editId="4CF9AEA7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1158" name="Kép 1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21AE2B44" wp14:editId="31BE8714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1159" name="Kép 1159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7550C6A8" wp14:editId="36E2044E">
          <wp:extent cx="419100" cy="152400"/>
          <wp:effectExtent l="0" t="0" r="0" b="0"/>
          <wp:docPr id="1169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17CC061F" wp14:editId="09138851">
          <wp:extent cx="495300" cy="123825"/>
          <wp:effectExtent l="0" t="0" r="0" b="9525"/>
          <wp:docPr id="1170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4D612F9E" wp14:editId="246C8FF9">
          <wp:extent cx="581025" cy="104775"/>
          <wp:effectExtent l="0" t="0" r="9525" b="9525"/>
          <wp:docPr id="1171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73DC198C" wp14:editId="5DCD04BF">
          <wp:extent cx="990600" cy="104775"/>
          <wp:effectExtent l="0" t="0" r="0" b="9525"/>
          <wp:docPr id="1172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1D3BFB04" wp14:editId="211983F3">
          <wp:extent cx="885825" cy="104775"/>
          <wp:effectExtent l="0" t="0" r="9525" b="9525"/>
          <wp:docPr id="1173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6AE7BD4B" wp14:editId="5755D30A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1174" name="Kép 1174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8A" w:rsidRDefault="00F6288A">
      <w:r>
        <w:separator/>
      </w:r>
    </w:p>
  </w:footnote>
  <w:footnote w:type="continuationSeparator" w:id="0">
    <w:p w:rsidR="00F6288A" w:rsidRDefault="00F6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1157" name="Kép 1157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6EC" w:rsidRPr="001C4BE1" w:rsidRDefault="009A16EC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2F3068"/>
    <w:multiLevelType w:val="hybridMultilevel"/>
    <w:tmpl w:val="FD926580"/>
    <w:lvl w:ilvl="0" w:tplc="001A3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2AA4"/>
    <w:rsid w:val="00005267"/>
    <w:rsid w:val="00006346"/>
    <w:rsid w:val="00015BC1"/>
    <w:rsid w:val="00021C67"/>
    <w:rsid w:val="000244BF"/>
    <w:rsid w:val="00030557"/>
    <w:rsid w:val="00030F51"/>
    <w:rsid w:val="000360E3"/>
    <w:rsid w:val="00054EA1"/>
    <w:rsid w:val="000575F9"/>
    <w:rsid w:val="000618FC"/>
    <w:rsid w:val="000732FB"/>
    <w:rsid w:val="00077DAF"/>
    <w:rsid w:val="00080A02"/>
    <w:rsid w:val="00080D10"/>
    <w:rsid w:val="0008241F"/>
    <w:rsid w:val="000C56DD"/>
    <w:rsid w:val="000D1672"/>
    <w:rsid w:val="000E3034"/>
    <w:rsid w:val="000E6536"/>
    <w:rsid w:val="000E7F24"/>
    <w:rsid w:val="000F03BE"/>
    <w:rsid w:val="000F07E6"/>
    <w:rsid w:val="000F225B"/>
    <w:rsid w:val="000F7FAF"/>
    <w:rsid w:val="00111CAF"/>
    <w:rsid w:val="00111F4D"/>
    <w:rsid w:val="00115230"/>
    <w:rsid w:val="001162B4"/>
    <w:rsid w:val="00122CBC"/>
    <w:rsid w:val="00126D4A"/>
    <w:rsid w:val="00132DA9"/>
    <w:rsid w:val="0013305B"/>
    <w:rsid w:val="00133B99"/>
    <w:rsid w:val="00135DDA"/>
    <w:rsid w:val="00141D9E"/>
    <w:rsid w:val="001443BD"/>
    <w:rsid w:val="00146346"/>
    <w:rsid w:val="00151B0C"/>
    <w:rsid w:val="001B0474"/>
    <w:rsid w:val="001C0B32"/>
    <w:rsid w:val="001C4BE1"/>
    <w:rsid w:val="001D398E"/>
    <w:rsid w:val="001E0F71"/>
    <w:rsid w:val="001E6D05"/>
    <w:rsid w:val="001E7C28"/>
    <w:rsid w:val="001F1BDF"/>
    <w:rsid w:val="001F7110"/>
    <w:rsid w:val="001F7E96"/>
    <w:rsid w:val="00212488"/>
    <w:rsid w:val="00220628"/>
    <w:rsid w:val="00225227"/>
    <w:rsid w:val="00237F62"/>
    <w:rsid w:val="0024586A"/>
    <w:rsid w:val="00262C05"/>
    <w:rsid w:val="00270F6D"/>
    <w:rsid w:val="00285B75"/>
    <w:rsid w:val="0029735B"/>
    <w:rsid w:val="002A0DF7"/>
    <w:rsid w:val="002A45C8"/>
    <w:rsid w:val="002A60E0"/>
    <w:rsid w:val="002A6AB9"/>
    <w:rsid w:val="002B6C10"/>
    <w:rsid w:val="002C252E"/>
    <w:rsid w:val="002C6773"/>
    <w:rsid w:val="002E0B17"/>
    <w:rsid w:val="002E272F"/>
    <w:rsid w:val="002E7DED"/>
    <w:rsid w:val="002F7E11"/>
    <w:rsid w:val="00304087"/>
    <w:rsid w:val="00310ACD"/>
    <w:rsid w:val="0031379F"/>
    <w:rsid w:val="00320A26"/>
    <w:rsid w:val="00321344"/>
    <w:rsid w:val="00326717"/>
    <w:rsid w:val="0034015C"/>
    <w:rsid w:val="00340508"/>
    <w:rsid w:val="00353705"/>
    <w:rsid w:val="003562E8"/>
    <w:rsid w:val="0036357D"/>
    <w:rsid w:val="0036554D"/>
    <w:rsid w:val="00367AA1"/>
    <w:rsid w:val="00367F22"/>
    <w:rsid w:val="00372E36"/>
    <w:rsid w:val="00377CBB"/>
    <w:rsid w:val="003877B6"/>
    <w:rsid w:val="00393887"/>
    <w:rsid w:val="00394C6B"/>
    <w:rsid w:val="003B1069"/>
    <w:rsid w:val="003B390A"/>
    <w:rsid w:val="003C15DE"/>
    <w:rsid w:val="003C38EC"/>
    <w:rsid w:val="003C4EB2"/>
    <w:rsid w:val="003C6A25"/>
    <w:rsid w:val="003E4234"/>
    <w:rsid w:val="003F1AF3"/>
    <w:rsid w:val="003F4D8D"/>
    <w:rsid w:val="0040489E"/>
    <w:rsid w:val="00406921"/>
    <w:rsid w:val="00417A82"/>
    <w:rsid w:val="004313E7"/>
    <w:rsid w:val="0044763B"/>
    <w:rsid w:val="004629B3"/>
    <w:rsid w:val="0046376E"/>
    <w:rsid w:val="0046690F"/>
    <w:rsid w:val="00477B58"/>
    <w:rsid w:val="00483BD6"/>
    <w:rsid w:val="00490A03"/>
    <w:rsid w:val="00494DBE"/>
    <w:rsid w:val="00495CE6"/>
    <w:rsid w:val="004A323C"/>
    <w:rsid w:val="004A3D35"/>
    <w:rsid w:val="004B54E8"/>
    <w:rsid w:val="004C1803"/>
    <w:rsid w:val="004C4FEB"/>
    <w:rsid w:val="004D059B"/>
    <w:rsid w:val="004D4CB6"/>
    <w:rsid w:val="004E27B2"/>
    <w:rsid w:val="004F10C1"/>
    <w:rsid w:val="00501953"/>
    <w:rsid w:val="00502E62"/>
    <w:rsid w:val="0052212B"/>
    <w:rsid w:val="00534B46"/>
    <w:rsid w:val="00540358"/>
    <w:rsid w:val="005446C0"/>
    <w:rsid w:val="00547E79"/>
    <w:rsid w:val="00553455"/>
    <w:rsid w:val="00555A2F"/>
    <w:rsid w:val="00556F67"/>
    <w:rsid w:val="005751AA"/>
    <w:rsid w:val="005765B2"/>
    <w:rsid w:val="00585CDE"/>
    <w:rsid w:val="00586CAF"/>
    <w:rsid w:val="00591180"/>
    <w:rsid w:val="00597D07"/>
    <w:rsid w:val="005C2F36"/>
    <w:rsid w:val="005C7112"/>
    <w:rsid w:val="005D0561"/>
    <w:rsid w:val="005D0AD9"/>
    <w:rsid w:val="005D22F6"/>
    <w:rsid w:val="005E0C30"/>
    <w:rsid w:val="005E69D9"/>
    <w:rsid w:val="005F25AF"/>
    <w:rsid w:val="005F27F4"/>
    <w:rsid w:val="005F3239"/>
    <w:rsid w:val="005F58CE"/>
    <w:rsid w:val="00602C7F"/>
    <w:rsid w:val="00607256"/>
    <w:rsid w:val="006144B1"/>
    <w:rsid w:val="00617ECF"/>
    <w:rsid w:val="006335F1"/>
    <w:rsid w:val="006345B6"/>
    <w:rsid w:val="00635712"/>
    <w:rsid w:val="00636D3E"/>
    <w:rsid w:val="00652229"/>
    <w:rsid w:val="00652793"/>
    <w:rsid w:val="006610A4"/>
    <w:rsid w:val="006626CA"/>
    <w:rsid w:val="00663487"/>
    <w:rsid w:val="00670A2E"/>
    <w:rsid w:val="00672382"/>
    <w:rsid w:val="006861DB"/>
    <w:rsid w:val="00690B19"/>
    <w:rsid w:val="006A3639"/>
    <w:rsid w:val="006A4D1B"/>
    <w:rsid w:val="006B499F"/>
    <w:rsid w:val="006C52CD"/>
    <w:rsid w:val="006D343E"/>
    <w:rsid w:val="006D4996"/>
    <w:rsid w:val="006D54AB"/>
    <w:rsid w:val="006E21FF"/>
    <w:rsid w:val="006E3ED2"/>
    <w:rsid w:val="006E5032"/>
    <w:rsid w:val="006F5AA4"/>
    <w:rsid w:val="006F670F"/>
    <w:rsid w:val="00703272"/>
    <w:rsid w:val="007058BD"/>
    <w:rsid w:val="007065F8"/>
    <w:rsid w:val="0070733C"/>
    <w:rsid w:val="00710C5D"/>
    <w:rsid w:val="0071348C"/>
    <w:rsid w:val="00717273"/>
    <w:rsid w:val="00720FD4"/>
    <w:rsid w:val="0073096C"/>
    <w:rsid w:val="00742398"/>
    <w:rsid w:val="007507B5"/>
    <w:rsid w:val="00753A24"/>
    <w:rsid w:val="00772188"/>
    <w:rsid w:val="00774B6F"/>
    <w:rsid w:val="00780C94"/>
    <w:rsid w:val="00781D40"/>
    <w:rsid w:val="00782139"/>
    <w:rsid w:val="00786BA3"/>
    <w:rsid w:val="007965DD"/>
    <w:rsid w:val="007A1667"/>
    <w:rsid w:val="007A1BBD"/>
    <w:rsid w:val="007A4432"/>
    <w:rsid w:val="007A78C1"/>
    <w:rsid w:val="007B499C"/>
    <w:rsid w:val="007B4D4B"/>
    <w:rsid w:val="007C3976"/>
    <w:rsid w:val="007C6C17"/>
    <w:rsid w:val="007D2A02"/>
    <w:rsid w:val="007E6EA1"/>
    <w:rsid w:val="007F15FB"/>
    <w:rsid w:val="007F1928"/>
    <w:rsid w:val="007F2B1E"/>
    <w:rsid w:val="007F62B4"/>
    <w:rsid w:val="007F7399"/>
    <w:rsid w:val="008010A9"/>
    <w:rsid w:val="00801517"/>
    <w:rsid w:val="008167D3"/>
    <w:rsid w:val="00817DE8"/>
    <w:rsid w:val="008229F5"/>
    <w:rsid w:val="00833090"/>
    <w:rsid w:val="00833CEB"/>
    <w:rsid w:val="008372D2"/>
    <w:rsid w:val="008430B6"/>
    <w:rsid w:val="00844C17"/>
    <w:rsid w:val="00847726"/>
    <w:rsid w:val="00852511"/>
    <w:rsid w:val="008614F1"/>
    <w:rsid w:val="008639B3"/>
    <w:rsid w:val="00863C1A"/>
    <w:rsid w:val="0087142D"/>
    <w:rsid w:val="00873956"/>
    <w:rsid w:val="00874104"/>
    <w:rsid w:val="008825EE"/>
    <w:rsid w:val="00884E24"/>
    <w:rsid w:val="0088596E"/>
    <w:rsid w:val="00886A45"/>
    <w:rsid w:val="008959BE"/>
    <w:rsid w:val="008A2375"/>
    <w:rsid w:val="008B15C8"/>
    <w:rsid w:val="008B20C7"/>
    <w:rsid w:val="008B6262"/>
    <w:rsid w:val="008C5796"/>
    <w:rsid w:val="008D294B"/>
    <w:rsid w:val="008D76C5"/>
    <w:rsid w:val="008E0AFA"/>
    <w:rsid w:val="008E75D3"/>
    <w:rsid w:val="008F125E"/>
    <w:rsid w:val="008F4D2F"/>
    <w:rsid w:val="009026EC"/>
    <w:rsid w:val="009042F7"/>
    <w:rsid w:val="00911B05"/>
    <w:rsid w:val="00917162"/>
    <w:rsid w:val="009251CC"/>
    <w:rsid w:val="0092714E"/>
    <w:rsid w:val="00942002"/>
    <w:rsid w:val="00947885"/>
    <w:rsid w:val="00952168"/>
    <w:rsid w:val="009527FE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3057"/>
    <w:rsid w:val="009B3B37"/>
    <w:rsid w:val="009C088E"/>
    <w:rsid w:val="009C4D35"/>
    <w:rsid w:val="009E0864"/>
    <w:rsid w:val="009E211D"/>
    <w:rsid w:val="009E5EB4"/>
    <w:rsid w:val="009F6026"/>
    <w:rsid w:val="00A044D6"/>
    <w:rsid w:val="00A04ADB"/>
    <w:rsid w:val="00A11E0F"/>
    <w:rsid w:val="00A17EB3"/>
    <w:rsid w:val="00A244C2"/>
    <w:rsid w:val="00A26CB6"/>
    <w:rsid w:val="00A305DE"/>
    <w:rsid w:val="00A309CD"/>
    <w:rsid w:val="00A32F82"/>
    <w:rsid w:val="00A32F8B"/>
    <w:rsid w:val="00A45A62"/>
    <w:rsid w:val="00A54AC5"/>
    <w:rsid w:val="00A56D41"/>
    <w:rsid w:val="00A57396"/>
    <w:rsid w:val="00A61353"/>
    <w:rsid w:val="00A66DB1"/>
    <w:rsid w:val="00A67A92"/>
    <w:rsid w:val="00A721AE"/>
    <w:rsid w:val="00A91A70"/>
    <w:rsid w:val="00A973C3"/>
    <w:rsid w:val="00AA1B85"/>
    <w:rsid w:val="00AB1CB6"/>
    <w:rsid w:val="00AB1D9A"/>
    <w:rsid w:val="00AB733B"/>
    <w:rsid w:val="00AC1852"/>
    <w:rsid w:val="00AD44FE"/>
    <w:rsid w:val="00AE49F1"/>
    <w:rsid w:val="00AE76BB"/>
    <w:rsid w:val="00B04496"/>
    <w:rsid w:val="00B05CCA"/>
    <w:rsid w:val="00B14271"/>
    <w:rsid w:val="00B2685D"/>
    <w:rsid w:val="00B30351"/>
    <w:rsid w:val="00B33C2A"/>
    <w:rsid w:val="00B422EC"/>
    <w:rsid w:val="00B60007"/>
    <w:rsid w:val="00B80304"/>
    <w:rsid w:val="00B86A4F"/>
    <w:rsid w:val="00B958E8"/>
    <w:rsid w:val="00BA09B2"/>
    <w:rsid w:val="00BA51DB"/>
    <w:rsid w:val="00BC0995"/>
    <w:rsid w:val="00BE793A"/>
    <w:rsid w:val="00BF432A"/>
    <w:rsid w:val="00BF6E82"/>
    <w:rsid w:val="00C0159B"/>
    <w:rsid w:val="00C04A99"/>
    <w:rsid w:val="00C24C17"/>
    <w:rsid w:val="00C24C2F"/>
    <w:rsid w:val="00C40B88"/>
    <w:rsid w:val="00C47D87"/>
    <w:rsid w:val="00C5376E"/>
    <w:rsid w:val="00C76F73"/>
    <w:rsid w:val="00C83A21"/>
    <w:rsid w:val="00C97091"/>
    <w:rsid w:val="00CA2001"/>
    <w:rsid w:val="00CB5B6C"/>
    <w:rsid w:val="00CC7B25"/>
    <w:rsid w:val="00CD4616"/>
    <w:rsid w:val="00CE272F"/>
    <w:rsid w:val="00CE33D5"/>
    <w:rsid w:val="00CF5D37"/>
    <w:rsid w:val="00CF6F33"/>
    <w:rsid w:val="00D02248"/>
    <w:rsid w:val="00D063B8"/>
    <w:rsid w:val="00D06C1D"/>
    <w:rsid w:val="00D101B5"/>
    <w:rsid w:val="00D17099"/>
    <w:rsid w:val="00D17E3B"/>
    <w:rsid w:val="00D23C09"/>
    <w:rsid w:val="00D23CED"/>
    <w:rsid w:val="00D24BD2"/>
    <w:rsid w:val="00D260A2"/>
    <w:rsid w:val="00D30CC6"/>
    <w:rsid w:val="00D3260C"/>
    <w:rsid w:val="00D35790"/>
    <w:rsid w:val="00D371A0"/>
    <w:rsid w:val="00D55442"/>
    <w:rsid w:val="00D62EF1"/>
    <w:rsid w:val="00D6309D"/>
    <w:rsid w:val="00D644CA"/>
    <w:rsid w:val="00D66FC2"/>
    <w:rsid w:val="00D76C7E"/>
    <w:rsid w:val="00D9293F"/>
    <w:rsid w:val="00D93598"/>
    <w:rsid w:val="00DA0A33"/>
    <w:rsid w:val="00DA1E18"/>
    <w:rsid w:val="00DA2ACE"/>
    <w:rsid w:val="00DB05B1"/>
    <w:rsid w:val="00DC1ED9"/>
    <w:rsid w:val="00DC366F"/>
    <w:rsid w:val="00DD512E"/>
    <w:rsid w:val="00DE1177"/>
    <w:rsid w:val="00DE2CEA"/>
    <w:rsid w:val="00DE6A3C"/>
    <w:rsid w:val="00DE7F97"/>
    <w:rsid w:val="00DF1010"/>
    <w:rsid w:val="00DF29E1"/>
    <w:rsid w:val="00DF49A7"/>
    <w:rsid w:val="00DF5AEA"/>
    <w:rsid w:val="00DF63F6"/>
    <w:rsid w:val="00E0140F"/>
    <w:rsid w:val="00E13747"/>
    <w:rsid w:val="00E25AEA"/>
    <w:rsid w:val="00E30DEF"/>
    <w:rsid w:val="00E30ED2"/>
    <w:rsid w:val="00E329B5"/>
    <w:rsid w:val="00E37F70"/>
    <w:rsid w:val="00E446C1"/>
    <w:rsid w:val="00E61CB9"/>
    <w:rsid w:val="00E758B9"/>
    <w:rsid w:val="00E85569"/>
    <w:rsid w:val="00E856AF"/>
    <w:rsid w:val="00E90E08"/>
    <w:rsid w:val="00E93A01"/>
    <w:rsid w:val="00E93FF8"/>
    <w:rsid w:val="00E94A4D"/>
    <w:rsid w:val="00E96EAF"/>
    <w:rsid w:val="00EA1752"/>
    <w:rsid w:val="00EA5BDB"/>
    <w:rsid w:val="00EB7D05"/>
    <w:rsid w:val="00EC142D"/>
    <w:rsid w:val="00ED2B5C"/>
    <w:rsid w:val="00EE2F8E"/>
    <w:rsid w:val="00EF15FF"/>
    <w:rsid w:val="00EF7111"/>
    <w:rsid w:val="00EF7AD1"/>
    <w:rsid w:val="00EF7D1A"/>
    <w:rsid w:val="00F0448F"/>
    <w:rsid w:val="00F142F3"/>
    <w:rsid w:val="00F238D4"/>
    <w:rsid w:val="00F275C0"/>
    <w:rsid w:val="00F36145"/>
    <w:rsid w:val="00F37BDD"/>
    <w:rsid w:val="00F41503"/>
    <w:rsid w:val="00F466C8"/>
    <w:rsid w:val="00F50B46"/>
    <w:rsid w:val="00F52372"/>
    <w:rsid w:val="00F6288A"/>
    <w:rsid w:val="00F629FF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D4CCA"/>
    <w:rsid w:val="00FE2A9E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1C32F841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02C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py">
    <w:name w:val="_PR_Copy"/>
    <w:basedOn w:val="Norml"/>
    <w:rsid w:val="00A5739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character" w:styleId="Kiemels2">
    <w:name w:val="Strong"/>
    <w:basedOn w:val="Bekezdsalapbettpusa"/>
    <w:uiPriority w:val="22"/>
    <w:qFormat/>
    <w:rsid w:val="001B0474"/>
    <w:rPr>
      <w:b/>
      <w:bCs/>
    </w:rPr>
  </w:style>
  <w:style w:type="character" w:customStyle="1" w:styleId="lfejChar">
    <w:name w:val="Élőfej Char"/>
    <w:link w:val="lfej"/>
    <w:rsid w:val="003C6A25"/>
    <w:rPr>
      <w:rFonts w:ascii="Arial" w:hAnsi="Arial"/>
      <w:szCs w:val="24"/>
      <w:lang w:eastAsia="en-US"/>
    </w:rPr>
  </w:style>
  <w:style w:type="paragraph" w:styleId="Nincstrkz">
    <w:name w:val="No Spacing"/>
    <w:uiPriority w:val="1"/>
    <w:qFormat/>
    <w:rsid w:val="003C6A25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Cmsor4Char">
    <w:name w:val="Címsor 4 Char"/>
    <w:basedOn w:val="Bekezdsalapbettpusa"/>
    <w:link w:val="Cmsor4"/>
    <w:semiHidden/>
    <w:rsid w:val="00602C7F"/>
    <w:rPr>
      <w:rFonts w:ascii="Calibri" w:hAnsi="Calibri"/>
      <w:b/>
      <w:bCs/>
      <w:sz w:val="28"/>
      <w:szCs w:val="28"/>
      <w:lang w:val="en-GB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1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de-D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17E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hyperlink" Target="mailto:jennifer.ott@henke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orothee.brinkmann@henke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allalati.kommunikacio@henke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a.niermann@henk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nkel.de/ir" TargetMode="External"/><Relationship Id="rId10" Type="http://schemas.openxmlformats.org/officeDocument/2006/relationships/hyperlink" Target="mailto:lars.witteck@henke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ars.korinth@henkel.com" TargetMode="External"/><Relationship Id="rId14" Type="http://schemas.openxmlformats.org/officeDocument/2006/relationships/hyperlink" Target="http://www.henkel.de/pres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A018-CF81-4054-A8FA-4A360A9F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7</Pages>
  <Words>1645</Words>
  <Characters>11357</Characters>
  <Application>Microsoft Office Word</Application>
  <DocSecurity>0</DocSecurity>
  <Lines>94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12977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5</cp:revision>
  <cp:lastPrinted>2016-11-16T08:11:00Z</cp:lastPrinted>
  <dcterms:created xsi:type="dcterms:W3CDTF">2019-11-14T14:26:00Z</dcterms:created>
  <dcterms:modified xsi:type="dcterms:W3CDTF">2019-11-14T14:31:00Z</dcterms:modified>
</cp:coreProperties>
</file>