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2D6A" w14:textId="135F6A77" w:rsidR="0079209A" w:rsidRDefault="00FA305E" w:rsidP="00C70858">
      <w:pPr>
        <w:pStyle w:val="Tekstpodstawowy"/>
        <w:ind w:left="8760"/>
        <w:jc w:val="both"/>
        <w:rPr>
          <w:rFonts w:ascii="Times New Roman"/>
          <w:sz w:val="20"/>
        </w:rPr>
      </w:pPr>
      <w:r>
        <w:rPr>
          <w:rFonts w:ascii="Times New Roman"/>
          <w:noProof/>
          <w:sz w:val="20"/>
          <w:lang w:val="pl-PL" w:eastAsia="pl-PL"/>
        </w:rPr>
        <w:drawing>
          <wp:anchor distT="0" distB="0" distL="114300" distR="114300" simplePos="0" relativeHeight="251668992" behindDoc="0" locked="0" layoutInCell="1" allowOverlap="1" wp14:anchorId="25238F8A" wp14:editId="3B08CE83">
            <wp:simplePos x="0" y="0"/>
            <wp:positionH relativeFrom="column">
              <wp:posOffset>5998845</wp:posOffset>
            </wp:positionH>
            <wp:positionV relativeFrom="paragraph">
              <wp:posOffset>-225425</wp:posOffset>
            </wp:positionV>
            <wp:extent cx="1057036" cy="606551"/>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036" cy="606551"/>
                    </a:xfrm>
                    <a:prstGeom prst="rect">
                      <a:avLst/>
                    </a:prstGeom>
                  </pic:spPr>
                </pic:pic>
              </a:graphicData>
            </a:graphic>
          </wp:anchor>
        </w:drawing>
      </w:r>
    </w:p>
    <w:p w14:paraId="541F2CB9" w14:textId="3088A9CB" w:rsidR="0079209A" w:rsidRDefault="0079209A" w:rsidP="00C70858">
      <w:pPr>
        <w:pStyle w:val="Tekstpodstawowy"/>
        <w:jc w:val="both"/>
        <w:rPr>
          <w:rFonts w:ascii="Times New Roman"/>
          <w:sz w:val="20"/>
        </w:rPr>
      </w:pPr>
    </w:p>
    <w:p w14:paraId="4B03A0A7" w14:textId="77777777" w:rsidR="0079209A" w:rsidRDefault="0079209A" w:rsidP="00C70858">
      <w:pPr>
        <w:pStyle w:val="Tekstpodstawowy"/>
        <w:jc w:val="both"/>
        <w:rPr>
          <w:rFonts w:ascii="Times New Roman"/>
          <w:sz w:val="20"/>
        </w:rPr>
      </w:pPr>
    </w:p>
    <w:p w14:paraId="653712A3" w14:textId="77777777" w:rsidR="0079209A" w:rsidRDefault="0079209A" w:rsidP="00C70858">
      <w:pPr>
        <w:pStyle w:val="Tekstpodstawowy"/>
        <w:jc w:val="right"/>
        <w:rPr>
          <w:rFonts w:ascii="Times New Roman"/>
          <w:sz w:val="20"/>
        </w:rPr>
      </w:pPr>
    </w:p>
    <w:p w14:paraId="0CD2ED9B" w14:textId="4CCC9DB7" w:rsidR="0079209A" w:rsidRPr="00C70858" w:rsidRDefault="00FA305E" w:rsidP="00C70858">
      <w:pPr>
        <w:ind w:right="215"/>
        <w:jc w:val="right"/>
        <w:rPr>
          <w:b/>
          <w:sz w:val="40"/>
          <w:lang w:val="pl-PL"/>
        </w:rPr>
      </w:pPr>
      <w:r>
        <w:rPr>
          <w:b/>
          <w:bCs/>
          <w:color w:val="3D3B3B"/>
          <w:sz w:val="40"/>
          <w:lang w:val="pl"/>
        </w:rPr>
        <w:t>Informacja prasowa</w:t>
      </w:r>
    </w:p>
    <w:p w14:paraId="5CC21E64" w14:textId="7F5B4566" w:rsidR="003964CC" w:rsidRPr="003964CC" w:rsidRDefault="00FA305E" w:rsidP="003964CC">
      <w:pPr>
        <w:pStyle w:val="Tekstpodstawowy"/>
        <w:spacing w:before="143"/>
        <w:ind w:right="212"/>
        <w:jc w:val="right"/>
        <w:rPr>
          <w:lang w:val="pl-PL"/>
        </w:rPr>
      </w:pPr>
      <w:r>
        <w:rPr>
          <w:lang w:val="pl"/>
        </w:rPr>
        <w:t>14 listopada 2019 r.</w:t>
      </w:r>
    </w:p>
    <w:p w14:paraId="09D4DE8D" w14:textId="77777777" w:rsidR="003B6354" w:rsidRDefault="003B6354" w:rsidP="003964CC">
      <w:pPr>
        <w:pStyle w:val="Tekstpodstawowy"/>
        <w:spacing w:before="93"/>
        <w:ind w:left="1238"/>
        <w:jc w:val="both"/>
        <w:rPr>
          <w:lang w:val="pl"/>
        </w:rPr>
      </w:pPr>
    </w:p>
    <w:p w14:paraId="40AE24B7" w14:textId="466A7F32" w:rsidR="0079209A" w:rsidRDefault="00FA305E" w:rsidP="003964CC">
      <w:pPr>
        <w:pStyle w:val="Tekstpodstawowy"/>
        <w:spacing w:before="93"/>
        <w:ind w:left="1238"/>
        <w:jc w:val="both"/>
        <w:rPr>
          <w:lang w:val="pl"/>
        </w:rPr>
      </w:pPr>
      <w:r w:rsidRPr="00EB1E2A">
        <w:rPr>
          <w:lang w:val="pl"/>
        </w:rPr>
        <w:t>Henkel podtrzymuje prognozę wyników na rok obrotowy 2019</w:t>
      </w:r>
    </w:p>
    <w:p w14:paraId="0A7231C6" w14:textId="77777777" w:rsidR="003964CC" w:rsidRPr="003964CC" w:rsidRDefault="003964CC" w:rsidP="003964CC">
      <w:pPr>
        <w:pStyle w:val="Tekstpodstawowy"/>
        <w:spacing w:before="93"/>
        <w:ind w:left="1238"/>
        <w:jc w:val="both"/>
        <w:rPr>
          <w:lang w:val="pl-PL"/>
        </w:rPr>
      </w:pPr>
    </w:p>
    <w:p w14:paraId="3F314315" w14:textId="5715AF0E" w:rsidR="00D13CFA" w:rsidRPr="00D13CFA" w:rsidRDefault="00D13CFA" w:rsidP="00C70858">
      <w:pPr>
        <w:spacing w:before="6"/>
        <w:ind w:left="1238"/>
        <w:jc w:val="both"/>
        <w:rPr>
          <w:b/>
          <w:sz w:val="32"/>
          <w:szCs w:val="32"/>
          <w:lang w:val="pl-PL"/>
        </w:rPr>
      </w:pPr>
      <w:r w:rsidRPr="00D13CFA">
        <w:rPr>
          <w:b/>
          <w:sz w:val="32"/>
          <w:szCs w:val="32"/>
          <w:lang w:val="pl-PL"/>
        </w:rPr>
        <w:t xml:space="preserve">Henkel przedstawia wyniki finansowe za </w:t>
      </w:r>
      <w:r>
        <w:rPr>
          <w:b/>
          <w:sz w:val="32"/>
          <w:szCs w:val="32"/>
          <w:lang w:val="pl-PL"/>
        </w:rPr>
        <w:t>trzeci</w:t>
      </w:r>
      <w:r w:rsidRPr="00D13CFA">
        <w:rPr>
          <w:b/>
          <w:sz w:val="32"/>
          <w:szCs w:val="32"/>
          <w:lang w:val="pl-PL"/>
        </w:rPr>
        <w:t xml:space="preserve"> kwartał, osiągnięte w wymagającej sytuacji rynkowej</w:t>
      </w:r>
    </w:p>
    <w:p w14:paraId="71130167" w14:textId="77777777" w:rsidR="0079209A" w:rsidRPr="00C70858" w:rsidRDefault="00FA305E" w:rsidP="00EB1E2A">
      <w:pPr>
        <w:pStyle w:val="Tekstpodstawowy"/>
        <w:spacing w:before="1"/>
        <w:jc w:val="both"/>
        <w:rPr>
          <w:b/>
          <w:sz w:val="22"/>
          <w:szCs w:val="22"/>
          <w:lang w:val="pl-PL"/>
        </w:rPr>
      </w:pPr>
      <w:r w:rsidRPr="00C70858">
        <w:rPr>
          <w:noProof/>
          <w:sz w:val="22"/>
          <w:szCs w:val="22"/>
          <w:lang w:val="pl-PL" w:eastAsia="pl-PL"/>
        </w:rPr>
        <mc:AlternateContent>
          <mc:Choice Requires="wps">
            <w:drawing>
              <wp:anchor distT="0" distB="0" distL="0" distR="0" simplePos="0" relativeHeight="251664896" behindDoc="1" locked="0" layoutInCell="1" allowOverlap="1" wp14:anchorId="06ACC4E3" wp14:editId="2D09FE99">
                <wp:simplePos x="0" y="0"/>
                <wp:positionH relativeFrom="page">
                  <wp:posOffset>180340</wp:posOffset>
                </wp:positionH>
                <wp:positionV relativeFrom="paragraph">
                  <wp:posOffset>225425</wp:posOffset>
                </wp:positionV>
                <wp:extent cx="179705" cy="0"/>
                <wp:effectExtent l="8890" t="8890" r="11430" b="10160"/>
                <wp:wrapTopAndBottom/>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05CF" id="Line 11"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17.75pt" to="28.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" strokecolor="#e0000f" strokeweight=".5pt">
                <w10:wrap type="topAndBottom" anchorx="page"/>
              </v:line>
            </w:pict>
          </mc:Fallback>
        </mc:AlternateContent>
      </w:r>
    </w:p>
    <w:p w14:paraId="0129CEF2" w14:textId="74FEF23E" w:rsidR="0079209A" w:rsidRPr="003964CC" w:rsidRDefault="00FA305E" w:rsidP="00EB1E2A">
      <w:pPr>
        <w:pStyle w:val="Nagwek2"/>
        <w:numPr>
          <w:ilvl w:val="0"/>
          <w:numId w:val="1"/>
        </w:numPr>
        <w:tabs>
          <w:tab w:val="left" w:pos="1665"/>
          <w:tab w:val="left" w:pos="1666"/>
        </w:tabs>
        <w:spacing w:before="0" w:line="276" w:lineRule="auto"/>
        <w:ind w:left="1661" w:hanging="425"/>
        <w:jc w:val="both"/>
        <w:rPr>
          <w:lang w:val="pl-PL"/>
        </w:rPr>
      </w:pPr>
      <w:r w:rsidRPr="003964CC">
        <w:rPr>
          <w:lang w:val="pl"/>
        </w:rPr>
        <w:t xml:space="preserve">Dobre wyniki sektora Adhesive Technologies (kleje budowlane </w:t>
      </w:r>
      <w:r w:rsidR="003964CC" w:rsidRPr="003964CC">
        <w:rPr>
          <w:lang w:val="pl"/>
        </w:rPr>
        <w:br/>
      </w:r>
      <w:r w:rsidRPr="003964CC">
        <w:rPr>
          <w:lang w:val="pl"/>
        </w:rPr>
        <w:t>i konsumenckie oraz kleje i technologie dla przemysłu)</w:t>
      </w:r>
    </w:p>
    <w:p w14:paraId="3BF4DD93" w14:textId="77777777" w:rsidR="0079209A" w:rsidRPr="003964CC" w:rsidRDefault="00FA305E" w:rsidP="00EB1E2A">
      <w:pPr>
        <w:pStyle w:val="Akapitzlist"/>
        <w:numPr>
          <w:ilvl w:val="0"/>
          <w:numId w:val="1"/>
        </w:numPr>
        <w:tabs>
          <w:tab w:val="left" w:pos="1665"/>
          <w:tab w:val="left" w:pos="1666"/>
        </w:tabs>
        <w:spacing w:before="136" w:line="276" w:lineRule="auto"/>
        <w:ind w:hanging="427"/>
        <w:jc w:val="both"/>
        <w:rPr>
          <w:b/>
          <w:sz w:val="24"/>
          <w:szCs w:val="24"/>
          <w:lang w:val="pl-PL"/>
        </w:rPr>
      </w:pPr>
      <w:r w:rsidRPr="003964CC">
        <w:rPr>
          <w:b/>
          <w:bCs/>
          <w:sz w:val="24"/>
          <w:szCs w:val="24"/>
          <w:lang w:val="pl"/>
        </w:rPr>
        <w:t xml:space="preserve">Wyniki sektora Beauty Care (kosmetyki) słabsze niż w poprzednim roku </w:t>
      </w:r>
    </w:p>
    <w:p w14:paraId="3BE52B11" w14:textId="33A270E5" w:rsidR="0079209A" w:rsidRPr="003964CC" w:rsidRDefault="00FA305E" w:rsidP="00EB1E2A">
      <w:pPr>
        <w:pStyle w:val="Akapitzlist"/>
        <w:numPr>
          <w:ilvl w:val="0"/>
          <w:numId w:val="1"/>
        </w:numPr>
        <w:tabs>
          <w:tab w:val="left" w:pos="1665"/>
          <w:tab w:val="left" w:pos="1666"/>
        </w:tabs>
        <w:spacing w:line="276" w:lineRule="auto"/>
        <w:ind w:hanging="427"/>
        <w:jc w:val="both"/>
        <w:rPr>
          <w:b/>
          <w:sz w:val="24"/>
          <w:szCs w:val="24"/>
          <w:lang w:val="pl-PL"/>
        </w:rPr>
      </w:pPr>
      <w:r w:rsidRPr="003964CC">
        <w:rPr>
          <w:b/>
          <w:bCs/>
          <w:sz w:val="24"/>
          <w:szCs w:val="24"/>
          <w:lang w:val="pl"/>
        </w:rPr>
        <w:t xml:space="preserve">Pozytywna dynamika wzrostu w sektorze Laundry &amp; Home Care (środków piorących i czystości) </w:t>
      </w:r>
    </w:p>
    <w:p w14:paraId="61B2083C" w14:textId="02C42687" w:rsidR="0079209A" w:rsidRPr="003964CC" w:rsidRDefault="00D13CFA" w:rsidP="00EB1E2A">
      <w:pPr>
        <w:pStyle w:val="Akapitzlist"/>
        <w:numPr>
          <w:ilvl w:val="0"/>
          <w:numId w:val="1"/>
        </w:numPr>
        <w:tabs>
          <w:tab w:val="left" w:pos="1665"/>
          <w:tab w:val="left" w:pos="1666"/>
        </w:tabs>
        <w:spacing w:before="136" w:line="276" w:lineRule="auto"/>
        <w:ind w:hanging="427"/>
        <w:jc w:val="both"/>
        <w:rPr>
          <w:b/>
          <w:sz w:val="24"/>
          <w:szCs w:val="24"/>
          <w:lang w:val="pl-PL"/>
        </w:rPr>
      </w:pPr>
      <w:r w:rsidRPr="003964CC">
        <w:rPr>
          <w:b/>
          <w:bCs/>
          <w:sz w:val="24"/>
          <w:szCs w:val="24"/>
          <w:lang w:val="pl"/>
        </w:rPr>
        <w:t>W</w:t>
      </w:r>
      <w:r w:rsidR="00FA305E" w:rsidRPr="003964CC">
        <w:rPr>
          <w:b/>
          <w:bCs/>
          <w:sz w:val="24"/>
          <w:szCs w:val="24"/>
          <w:lang w:val="pl"/>
        </w:rPr>
        <w:t>zrost przychodów ze sprzedaży o 0,8% do 5</w:t>
      </w:r>
      <w:r w:rsidR="00312052" w:rsidRPr="003964CC">
        <w:rPr>
          <w:b/>
          <w:bCs/>
          <w:sz w:val="24"/>
          <w:szCs w:val="24"/>
          <w:lang w:val="pl"/>
        </w:rPr>
        <w:t>,</w:t>
      </w:r>
      <w:r w:rsidR="00FA305E" w:rsidRPr="003964CC">
        <w:rPr>
          <w:b/>
          <w:bCs/>
          <w:sz w:val="24"/>
          <w:szCs w:val="24"/>
          <w:lang w:val="pl"/>
        </w:rPr>
        <w:t>077 ml</w:t>
      </w:r>
      <w:r w:rsidR="00312052" w:rsidRPr="003964CC">
        <w:rPr>
          <w:b/>
          <w:bCs/>
          <w:sz w:val="24"/>
          <w:szCs w:val="24"/>
          <w:lang w:val="pl"/>
        </w:rPr>
        <w:t>d</w:t>
      </w:r>
      <w:r w:rsidR="00FA305E" w:rsidRPr="003964CC">
        <w:rPr>
          <w:b/>
          <w:bCs/>
          <w:sz w:val="24"/>
          <w:szCs w:val="24"/>
          <w:lang w:val="pl"/>
        </w:rPr>
        <w:t xml:space="preserve"> euro, w ujęciu organicznym spadek o 0,3%</w:t>
      </w:r>
    </w:p>
    <w:p w14:paraId="001F9275" w14:textId="25F66ACA" w:rsidR="00D13CFA" w:rsidRPr="003964CC" w:rsidRDefault="00FA305E" w:rsidP="003964CC">
      <w:pPr>
        <w:pStyle w:val="Akapitzlist"/>
        <w:numPr>
          <w:ilvl w:val="0"/>
          <w:numId w:val="1"/>
        </w:numPr>
        <w:tabs>
          <w:tab w:val="left" w:pos="1665"/>
          <w:tab w:val="left" w:pos="1666"/>
        </w:tabs>
        <w:spacing w:before="138" w:line="360" w:lineRule="auto"/>
        <w:ind w:hanging="427"/>
        <w:jc w:val="both"/>
        <w:rPr>
          <w:b/>
          <w:sz w:val="24"/>
          <w:szCs w:val="24"/>
          <w:lang w:val="pl-PL"/>
        </w:rPr>
      </w:pPr>
      <w:r w:rsidRPr="003964CC">
        <w:rPr>
          <w:b/>
          <w:bCs/>
          <w:sz w:val="24"/>
          <w:szCs w:val="24"/>
          <w:lang w:val="pl"/>
        </w:rPr>
        <w:t>Marża EBIT* na poziomie 16,7% (spadek o 1,7 p.p.)</w:t>
      </w:r>
    </w:p>
    <w:p w14:paraId="29E70310" w14:textId="00431E2F" w:rsidR="003964CC" w:rsidRPr="003964CC" w:rsidRDefault="00FA305E" w:rsidP="003964CC">
      <w:pPr>
        <w:pStyle w:val="Akapitzlist"/>
        <w:numPr>
          <w:ilvl w:val="0"/>
          <w:numId w:val="1"/>
        </w:numPr>
        <w:tabs>
          <w:tab w:val="left" w:pos="1665"/>
          <w:tab w:val="left" w:pos="1666"/>
        </w:tabs>
        <w:spacing w:before="138" w:line="360" w:lineRule="auto"/>
        <w:ind w:left="1661" w:hanging="425"/>
        <w:contextualSpacing/>
        <w:jc w:val="both"/>
        <w:rPr>
          <w:b/>
          <w:sz w:val="24"/>
          <w:szCs w:val="24"/>
          <w:lang w:val="pl-PL"/>
        </w:rPr>
      </w:pPr>
      <w:r w:rsidRPr="003964CC">
        <w:rPr>
          <w:sz w:val="24"/>
          <w:szCs w:val="24"/>
          <w:lang w:val="pl"/>
        </w:rPr>
        <w:tab/>
      </w:r>
      <w:r w:rsidRPr="003964CC">
        <w:rPr>
          <w:b/>
          <w:bCs/>
          <w:sz w:val="24"/>
          <w:szCs w:val="24"/>
          <w:lang w:val="pl"/>
        </w:rPr>
        <w:t>Zysk na akcję uprzywilejowaną* w wysokości 1,43</w:t>
      </w:r>
      <w:r w:rsidR="00312052" w:rsidRPr="003964CC">
        <w:rPr>
          <w:b/>
          <w:bCs/>
          <w:sz w:val="24"/>
          <w:szCs w:val="24"/>
          <w:lang w:val="pl"/>
        </w:rPr>
        <w:t xml:space="preserve"> </w:t>
      </w:r>
      <w:r w:rsidRPr="003964CC">
        <w:rPr>
          <w:b/>
          <w:bCs/>
          <w:sz w:val="24"/>
          <w:szCs w:val="24"/>
          <w:lang w:val="pl"/>
        </w:rPr>
        <w:t>euro (w ujęciu nominalnym spadek o 9,5%, wg stałych kursów walut spadek o 10,8%)</w:t>
      </w:r>
    </w:p>
    <w:p w14:paraId="304DED80" w14:textId="1072B1DB" w:rsidR="003964CC" w:rsidRPr="003964CC" w:rsidRDefault="00FA305E" w:rsidP="003964CC">
      <w:pPr>
        <w:pStyle w:val="Akapitzlist"/>
        <w:numPr>
          <w:ilvl w:val="0"/>
          <w:numId w:val="1"/>
        </w:numPr>
        <w:tabs>
          <w:tab w:val="left" w:pos="1665"/>
          <w:tab w:val="left" w:pos="1666"/>
        </w:tabs>
        <w:spacing w:before="13" w:line="360" w:lineRule="auto"/>
        <w:ind w:hanging="427"/>
        <w:jc w:val="both"/>
        <w:rPr>
          <w:b/>
          <w:sz w:val="24"/>
          <w:szCs w:val="24"/>
          <w:lang w:val="pl-PL"/>
        </w:rPr>
      </w:pPr>
      <w:r w:rsidRPr="003964CC">
        <w:rPr>
          <w:b/>
          <w:bCs/>
          <w:sz w:val="24"/>
          <w:szCs w:val="24"/>
          <w:lang w:val="pl"/>
        </w:rPr>
        <w:t>Zwiększone inwestycje w rozwój marek i cyfryzację</w:t>
      </w:r>
    </w:p>
    <w:p w14:paraId="20BEC6B0" w14:textId="1160F908" w:rsidR="0079209A" w:rsidRPr="003B6354" w:rsidRDefault="00FA305E" w:rsidP="00C70858">
      <w:pPr>
        <w:pStyle w:val="Akapitzlist"/>
        <w:numPr>
          <w:ilvl w:val="0"/>
          <w:numId w:val="1"/>
        </w:numPr>
        <w:tabs>
          <w:tab w:val="left" w:pos="1665"/>
          <w:tab w:val="left" w:pos="1666"/>
        </w:tabs>
        <w:spacing w:before="13" w:line="360" w:lineRule="auto"/>
        <w:ind w:hanging="427"/>
        <w:jc w:val="both"/>
        <w:rPr>
          <w:b/>
          <w:sz w:val="24"/>
          <w:szCs w:val="24"/>
          <w:lang w:val="pl-PL"/>
        </w:rPr>
      </w:pPr>
      <w:r w:rsidRPr="003964CC">
        <w:rPr>
          <w:b/>
          <w:bCs/>
          <w:sz w:val="24"/>
          <w:szCs w:val="24"/>
          <w:lang w:val="pl"/>
        </w:rPr>
        <w:t>Bardzo wysoki stan wolnych przepływów pieniężnych na poziomie 823 mln euro (wzrost o 339 mln</w:t>
      </w:r>
      <w:r w:rsidR="00DC7D4F" w:rsidRPr="003964CC">
        <w:rPr>
          <w:b/>
          <w:bCs/>
          <w:sz w:val="24"/>
          <w:szCs w:val="24"/>
          <w:lang w:val="pl"/>
        </w:rPr>
        <w:t xml:space="preserve"> euro</w:t>
      </w:r>
      <w:r w:rsidRPr="003964CC">
        <w:rPr>
          <w:b/>
          <w:bCs/>
          <w:sz w:val="24"/>
          <w:szCs w:val="24"/>
          <w:lang w:val="pl"/>
        </w:rPr>
        <w:t>)</w:t>
      </w:r>
    </w:p>
    <w:p w14:paraId="7EE149D4" w14:textId="77777777" w:rsidR="00501423" w:rsidRDefault="00501423" w:rsidP="00501423">
      <w:pPr>
        <w:pStyle w:val="Tekstpodstawowy"/>
        <w:spacing w:line="360" w:lineRule="auto"/>
        <w:ind w:left="1238" w:right="210"/>
        <w:jc w:val="both"/>
        <w:rPr>
          <w:sz w:val="16"/>
          <w:szCs w:val="16"/>
          <w:lang w:val="pl"/>
        </w:rPr>
      </w:pPr>
      <w:bookmarkStart w:id="0" w:name="_Hlk24632446"/>
    </w:p>
    <w:p w14:paraId="13EDDF2E" w14:textId="27979FFC" w:rsidR="00501423" w:rsidRPr="00C70858" w:rsidRDefault="00501423" w:rsidP="00501423">
      <w:pPr>
        <w:pStyle w:val="Tekstpodstawowy"/>
        <w:spacing w:line="360" w:lineRule="auto"/>
        <w:ind w:left="1238" w:right="210"/>
        <w:jc w:val="both"/>
        <w:rPr>
          <w:sz w:val="16"/>
          <w:szCs w:val="16"/>
          <w:lang w:val="pl-PL"/>
        </w:rPr>
      </w:pPr>
      <w:r w:rsidRPr="00C70858">
        <w:rPr>
          <w:sz w:val="16"/>
          <w:szCs w:val="16"/>
          <w:lang w:val="pl"/>
        </w:rPr>
        <w:t>* Po uwzględnieniu kosztów/zysków o charakterze jednorazowym oraz kosztów restrukturyzacji.</w:t>
      </w:r>
    </w:p>
    <w:bookmarkEnd w:id="0"/>
    <w:p w14:paraId="01DBF9A3" w14:textId="2ECF5233" w:rsidR="003B6354" w:rsidRPr="003964CC" w:rsidRDefault="003B6354" w:rsidP="003B6354">
      <w:pPr>
        <w:pStyle w:val="Akapitzlist"/>
        <w:tabs>
          <w:tab w:val="left" w:pos="1665"/>
          <w:tab w:val="left" w:pos="1666"/>
        </w:tabs>
        <w:spacing w:before="13" w:line="360" w:lineRule="auto"/>
        <w:ind w:firstLine="0"/>
        <w:jc w:val="both"/>
        <w:rPr>
          <w:b/>
          <w:sz w:val="24"/>
          <w:szCs w:val="24"/>
          <w:lang w:val="pl-PL"/>
        </w:rPr>
      </w:pPr>
    </w:p>
    <w:p w14:paraId="28959E7C" w14:textId="11142DD8" w:rsidR="003964CC" w:rsidRDefault="003B6354" w:rsidP="003964CC">
      <w:pPr>
        <w:pStyle w:val="Tekstpodstawowy"/>
        <w:spacing w:line="360" w:lineRule="auto"/>
        <w:ind w:left="1238" w:right="210"/>
        <w:jc w:val="both"/>
        <w:rPr>
          <w:sz w:val="16"/>
          <w:szCs w:val="16"/>
          <w:lang w:val="pl"/>
        </w:rPr>
      </w:pPr>
      <w:r>
        <w:rPr>
          <w:b/>
          <w:bCs/>
          <w:noProof/>
          <w:lang w:val="pl"/>
        </w:rPr>
        <w:drawing>
          <wp:anchor distT="0" distB="0" distL="114300" distR="114300" simplePos="0" relativeHeight="251673088" behindDoc="0" locked="0" layoutInCell="1" allowOverlap="1" wp14:anchorId="79021FBF" wp14:editId="6F7DC121">
            <wp:simplePos x="0" y="0"/>
            <wp:positionH relativeFrom="column">
              <wp:posOffset>380365</wp:posOffset>
            </wp:positionH>
            <wp:positionV relativeFrom="paragraph">
              <wp:posOffset>1655445</wp:posOffset>
            </wp:positionV>
            <wp:extent cx="6677025" cy="466725"/>
            <wp:effectExtent l="0" t="0" r="9525" b="9525"/>
            <wp:wrapSquare wrapText="bothSides"/>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5E" w:rsidRPr="003964CC">
        <w:rPr>
          <w:noProof/>
          <w:lang w:val="pl-PL" w:eastAsia="pl-PL"/>
        </w:rPr>
        <mc:AlternateContent>
          <mc:Choice Requires="wps">
            <w:drawing>
              <wp:anchor distT="0" distB="0" distL="114300" distR="114300" simplePos="0" relativeHeight="251643392" behindDoc="0" locked="0" layoutInCell="1" allowOverlap="1" wp14:anchorId="73790E05" wp14:editId="061BB8E0">
                <wp:simplePos x="0" y="0"/>
                <wp:positionH relativeFrom="page">
                  <wp:posOffset>180340</wp:posOffset>
                </wp:positionH>
                <wp:positionV relativeFrom="paragraph">
                  <wp:posOffset>1172845</wp:posOffset>
                </wp:positionV>
                <wp:extent cx="179705" cy="0"/>
                <wp:effectExtent l="8890" t="6350" r="11430" b="1270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525A" id="Line 1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2.35pt" to="28.3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" strokecolor="#e0000f" strokeweight=".5pt">
                <w10:wrap anchorx="page"/>
              </v:line>
            </w:pict>
          </mc:Fallback>
        </mc:AlternateContent>
      </w:r>
      <w:r w:rsidR="00FA305E" w:rsidRPr="003964CC">
        <w:rPr>
          <w:lang w:val="pl"/>
        </w:rPr>
        <w:t xml:space="preserve">Düsseldorf – W </w:t>
      </w:r>
      <w:r w:rsidR="00FA305E" w:rsidRPr="003964CC">
        <w:rPr>
          <w:b/>
          <w:bCs/>
          <w:lang w:val="pl"/>
        </w:rPr>
        <w:t xml:space="preserve">trzecim kwartale </w:t>
      </w:r>
      <w:r w:rsidR="00FA305E" w:rsidRPr="003964CC">
        <w:rPr>
          <w:lang w:val="pl"/>
        </w:rPr>
        <w:t xml:space="preserve">2019 r. rozwój działalności Henkel pozostawał pod wpływem coraz trudniejszych warunków rynkowych. </w:t>
      </w:r>
      <w:r w:rsidR="00FA305E" w:rsidRPr="003964CC">
        <w:rPr>
          <w:b/>
          <w:bCs/>
          <w:lang w:val="pl"/>
        </w:rPr>
        <w:t xml:space="preserve">Sprzedaż </w:t>
      </w:r>
      <w:r w:rsidR="00FA305E" w:rsidRPr="003964CC">
        <w:rPr>
          <w:lang w:val="pl"/>
        </w:rPr>
        <w:t>w</w:t>
      </w:r>
      <w:r w:rsidR="00FA305E" w:rsidRPr="003964CC">
        <w:rPr>
          <w:b/>
          <w:bCs/>
          <w:lang w:val="pl"/>
        </w:rPr>
        <w:t xml:space="preserve"> </w:t>
      </w:r>
      <w:r w:rsidR="00FA305E" w:rsidRPr="003964CC">
        <w:rPr>
          <w:lang w:val="pl"/>
        </w:rPr>
        <w:t xml:space="preserve">ujęciu nominalnym wzrosła, natomiast w ujęciu organicznym ukształtowała się nieznacznie poniżej poziomu z poprzedniego roku. </w:t>
      </w:r>
      <w:r w:rsidR="00FA305E" w:rsidRPr="003964CC">
        <w:rPr>
          <w:b/>
          <w:bCs/>
          <w:lang w:val="pl"/>
        </w:rPr>
        <w:t>Skorygowana marża EBIT</w:t>
      </w:r>
      <w:r w:rsidR="00FA305E" w:rsidRPr="003964CC">
        <w:rPr>
          <w:lang w:val="pl"/>
        </w:rPr>
        <w:t xml:space="preserve">, </w:t>
      </w:r>
      <w:r w:rsidR="00FA305E" w:rsidRPr="003964CC">
        <w:rPr>
          <w:b/>
          <w:bCs/>
          <w:lang w:val="pl"/>
        </w:rPr>
        <w:t xml:space="preserve">skorygowany zysk </w:t>
      </w:r>
      <w:r w:rsidR="00530273">
        <w:rPr>
          <w:b/>
          <w:bCs/>
          <w:lang w:val="pl"/>
        </w:rPr>
        <w:br/>
      </w:r>
      <w:r w:rsidR="00FA305E" w:rsidRPr="003964CC">
        <w:rPr>
          <w:b/>
          <w:bCs/>
          <w:lang w:val="pl"/>
        </w:rPr>
        <w:t xml:space="preserve">z działalności operacyjnej EBIT </w:t>
      </w:r>
      <w:r w:rsidR="00FA305E" w:rsidRPr="003964CC">
        <w:rPr>
          <w:lang w:val="pl"/>
        </w:rPr>
        <w:t xml:space="preserve">oraz </w:t>
      </w:r>
      <w:r w:rsidR="00FA305E" w:rsidRPr="003964CC">
        <w:rPr>
          <w:b/>
          <w:bCs/>
          <w:lang w:val="pl"/>
        </w:rPr>
        <w:t xml:space="preserve">skorygowany zysk na akcję </w:t>
      </w:r>
      <w:r w:rsidR="00FA305E" w:rsidRPr="003964CC">
        <w:rPr>
          <w:b/>
          <w:bCs/>
          <w:lang w:val="pl"/>
        </w:rPr>
        <w:lastRenderedPageBreak/>
        <w:t xml:space="preserve">uprzywilejowaną (EPS) </w:t>
      </w:r>
      <w:r w:rsidR="00FA305E" w:rsidRPr="003964CC">
        <w:rPr>
          <w:lang w:val="pl"/>
        </w:rPr>
        <w:t>były niższe niż w poprzednim roku, głównie na skutek ogłoszonego na początku roku zwiększenia inwestycji rozwojowych w segmentach dóbr konsumpcyjnych oraz w cyfryzację.</w:t>
      </w:r>
      <w:r w:rsidR="003964CC" w:rsidRPr="003964CC">
        <w:rPr>
          <w:sz w:val="16"/>
          <w:szCs w:val="16"/>
          <w:lang w:val="pl"/>
        </w:rPr>
        <w:t xml:space="preserve"> </w:t>
      </w:r>
    </w:p>
    <w:p w14:paraId="4F68B8F2" w14:textId="77777777" w:rsidR="003B6354" w:rsidRDefault="003B6354" w:rsidP="003964CC">
      <w:pPr>
        <w:pStyle w:val="Tekstpodstawowy"/>
        <w:spacing w:line="360" w:lineRule="auto"/>
        <w:ind w:left="1238" w:right="210"/>
        <w:jc w:val="both"/>
        <w:rPr>
          <w:sz w:val="16"/>
          <w:szCs w:val="16"/>
          <w:lang w:val="pl"/>
        </w:rPr>
      </w:pPr>
    </w:p>
    <w:p w14:paraId="62440192" w14:textId="6B625B68" w:rsidR="0079209A" w:rsidRPr="003964CC" w:rsidRDefault="00FA305E" w:rsidP="003964CC">
      <w:pPr>
        <w:pStyle w:val="Tekstpodstawowy"/>
        <w:spacing w:line="360" w:lineRule="auto"/>
        <w:ind w:left="1238" w:right="210"/>
        <w:jc w:val="both"/>
        <w:rPr>
          <w:lang w:val="pl"/>
        </w:rPr>
      </w:pPr>
      <w:r w:rsidRPr="003964CC">
        <w:rPr>
          <w:lang w:val="pl"/>
        </w:rPr>
        <w:t xml:space="preserve">– W trzecim kwartale nasze sektory biznesowe odnotowały zróżnicowane wyniki. Na wyniki sektora biznesowego </w:t>
      </w:r>
      <w:r w:rsidRPr="003964CC">
        <w:rPr>
          <w:b/>
          <w:bCs/>
          <w:lang w:val="pl"/>
        </w:rPr>
        <w:t xml:space="preserve">Adhesive Technologies (kleje budowlane </w:t>
      </w:r>
      <w:r w:rsidR="003964CC">
        <w:rPr>
          <w:b/>
          <w:bCs/>
          <w:lang w:val="pl"/>
        </w:rPr>
        <w:br/>
      </w:r>
      <w:r w:rsidRPr="003964CC">
        <w:rPr>
          <w:b/>
          <w:bCs/>
          <w:lang w:val="pl"/>
        </w:rPr>
        <w:t xml:space="preserve">i konsumenckie oraz kleje i technologie dla przemysłu) </w:t>
      </w:r>
      <w:r w:rsidRPr="003964CC">
        <w:rPr>
          <w:lang w:val="pl"/>
        </w:rPr>
        <w:t>wpływ miał dalszy znaczący spadek popytu w kluczowych branżach. Mimo to sektor</w:t>
      </w:r>
      <w:r w:rsidR="00C70858" w:rsidRPr="003964CC">
        <w:rPr>
          <w:lang w:val="pl"/>
        </w:rPr>
        <w:t xml:space="preserve"> </w:t>
      </w:r>
      <w:r w:rsidRPr="003964CC">
        <w:rPr>
          <w:lang w:val="pl"/>
        </w:rPr>
        <w:t xml:space="preserve">wypracował dobre wyniki, a marża EBIT po raz kolejny osiągnęła bardzo wysoki poziom – powiedział Hans Van Bylen, prezes zarządu Henkel. – Pomimo odnotowanego początkowo pozytywnego wpływu dodatkowych inwestycji w marki i innowacje, wyniki sektora </w:t>
      </w:r>
      <w:r w:rsidRPr="003964CC">
        <w:rPr>
          <w:b/>
          <w:bCs/>
          <w:lang w:val="pl"/>
        </w:rPr>
        <w:t xml:space="preserve">Beauty Care (kosmetyki) </w:t>
      </w:r>
      <w:r w:rsidRPr="003964CC">
        <w:rPr>
          <w:lang w:val="pl"/>
        </w:rPr>
        <w:t xml:space="preserve">były gorsze w porównaniu z analogicznym okresem ubiegłego roku. Sektor produktów profesjonalnych radził sobie dobrze, jednak działalność detaliczna pozostawała pod wpływem wolniejszego niż oczekiwano ożywienia w Europie Zachodniej i przewidzianego wcześniej dalszego zmniejszania poziomu zapasów w Chinach. Natomiast w sektorze </w:t>
      </w:r>
      <w:r w:rsidRPr="003964CC">
        <w:rPr>
          <w:b/>
          <w:bCs/>
          <w:lang w:val="pl"/>
        </w:rPr>
        <w:t xml:space="preserve">Laundry &amp; Home Care (środki piorące i czystości) </w:t>
      </w:r>
      <w:r w:rsidRPr="003964CC">
        <w:rPr>
          <w:lang w:val="pl"/>
        </w:rPr>
        <w:t>wprowadzone innowacje</w:t>
      </w:r>
      <w:r w:rsidRPr="003964CC">
        <w:rPr>
          <w:b/>
          <w:bCs/>
          <w:lang w:val="pl"/>
        </w:rPr>
        <w:t xml:space="preserve"> </w:t>
      </w:r>
      <w:r w:rsidRPr="003964CC">
        <w:rPr>
          <w:lang w:val="pl"/>
        </w:rPr>
        <w:t>przyczyniły się do wzrostu wyników.</w:t>
      </w:r>
    </w:p>
    <w:p w14:paraId="65FD21FE" w14:textId="77777777" w:rsidR="0079209A" w:rsidRPr="003964CC" w:rsidRDefault="0079209A" w:rsidP="003964CC">
      <w:pPr>
        <w:pStyle w:val="Tekstpodstawowy"/>
        <w:spacing w:before="11"/>
        <w:ind w:right="210"/>
        <w:jc w:val="both"/>
        <w:rPr>
          <w:lang w:val="pl-PL"/>
        </w:rPr>
      </w:pPr>
    </w:p>
    <w:p w14:paraId="3B0DF2F4" w14:textId="77777777" w:rsidR="0079209A" w:rsidRPr="003964CC" w:rsidRDefault="00FA305E" w:rsidP="003964CC">
      <w:pPr>
        <w:pStyle w:val="Nagwek2"/>
        <w:spacing w:before="0"/>
        <w:ind w:left="1238" w:right="210" w:firstLine="0"/>
        <w:jc w:val="both"/>
        <w:rPr>
          <w:lang w:val="pl-PL"/>
        </w:rPr>
      </w:pPr>
      <w:r w:rsidRPr="003964CC">
        <w:rPr>
          <w:lang w:val="pl"/>
        </w:rPr>
        <w:t>Podtrzymanie prognozy na rok obrotowy 2019</w:t>
      </w:r>
    </w:p>
    <w:p w14:paraId="212E40C7" w14:textId="77777777" w:rsidR="0079209A" w:rsidRPr="003964CC" w:rsidRDefault="0079209A" w:rsidP="003964CC">
      <w:pPr>
        <w:pStyle w:val="Tekstpodstawowy"/>
        <w:spacing w:before="6"/>
        <w:ind w:right="210"/>
        <w:jc w:val="both"/>
        <w:rPr>
          <w:b/>
          <w:lang w:val="pl-PL"/>
        </w:rPr>
      </w:pPr>
    </w:p>
    <w:p w14:paraId="1BCD0A8B" w14:textId="1B30827A" w:rsidR="00530273" w:rsidRDefault="00FA305E" w:rsidP="00530273">
      <w:pPr>
        <w:pStyle w:val="Tekstpodstawowy"/>
        <w:spacing w:line="360" w:lineRule="auto"/>
        <w:ind w:left="1238" w:right="210"/>
        <w:jc w:val="both"/>
        <w:rPr>
          <w:lang w:val="pl"/>
        </w:rPr>
      </w:pPr>
      <w:r w:rsidRPr="003964CC">
        <w:rPr>
          <w:noProof/>
          <w:lang w:val="pl-PL" w:eastAsia="pl-PL"/>
        </w:rPr>
        <mc:AlternateContent>
          <mc:Choice Requires="wps">
            <w:drawing>
              <wp:anchor distT="0" distB="0" distL="114300" distR="114300" simplePos="0" relativeHeight="251647488" behindDoc="0" locked="0" layoutInCell="1" allowOverlap="1" wp14:anchorId="6D713566" wp14:editId="2B1A805E">
                <wp:simplePos x="0" y="0"/>
                <wp:positionH relativeFrom="page">
                  <wp:posOffset>180340</wp:posOffset>
                </wp:positionH>
                <wp:positionV relativeFrom="paragraph">
                  <wp:posOffset>81915</wp:posOffset>
                </wp:positionV>
                <wp:extent cx="183515" cy="0"/>
                <wp:effectExtent l="8890" t="12700" r="7620" b="6350"/>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3FEC" id="Line 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45pt" to="28.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" strokecolor="#e0000f" strokeweight=".5pt">
                <w10:wrap anchorx="page"/>
              </v:line>
            </w:pict>
          </mc:Fallback>
        </mc:AlternateContent>
      </w:r>
      <w:r w:rsidRPr="003964CC">
        <w:rPr>
          <w:lang w:val="pl"/>
        </w:rPr>
        <w:t xml:space="preserve">Henkel podtrzymuje prognozę wyników na cały rok obrotowy 2019 i oczekuje wzrostu przychodów ze sprzedaży Grupy w ujęciu organicznym na poziomie 0%−2%. </w:t>
      </w:r>
      <w:r w:rsidR="003964CC">
        <w:rPr>
          <w:lang w:val="pl"/>
        </w:rPr>
        <w:br/>
      </w:r>
      <w:r w:rsidRPr="003964CC">
        <w:rPr>
          <w:lang w:val="pl"/>
        </w:rPr>
        <w:t xml:space="preserve">W </w:t>
      </w:r>
      <w:r w:rsidR="00AB2C7C" w:rsidRPr="003964CC">
        <w:rPr>
          <w:lang w:val="pl"/>
        </w:rPr>
        <w:t>prz</w:t>
      </w:r>
      <w:r w:rsidRPr="003964CC">
        <w:rPr>
          <w:lang w:val="pl"/>
        </w:rPr>
        <w:t xml:space="preserve">ypadku sektora </w:t>
      </w:r>
      <w:r w:rsidRPr="003964CC">
        <w:rPr>
          <w:b/>
          <w:bCs/>
          <w:lang w:val="pl"/>
        </w:rPr>
        <w:t>Adhesive Technologies</w:t>
      </w:r>
      <w:r w:rsidRPr="003964CC">
        <w:rPr>
          <w:lang w:val="pl"/>
        </w:rPr>
        <w:t xml:space="preserve"> (kleje budowlane i konsumenckie oraz kleje i technologie dla przemysłu) spodziewana jest zmiana przychodów ze sprzedaży w ujęciu organicznym pomiędzy -1% a 1%. Dla sektora </w:t>
      </w:r>
      <w:r w:rsidRPr="003964CC">
        <w:rPr>
          <w:b/>
          <w:bCs/>
          <w:lang w:val="pl"/>
        </w:rPr>
        <w:t>Beauty Care</w:t>
      </w:r>
      <w:r w:rsidRPr="003964CC">
        <w:rPr>
          <w:lang w:val="pl"/>
        </w:rPr>
        <w:t xml:space="preserve"> (kosmetyki) Henkel prognozuje zmianę wielkości przychodów ze sprzedaży w ujęciu organicznym pomiędzy -2% a 0%. W sektorze </w:t>
      </w:r>
      <w:r w:rsidRPr="003964CC">
        <w:rPr>
          <w:b/>
          <w:bCs/>
          <w:lang w:val="pl"/>
        </w:rPr>
        <w:t>Laundry &amp; Home Care</w:t>
      </w:r>
      <w:r w:rsidRPr="003964CC">
        <w:rPr>
          <w:lang w:val="pl"/>
        </w:rPr>
        <w:t xml:space="preserve"> (środki piorące i czystości) wzrost w ujęciu organicznym jest nadal przewidywany </w:t>
      </w:r>
      <w:r w:rsidR="003964CC">
        <w:rPr>
          <w:lang w:val="pl"/>
        </w:rPr>
        <w:br/>
      </w:r>
      <w:r w:rsidRPr="003964CC">
        <w:rPr>
          <w:lang w:val="pl"/>
        </w:rPr>
        <w:t>w przedziale 2–4%.</w:t>
      </w:r>
    </w:p>
    <w:p w14:paraId="2F0A3A71" w14:textId="7DC3771E" w:rsidR="00530273" w:rsidRDefault="00530273" w:rsidP="00530273">
      <w:pPr>
        <w:pStyle w:val="Tekstpodstawowy"/>
        <w:spacing w:line="360" w:lineRule="auto"/>
        <w:ind w:left="1238" w:right="210"/>
        <w:jc w:val="both"/>
        <w:rPr>
          <w:lang w:val="pl"/>
        </w:rPr>
      </w:pPr>
    </w:p>
    <w:p w14:paraId="4EBDC723" w14:textId="77777777" w:rsidR="00530273" w:rsidRPr="00530273" w:rsidRDefault="00530273" w:rsidP="00530273">
      <w:pPr>
        <w:pStyle w:val="Tekstpodstawowy"/>
        <w:spacing w:line="360" w:lineRule="auto"/>
        <w:ind w:left="1238" w:right="210"/>
        <w:jc w:val="both"/>
        <w:rPr>
          <w:lang w:val="pl"/>
        </w:rPr>
      </w:pPr>
    </w:p>
    <w:p w14:paraId="300F94AD" w14:textId="77777777" w:rsidR="0079209A" w:rsidRPr="003964CC" w:rsidRDefault="00FA305E" w:rsidP="003964CC">
      <w:pPr>
        <w:spacing w:line="360" w:lineRule="auto"/>
        <w:ind w:left="1238" w:right="210"/>
        <w:jc w:val="both"/>
        <w:rPr>
          <w:sz w:val="24"/>
          <w:szCs w:val="24"/>
          <w:lang w:val="pl-PL"/>
        </w:rPr>
      </w:pPr>
      <w:r w:rsidRPr="003964CC">
        <w:rPr>
          <w:noProof/>
          <w:sz w:val="24"/>
          <w:szCs w:val="24"/>
          <w:lang w:val="pl-PL" w:eastAsia="pl-PL"/>
        </w:rPr>
        <w:lastRenderedPageBreak/>
        <mc:AlternateContent>
          <mc:Choice Requires="wps">
            <w:drawing>
              <wp:anchor distT="0" distB="0" distL="114300" distR="114300" simplePos="0" relativeHeight="251649536" behindDoc="0" locked="0" layoutInCell="1" allowOverlap="1" wp14:anchorId="32BB68CC" wp14:editId="5AB01AFF">
                <wp:simplePos x="0" y="0"/>
                <wp:positionH relativeFrom="page">
                  <wp:posOffset>180340</wp:posOffset>
                </wp:positionH>
                <wp:positionV relativeFrom="paragraph">
                  <wp:posOffset>78105</wp:posOffset>
                </wp:positionV>
                <wp:extent cx="183515" cy="0"/>
                <wp:effectExtent l="8890" t="6985" r="7620" b="12065"/>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C79B" id="Line 8"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15pt" to="28.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" strokecolor="#e0000f" strokeweight=".5pt">
                <w10:wrap anchorx="page"/>
              </v:line>
            </w:pict>
          </mc:Fallback>
        </mc:AlternateContent>
      </w:r>
      <w:r w:rsidRPr="003964CC">
        <w:rPr>
          <w:sz w:val="24"/>
          <w:szCs w:val="24"/>
          <w:lang w:val="pl"/>
        </w:rPr>
        <w:t xml:space="preserve">Henkel podtrzymuje prognozę </w:t>
      </w:r>
      <w:r w:rsidRPr="003964CC">
        <w:rPr>
          <w:b/>
          <w:bCs/>
          <w:sz w:val="24"/>
          <w:szCs w:val="24"/>
          <w:lang w:val="pl"/>
        </w:rPr>
        <w:t xml:space="preserve">skorygowanej rentowności sprzedaży </w:t>
      </w:r>
      <w:r w:rsidRPr="003964CC">
        <w:rPr>
          <w:sz w:val="24"/>
          <w:szCs w:val="24"/>
          <w:lang w:val="pl"/>
        </w:rPr>
        <w:t>na poziomie Grupy w przedziale 16–17%.</w:t>
      </w:r>
    </w:p>
    <w:p w14:paraId="60C78211" w14:textId="77777777" w:rsidR="0079209A" w:rsidRPr="003964CC" w:rsidRDefault="0079209A" w:rsidP="003964CC">
      <w:pPr>
        <w:pStyle w:val="Tekstpodstawowy"/>
        <w:spacing w:before="1"/>
        <w:ind w:right="210"/>
        <w:jc w:val="both"/>
        <w:rPr>
          <w:lang w:val="pl-PL"/>
        </w:rPr>
      </w:pPr>
    </w:p>
    <w:p w14:paraId="60D5C27B" w14:textId="79035072" w:rsidR="0079209A" w:rsidRDefault="00FA305E" w:rsidP="003964CC">
      <w:pPr>
        <w:spacing w:before="1" w:line="360" w:lineRule="auto"/>
        <w:ind w:left="1238" w:right="210"/>
        <w:jc w:val="both"/>
        <w:rPr>
          <w:sz w:val="24"/>
          <w:szCs w:val="24"/>
          <w:lang w:val="pl"/>
        </w:rPr>
      </w:pPr>
      <w:r w:rsidRPr="003964CC">
        <w:rPr>
          <w:sz w:val="24"/>
          <w:szCs w:val="24"/>
          <w:lang w:val="pl"/>
        </w:rPr>
        <w:t xml:space="preserve">W wypadku </w:t>
      </w:r>
      <w:r w:rsidRPr="003964CC">
        <w:rPr>
          <w:b/>
          <w:bCs/>
          <w:sz w:val="24"/>
          <w:szCs w:val="24"/>
          <w:lang w:val="pl"/>
        </w:rPr>
        <w:t xml:space="preserve">skorygowanego zysku na akcję uprzywilejowaną </w:t>
      </w:r>
      <w:r w:rsidRPr="003964CC">
        <w:rPr>
          <w:sz w:val="24"/>
          <w:szCs w:val="24"/>
          <w:lang w:val="pl"/>
        </w:rPr>
        <w:t xml:space="preserve">(EPS) Henkel </w:t>
      </w:r>
      <w:r w:rsidR="003964CC">
        <w:rPr>
          <w:sz w:val="24"/>
          <w:szCs w:val="24"/>
          <w:lang w:val="pl"/>
        </w:rPr>
        <w:br/>
      </w:r>
      <w:r w:rsidRPr="003964CC">
        <w:rPr>
          <w:sz w:val="24"/>
          <w:szCs w:val="24"/>
          <w:lang w:val="pl"/>
        </w:rPr>
        <w:t>w dalszym ciągu przewiduje zmianę procentową na średnim lub wysokim jednocyfrowym poziomie, poniżej poziomu odnotowanego w poprzednim roku, przy założeniu stałych kursów walut.</w:t>
      </w:r>
    </w:p>
    <w:p w14:paraId="0392CFA4" w14:textId="77777777" w:rsidR="0079209A" w:rsidRPr="003964CC" w:rsidRDefault="0079209A" w:rsidP="003964CC">
      <w:pPr>
        <w:pStyle w:val="Tekstpodstawowy"/>
        <w:ind w:right="210"/>
        <w:jc w:val="both"/>
        <w:rPr>
          <w:lang w:val="pl-PL"/>
        </w:rPr>
      </w:pPr>
    </w:p>
    <w:p w14:paraId="323469B8" w14:textId="77777777" w:rsidR="0079209A" w:rsidRPr="003964CC" w:rsidRDefault="00FA305E" w:rsidP="003964CC">
      <w:pPr>
        <w:pStyle w:val="Nagwek2"/>
        <w:spacing w:before="0"/>
        <w:ind w:left="1238" w:right="210" w:firstLine="0"/>
        <w:jc w:val="both"/>
        <w:rPr>
          <w:lang w:val="pl-PL"/>
        </w:rPr>
      </w:pPr>
      <w:r w:rsidRPr="003964CC">
        <w:rPr>
          <w:lang w:val="pl"/>
        </w:rPr>
        <w:t>Przychody ze sprzedaży i wynik finansowy za trzeci kwartał 2019 r.</w:t>
      </w:r>
    </w:p>
    <w:p w14:paraId="1FC898F4" w14:textId="77777777" w:rsidR="0079209A" w:rsidRPr="003964CC" w:rsidRDefault="0079209A" w:rsidP="003964CC">
      <w:pPr>
        <w:pStyle w:val="Tekstpodstawowy"/>
        <w:spacing w:before="3"/>
        <w:ind w:right="210"/>
        <w:jc w:val="both"/>
        <w:rPr>
          <w:b/>
          <w:lang w:val="pl-PL"/>
        </w:rPr>
      </w:pPr>
    </w:p>
    <w:p w14:paraId="05A320FF" w14:textId="26046EE8" w:rsidR="003964CC" w:rsidRDefault="00FA305E" w:rsidP="003964CC">
      <w:pPr>
        <w:pStyle w:val="Tekstpodstawowy"/>
        <w:spacing w:before="1" w:line="360" w:lineRule="auto"/>
        <w:ind w:left="1238" w:right="210"/>
        <w:jc w:val="both"/>
        <w:rPr>
          <w:lang w:val="pl"/>
        </w:rPr>
      </w:pPr>
      <w:r w:rsidRPr="003964CC">
        <w:rPr>
          <w:noProof/>
          <w:lang w:val="pl-PL" w:eastAsia="pl-PL"/>
        </w:rPr>
        <mc:AlternateContent>
          <mc:Choice Requires="wps">
            <w:drawing>
              <wp:anchor distT="0" distB="0" distL="114300" distR="114300" simplePos="0" relativeHeight="251652608" behindDoc="0" locked="0" layoutInCell="1" allowOverlap="1" wp14:anchorId="31088E04" wp14:editId="303D0014">
                <wp:simplePos x="0" y="0"/>
                <wp:positionH relativeFrom="page">
                  <wp:posOffset>180340</wp:posOffset>
                </wp:positionH>
                <wp:positionV relativeFrom="paragraph">
                  <wp:posOffset>123190</wp:posOffset>
                </wp:positionV>
                <wp:extent cx="183515" cy="0"/>
                <wp:effectExtent l="8890" t="7620" r="7620" b="1143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83684" id="Line 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7pt" to="28.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" strokecolor="#e0000f" strokeweight=".5pt">
                <w10:wrap anchorx="page"/>
              </v:line>
            </w:pict>
          </mc:Fallback>
        </mc:AlternateContent>
      </w:r>
      <w:r w:rsidRPr="003964CC">
        <w:rPr>
          <w:lang w:val="pl"/>
        </w:rPr>
        <w:t xml:space="preserve">W trzecim kwartale 2019 r. </w:t>
      </w:r>
      <w:r w:rsidRPr="003964CC">
        <w:rPr>
          <w:b/>
          <w:bCs/>
          <w:lang w:val="pl"/>
        </w:rPr>
        <w:t>przychody ze sprzedaży</w:t>
      </w:r>
      <w:r w:rsidRPr="003964CC">
        <w:rPr>
          <w:lang w:val="pl"/>
        </w:rPr>
        <w:t xml:space="preserve"> wzrosły w ujęciu nominalnym </w:t>
      </w:r>
      <w:r w:rsidR="00530273">
        <w:rPr>
          <w:lang w:val="pl"/>
        </w:rPr>
        <w:br/>
      </w:r>
      <w:r w:rsidRPr="003964CC">
        <w:rPr>
          <w:lang w:val="pl"/>
        </w:rPr>
        <w:t>o 0,8%, do kwoty 5</w:t>
      </w:r>
      <w:r w:rsidR="00AB2C7C" w:rsidRPr="003964CC">
        <w:rPr>
          <w:lang w:val="pl"/>
        </w:rPr>
        <w:t>,</w:t>
      </w:r>
      <w:r w:rsidRPr="003964CC">
        <w:rPr>
          <w:lang w:val="pl"/>
        </w:rPr>
        <w:t>077 ml</w:t>
      </w:r>
      <w:r w:rsidR="00AB2C7C" w:rsidRPr="003964CC">
        <w:rPr>
          <w:lang w:val="pl"/>
        </w:rPr>
        <w:t>d</w:t>
      </w:r>
      <w:r w:rsidRPr="003964CC">
        <w:rPr>
          <w:lang w:val="pl"/>
        </w:rPr>
        <w:t xml:space="preserve"> euro. Sprzedaż </w:t>
      </w:r>
      <w:r w:rsidRPr="003964CC">
        <w:rPr>
          <w:b/>
          <w:bCs/>
          <w:lang w:val="pl"/>
        </w:rPr>
        <w:t>w ujęciu organicznym</w:t>
      </w:r>
      <w:r w:rsidRPr="003964CC">
        <w:rPr>
          <w:lang w:val="pl"/>
        </w:rPr>
        <w:t xml:space="preserve">, tj. bez uwzględnienia wpływu różnic kursowych oraz transakcji przejęć i zbycia aktywów, nieznacznie spadła, o 0.3%. Wpływ transakcji przejęć i zbycia aktywów wyniósł 0,4%. Na skutek korzystnych różnic kursowych przychody ze sprzedaży zwiększyły się </w:t>
      </w:r>
      <w:r w:rsidR="00530273">
        <w:rPr>
          <w:lang w:val="pl"/>
        </w:rPr>
        <w:br/>
      </w:r>
      <w:r w:rsidRPr="003964CC">
        <w:rPr>
          <w:lang w:val="pl"/>
        </w:rPr>
        <w:t>o 0,7%.</w:t>
      </w:r>
    </w:p>
    <w:p w14:paraId="450662F8" w14:textId="77777777" w:rsidR="003964CC" w:rsidRDefault="003964CC" w:rsidP="003964CC">
      <w:pPr>
        <w:pStyle w:val="Tekstpodstawowy"/>
        <w:spacing w:before="1" w:line="360" w:lineRule="auto"/>
        <w:ind w:left="1238" w:right="210"/>
        <w:jc w:val="both"/>
        <w:rPr>
          <w:lang w:val="pl"/>
        </w:rPr>
      </w:pPr>
    </w:p>
    <w:p w14:paraId="3E08021A" w14:textId="760C204F" w:rsidR="0079209A" w:rsidRPr="003964CC" w:rsidRDefault="00FA305E" w:rsidP="00530273">
      <w:pPr>
        <w:pStyle w:val="Tekstpodstawowy"/>
        <w:spacing w:before="1" w:line="360" w:lineRule="auto"/>
        <w:ind w:left="1238" w:right="210"/>
        <w:jc w:val="both"/>
        <w:rPr>
          <w:lang w:val="pl-PL"/>
        </w:rPr>
      </w:pPr>
      <w:r w:rsidRPr="003964CC">
        <w:rPr>
          <w:lang w:val="pl"/>
        </w:rPr>
        <w:t xml:space="preserve">Sektor </w:t>
      </w:r>
      <w:proofErr w:type="spellStart"/>
      <w:r w:rsidRPr="003964CC">
        <w:rPr>
          <w:b/>
          <w:bCs/>
          <w:lang w:val="pl"/>
        </w:rPr>
        <w:t>Adhesive</w:t>
      </w:r>
      <w:proofErr w:type="spellEnd"/>
      <w:r w:rsidRPr="003964CC">
        <w:rPr>
          <w:b/>
          <w:bCs/>
          <w:lang w:val="pl"/>
        </w:rPr>
        <w:t xml:space="preserve"> Technologies</w:t>
      </w:r>
      <w:r w:rsidRPr="003964CC">
        <w:rPr>
          <w:lang w:val="pl"/>
        </w:rPr>
        <w:t xml:space="preserve"> (kleje budowlane i konsumenckie oraz kleje </w:t>
      </w:r>
      <w:r w:rsidR="00530273">
        <w:rPr>
          <w:lang w:val="pl"/>
        </w:rPr>
        <w:br/>
      </w:r>
      <w:r w:rsidRPr="003964CC">
        <w:rPr>
          <w:lang w:val="pl"/>
        </w:rPr>
        <w:t xml:space="preserve">i technologie dla przemysłu) odnotował spadek przychodów ze sprzedaży w ujęciu organicznym na poziomie 2,4%. Przychody ze sprzedaży w sektorze biznesowym </w:t>
      </w:r>
      <w:r w:rsidRPr="003964CC">
        <w:rPr>
          <w:b/>
          <w:bCs/>
          <w:lang w:val="pl"/>
        </w:rPr>
        <w:t xml:space="preserve">Beauty Care </w:t>
      </w:r>
      <w:r w:rsidRPr="003964CC">
        <w:rPr>
          <w:lang w:val="pl"/>
        </w:rPr>
        <w:t xml:space="preserve">(kosmetyki) zmniejszyły się w ujęciu organicznym o 2,2% w stosunku do poziomu z zeszłego roku. Sektor biznesowy </w:t>
      </w:r>
      <w:r w:rsidRPr="003964CC">
        <w:rPr>
          <w:b/>
          <w:bCs/>
          <w:lang w:val="pl"/>
        </w:rPr>
        <w:t>Laundry &amp; Home Care</w:t>
      </w:r>
      <w:r w:rsidRPr="003964CC">
        <w:rPr>
          <w:lang w:val="pl"/>
        </w:rPr>
        <w:t xml:space="preserve"> (środków piorących i czystości) osiągnął znaczny wzrost sprzedaży w ujęciu organicznym na poziomie 4,0%.</w:t>
      </w:r>
    </w:p>
    <w:p w14:paraId="544585B9" w14:textId="77777777" w:rsidR="0079209A" w:rsidRPr="003964CC" w:rsidRDefault="0079209A" w:rsidP="003964CC">
      <w:pPr>
        <w:pStyle w:val="Tekstpodstawowy"/>
        <w:ind w:right="210"/>
        <w:jc w:val="both"/>
        <w:rPr>
          <w:lang w:val="pl-PL"/>
        </w:rPr>
      </w:pPr>
    </w:p>
    <w:p w14:paraId="0A27E1BA" w14:textId="77777777" w:rsidR="0079209A" w:rsidRPr="003964CC" w:rsidRDefault="00FA305E" w:rsidP="003964CC">
      <w:pPr>
        <w:spacing w:line="360" w:lineRule="auto"/>
        <w:ind w:left="1238" w:right="210"/>
        <w:jc w:val="both"/>
        <w:rPr>
          <w:sz w:val="24"/>
          <w:szCs w:val="24"/>
          <w:lang w:val="pl-PL"/>
        </w:rPr>
      </w:pPr>
      <w:r w:rsidRPr="003964CC">
        <w:rPr>
          <w:sz w:val="24"/>
          <w:szCs w:val="24"/>
          <w:lang w:val="pl"/>
        </w:rPr>
        <w:t xml:space="preserve">Na </w:t>
      </w:r>
      <w:r w:rsidRPr="003964CC">
        <w:rPr>
          <w:b/>
          <w:bCs/>
          <w:sz w:val="24"/>
          <w:szCs w:val="24"/>
          <w:lang w:val="pl"/>
        </w:rPr>
        <w:t xml:space="preserve">rynkach wschodzących </w:t>
      </w:r>
      <w:r w:rsidRPr="003964CC">
        <w:rPr>
          <w:sz w:val="24"/>
          <w:szCs w:val="24"/>
          <w:lang w:val="pl"/>
        </w:rPr>
        <w:t xml:space="preserve">dynamika przychodów ze sprzedaży w ujęciu organicznym była wysoka, na poziomie 2,7%. Natomiast na </w:t>
      </w:r>
      <w:r w:rsidRPr="003964CC">
        <w:rPr>
          <w:b/>
          <w:bCs/>
          <w:sz w:val="24"/>
          <w:szCs w:val="24"/>
          <w:lang w:val="pl"/>
        </w:rPr>
        <w:t xml:space="preserve">rynkach rozwiniętych </w:t>
      </w:r>
      <w:r w:rsidRPr="003964CC">
        <w:rPr>
          <w:sz w:val="24"/>
          <w:szCs w:val="24"/>
          <w:lang w:val="pl"/>
        </w:rPr>
        <w:t>dynamika sprzedaży w ujęciu organicznym była ujemna, na poziomie -2,3%.</w:t>
      </w:r>
    </w:p>
    <w:p w14:paraId="370B560B" w14:textId="77777777" w:rsidR="0079209A" w:rsidRPr="003964CC" w:rsidRDefault="0079209A" w:rsidP="003964CC">
      <w:pPr>
        <w:pStyle w:val="Tekstpodstawowy"/>
        <w:spacing w:before="1"/>
        <w:ind w:right="210"/>
        <w:jc w:val="both"/>
        <w:rPr>
          <w:lang w:val="pl-PL"/>
        </w:rPr>
      </w:pPr>
    </w:p>
    <w:p w14:paraId="52C4598C" w14:textId="39970812" w:rsidR="0079209A" w:rsidRPr="003964CC" w:rsidRDefault="00FA305E" w:rsidP="003964CC">
      <w:pPr>
        <w:pStyle w:val="Tekstpodstawowy"/>
        <w:spacing w:before="92" w:line="360" w:lineRule="auto"/>
        <w:ind w:left="1236" w:right="210"/>
        <w:contextualSpacing/>
        <w:jc w:val="both"/>
        <w:rPr>
          <w:lang w:val="pl-PL"/>
        </w:rPr>
      </w:pPr>
      <w:r w:rsidRPr="003964CC">
        <w:rPr>
          <w:lang w:val="pl"/>
        </w:rPr>
        <w:t xml:space="preserve">W </w:t>
      </w:r>
      <w:r w:rsidRPr="003964CC">
        <w:rPr>
          <w:b/>
          <w:bCs/>
          <w:lang w:val="pl"/>
        </w:rPr>
        <w:t>Europie Zachodniej</w:t>
      </w:r>
      <w:r w:rsidRPr="003964CC">
        <w:rPr>
          <w:lang w:val="pl"/>
        </w:rPr>
        <w:t xml:space="preserve"> sprzedaż w ujęciu organicznym spadła o 2,1%,</w:t>
      </w:r>
      <w:r w:rsidR="00C70858" w:rsidRPr="003964CC">
        <w:rPr>
          <w:lang w:val="pl"/>
        </w:rPr>
        <w:t xml:space="preserve"> </w:t>
      </w:r>
      <w:r w:rsidRPr="003964CC">
        <w:rPr>
          <w:lang w:val="pl"/>
        </w:rPr>
        <w:t xml:space="preserve">natomiast </w:t>
      </w:r>
      <w:r w:rsidR="00530273">
        <w:rPr>
          <w:lang w:val="pl"/>
        </w:rPr>
        <w:br/>
      </w:r>
      <w:r w:rsidRPr="003964CC">
        <w:rPr>
          <w:lang w:val="pl"/>
        </w:rPr>
        <w:t xml:space="preserve">w </w:t>
      </w:r>
      <w:r w:rsidRPr="003964CC">
        <w:rPr>
          <w:b/>
          <w:bCs/>
          <w:lang w:val="pl"/>
        </w:rPr>
        <w:t xml:space="preserve">Europie Wschodniej </w:t>
      </w:r>
      <w:r w:rsidRPr="003964CC">
        <w:rPr>
          <w:lang w:val="pl"/>
        </w:rPr>
        <w:t xml:space="preserve">wzrosła o 7,7%. W </w:t>
      </w:r>
      <w:r w:rsidRPr="003964CC">
        <w:rPr>
          <w:b/>
          <w:bCs/>
          <w:lang w:val="pl"/>
        </w:rPr>
        <w:t xml:space="preserve">Afryce i na Bliskim Wschodzie </w:t>
      </w:r>
      <w:r w:rsidRPr="003964CC">
        <w:rPr>
          <w:lang w:val="pl"/>
        </w:rPr>
        <w:t>przychody ze sprzedaży w ujęciu organicznym zwiększyły się o 19,1%. W</w:t>
      </w:r>
      <w:r w:rsidRPr="003964CC">
        <w:rPr>
          <w:b/>
          <w:bCs/>
          <w:lang w:val="pl"/>
        </w:rPr>
        <w:t xml:space="preserve"> Ameryce </w:t>
      </w:r>
      <w:r w:rsidRPr="003964CC">
        <w:rPr>
          <w:b/>
          <w:bCs/>
          <w:lang w:val="pl"/>
        </w:rPr>
        <w:lastRenderedPageBreak/>
        <w:t xml:space="preserve">Północnej </w:t>
      </w:r>
      <w:r w:rsidRPr="003964CC">
        <w:rPr>
          <w:lang w:val="pl"/>
        </w:rPr>
        <w:t xml:space="preserve">odnotowano spadek sprzedaży w ujęciu organicznym o 3,1%, </w:t>
      </w:r>
      <w:r w:rsidR="00530273">
        <w:rPr>
          <w:lang w:val="pl"/>
        </w:rPr>
        <w:br/>
      </w:r>
      <w:r w:rsidRPr="003964CC">
        <w:rPr>
          <w:lang w:val="pl"/>
        </w:rPr>
        <w:t xml:space="preserve">w </w:t>
      </w:r>
      <w:r w:rsidRPr="003964CC">
        <w:rPr>
          <w:b/>
          <w:bCs/>
          <w:lang w:val="pl"/>
        </w:rPr>
        <w:t>Ameryce</w:t>
      </w:r>
      <w:r w:rsidR="00530273">
        <w:rPr>
          <w:b/>
          <w:bCs/>
          <w:lang w:val="pl"/>
        </w:rPr>
        <w:t xml:space="preserve"> </w:t>
      </w:r>
      <w:r w:rsidRPr="003964CC">
        <w:rPr>
          <w:b/>
          <w:bCs/>
          <w:lang w:val="pl"/>
        </w:rPr>
        <w:t xml:space="preserve">Łacińskiej – </w:t>
      </w:r>
      <w:r w:rsidRPr="003964CC">
        <w:rPr>
          <w:lang w:val="pl"/>
        </w:rPr>
        <w:t>o</w:t>
      </w:r>
      <w:r w:rsidR="00AB2C7C" w:rsidRPr="003964CC">
        <w:rPr>
          <w:lang w:val="pl"/>
        </w:rPr>
        <w:t xml:space="preserve"> </w:t>
      </w:r>
      <w:r w:rsidRPr="003964CC">
        <w:rPr>
          <w:lang w:val="pl"/>
        </w:rPr>
        <w:t xml:space="preserve">3,4%, a w regionie </w:t>
      </w:r>
      <w:r w:rsidRPr="003964CC">
        <w:rPr>
          <w:b/>
          <w:bCs/>
          <w:lang w:val="pl"/>
        </w:rPr>
        <w:t xml:space="preserve">Azji i Pacyfiku – </w:t>
      </w:r>
      <w:r w:rsidRPr="003964CC">
        <w:rPr>
          <w:lang w:val="pl"/>
        </w:rPr>
        <w:t>o 5,7%.</w:t>
      </w:r>
    </w:p>
    <w:p w14:paraId="5788CA03" w14:textId="77777777" w:rsidR="0079209A" w:rsidRPr="003964CC" w:rsidRDefault="0079209A" w:rsidP="003964CC">
      <w:pPr>
        <w:pStyle w:val="Tekstpodstawowy"/>
        <w:ind w:right="210"/>
        <w:jc w:val="both"/>
        <w:rPr>
          <w:lang w:val="pl-PL"/>
        </w:rPr>
      </w:pPr>
    </w:p>
    <w:p w14:paraId="714DD74A" w14:textId="721D605F" w:rsidR="003964CC" w:rsidRDefault="00FA305E" w:rsidP="003964CC">
      <w:pPr>
        <w:spacing w:before="1" w:line="360" w:lineRule="auto"/>
        <w:ind w:left="1238" w:right="210"/>
        <w:jc w:val="both"/>
        <w:rPr>
          <w:sz w:val="24"/>
          <w:szCs w:val="24"/>
          <w:lang w:val="pl"/>
        </w:rPr>
      </w:pPr>
      <w:r w:rsidRPr="003964CC">
        <w:rPr>
          <w:b/>
          <w:bCs/>
          <w:sz w:val="24"/>
          <w:szCs w:val="24"/>
          <w:lang w:val="pl"/>
        </w:rPr>
        <w:t>Skorygowany zysk operacyjny</w:t>
      </w:r>
      <w:r w:rsidRPr="003964CC">
        <w:rPr>
          <w:sz w:val="24"/>
          <w:szCs w:val="24"/>
          <w:lang w:val="pl"/>
        </w:rPr>
        <w:t xml:space="preserve"> </w:t>
      </w:r>
      <w:r w:rsidRPr="003964CC">
        <w:rPr>
          <w:b/>
          <w:bCs/>
          <w:sz w:val="24"/>
          <w:szCs w:val="24"/>
          <w:lang w:val="pl"/>
        </w:rPr>
        <w:t>(EBIT)</w:t>
      </w:r>
      <w:r w:rsidRPr="003964CC">
        <w:rPr>
          <w:sz w:val="24"/>
          <w:szCs w:val="24"/>
          <w:lang w:val="pl"/>
        </w:rPr>
        <w:t xml:space="preserve"> wyniósł 850 mln euro i w porównaniu </w:t>
      </w:r>
      <w:r w:rsidR="00530273">
        <w:rPr>
          <w:sz w:val="24"/>
          <w:szCs w:val="24"/>
          <w:lang w:val="pl"/>
        </w:rPr>
        <w:br/>
      </w:r>
      <w:r w:rsidRPr="003964CC">
        <w:rPr>
          <w:sz w:val="24"/>
          <w:szCs w:val="24"/>
          <w:lang w:val="pl"/>
        </w:rPr>
        <w:t>z kwotą 926 mln euro odnotowaną w analogicznym okresie ubiegłego roku był niższy o 8,2%.</w:t>
      </w:r>
    </w:p>
    <w:p w14:paraId="42777C3D" w14:textId="31B469DB" w:rsidR="0079209A" w:rsidRPr="003964CC" w:rsidRDefault="00FA305E" w:rsidP="003964CC">
      <w:pPr>
        <w:spacing w:before="1" w:line="360" w:lineRule="auto"/>
        <w:ind w:left="1238" w:right="210"/>
        <w:jc w:val="both"/>
        <w:rPr>
          <w:sz w:val="24"/>
          <w:szCs w:val="24"/>
          <w:lang w:val="pl-PL"/>
        </w:rPr>
      </w:pPr>
      <w:r w:rsidRPr="003964CC">
        <w:rPr>
          <w:noProof/>
          <w:sz w:val="24"/>
          <w:szCs w:val="24"/>
          <w:lang w:val="pl-PL" w:eastAsia="pl-PL"/>
        </w:rPr>
        <mc:AlternateContent>
          <mc:Choice Requires="wps">
            <w:drawing>
              <wp:anchor distT="0" distB="0" distL="0" distR="0" simplePos="0" relativeHeight="251667968" behindDoc="1" locked="0" layoutInCell="1" allowOverlap="1" wp14:anchorId="2F38C3D4" wp14:editId="2FBD5736">
                <wp:simplePos x="0" y="0"/>
                <wp:positionH relativeFrom="page">
                  <wp:posOffset>180340</wp:posOffset>
                </wp:positionH>
                <wp:positionV relativeFrom="paragraph">
                  <wp:posOffset>154305</wp:posOffset>
                </wp:positionV>
                <wp:extent cx="183515" cy="0"/>
                <wp:effectExtent l="8890" t="6350" r="7620" b="12700"/>
                <wp:wrapTopAndBottom/>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EA220"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12.15pt" to="28.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" strokecolor="#e0000f" strokeweight=".5pt">
                <w10:wrap type="topAndBottom" anchorx="page"/>
              </v:line>
            </w:pict>
          </mc:Fallback>
        </mc:AlternateContent>
      </w:r>
      <w:r w:rsidRPr="003964CC">
        <w:rPr>
          <w:b/>
          <w:bCs/>
          <w:sz w:val="24"/>
          <w:szCs w:val="24"/>
          <w:lang w:val="pl"/>
        </w:rPr>
        <w:t>Skorygowana rentowność sprzedaży (marża EBIT)</w:t>
      </w:r>
      <w:r w:rsidRPr="003964CC">
        <w:rPr>
          <w:sz w:val="24"/>
          <w:szCs w:val="24"/>
          <w:lang w:val="pl"/>
        </w:rPr>
        <w:t xml:space="preserve"> wyniosła 16,7% i była o 1,7 punktu procentowego niższa niż w roku ubiegłym.</w:t>
      </w:r>
    </w:p>
    <w:p w14:paraId="7CE60BCB" w14:textId="77777777" w:rsidR="0079209A" w:rsidRPr="003964CC" w:rsidRDefault="0079209A" w:rsidP="003964CC">
      <w:pPr>
        <w:pStyle w:val="Tekstpodstawowy"/>
        <w:spacing w:before="10"/>
        <w:ind w:right="210"/>
        <w:jc w:val="both"/>
        <w:rPr>
          <w:lang w:val="pl-PL"/>
        </w:rPr>
      </w:pPr>
    </w:p>
    <w:p w14:paraId="205F7092" w14:textId="77777777" w:rsidR="0079209A" w:rsidRPr="003964CC" w:rsidRDefault="00FA305E" w:rsidP="003964CC">
      <w:pPr>
        <w:pStyle w:val="Tekstpodstawowy"/>
        <w:spacing w:line="360" w:lineRule="auto"/>
        <w:ind w:left="1238" w:right="210"/>
        <w:jc w:val="both"/>
        <w:rPr>
          <w:lang w:val="pl-PL"/>
        </w:rPr>
      </w:pPr>
      <w:r w:rsidRPr="003964CC">
        <w:rPr>
          <w:b/>
          <w:bCs/>
          <w:lang w:val="pl"/>
        </w:rPr>
        <w:t xml:space="preserve">Skorygowany zysk na akcję uprzywilejowaną </w:t>
      </w:r>
      <w:r w:rsidRPr="003964CC">
        <w:rPr>
          <w:lang w:val="pl"/>
        </w:rPr>
        <w:t>zmniejszył się o 9,5%, z kwoty 1,58 euro w trzecim kwartale 2018 r. do 1,43 euro w trzecim kwartale bieżącego roku. Przy założeniu stałych kursów walut skorygowany zysk na akcję uprzywilejowaną był niższy o 10,8%.</w:t>
      </w:r>
    </w:p>
    <w:p w14:paraId="086E5467" w14:textId="77777777" w:rsidR="0079209A" w:rsidRPr="003964CC" w:rsidRDefault="0079209A" w:rsidP="003964CC">
      <w:pPr>
        <w:pStyle w:val="Tekstpodstawowy"/>
        <w:ind w:right="210"/>
        <w:jc w:val="both"/>
        <w:rPr>
          <w:lang w:val="pl-PL"/>
        </w:rPr>
      </w:pPr>
    </w:p>
    <w:p w14:paraId="0BA8B236" w14:textId="6C070170" w:rsidR="0079209A" w:rsidRPr="003964CC" w:rsidRDefault="00FA305E" w:rsidP="003964CC">
      <w:pPr>
        <w:pStyle w:val="Tekstpodstawowy"/>
        <w:spacing w:line="360" w:lineRule="auto"/>
        <w:ind w:left="1238" w:right="210"/>
        <w:jc w:val="both"/>
        <w:rPr>
          <w:lang w:val="pl-PL"/>
        </w:rPr>
      </w:pPr>
      <w:r w:rsidRPr="003964CC">
        <w:rPr>
          <w:lang w:val="pl"/>
        </w:rPr>
        <w:t xml:space="preserve">Stosunek </w:t>
      </w:r>
      <w:r w:rsidRPr="003964CC">
        <w:rPr>
          <w:b/>
          <w:bCs/>
          <w:lang w:val="pl"/>
        </w:rPr>
        <w:t xml:space="preserve">kapitału obrotowego netto </w:t>
      </w:r>
      <w:r w:rsidRPr="003964CC">
        <w:rPr>
          <w:lang w:val="pl"/>
        </w:rPr>
        <w:t xml:space="preserve">do przychodów ze sprzedaży uległ poprawie </w:t>
      </w:r>
      <w:r w:rsidR="00530273">
        <w:rPr>
          <w:lang w:val="pl"/>
        </w:rPr>
        <w:br/>
      </w:r>
      <w:r w:rsidRPr="003964CC">
        <w:rPr>
          <w:lang w:val="pl"/>
        </w:rPr>
        <w:t xml:space="preserve">i wyniósł 5,7% w porównaniu z 6,6% w trzecim kwartale 2018 r. </w:t>
      </w:r>
    </w:p>
    <w:p w14:paraId="61C97D55" w14:textId="77777777" w:rsidR="0079209A" w:rsidRPr="003964CC" w:rsidRDefault="0079209A" w:rsidP="003964CC">
      <w:pPr>
        <w:pStyle w:val="Tekstpodstawowy"/>
        <w:spacing w:before="1"/>
        <w:ind w:right="210"/>
        <w:jc w:val="both"/>
        <w:rPr>
          <w:lang w:val="pl-PL"/>
        </w:rPr>
      </w:pPr>
    </w:p>
    <w:p w14:paraId="09DA1D2B" w14:textId="26268E29" w:rsidR="0079209A" w:rsidRDefault="00FA305E" w:rsidP="003964CC">
      <w:pPr>
        <w:pStyle w:val="Tekstpodstawowy"/>
        <w:spacing w:before="1" w:line="360" w:lineRule="auto"/>
        <w:ind w:left="1238" w:right="210"/>
        <w:jc w:val="both"/>
        <w:rPr>
          <w:lang w:val="pl"/>
        </w:rPr>
      </w:pPr>
      <w:r w:rsidRPr="003964CC">
        <w:rPr>
          <w:b/>
          <w:bCs/>
          <w:lang w:val="pl"/>
        </w:rPr>
        <w:t>Wolne przepływy pieniężne</w:t>
      </w:r>
      <w:r w:rsidRPr="003964CC">
        <w:rPr>
          <w:lang w:val="pl"/>
        </w:rPr>
        <w:t xml:space="preserve"> w trzecim kwartale 2019 r. wyniosły 823 mln euro i były zdecydowanie wyższe niż w analogicznym okresie roku poprzedniego (484 mln euro), co świadczy o dużej zdolności spółki do generowania wolnych przepływów pieniężnych.</w:t>
      </w:r>
    </w:p>
    <w:p w14:paraId="30286F0C" w14:textId="77777777" w:rsidR="003964CC" w:rsidRPr="003964CC" w:rsidRDefault="003964CC" w:rsidP="003964CC">
      <w:pPr>
        <w:pStyle w:val="Tekstpodstawowy"/>
        <w:spacing w:before="1" w:line="360" w:lineRule="auto"/>
        <w:ind w:left="1238" w:right="210"/>
        <w:jc w:val="both"/>
        <w:rPr>
          <w:lang w:val="pl-PL"/>
        </w:rPr>
      </w:pPr>
    </w:p>
    <w:p w14:paraId="3029BB60" w14:textId="77777777" w:rsidR="0079209A" w:rsidRPr="003964CC" w:rsidRDefault="00FA305E" w:rsidP="003964CC">
      <w:pPr>
        <w:pStyle w:val="Nagwek2"/>
        <w:spacing w:before="64"/>
        <w:ind w:left="1238" w:right="210" w:firstLine="0"/>
        <w:jc w:val="both"/>
        <w:rPr>
          <w:lang w:val="pl-PL"/>
        </w:rPr>
      </w:pPr>
      <w:r w:rsidRPr="003964CC">
        <w:rPr>
          <w:lang w:val="pl"/>
        </w:rPr>
        <w:t>Wyniki w podziale na sektory biznesowe</w:t>
      </w:r>
    </w:p>
    <w:p w14:paraId="4C0619E1" w14:textId="77777777" w:rsidR="0079209A" w:rsidRPr="003964CC" w:rsidRDefault="0079209A" w:rsidP="003964CC">
      <w:pPr>
        <w:pStyle w:val="Tekstpodstawowy"/>
        <w:spacing w:before="4"/>
        <w:ind w:right="210"/>
        <w:jc w:val="both"/>
        <w:rPr>
          <w:b/>
          <w:lang w:val="pl-PL"/>
        </w:rPr>
      </w:pPr>
    </w:p>
    <w:p w14:paraId="211BBBEF" w14:textId="1B0A834E" w:rsidR="0079209A" w:rsidRPr="003964CC" w:rsidRDefault="00FA305E" w:rsidP="003964CC">
      <w:pPr>
        <w:pStyle w:val="Tekstpodstawowy"/>
        <w:spacing w:line="360" w:lineRule="auto"/>
        <w:ind w:left="1238" w:right="210"/>
        <w:jc w:val="both"/>
        <w:rPr>
          <w:lang w:val="pl-PL"/>
        </w:rPr>
      </w:pPr>
      <w:r w:rsidRPr="003964CC">
        <w:rPr>
          <w:lang w:val="pl"/>
        </w:rPr>
        <w:t xml:space="preserve">W trzecim kwartale 2019 r. przychody ze sprzedaży w sektorze </w:t>
      </w:r>
      <w:proofErr w:type="spellStart"/>
      <w:r w:rsidRPr="003964CC">
        <w:rPr>
          <w:b/>
          <w:bCs/>
          <w:lang w:val="pl"/>
        </w:rPr>
        <w:t>Adhesive</w:t>
      </w:r>
      <w:proofErr w:type="spellEnd"/>
      <w:r w:rsidRPr="003964CC">
        <w:rPr>
          <w:b/>
          <w:bCs/>
          <w:lang w:val="pl"/>
        </w:rPr>
        <w:t xml:space="preserve"> Technologies </w:t>
      </w:r>
      <w:r w:rsidRPr="003964CC">
        <w:rPr>
          <w:lang w:val="pl"/>
        </w:rPr>
        <w:t>(kleje budowlane i konsumenckie oraz kleje i technologie dla przemysłu) osiągnęły poziom 2</w:t>
      </w:r>
      <w:r w:rsidR="00AB2C7C" w:rsidRPr="003964CC">
        <w:rPr>
          <w:lang w:val="pl"/>
        </w:rPr>
        <w:t>,</w:t>
      </w:r>
      <w:r w:rsidRPr="003964CC">
        <w:rPr>
          <w:lang w:val="pl"/>
        </w:rPr>
        <w:t>395 ml</w:t>
      </w:r>
      <w:r w:rsidR="00AB2C7C" w:rsidRPr="003964CC">
        <w:rPr>
          <w:lang w:val="pl"/>
        </w:rPr>
        <w:t>d</w:t>
      </w:r>
      <w:r w:rsidRPr="003964CC">
        <w:rPr>
          <w:lang w:val="pl"/>
        </w:rPr>
        <w:t xml:space="preserve"> euro, co stanowi wzrost o 0,9% </w:t>
      </w:r>
      <w:r w:rsidR="00530273">
        <w:rPr>
          <w:lang w:val="pl"/>
        </w:rPr>
        <w:br/>
      </w:r>
      <w:r w:rsidRPr="003964CC">
        <w:rPr>
          <w:lang w:val="pl"/>
        </w:rPr>
        <w:t xml:space="preserve">w porównaniu z analogicznym kwartałem ubiegłego roku. W związku z utrzymującym się spadkiem produkcji przemysłowej, zwłaszcza w branży motoryzacyjnej, </w:t>
      </w:r>
      <w:r w:rsidRPr="003964CC">
        <w:rPr>
          <w:b/>
          <w:bCs/>
          <w:lang w:val="pl"/>
        </w:rPr>
        <w:t xml:space="preserve">przychody ze sprzedaży w ujęciu organicznym </w:t>
      </w:r>
      <w:r w:rsidRPr="003964CC">
        <w:rPr>
          <w:lang w:val="pl"/>
        </w:rPr>
        <w:t xml:space="preserve">zmniejszyły się o 2,4%. </w:t>
      </w:r>
      <w:r w:rsidRPr="003964CC">
        <w:rPr>
          <w:b/>
          <w:bCs/>
          <w:lang w:val="pl"/>
        </w:rPr>
        <w:t>Skorygowany zysk operacyjny</w:t>
      </w:r>
      <w:r w:rsidRPr="003964CC">
        <w:rPr>
          <w:lang w:val="pl"/>
        </w:rPr>
        <w:t xml:space="preserve"> zamknął się kwotą 458 mln euro, a zatem był </w:t>
      </w:r>
      <w:r w:rsidR="00530273">
        <w:rPr>
          <w:lang w:val="pl"/>
        </w:rPr>
        <w:br/>
      </w:r>
      <w:r w:rsidRPr="003964CC">
        <w:rPr>
          <w:lang w:val="pl"/>
        </w:rPr>
        <w:lastRenderedPageBreak/>
        <w:t xml:space="preserve">o 1,7% niższy niż w drugim kwartale ubiegłego roku. </w:t>
      </w:r>
      <w:r w:rsidRPr="003964CC">
        <w:rPr>
          <w:b/>
          <w:bCs/>
          <w:lang w:val="pl"/>
        </w:rPr>
        <w:t xml:space="preserve">Skorygowana rentowność sprzedaży </w:t>
      </w:r>
      <w:r w:rsidRPr="003964CC">
        <w:rPr>
          <w:lang w:val="pl"/>
        </w:rPr>
        <w:t>na poziomie 19,1% była niższa w stosunku do trzeciego kwartału ubiegłego roku.</w:t>
      </w:r>
    </w:p>
    <w:p w14:paraId="40058894" w14:textId="77777777" w:rsidR="0079209A" w:rsidRPr="003964CC" w:rsidRDefault="0079209A" w:rsidP="003964CC">
      <w:pPr>
        <w:pStyle w:val="Tekstpodstawowy"/>
        <w:ind w:right="210"/>
        <w:jc w:val="both"/>
        <w:rPr>
          <w:lang w:val="pl-PL"/>
        </w:rPr>
      </w:pPr>
    </w:p>
    <w:p w14:paraId="2F557DEB" w14:textId="7D5C0320" w:rsidR="0079209A" w:rsidRPr="003964CC" w:rsidRDefault="00FA305E" w:rsidP="003964CC">
      <w:pPr>
        <w:pStyle w:val="Tekstpodstawowy"/>
        <w:spacing w:line="360" w:lineRule="auto"/>
        <w:ind w:left="1238" w:right="210"/>
        <w:jc w:val="both"/>
        <w:rPr>
          <w:lang w:val="pl-PL"/>
        </w:rPr>
      </w:pPr>
      <w:r w:rsidRPr="003964CC">
        <w:rPr>
          <w:noProof/>
          <w:lang w:val="pl-PL" w:eastAsia="pl-PL"/>
        </w:rPr>
        <mc:AlternateContent>
          <mc:Choice Requires="wps">
            <w:drawing>
              <wp:anchor distT="0" distB="0" distL="114300" distR="114300" simplePos="0" relativeHeight="251654656" behindDoc="0" locked="0" layoutInCell="1" allowOverlap="1" wp14:anchorId="0DC77921" wp14:editId="387E978B">
                <wp:simplePos x="0" y="0"/>
                <wp:positionH relativeFrom="page">
                  <wp:posOffset>180340</wp:posOffset>
                </wp:positionH>
                <wp:positionV relativeFrom="paragraph">
                  <wp:posOffset>345440</wp:posOffset>
                </wp:positionV>
                <wp:extent cx="183515" cy="0"/>
                <wp:effectExtent l="8890" t="7620" r="7620" b="1143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00FA" id="Line 5"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27.2pt" to="28.6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" strokecolor="#e0000f" strokeweight=".5pt">
                <w10:wrap anchorx="page"/>
              </v:line>
            </w:pict>
          </mc:Fallback>
        </mc:AlternateContent>
      </w:r>
      <w:r w:rsidRPr="003964CC">
        <w:rPr>
          <w:noProof/>
          <w:lang w:val="pl-PL" w:eastAsia="pl-PL"/>
        </w:rPr>
        <mc:AlternateContent>
          <mc:Choice Requires="wps">
            <w:drawing>
              <wp:anchor distT="0" distB="0" distL="114300" distR="114300" simplePos="0" relativeHeight="251656704" behindDoc="0" locked="0" layoutInCell="1" allowOverlap="1" wp14:anchorId="6B887DF2" wp14:editId="6E548D92">
                <wp:simplePos x="0" y="0"/>
                <wp:positionH relativeFrom="page">
                  <wp:posOffset>180340</wp:posOffset>
                </wp:positionH>
                <wp:positionV relativeFrom="paragraph">
                  <wp:posOffset>1917700</wp:posOffset>
                </wp:positionV>
                <wp:extent cx="183515" cy="0"/>
                <wp:effectExtent l="8890" t="8255" r="7620" b="10795"/>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C0D0"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151pt" to="28.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" strokecolor="#e0000f" strokeweight=".5pt">
                <w10:wrap anchorx="page"/>
              </v:line>
            </w:pict>
          </mc:Fallback>
        </mc:AlternateContent>
      </w:r>
      <w:r w:rsidRPr="003964CC">
        <w:rPr>
          <w:b/>
          <w:bCs/>
          <w:lang w:val="pl"/>
        </w:rPr>
        <w:t xml:space="preserve">Przychody ze sprzedaży </w:t>
      </w:r>
      <w:r w:rsidRPr="003964CC">
        <w:rPr>
          <w:lang w:val="pl"/>
        </w:rPr>
        <w:t xml:space="preserve">w sektorze biznesowym </w:t>
      </w:r>
      <w:r w:rsidRPr="003964CC">
        <w:rPr>
          <w:b/>
          <w:bCs/>
          <w:lang w:val="pl"/>
        </w:rPr>
        <w:t xml:space="preserve">Beauty Care </w:t>
      </w:r>
      <w:r w:rsidRPr="003964CC">
        <w:rPr>
          <w:lang w:val="pl"/>
        </w:rPr>
        <w:t xml:space="preserve">(kosmetyki) w ujęciu </w:t>
      </w:r>
      <w:r w:rsidRPr="003964CC">
        <w:rPr>
          <w:b/>
          <w:bCs/>
          <w:lang w:val="pl"/>
        </w:rPr>
        <w:t xml:space="preserve">organicznym </w:t>
      </w:r>
      <w:r w:rsidRPr="003964CC">
        <w:rPr>
          <w:lang w:val="pl"/>
        </w:rPr>
        <w:t xml:space="preserve">spadły o 2,2%. Sektor pozostawał pod wpływem wolniejszego niż oczekiwano ożywienia na bardzo konkurencyjnym rynku Europy Zachodniej, jak również przewidzianego wcześniej dalszego zmniejszania zapasów w sektorze detalicznym w Chinach. Natomiast działalność sektora biznesowego Beauty Care (kosmetyki) w Ameryce Północnej rozwijała się pomyślnie. W ujęciu nominalnym sprzedaż spadła o 2,3% rok do roku, do 970 mln euro. </w:t>
      </w:r>
      <w:r w:rsidRPr="003964CC">
        <w:rPr>
          <w:b/>
          <w:bCs/>
          <w:lang w:val="pl"/>
        </w:rPr>
        <w:t>Skorygowany zysk operacyjny</w:t>
      </w:r>
      <w:r w:rsidRPr="003964CC">
        <w:rPr>
          <w:lang w:val="pl"/>
        </w:rPr>
        <w:t xml:space="preserve"> ukształtował się na poziomie 144 mln euro, co oznacza spadek o 21,2% w stosunku do trzeciego kwartału 2018 r. </w:t>
      </w:r>
      <w:r w:rsidRPr="003964CC">
        <w:rPr>
          <w:b/>
          <w:bCs/>
          <w:lang w:val="pl"/>
        </w:rPr>
        <w:t xml:space="preserve">Skorygowana rentowność sprzedaży </w:t>
      </w:r>
      <w:r w:rsidRPr="003964CC">
        <w:rPr>
          <w:lang w:val="pl"/>
        </w:rPr>
        <w:t xml:space="preserve">ukształtowała się na poziomie 14.8%, odnotowując spadek w porównaniu </w:t>
      </w:r>
      <w:r w:rsidR="00530273">
        <w:rPr>
          <w:lang w:val="pl"/>
        </w:rPr>
        <w:br/>
      </w:r>
      <w:r w:rsidRPr="003964CC">
        <w:rPr>
          <w:lang w:val="pl"/>
        </w:rPr>
        <w:t xml:space="preserve">z analogicznym okresem ubiegłego roku m.in. w związku ze zwiększeniem inwestycji rozwojowych. </w:t>
      </w:r>
    </w:p>
    <w:p w14:paraId="7DCC6647" w14:textId="77777777" w:rsidR="0079209A" w:rsidRPr="003964CC" w:rsidRDefault="0079209A" w:rsidP="003964CC">
      <w:pPr>
        <w:pStyle w:val="Tekstpodstawowy"/>
        <w:ind w:right="210"/>
        <w:jc w:val="both"/>
        <w:rPr>
          <w:lang w:val="pl-PL"/>
        </w:rPr>
      </w:pPr>
    </w:p>
    <w:p w14:paraId="020FCD9B" w14:textId="0C75480B" w:rsidR="003964CC" w:rsidRDefault="00FA305E" w:rsidP="003964CC">
      <w:pPr>
        <w:spacing w:before="100" w:beforeAutospacing="1" w:line="360" w:lineRule="auto"/>
        <w:ind w:left="1236" w:right="210"/>
        <w:jc w:val="both"/>
        <w:rPr>
          <w:sz w:val="24"/>
          <w:szCs w:val="24"/>
          <w:lang w:val="pl"/>
        </w:rPr>
      </w:pPr>
      <w:r w:rsidRPr="003964CC">
        <w:rPr>
          <w:sz w:val="24"/>
          <w:szCs w:val="24"/>
          <w:lang w:val="pl"/>
        </w:rPr>
        <w:t xml:space="preserve">W trzecim kwartale 2019 r. sektor biznesowy </w:t>
      </w:r>
      <w:r w:rsidRPr="003964CC">
        <w:rPr>
          <w:b/>
          <w:bCs/>
          <w:sz w:val="24"/>
          <w:szCs w:val="24"/>
          <w:lang w:val="pl"/>
        </w:rPr>
        <w:t>Laundry &amp; Home Care</w:t>
      </w:r>
      <w:r w:rsidRPr="003964CC">
        <w:rPr>
          <w:sz w:val="24"/>
          <w:szCs w:val="24"/>
          <w:lang w:val="pl"/>
        </w:rPr>
        <w:t xml:space="preserve"> (środków piorących i czystości) odnotował bardzo wysoki</w:t>
      </w:r>
      <w:r w:rsidRPr="003964CC">
        <w:rPr>
          <w:b/>
          <w:bCs/>
          <w:sz w:val="24"/>
          <w:szCs w:val="24"/>
          <w:lang w:val="pl"/>
        </w:rPr>
        <w:t xml:space="preserve"> wzrost sprzedaży w ujęciu organicznym</w:t>
      </w:r>
      <w:r w:rsidRPr="003964CC">
        <w:rPr>
          <w:sz w:val="24"/>
          <w:szCs w:val="24"/>
          <w:lang w:val="pl"/>
        </w:rPr>
        <w:t>, na poziomie 4,0%, dzięki dwucyfrowej dynamice sprzedaży na rynkach wschodzących. Natomiast działalność sektora środków piorących i czystości w Ameryce Północnej pozostawała pod presją. W ujęciu nominalnym przychody ze sprzedaży wzrosły o 2,5%, do poziomu 1</w:t>
      </w:r>
      <w:r w:rsidR="00E214E9" w:rsidRPr="003964CC">
        <w:rPr>
          <w:sz w:val="24"/>
          <w:szCs w:val="24"/>
          <w:lang w:val="pl"/>
        </w:rPr>
        <w:t>,</w:t>
      </w:r>
      <w:r w:rsidRPr="003964CC">
        <w:rPr>
          <w:sz w:val="24"/>
          <w:szCs w:val="24"/>
          <w:lang w:val="pl"/>
        </w:rPr>
        <w:t>682 ml</w:t>
      </w:r>
      <w:r w:rsidR="00E214E9" w:rsidRPr="003964CC">
        <w:rPr>
          <w:sz w:val="24"/>
          <w:szCs w:val="24"/>
          <w:lang w:val="pl"/>
        </w:rPr>
        <w:t>d</w:t>
      </w:r>
      <w:r w:rsidRPr="003964CC">
        <w:rPr>
          <w:sz w:val="24"/>
          <w:szCs w:val="24"/>
          <w:lang w:val="pl"/>
        </w:rPr>
        <w:t xml:space="preserve"> euro, wobec 1</w:t>
      </w:r>
      <w:r w:rsidR="00E214E9" w:rsidRPr="003964CC">
        <w:rPr>
          <w:sz w:val="24"/>
          <w:szCs w:val="24"/>
          <w:lang w:val="pl"/>
        </w:rPr>
        <w:t>,</w:t>
      </w:r>
      <w:r w:rsidRPr="003964CC">
        <w:rPr>
          <w:sz w:val="24"/>
          <w:szCs w:val="24"/>
          <w:lang w:val="pl"/>
        </w:rPr>
        <w:t>641 ml</w:t>
      </w:r>
      <w:r w:rsidR="00E214E9" w:rsidRPr="003964CC">
        <w:rPr>
          <w:sz w:val="24"/>
          <w:szCs w:val="24"/>
          <w:lang w:val="pl"/>
        </w:rPr>
        <w:t>d</w:t>
      </w:r>
      <w:r w:rsidRPr="003964CC">
        <w:rPr>
          <w:sz w:val="24"/>
          <w:szCs w:val="24"/>
          <w:lang w:val="pl"/>
        </w:rPr>
        <w:t xml:space="preserve"> euro </w:t>
      </w:r>
      <w:r w:rsidR="00530273">
        <w:rPr>
          <w:sz w:val="24"/>
          <w:szCs w:val="24"/>
          <w:lang w:val="pl"/>
        </w:rPr>
        <w:br/>
      </w:r>
      <w:r w:rsidRPr="003964CC">
        <w:rPr>
          <w:sz w:val="24"/>
          <w:szCs w:val="24"/>
          <w:lang w:val="pl"/>
        </w:rPr>
        <w:t xml:space="preserve">w analogicznym kwartale 2018 r. </w:t>
      </w:r>
      <w:r w:rsidRPr="003964CC">
        <w:rPr>
          <w:b/>
          <w:bCs/>
          <w:sz w:val="24"/>
          <w:szCs w:val="24"/>
          <w:lang w:val="pl"/>
        </w:rPr>
        <w:t>Skorygowany zysk operacyjny</w:t>
      </w:r>
      <w:r w:rsidRPr="003964CC">
        <w:rPr>
          <w:sz w:val="24"/>
          <w:szCs w:val="24"/>
          <w:lang w:val="pl"/>
        </w:rPr>
        <w:t xml:space="preserve"> zamknął się kwotą 267 mln euro i był o 9,0% niższy niż w tym samym kwartale ubiegłego roku. </w:t>
      </w:r>
      <w:r w:rsidRPr="003964CC">
        <w:rPr>
          <w:b/>
          <w:bCs/>
          <w:sz w:val="24"/>
          <w:szCs w:val="24"/>
          <w:lang w:val="pl"/>
        </w:rPr>
        <w:t xml:space="preserve">Skorygowana rentowność sprzedaży </w:t>
      </w:r>
      <w:r w:rsidRPr="003964CC">
        <w:rPr>
          <w:sz w:val="24"/>
          <w:szCs w:val="24"/>
          <w:lang w:val="pl"/>
        </w:rPr>
        <w:t xml:space="preserve">osiągnęła poziom 15,9% i była niższa </w:t>
      </w:r>
      <w:r w:rsidR="00530273">
        <w:rPr>
          <w:sz w:val="24"/>
          <w:szCs w:val="24"/>
          <w:lang w:val="pl"/>
        </w:rPr>
        <w:br/>
      </w:r>
      <w:r w:rsidRPr="003964CC">
        <w:rPr>
          <w:sz w:val="24"/>
          <w:szCs w:val="24"/>
          <w:lang w:val="pl"/>
        </w:rPr>
        <w:t xml:space="preserve">w stosunku do trzeciego kwartału ubiegłego roku, głównie w związku </w:t>
      </w:r>
      <w:r w:rsidR="00530273">
        <w:rPr>
          <w:sz w:val="24"/>
          <w:szCs w:val="24"/>
          <w:lang w:val="pl"/>
        </w:rPr>
        <w:br/>
      </w:r>
      <w:r w:rsidRPr="003964CC">
        <w:rPr>
          <w:sz w:val="24"/>
          <w:szCs w:val="24"/>
          <w:lang w:val="pl"/>
        </w:rPr>
        <w:t>z zapowiedzianym na początku bieżącego roku zwiększeniem inwestycji rozwojowych</w:t>
      </w:r>
      <w:r w:rsidR="00E214E9" w:rsidRPr="003964CC">
        <w:rPr>
          <w:sz w:val="24"/>
          <w:szCs w:val="24"/>
          <w:lang w:val="pl"/>
        </w:rPr>
        <w:t>.</w:t>
      </w:r>
    </w:p>
    <w:p w14:paraId="0A75B623" w14:textId="77777777" w:rsidR="00530273" w:rsidRDefault="00530273" w:rsidP="003964CC">
      <w:pPr>
        <w:spacing w:before="100" w:beforeAutospacing="1" w:line="360" w:lineRule="auto"/>
        <w:ind w:left="1236" w:right="210"/>
        <w:jc w:val="both"/>
        <w:rPr>
          <w:b/>
          <w:bCs/>
          <w:sz w:val="24"/>
          <w:szCs w:val="24"/>
          <w:lang w:val="pl"/>
        </w:rPr>
      </w:pPr>
    </w:p>
    <w:p w14:paraId="38BA585B" w14:textId="618D72B0" w:rsidR="0079209A" w:rsidRPr="003964CC" w:rsidRDefault="00FA305E" w:rsidP="003964CC">
      <w:pPr>
        <w:spacing w:before="100" w:beforeAutospacing="1" w:line="360" w:lineRule="auto"/>
        <w:ind w:left="1236" w:right="210"/>
        <w:jc w:val="both"/>
        <w:rPr>
          <w:b/>
          <w:bCs/>
          <w:sz w:val="24"/>
          <w:szCs w:val="24"/>
          <w:lang w:val="pl-PL"/>
        </w:rPr>
      </w:pPr>
      <w:r w:rsidRPr="003964CC">
        <w:rPr>
          <w:b/>
          <w:bCs/>
          <w:sz w:val="24"/>
          <w:szCs w:val="24"/>
          <w:lang w:val="pl"/>
        </w:rPr>
        <w:lastRenderedPageBreak/>
        <w:t>Wyniki działalności za pierwsze dziewięć miesięcy 2019 r.</w:t>
      </w:r>
    </w:p>
    <w:p w14:paraId="5FDC78B8" w14:textId="77777777" w:rsidR="0079209A" w:rsidRPr="003964CC" w:rsidRDefault="0079209A" w:rsidP="003964CC">
      <w:pPr>
        <w:pStyle w:val="Tekstpodstawowy"/>
        <w:spacing w:before="4"/>
        <w:ind w:right="210"/>
        <w:jc w:val="both"/>
        <w:rPr>
          <w:b/>
          <w:lang w:val="pl-PL"/>
        </w:rPr>
      </w:pPr>
    </w:p>
    <w:p w14:paraId="281006A2" w14:textId="0A598E5D" w:rsidR="0079209A" w:rsidRPr="003964CC" w:rsidRDefault="00FA305E" w:rsidP="003964CC">
      <w:pPr>
        <w:pStyle w:val="Tekstpodstawowy"/>
        <w:spacing w:line="360" w:lineRule="auto"/>
        <w:ind w:left="1238" w:right="210"/>
        <w:jc w:val="both"/>
        <w:rPr>
          <w:lang w:val="pl-PL"/>
        </w:rPr>
      </w:pPr>
      <w:r w:rsidRPr="003964CC">
        <w:rPr>
          <w:lang w:val="pl"/>
        </w:rPr>
        <w:t>Wartość</w:t>
      </w:r>
      <w:r w:rsidRPr="003964CC">
        <w:rPr>
          <w:b/>
          <w:bCs/>
          <w:lang w:val="pl"/>
        </w:rPr>
        <w:t xml:space="preserve"> sprzedaży </w:t>
      </w:r>
      <w:r w:rsidRPr="003964CC">
        <w:rPr>
          <w:lang w:val="pl"/>
        </w:rPr>
        <w:t xml:space="preserve">zrealizowanej przez Henkel w pierwszych dziewięciu miesiącach 2019 r. wyniosła 15,2 mld euro, co oznacza wzrost o 1,0%. Sprzedaż </w:t>
      </w:r>
      <w:r w:rsidRPr="003964CC">
        <w:rPr>
          <w:b/>
          <w:bCs/>
          <w:lang w:val="pl"/>
        </w:rPr>
        <w:t>w ujęciu organicznym</w:t>
      </w:r>
      <w:r w:rsidRPr="003964CC">
        <w:rPr>
          <w:lang w:val="pl"/>
        </w:rPr>
        <w:t xml:space="preserve">, tj. bez uwzględnienia wpływu różnic kursowych oraz transakcji przejęć i zbycia aktywów, ukształtowała się dokładnie na tym samym poziomie, co </w:t>
      </w:r>
      <w:r w:rsidR="00530273">
        <w:rPr>
          <w:lang w:val="pl"/>
        </w:rPr>
        <w:br/>
      </w:r>
      <w:r w:rsidRPr="003964CC">
        <w:rPr>
          <w:lang w:val="pl"/>
        </w:rPr>
        <w:t>w analogicznym okresie ubiegłego roku. Wpływ różnic kursowych na wzrost poziomu sprzedaży był pozytywny i wyniósł 0,5%.</w:t>
      </w:r>
    </w:p>
    <w:p w14:paraId="09DB3BE3" w14:textId="77777777" w:rsidR="0079209A" w:rsidRPr="003964CC" w:rsidRDefault="0079209A" w:rsidP="003964CC">
      <w:pPr>
        <w:pStyle w:val="Tekstpodstawowy"/>
        <w:spacing w:before="1"/>
        <w:ind w:right="210"/>
        <w:jc w:val="both"/>
        <w:rPr>
          <w:lang w:val="pl-PL"/>
        </w:rPr>
      </w:pPr>
    </w:p>
    <w:p w14:paraId="3A952E6F" w14:textId="2454D3BB" w:rsidR="0079209A" w:rsidRPr="003964CC" w:rsidRDefault="00FA305E" w:rsidP="003964CC">
      <w:pPr>
        <w:spacing w:line="360" w:lineRule="auto"/>
        <w:ind w:left="1238" w:right="210"/>
        <w:jc w:val="both"/>
        <w:rPr>
          <w:sz w:val="24"/>
          <w:szCs w:val="24"/>
          <w:lang w:val="pl-PL"/>
        </w:rPr>
      </w:pPr>
      <w:r w:rsidRPr="003964CC">
        <w:rPr>
          <w:b/>
          <w:bCs/>
          <w:sz w:val="24"/>
          <w:szCs w:val="24"/>
          <w:lang w:val="pl"/>
        </w:rPr>
        <w:t>Skorygowany zysk operacyjny</w:t>
      </w:r>
      <w:r w:rsidRPr="003964CC">
        <w:rPr>
          <w:sz w:val="24"/>
          <w:szCs w:val="24"/>
          <w:lang w:val="pl"/>
        </w:rPr>
        <w:t xml:space="preserve"> obniżył się o 7,5%, z 2</w:t>
      </w:r>
      <w:r w:rsidR="00E214E9" w:rsidRPr="003964CC">
        <w:rPr>
          <w:sz w:val="24"/>
          <w:szCs w:val="24"/>
          <w:lang w:val="pl"/>
        </w:rPr>
        <w:t>,</w:t>
      </w:r>
      <w:r w:rsidRPr="003964CC">
        <w:rPr>
          <w:sz w:val="24"/>
          <w:szCs w:val="24"/>
          <w:lang w:val="pl"/>
        </w:rPr>
        <w:t>694 ml</w:t>
      </w:r>
      <w:r w:rsidR="00E214E9" w:rsidRPr="003964CC">
        <w:rPr>
          <w:sz w:val="24"/>
          <w:szCs w:val="24"/>
          <w:lang w:val="pl"/>
        </w:rPr>
        <w:t>d</w:t>
      </w:r>
      <w:r w:rsidRPr="003964CC">
        <w:rPr>
          <w:sz w:val="24"/>
          <w:szCs w:val="24"/>
          <w:lang w:val="pl"/>
        </w:rPr>
        <w:t xml:space="preserve"> euro do 2</w:t>
      </w:r>
      <w:r w:rsidR="00E214E9" w:rsidRPr="003964CC">
        <w:rPr>
          <w:sz w:val="24"/>
          <w:szCs w:val="24"/>
          <w:lang w:val="pl"/>
        </w:rPr>
        <w:t>,</w:t>
      </w:r>
      <w:r w:rsidRPr="003964CC">
        <w:rPr>
          <w:sz w:val="24"/>
          <w:szCs w:val="24"/>
          <w:lang w:val="pl"/>
        </w:rPr>
        <w:t>491 ml</w:t>
      </w:r>
      <w:r w:rsidR="00E214E9" w:rsidRPr="003964CC">
        <w:rPr>
          <w:sz w:val="24"/>
          <w:szCs w:val="24"/>
          <w:lang w:val="pl"/>
        </w:rPr>
        <w:t>d</w:t>
      </w:r>
      <w:r w:rsidRPr="003964CC">
        <w:rPr>
          <w:sz w:val="24"/>
          <w:szCs w:val="24"/>
          <w:lang w:val="pl"/>
        </w:rPr>
        <w:t xml:space="preserve"> euro.</w:t>
      </w:r>
    </w:p>
    <w:p w14:paraId="0823304B" w14:textId="77777777" w:rsidR="0079209A" w:rsidRPr="003964CC" w:rsidRDefault="0079209A" w:rsidP="003964CC">
      <w:pPr>
        <w:pStyle w:val="Tekstpodstawowy"/>
        <w:spacing w:before="11"/>
        <w:ind w:right="210"/>
        <w:jc w:val="both"/>
        <w:rPr>
          <w:lang w:val="pl-PL"/>
        </w:rPr>
      </w:pPr>
    </w:p>
    <w:p w14:paraId="49006A2A" w14:textId="77777777" w:rsidR="0079209A" w:rsidRPr="003964CC" w:rsidRDefault="00FA305E" w:rsidP="003964CC">
      <w:pPr>
        <w:spacing w:line="360" w:lineRule="auto"/>
        <w:ind w:left="1238" w:right="210"/>
        <w:jc w:val="both"/>
        <w:rPr>
          <w:sz w:val="24"/>
          <w:szCs w:val="24"/>
          <w:lang w:val="pl-PL"/>
        </w:rPr>
      </w:pPr>
      <w:r w:rsidRPr="003964CC">
        <w:rPr>
          <w:noProof/>
          <w:sz w:val="24"/>
          <w:szCs w:val="24"/>
          <w:lang w:val="pl-PL" w:eastAsia="pl-PL"/>
        </w:rPr>
        <mc:AlternateContent>
          <mc:Choice Requires="wps">
            <w:drawing>
              <wp:anchor distT="0" distB="0" distL="114300" distR="114300" simplePos="0" relativeHeight="251658752" behindDoc="0" locked="0" layoutInCell="1" allowOverlap="1" wp14:anchorId="3CC8002B" wp14:editId="5FBB3B46">
                <wp:simplePos x="0" y="0"/>
                <wp:positionH relativeFrom="page">
                  <wp:posOffset>180340</wp:posOffset>
                </wp:positionH>
                <wp:positionV relativeFrom="paragraph">
                  <wp:posOffset>345440</wp:posOffset>
                </wp:positionV>
                <wp:extent cx="183515" cy="0"/>
                <wp:effectExtent l="8890" t="8255" r="7620" b="1079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9EAE5"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27.2pt" to="28.6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" strokecolor="#e0000f" strokeweight=".5pt">
                <w10:wrap anchorx="page"/>
              </v:line>
            </w:pict>
          </mc:Fallback>
        </mc:AlternateContent>
      </w:r>
      <w:r w:rsidRPr="003964CC">
        <w:rPr>
          <w:b/>
          <w:bCs/>
          <w:sz w:val="24"/>
          <w:szCs w:val="24"/>
          <w:lang w:val="pl"/>
        </w:rPr>
        <w:t xml:space="preserve">Skorygowana rentowność sprzedaży </w:t>
      </w:r>
      <w:r w:rsidRPr="003964CC">
        <w:rPr>
          <w:sz w:val="24"/>
          <w:szCs w:val="24"/>
          <w:lang w:val="pl"/>
        </w:rPr>
        <w:t>ukształtowała się na poziomie 16,4% wobec 17,9% po trzech kwartałach 2018 r.</w:t>
      </w:r>
    </w:p>
    <w:p w14:paraId="2FF59A96" w14:textId="77777777" w:rsidR="0079209A" w:rsidRPr="003964CC" w:rsidRDefault="0079209A" w:rsidP="003964CC">
      <w:pPr>
        <w:pStyle w:val="Tekstpodstawowy"/>
        <w:spacing w:before="10"/>
        <w:ind w:right="210"/>
        <w:jc w:val="both"/>
        <w:rPr>
          <w:lang w:val="pl-PL"/>
        </w:rPr>
      </w:pPr>
    </w:p>
    <w:p w14:paraId="7C383159" w14:textId="77777777" w:rsidR="0079209A" w:rsidRPr="003964CC" w:rsidRDefault="00FA305E" w:rsidP="003964CC">
      <w:pPr>
        <w:ind w:left="1238" w:right="210"/>
        <w:jc w:val="both"/>
        <w:rPr>
          <w:sz w:val="24"/>
          <w:szCs w:val="24"/>
          <w:lang w:val="pl-PL"/>
        </w:rPr>
      </w:pPr>
      <w:r w:rsidRPr="003964CC">
        <w:rPr>
          <w:b/>
          <w:bCs/>
          <w:sz w:val="24"/>
          <w:szCs w:val="24"/>
          <w:lang w:val="pl"/>
        </w:rPr>
        <w:t xml:space="preserve">Skorygowany zysk na akcję uprzywilejowaną </w:t>
      </w:r>
      <w:r w:rsidRPr="003964CC">
        <w:rPr>
          <w:sz w:val="24"/>
          <w:szCs w:val="24"/>
          <w:lang w:val="pl"/>
        </w:rPr>
        <w:t xml:space="preserve">zmniejszył się o </w:t>
      </w:r>
    </w:p>
    <w:p w14:paraId="12CA20C4" w14:textId="77777777" w:rsidR="0079209A" w:rsidRPr="003964CC" w:rsidRDefault="00FA305E" w:rsidP="003964CC">
      <w:pPr>
        <w:pStyle w:val="Tekstpodstawowy"/>
        <w:spacing w:before="139" w:line="360" w:lineRule="auto"/>
        <w:ind w:left="1238" w:right="210"/>
        <w:jc w:val="both"/>
        <w:rPr>
          <w:lang w:val="pl-PL"/>
        </w:rPr>
      </w:pPr>
      <w:r w:rsidRPr="003964CC">
        <w:rPr>
          <w:lang w:val="pl"/>
        </w:rPr>
        <w:t>8,5%, z kwoty 4,59 euro do 4,20 euro. Przy założeniu stałych kursów walut skorygowany zysk na akcję uprzywilejowaną był niższy o 8,9%.</w:t>
      </w:r>
    </w:p>
    <w:p w14:paraId="6F57B560" w14:textId="77777777" w:rsidR="0079209A" w:rsidRPr="003964CC" w:rsidRDefault="0079209A" w:rsidP="003964CC">
      <w:pPr>
        <w:pStyle w:val="Tekstpodstawowy"/>
        <w:spacing w:before="11"/>
        <w:ind w:right="210"/>
        <w:jc w:val="both"/>
        <w:rPr>
          <w:lang w:val="pl-PL"/>
        </w:rPr>
      </w:pPr>
    </w:p>
    <w:p w14:paraId="12D60A3B" w14:textId="28B73A63" w:rsidR="0079209A" w:rsidRPr="003964CC" w:rsidRDefault="00FA305E" w:rsidP="003964CC">
      <w:pPr>
        <w:pStyle w:val="Tekstpodstawowy"/>
        <w:spacing w:line="360" w:lineRule="auto"/>
        <w:ind w:left="1238" w:right="210"/>
        <w:jc w:val="both"/>
        <w:rPr>
          <w:lang w:val="pl-PL"/>
        </w:rPr>
      </w:pPr>
      <w:r w:rsidRPr="003964CC">
        <w:rPr>
          <w:noProof/>
          <w:lang w:val="pl-PL" w:eastAsia="pl-PL"/>
        </w:rPr>
        <mc:AlternateContent>
          <mc:Choice Requires="wps">
            <w:drawing>
              <wp:anchor distT="0" distB="0" distL="114300" distR="114300" simplePos="0" relativeHeight="251660800" behindDoc="0" locked="0" layoutInCell="1" allowOverlap="1" wp14:anchorId="2CDDDB7A" wp14:editId="56399223">
                <wp:simplePos x="0" y="0"/>
                <wp:positionH relativeFrom="page">
                  <wp:posOffset>180340</wp:posOffset>
                </wp:positionH>
                <wp:positionV relativeFrom="paragraph">
                  <wp:posOffset>78105</wp:posOffset>
                </wp:positionV>
                <wp:extent cx="183515" cy="0"/>
                <wp:effectExtent l="8890" t="12065" r="7620" b="698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6B66C"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15pt" to="28.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" strokecolor="#e0000f" strokeweight=".5pt">
                <w10:wrap anchorx="page"/>
              </v:line>
            </w:pict>
          </mc:Fallback>
        </mc:AlternateContent>
      </w:r>
      <w:r w:rsidRPr="003964CC">
        <w:rPr>
          <w:lang w:val="pl"/>
        </w:rPr>
        <w:t xml:space="preserve">W okresie pierwszych dziewięciu miesięcy 2019 r. sektor biznesowy </w:t>
      </w:r>
      <w:r w:rsidRPr="003964CC">
        <w:rPr>
          <w:b/>
          <w:bCs/>
          <w:lang w:val="pl"/>
        </w:rPr>
        <w:t xml:space="preserve">Adhesive Technologies </w:t>
      </w:r>
      <w:r w:rsidRPr="003964CC">
        <w:rPr>
          <w:lang w:val="pl"/>
        </w:rPr>
        <w:t xml:space="preserve">(klejów budowlanych i konsumenckich oraz klejów i technologii dla przemysłu) odnotował spadek sprzedaży w ujęciu organicznym o 1,5%. Skorygowana rentowność sprzedaży wyniosła 18,5% w porównaniu z 18,9% </w:t>
      </w:r>
      <w:r w:rsidR="00530273">
        <w:rPr>
          <w:lang w:val="pl"/>
        </w:rPr>
        <w:br/>
      </w:r>
      <w:r w:rsidRPr="003964CC">
        <w:rPr>
          <w:lang w:val="pl"/>
        </w:rPr>
        <w:t xml:space="preserve">w poprzednim roku. Sektor </w:t>
      </w:r>
      <w:r w:rsidRPr="003964CC">
        <w:rPr>
          <w:b/>
          <w:bCs/>
          <w:lang w:val="pl"/>
        </w:rPr>
        <w:t xml:space="preserve">Beauty Care </w:t>
      </w:r>
      <w:r w:rsidRPr="003964CC">
        <w:rPr>
          <w:lang w:val="pl"/>
        </w:rPr>
        <w:t xml:space="preserve">(kosmetyki) odnotował spadek przychodów ze sprzedaży w ujęciu organicznym o 2,3%, Skorygowana rentowność sprzedaży wyniosła 14,0% (w poprzednim roku było to 17,7%). Sektor biznesowy </w:t>
      </w:r>
      <w:r w:rsidRPr="003964CC">
        <w:rPr>
          <w:b/>
          <w:bCs/>
          <w:lang w:val="pl"/>
        </w:rPr>
        <w:t>Laundry &amp; Home Care</w:t>
      </w:r>
      <w:r w:rsidRPr="003964CC">
        <w:rPr>
          <w:lang w:val="pl"/>
        </w:rPr>
        <w:t xml:space="preserve"> (środków piorących i czystości) osiągnął znaczny wzrost przychodów ze sprzedaży w ujęciu organicznym, wynoszący 3,5%. Skorygowana rentowność sprzedaży wyniosła 16,6% w porównaniu z 18,1% w poprzednim roku.</w:t>
      </w:r>
    </w:p>
    <w:p w14:paraId="385331B5" w14:textId="77777777" w:rsidR="0079209A" w:rsidRPr="003964CC" w:rsidRDefault="0079209A" w:rsidP="003964CC">
      <w:pPr>
        <w:pStyle w:val="Tekstpodstawowy"/>
        <w:ind w:right="210"/>
        <w:jc w:val="both"/>
        <w:rPr>
          <w:lang w:val="pl-PL"/>
        </w:rPr>
      </w:pPr>
    </w:p>
    <w:p w14:paraId="6AA6B00A" w14:textId="18E68080" w:rsidR="0079209A" w:rsidRPr="003964CC" w:rsidRDefault="00FA305E" w:rsidP="003964CC">
      <w:pPr>
        <w:pStyle w:val="Tekstpodstawowy"/>
        <w:spacing w:line="360" w:lineRule="auto"/>
        <w:ind w:left="1238" w:right="210"/>
        <w:jc w:val="both"/>
        <w:rPr>
          <w:lang w:val="pl-PL"/>
        </w:rPr>
      </w:pPr>
      <w:r w:rsidRPr="003964CC">
        <w:rPr>
          <w:lang w:val="pl"/>
        </w:rPr>
        <w:t xml:space="preserve">Dzięki sprawnemu zarządzaniu środkami pieniężnymi oraz działaniom optymalizującym kapitał obrotowy netto stan </w:t>
      </w:r>
      <w:r w:rsidRPr="003964CC">
        <w:rPr>
          <w:b/>
          <w:bCs/>
          <w:lang w:val="pl"/>
        </w:rPr>
        <w:t xml:space="preserve">wolnych przepływów pieniężnych </w:t>
      </w:r>
      <w:r w:rsidRPr="003964CC">
        <w:rPr>
          <w:lang w:val="pl"/>
        </w:rPr>
        <w:lastRenderedPageBreak/>
        <w:t>wzrósł po pierwszych dziewięciu miesiącach 2019 r. o 690 mln euro do najwyższego w historii poziomu 1</w:t>
      </w:r>
      <w:r w:rsidR="00E214E9" w:rsidRPr="003964CC">
        <w:rPr>
          <w:lang w:val="pl"/>
        </w:rPr>
        <w:t>,</w:t>
      </w:r>
      <w:r w:rsidRPr="003964CC">
        <w:rPr>
          <w:lang w:val="pl"/>
        </w:rPr>
        <w:t>813 ml</w:t>
      </w:r>
      <w:r w:rsidR="00E214E9" w:rsidRPr="003964CC">
        <w:rPr>
          <w:lang w:val="pl"/>
        </w:rPr>
        <w:t>d</w:t>
      </w:r>
      <w:r w:rsidRPr="003964CC">
        <w:rPr>
          <w:lang w:val="pl"/>
        </w:rPr>
        <w:t xml:space="preserve"> euro.</w:t>
      </w:r>
    </w:p>
    <w:p w14:paraId="17BC4DD2" w14:textId="77777777" w:rsidR="0079209A" w:rsidRPr="003964CC" w:rsidRDefault="0079209A" w:rsidP="003964CC">
      <w:pPr>
        <w:pStyle w:val="Tekstpodstawowy"/>
        <w:ind w:right="210"/>
        <w:jc w:val="both"/>
        <w:rPr>
          <w:lang w:val="pl-PL"/>
        </w:rPr>
      </w:pPr>
    </w:p>
    <w:p w14:paraId="2E023121" w14:textId="2B694A3B" w:rsidR="0079209A" w:rsidRDefault="00FA305E" w:rsidP="003964CC">
      <w:pPr>
        <w:pStyle w:val="Tekstpodstawowy"/>
        <w:spacing w:line="360" w:lineRule="auto"/>
        <w:ind w:left="1238" w:right="210"/>
        <w:jc w:val="both"/>
        <w:rPr>
          <w:lang w:val="pl"/>
        </w:rPr>
      </w:pPr>
      <w:r w:rsidRPr="003964CC">
        <w:rPr>
          <w:b/>
          <w:bCs/>
          <w:lang w:val="pl"/>
        </w:rPr>
        <w:t xml:space="preserve">Pozycja finansowa netto </w:t>
      </w:r>
      <w:r w:rsidRPr="003964CC">
        <w:rPr>
          <w:lang w:val="pl"/>
        </w:rPr>
        <w:t xml:space="preserve">firmy Henkel poprawiła się o blisko 1 mld euro </w:t>
      </w:r>
      <w:r w:rsidR="00530273">
        <w:rPr>
          <w:lang w:val="pl"/>
        </w:rPr>
        <w:br/>
      </w:r>
      <w:r w:rsidRPr="003964CC">
        <w:rPr>
          <w:lang w:val="pl"/>
        </w:rPr>
        <w:t xml:space="preserve">w porównaniu z analogicznym okresem roku poprzedniego i na </w:t>
      </w:r>
      <w:r w:rsidR="00E214E9" w:rsidRPr="003964CC">
        <w:rPr>
          <w:lang w:val="pl"/>
        </w:rPr>
        <w:t xml:space="preserve">dzień </w:t>
      </w:r>
      <w:r w:rsidRPr="003964CC">
        <w:rPr>
          <w:lang w:val="pl"/>
        </w:rPr>
        <w:t>30 września 2019 r. wyniosła -2</w:t>
      </w:r>
      <w:r w:rsidR="00E214E9" w:rsidRPr="003964CC">
        <w:rPr>
          <w:lang w:val="pl"/>
        </w:rPr>
        <w:t>,</w:t>
      </w:r>
      <w:r w:rsidRPr="003964CC">
        <w:rPr>
          <w:lang w:val="pl"/>
        </w:rPr>
        <w:t>256 ml</w:t>
      </w:r>
      <w:r w:rsidR="00E214E9" w:rsidRPr="003964CC">
        <w:rPr>
          <w:lang w:val="pl"/>
        </w:rPr>
        <w:t>d</w:t>
      </w:r>
      <w:r w:rsidRPr="003964CC">
        <w:rPr>
          <w:lang w:val="pl"/>
        </w:rPr>
        <w:t xml:space="preserve"> euro (30 września 2018 r.: -3</w:t>
      </w:r>
      <w:r w:rsidR="00E214E9" w:rsidRPr="003964CC">
        <w:rPr>
          <w:lang w:val="pl"/>
        </w:rPr>
        <w:t>,</w:t>
      </w:r>
      <w:r w:rsidRPr="003964CC">
        <w:rPr>
          <w:lang w:val="pl"/>
        </w:rPr>
        <w:t>248 ml</w:t>
      </w:r>
      <w:r w:rsidR="00E214E9" w:rsidRPr="003964CC">
        <w:rPr>
          <w:lang w:val="pl"/>
        </w:rPr>
        <w:t>d</w:t>
      </w:r>
      <w:r w:rsidRPr="003964CC">
        <w:rPr>
          <w:lang w:val="pl"/>
        </w:rPr>
        <w:t xml:space="preserve"> euro).</w:t>
      </w:r>
    </w:p>
    <w:p w14:paraId="66447184" w14:textId="77777777" w:rsidR="00CB549A" w:rsidRDefault="00CB549A" w:rsidP="00CB549A">
      <w:pPr>
        <w:widowControl/>
        <w:autoSpaceDE/>
        <w:autoSpaceDN/>
        <w:spacing w:line="276" w:lineRule="auto"/>
        <w:ind w:left="1236" w:right="210"/>
        <w:rPr>
          <w:rFonts w:eastAsia="Times New Roman"/>
          <w:b/>
          <w:lang w:val="pl-PL"/>
        </w:rPr>
      </w:pPr>
    </w:p>
    <w:p w14:paraId="056EACE0" w14:textId="54CD6264" w:rsidR="00CB549A" w:rsidRPr="00CB549A" w:rsidRDefault="00CB549A" w:rsidP="00CB549A">
      <w:pPr>
        <w:widowControl/>
        <w:autoSpaceDE/>
        <w:autoSpaceDN/>
        <w:spacing w:line="276" w:lineRule="auto"/>
        <w:ind w:left="1236" w:right="210"/>
        <w:rPr>
          <w:rFonts w:eastAsia="Times New Roman"/>
          <w:b/>
          <w:lang w:val="pl-PL"/>
        </w:rPr>
      </w:pPr>
      <w:r w:rsidRPr="00CB549A">
        <w:rPr>
          <w:rFonts w:eastAsia="Times New Roman"/>
          <w:b/>
          <w:lang w:val="pl-PL"/>
        </w:rPr>
        <w:t>O firmie Henkel Polska</w:t>
      </w:r>
    </w:p>
    <w:p w14:paraId="01EAB910" w14:textId="3D401E47" w:rsidR="00CB549A" w:rsidRDefault="00CB549A" w:rsidP="00CB549A">
      <w:pPr>
        <w:widowControl/>
        <w:autoSpaceDE/>
        <w:autoSpaceDN/>
        <w:spacing w:line="276" w:lineRule="auto"/>
        <w:ind w:left="1236" w:right="210"/>
        <w:jc w:val="both"/>
        <w:rPr>
          <w:rFonts w:eastAsia="Times New Roman"/>
          <w:lang w:val="pl-PL"/>
        </w:rPr>
      </w:pPr>
      <w:r w:rsidRPr="00CB549A">
        <w:rPr>
          <w:rFonts w:eastAsia="Times New Roman"/>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CB549A">
        <w:rPr>
          <w:rFonts w:eastAsia="Times New Roman"/>
          <w:lang w:val="pl-PL"/>
        </w:rPr>
        <w:t>Adhesive</w:t>
      </w:r>
      <w:proofErr w:type="spellEnd"/>
      <w:r w:rsidRPr="00CB549A">
        <w:rPr>
          <w:rFonts w:eastAsia="Times New Roman"/>
          <w:lang w:val="pl-PL"/>
        </w:rPr>
        <w:t xml:space="preserve"> Technologies (dział klejów budowlanych i konsumenckich oraz technologii dla przemysłu) jest światowym liderem rynku klejów. Działy </w:t>
      </w:r>
      <w:proofErr w:type="spellStart"/>
      <w:r w:rsidRPr="00CB549A">
        <w:rPr>
          <w:rFonts w:eastAsia="Times New Roman"/>
          <w:lang w:val="pl-PL"/>
        </w:rPr>
        <w:t>Laundry</w:t>
      </w:r>
      <w:proofErr w:type="spellEnd"/>
      <w:r w:rsidRPr="00CB549A">
        <w:rPr>
          <w:rFonts w:eastAsia="Times New Roman"/>
          <w:lang w:val="pl-PL"/>
        </w:rPr>
        <w:t xml:space="preserve"> &amp; Home </w:t>
      </w:r>
      <w:proofErr w:type="spellStart"/>
      <w:r w:rsidRPr="00CB549A">
        <w:rPr>
          <w:rFonts w:eastAsia="Times New Roman"/>
          <w:lang w:val="pl-PL"/>
        </w:rPr>
        <w:t>Care</w:t>
      </w:r>
      <w:proofErr w:type="spellEnd"/>
      <w:r w:rsidRPr="00CB549A">
        <w:rPr>
          <w:rFonts w:eastAsia="Times New Roman"/>
          <w:lang w:val="pl-PL"/>
        </w:rPr>
        <w:t xml:space="preserve"> (środków piorących i czystości) oraz </w:t>
      </w:r>
      <w:proofErr w:type="spellStart"/>
      <w:r w:rsidRPr="00CB549A">
        <w:rPr>
          <w:rFonts w:eastAsia="Times New Roman"/>
          <w:lang w:val="pl-PL"/>
        </w:rPr>
        <w:t>Beauty</w:t>
      </w:r>
      <w:proofErr w:type="spellEnd"/>
      <w:r w:rsidRPr="00CB549A">
        <w:rPr>
          <w:rFonts w:eastAsia="Times New Roman"/>
          <w:lang w:val="pl-PL"/>
        </w:rPr>
        <w:t xml:space="preserve"> </w:t>
      </w:r>
      <w:proofErr w:type="spellStart"/>
      <w:r w:rsidRPr="00CB549A">
        <w:rPr>
          <w:rFonts w:eastAsia="Times New Roman"/>
          <w:lang w:val="pl-PL"/>
        </w:rPr>
        <w:t>Care</w:t>
      </w:r>
      <w:proofErr w:type="spellEnd"/>
      <w:r w:rsidRPr="00CB549A">
        <w:rPr>
          <w:rFonts w:eastAsia="Times New Roman"/>
          <w:lang w:val="pl-PL"/>
        </w:rPr>
        <w:t xml:space="preserv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w:t>
      </w:r>
      <w:bookmarkStart w:id="1" w:name="_GoBack"/>
      <w:bookmarkEnd w:id="1"/>
      <w:r w:rsidRPr="00CB549A">
        <w:rPr>
          <w:rFonts w:eastAsia="Times New Roman"/>
          <w:lang w:val="pl-PL"/>
        </w:rPr>
        <w:t>zróżnicowaną organizację o silnej kulturze korporacyjnej i wspólnych wartościach, która dąży do kreowania trwałej wartości. Jako uznany lider zrównoważonego rozwoju</w:t>
      </w:r>
      <w:r w:rsidRPr="00CB549A">
        <w:rPr>
          <w:rFonts w:eastAsia="Times New Roman"/>
          <w:color w:val="000000"/>
          <w:lang w:val="pl-PL"/>
        </w:rPr>
        <w:t xml:space="preserve"> </w:t>
      </w:r>
      <w:r w:rsidRPr="00CB549A">
        <w:rPr>
          <w:rFonts w:eastAsia="Times New Roman"/>
          <w:lang w:val="pl-PL"/>
        </w:rPr>
        <w:t xml:space="preserve">Henkel zajmuje czołowe miejsca w wielu międzynarodowych indeksach i rankingach. Akcje uprzywilejowane spółki wchodzą w skład niemieckiego indeksu giełdowego DAX. Więcej informacji na </w:t>
      </w:r>
      <w:hyperlink r:id="rId10" w:history="1">
        <w:r w:rsidRPr="00CB549A">
          <w:rPr>
            <w:rFonts w:eastAsia="Times New Roman"/>
            <w:color w:val="0000FF"/>
            <w:u w:val="single"/>
            <w:lang w:val="pl-PL"/>
          </w:rPr>
          <w:t>www.henkel.com</w:t>
        </w:r>
      </w:hyperlink>
      <w:r w:rsidRPr="00CB549A">
        <w:rPr>
          <w:rFonts w:eastAsia="Times New Roman"/>
          <w:lang w:val="pl-PL"/>
        </w:rPr>
        <w:t xml:space="preserve"> oraz </w:t>
      </w:r>
      <w:hyperlink r:id="rId11" w:history="1">
        <w:r w:rsidRPr="00CB549A">
          <w:rPr>
            <w:rFonts w:eastAsia="Times New Roman"/>
            <w:color w:val="0000FF"/>
            <w:u w:val="single"/>
            <w:lang w:val="pl-PL"/>
          </w:rPr>
          <w:t>www.henkel.pl</w:t>
        </w:r>
      </w:hyperlink>
      <w:r w:rsidRPr="00CB549A">
        <w:rPr>
          <w:rFonts w:eastAsia="Times New Roman"/>
          <w:lang w:val="pl-PL"/>
        </w:rPr>
        <w:t>.</w:t>
      </w:r>
    </w:p>
    <w:p w14:paraId="5FD6692D" w14:textId="77777777" w:rsidR="00CB549A" w:rsidRPr="00CB549A" w:rsidRDefault="00CB549A" w:rsidP="00CB549A">
      <w:pPr>
        <w:widowControl/>
        <w:autoSpaceDE/>
        <w:autoSpaceDN/>
        <w:spacing w:line="276" w:lineRule="auto"/>
        <w:ind w:left="1236" w:right="210"/>
        <w:jc w:val="both"/>
        <w:rPr>
          <w:rFonts w:eastAsia="Times New Roman"/>
          <w:lang w:val="pl-PL"/>
        </w:rPr>
      </w:pPr>
    </w:p>
    <w:p w14:paraId="7F91E568" w14:textId="1BDBBE94" w:rsidR="00CB549A" w:rsidRPr="00CB549A" w:rsidRDefault="00CB549A" w:rsidP="00CB549A">
      <w:pPr>
        <w:widowControl/>
        <w:autoSpaceDE/>
        <w:autoSpaceDN/>
        <w:ind w:left="1236" w:right="210"/>
        <w:jc w:val="both"/>
        <w:rPr>
          <w:rFonts w:eastAsia="Times New Roman"/>
          <w:sz w:val="16"/>
          <w:szCs w:val="24"/>
          <w:lang w:val="pl-PL"/>
        </w:rPr>
      </w:pPr>
      <w:r w:rsidRPr="00CB549A">
        <w:rPr>
          <w:rFonts w:eastAsia="Times New Roman"/>
          <w:noProof/>
          <w:sz w:val="20"/>
          <w:szCs w:val="24"/>
          <w:lang w:val="de-DE"/>
        </w:rPr>
        <mc:AlternateContent>
          <mc:Choice Requires="wps">
            <w:drawing>
              <wp:anchor distT="4294967295" distB="4294967295" distL="114300" distR="114300" simplePos="0" relativeHeight="251676160" behindDoc="0" locked="0" layoutInCell="1" allowOverlap="1" wp14:anchorId="04A69354" wp14:editId="4D6E4F0F">
                <wp:simplePos x="0" y="0"/>
                <wp:positionH relativeFrom="page">
                  <wp:posOffset>180340</wp:posOffset>
                </wp:positionH>
                <wp:positionV relativeFrom="paragraph">
                  <wp:posOffset>355599</wp:posOffset>
                </wp:positionV>
                <wp:extent cx="183515" cy="0"/>
                <wp:effectExtent l="0" t="0" r="0" b="0"/>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0BBC4" id="Łącznik prosty 39" o:spid="_x0000_s1026" style="position:absolute;z-index:2516761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2pt,28pt" to="28.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" strokecolor="#e0000f" strokeweight=".5pt">
                <w10:wrap anchorx="page"/>
              </v:line>
            </w:pict>
          </mc:Fallback>
        </mc:AlternateContent>
      </w:r>
      <w:r w:rsidRPr="00CB549A">
        <w:rPr>
          <w:rFonts w:eastAsia="Times New Roman"/>
          <w:sz w:val="16"/>
          <w:szCs w:val="24"/>
          <w:lang w:val="pl-PL"/>
        </w:rPr>
        <w:t xml:space="preserve">Niniejszy dokument zawiera stwierdzenia dotyczące przyszłości sformułowane na podstawie aktualnych założeń i szacunków zarządu Henkel AG &amp; Co. </w:t>
      </w:r>
      <w:proofErr w:type="spellStart"/>
      <w:r w:rsidRPr="00CB549A">
        <w:rPr>
          <w:rFonts w:eastAsia="Times New Roman"/>
          <w:sz w:val="16"/>
          <w:szCs w:val="24"/>
          <w:lang w:val="pl-PL"/>
        </w:rPr>
        <w:t>KGaA</w:t>
      </w:r>
      <w:proofErr w:type="spellEnd"/>
      <w:r w:rsidRPr="00CB549A">
        <w:rPr>
          <w:rFonts w:eastAsia="Times New Roman"/>
          <w:sz w:val="16"/>
          <w:szCs w:val="24"/>
          <w:lang w:val="pl-PL"/>
        </w:rPr>
        <w:t xml:space="preserve">. Stwierdzenia odnoszące się do przyszłości charakteryzują się użyciem słów takich, jak „oczekiwać”, „zamierzać”, „planować”, „przewidywać”, „uważać”, „szacować” i podobnych wyrażeń. Stwierdzeń dotyczących przyszłości nie należy traktować jako gwarancji, że określone założenia czy oczekiwania okażą się trafne. Faktyczne przyszłe wyniki spółki Henkel AG &amp; Co. </w:t>
      </w:r>
      <w:proofErr w:type="spellStart"/>
      <w:r w:rsidRPr="00CB549A">
        <w:rPr>
          <w:rFonts w:eastAsia="Times New Roman"/>
          <w:sz w:val="16"/>
          <w:szCs w:val="24"/>
          <w:lang w:val="pl-PL"/>
        </w:rPr>
        <w:t>KGaA</w:t>
      </w:r>
      <w:proofErr w:type="spellEnd"/>
      <w:r w:rsidRPr="00CB549A">
        <w:rPr>
          <w:rFonts w:eastAsia="Times New Roman"/>
          <w:sz w:val="16"/>
          <w:szCs w:val="24"/>
          <w:lang w:val="pl-PL"/>
        </w:rPr>
        <w:t xml:space="preserve"> i jej podmiotów powiązanych uzależnione są od szeregu czynników ryzyka i niepewności, w związku z czym mogą one istotnie odbiegać od wyników wskazanych w stwierdzeniach dotyczących przyszłości. Na wiele z tych czynników, np. przyszłą sytuację gospodarczą czy działania konkurencji i innych uczestników rynku, Henkel nie ma wpływu, a ich dokładne przewidzenie nie jest możliwe. Henkel nie zamierza ani nie podejmuje się aktualizować stwierdzeń dotyczących przyszłości.</w:t>
      </w:r>
    </w:p>
    <w:p w14:paraId="1B1AD1C7" w14:textId="77777777" w:rsidR="00CB549A" w:rsidRPr="00CB549A" w:rsidRDefault="00CB549A" w:rsidP="00CB549A">
      <w:pPr>
        <w:widowControl/>
        <w:autoSpaceDE/>
        <w:autoSpaceDN/>
        <w:ind w:left="1236" w:right="210"/>
        <w:jc w:val="both"/>
        <w:rPr>
          <w:rFonts w:eastAsia="Times New Roman"/>
          <w:sz w:val="15"/>
          <w:szCs w:val="24"/>
          <w:lang w:val="pl-PL"/>
        </w:rPr>
      </w:pPr>
    </w:p>
    <w:p w14:paraId="6EEE70AB" w14:textId="77777777" w:rsidR="00CB549A" w:rsidRPr="00CB549A" w:rsidRDefault="00CB549A" w:rsidP="00CB549A">
      <w:pPr>
        <w:widowControl/>
        <w:autoSpaceDE/>
        <w:autoSpaceDN/>
        <w:ind w:left="1236" w:right="210"/>
        <w:jc w:val="both"/>
        <w:rPr>
          <w:rFonts w:eastAsia="Times New Roman"/>
          <w:sz w:val="16"/>
          <w:szCs w:val="24"/>
          <w:lang w:val="pl-PL"/>
        </w:rPr>
      </w:pPr>
      <w:r w:rsidRPr="00CB549A">
        <w:rPr>
          <w:rFonts w:eastAsia="Times New Roman"/>
          <w:sz w:val="16"/>
          <w:szCs w:val="24"/>
          <w:lang w:val="pl-PL"/>
        </w:rPr>
        <w:t>Niniejszy dokument zawiera niezdefiniowane wyraźnie w obowiązujących zasadach sprawozdawczości finansowej dodatkowe wskaźniki finansowe, które stanowią lub mogą stanowić alternatywne mierniki wyników (niebędące wskaźnikami przewidzianymi w ogólnie przyjętych zasadach rachunkowości). Takie dodatkowe wskaźniki finansowe nie powinny być analizowane w oderwaniu od wskaźników prezentujących aktywa netto, sytuację finansową lub wyniki działalności Henkel, które zostały przedstawione zgodnie z obowiązującymi zasadami sprawozdawczości finansowej w skonsolidowanym sprawozdaniu finansowym spółki, ani traktowane jako alternatywa dla tych wskaźników. Podobnie nazwane alternatywne mierniki wyników podawane lub opisywane przez inne spółki mogą być obliczane w inny sposób.</w:t>
      </w:r>
    </w:p>
    <w:p w14:paraId="4C6544DC" w14:textId="77777777" w:rsidR="00CB549A" w:rsidRPr="00CB549A" w:rsidRDefault="00CB549A" w:rsidP="00CB549A">
      <w:pPr>
        <w:widowControl/>
        <w:autoSpaceDE/>
        <w:autoSpaceDN/>
        <w:ind w:left="1236" w:right="210"/>
        <w:jc w:val="both"/>
        <w:rPr>
          <w:rFonts w:eastAsia="Times New Roman"/>
          <w:sz w:val="15"/>
          <w:szCs w:val="24"/>
          <w:lang w:val="pl-PL"/>
        </w:rPr>
      </w:pPr>
    </w:p>
    <w:p w14:paraId="640F85C2" w14:textId="3F8DC5F4" w:rsidR="00CB549A" w:rsidRDefault="00CB549A" w:rsidP="00CB549A">
      <w:pPr>
        <w:widowControl/>
        <w:autoSpaceDE/>
        <w:autoSpaceDN/>
        <w:ind w:left="1236" w:right="210"/>
        <w:jc w:val="both"/>
        <w:rPr>
          <w:rFonts w:eastAsia="Times New Roman"/>
          <w:sz w:val="16"/>
          <w:szCs w:val="24"/>
          <w:lang w:val="pl-PL"/>
        </w:rPr>
      </w:pPr>
      <w:r w:rsidRPr="00CB549A">
        <w:rPr>
          <w:rFonts w:eastAsia="Times New Roman"/>
          <w:sz w:val="16"/>
          <w:szCs w:val="24"/>
          <w:lang w:val="pl-PL"/>
        </w:rPr>
        <w:t>Niniejszy dokument ma charakter wyłącznie informacyjny i nie stanowi porady inwestycyjnej ani oferty sprzedaży lub zaproszenia do składania ofert nabycia jakichkolwiek papierów wartościowych.</w:t>
      </w:r>
    </w:p>
    <w:p w14:paraId="3CEFFCFB" w14:textId="5DC8ECC4" w:rsidR="00CB549A" w:rsidRDefault="00CB549A" w:rsidP="00CB549A">
      <w:pPr>
        <w:widowControl/>
        <w:autoSpaceDE/>
        <w:autoSpaceDN/>
        <w:ind w:left="1236" w:right="210"/>
        <w:jc w:val="both"/>
        <w:rPr>
          <w:rFonts w:eastAsia="Times New Roman"/>
          <w:sz w:val="16"/>
          <w:szCs w:val="24"/>
          <w:lang w:val="pl-PL"/>
        </w:rPr>
      </w:pPr>
    </w:p>
    <w:p w14:paraId="2D97E27C" w14:textId="77777777" w:rsidR="00CB549A" w:rsidRPr="00CB549A" w:rsidRDefault="00CB549A" w:rsidP="00CB549A">
      <w:pPr>
        <w:ind w:left="1236" w:right="210"/>
        <w:jc w:val="both"/>
        <w:rPr>
          <w:b/>
          <w:bCs/>
          <w:sz w:val="18"/>
          <w:szCs w:val="18"/>
          <w:lang w:val="pl-PL"/>
        </w:rPr>
      </w:pPr>
      <w:r w:rsidRPr="00CB549A">
        <w:rPr>
          <w:b/>
          <w:bCs/>
          <w:sz w:val="18"/>
          <w:szCs w:val="18"/>
          <w:lang w:val="pl-PL"/>
        </w:rPr>
        <w:t>Kontakt dla prasy:</w:t>
      </w:r>
    </w:p>
    <w:p w14:paraId="36D87A5A" w14:textId="6AC3B0F6" w:rsidR="00CB549A" w:rsidRPr="00CB549A" w:rsidRDefault="00CB549A" w:rsidP="00CB549A">
      <w:pPr>
        <w:ind w:left="1236" w:right="210"/>
        <w:jc w:val="both"/>
        <w:rPr>
          <w:b/>
          <w:bCs/>
          <w:sz w:val="18"/>
          <w:szCs w:val="18"/>
          <w:lang w:val="pl-PL"/>
        </w:rPr>
      </w:pPr>
      <w:r w:rsidRPr="00CB549A">
        <w:rPr>
          <w:b/>
          <w:bCs/>
          <w:sz w:val="18"/>
          <w:szCs w:val="18"/>
          <w:lang w:val="pl-PL"/>
        </w:rPr>
        <w:t>Dorota Strosznajder</w:t>
      </w:r>
      <w:r w:rsidRPr="00CB549A">
        <w:rPr>
          <w:b/>
          <w:bCs/>
          <w:sz w:val="18"/>
          <w:szCs w:val="18"/>
          <w:lang w:val="pl-PL"/>
        </w:rPr>
        <w:tab/>
      </w:r>
      <w:r w:rsidRPr="00CB549A">
        <w:rPr>
          <w:b/>
          <w:bCs/>
          <w:sz w:val="18"/>
          <w:szCs w:val="18"/>
          <w:lang w:val="pl-PL"/>
        </w:rPr>
        <w:tab/>
      </w:r>
      <w:r w:rsidRPr="00CB549A">
        <w:rPr>
          <w:sz w:val="18"/>
          <w:szCs w:val="18"/>
          <w:lang w:val="pl-PL"/>
        </w:rPr>
        <w:tab/>
      </w:r>
      <w:r w:rsidRPr="00CB549A">
        <w:rPr>
          <w:b/>
          <w:bCs/>
          <w:sz w:val="18"/>
          <w:szCs w:val="18"/>
          <w:lang w:val="pl-PL"/>
        </w:rPr>
        <w:t>Magdalena Bryksa-Szymańczak</w:t>
      </w:r>
    </w:p>
    <w:p w14:paraId="29DA973A" w14:textId="77777777" w:rsidR="00CB549A" w:rsidRPr="00CB549A" w:rsidRDefault="00CB549A" w:rsidP="00CB549A">
      <w:pPr>
        <w:ind w:left="1236" w:right="210"/>
        <w:jc w:val="both"/>
        <w:rPr>
          <w:sz w:val="18"/>
          <w:szCs w:val="18"/>
        </w:rPr>
      </w:pPr>
      <w:r w:rsidRPr="00CB549A">
        <w:rPr>
          <w:sz w:val="18"/>
          <w:szCs w:val="18"/>
          <w:lang w:val="pl-PL"/>
        </w:rPr>
        <w:t>Henkel Polska Sp. z o.o.</w:t>
      </w:r>
      <w:r w:rsidRPr="00CB549A">
        <w:rPr>
          <w:sz w:val="18"/>
          <w:szCs w:val="18"/>
          <w:lang w:val="pl-PL"/>
        </w:rPr>
        <w:tab/>
      </w:r>
      <w:r w:rsidRPr="00CB549A">
        <w:rPr>
          <w:sz w:val="18"/>
          <w:szCs w:val="18"/>
          <w:lang w:val="pl-PL"/>
        </w:rPr>
        <w:tab/>
      </w:r>
      <w:r w:rsidRPr="00CB549A">
        <w:rPr>
          <w:sz w:val="18"/>
          <w:szCs w:val="18"/>
          <w:lang w:val="pl-PL"/>
        </w:rPr>
        <w:tab/>
      </w:r>
      <w:r w:rsidRPr="00CB549A">
        <w:rPr>
          <w:sz w:val="18"/>
          <w:szCs w:val="18"/>
        </w:rPr>
        <w:t>Solski Communications</w:t>
      </w:r>
    </w:p>
    <w:p w14:paraId="41E85F51" w14:textId="77777777" w:rsidR="00CB549A" w:rsidRPr="00CB549A" w:rsidRDefault="00CB549A" w:rsidP="00CB549A">
      <w:pPr>
        <w:ind w:left="1236" w:right="210"/>
        <w:jc w:val="both"/>
        <w:rPr>
          <w:sz w:val="18"/>
          <w:szCs w:val="18"/>
        </w:rPr>
      </w:pPr>
      <w:proofErr w:type="spellStart"/>
      <w:r w:rsidRPr="00CB549A">
        <w:rPr>
          <w:sz w:val="18"/>
          <w:szCs w:val="18"/>
        </w:rPr>
        <w:t>tel</w:t>
      </w:r>
      <w:proofErr w:type="spellEnd"/>
      <w:r w:rsidRPr="00CB549A">
        <w:rPr>
          <w:sz w:val="18"/>
          <w:szCs w:val="18"/>
        </w:rPr>
        <w:t>: (022) 565 66 65</w:t>
      </w:r>
      <w:r w:rsidRPr="00CB549A">
        <w:rPr>
          <w:sz w:val="18"/>
          <w:szCs w:val="18"/>
        </w:rPr>
        <w:tab/>
      </w:r>
      <w:r w:rsidRPr="00CB549A">
        <w:rPr>
          <w:sz w:val="18"/>
          <w:szCs w:val="18"/>
        </w:rPr>
        <w:tab/>
      </w:r>
      <w:r w:rsidRPr="00CB549A">
        <w:rPr>
          <w:sz w:val="18"/>
          <w:szCs w:val="18"/>
        </w:rPr>
        <w:tab/>
      </w:r>
      <w:r w:rsidRPr="00CB549A">
        <w:rPr>
          <w:sz w:val="18"/>
          <w:szCs w:val="18"/>
        </w:rPr>
        <w:tab/>
      </w:r>
      <w:proofErr w:type="spellStart"/>
      <w:r w:rsidRPr="00CB549A">
        <w:rPr>
          <w:sz w:val="18"/>
          <w:szCs w:val="18"/>
        </w:rPr>
        <w:t>tel</w:t>
      </w:r>
      <w:proofErr w:type="spellEnd"/>
      <w:r w:rsidRPr="00CB549A">
        <w:rPr>
          <w:sz w:val="18"/>
          <w:szCs w:val="18"/>
        </w:rPr>
        <w:t>: (022) 242 86 43</w:t>
      </w:r>
    </w:p>
    <w:p w14:paraId="3C83B7C3" w14:textId="7068CFAA" w:rsidR="00CB549A" w:rsidRPr="00CB549A" w:rsidRDefault="00CB549A" w:rsidP="00CB549A">
      <w:pPr>
        <w:ind w:left="1236" w:right="210"/>
        <w:jc w:val="both"/>
        <w:rPr>
          <w:sz w:val="20"/>
          <w:szCs w:val="20"/>
        </w:rPr>
      </w:pPr>
      <w:hyperlink r:id="rId12" w:history="1">
        <w:r w:rsidRPr="00CB549A">
          <w:rPr>
            <w:rStyle w:val="Hipercze"/>
            <w:sz w:val="18"/>
            <w:szCs w:val="18"/>
          </w:rPr>
          <w:t>dorota.strosznajder@henkel.com</w:t>
        </w:r>
      </w:hyperlink>
      <w:r w:rsidRPr="00CB549A">
        <w:rPr>
          <w:sz w:val="18"/>
          <w:szCs w:val="18"/>
        </w:rPr>
        <w:t xml:space="preserve"> </w:t>
      </w:r>
      <w:r w:rsidRPr="00CB549A">
        <w:rPr>
          <w:sz w:val="18"/>
          <w:szCs w:val="18"/>
        </w:rPr>
        <w:tab/>
      </w:r>
      <w:r w:rsidRPr="00CB549A">
        <w:rPr>
          <w:sz w:val="18"/>
          <w:szCs w:val="18"/>
        </w:rPr>
        <w:tab/>
      </w:r>
      <w:hyperlink r:id="rId13" w:history="1">
        <w:r w:rsidRPr="00CB549A">
          <w:rPr>
            <w:rStyle w:val="Hipercze"/>
            <w:sz w:val="18"/>
            <w:szCs w:val="18"/>
          </w:rPr>
          <w:t>mszymanczak@solskipr.pl</w:t>
        </w:r>
      </w:hyperlink>
      <w:r w:rsidRPr="00CB549A">
        <w:rPr>
          <w:sz w:val="18"/>
          <w:szCs w:val="18"/>
        </w:rPr>
        <w:t xml:space="preserve"> </w:t>
      </w:r>
    </w:p>
    <w:sectPr w:rsidR="00CB549A" w:rsidRPr="00CB549A" w:rsidSect="00CB549A">
      <w:footerReference w:type="default" r:id="rId14"/>
      <w:pgSz w:w="11910" w:h="16850"/>
      <w:pgMar w:top="1500" w:right="1200" w:bottom="2780" w:left="180" w:header="0" w:footer="259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34A96" w14:textId="77777777" w:rsidR="000947B6" w:rsidRDefault="00FA305E">
      <w:r>
        <w:separator/>
      </w:r>
    </w:p>
  </w:endnote>
  <w:endnote w:type="continuationSeparator" w:id="0">
    <w:p w14:paraId="031E8DFA" w14:textId="77777777" w:rsidR="000947B6" w:rsidRDefault="00FA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13C8" w14:textId="779CB8DB" w:rsidR="00FA305E" w:rsidRPr="003B6354" w:rsidRDefault="00FA305E">
    <w:pPr>
      <w:pStyle w:val="Tekstpodstawowy"/>
      <w:spacing w:line="14" w:lineRule="auto"/>
      <w:rPr>
        <w:sz w:val="20"/>
        <w:lang w:val="pl-PL"/>
      </w:rPr>
    </w:pPr>
    <w:r>
      <w:rPr>
        <w:noProof/>
        <w:lang w:val="pl-PL" w:eastAsia="pl-PL"/>
      </w:rPr>
      <mc:AlternateContent>
        <mc:Choice Requires="wps">
          <w:drawing>
            <wp:anchor distT="0" distB="0" distL="114300" distR="114300" simplePos="0" relativeHeight="251658752" behindDoc="1" locked="0" layoutInCell="1" allowOverlap="1" wp14:anchorId="0CB6D18A" wp14:editId="526C9A53">
              <wp:simplePos x="0" y="0"/>
              <wp:positionH relativeFrom="page">
                <wp:posOffset>180340</wp:posOffset>
              </wp:positionH>
              <wp:positionV relativeFrom="page">
                <wp:posOffset>7576820</wp:posOffset>
              </wp:positionV>
              <wp:extent cx="183515" cy="0"/>
              <wp:effectExtent l="8890" t="13970" r="7620" b="508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03663" id="Line 1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6.6pt" to="28.65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" strokecolor="#e0000f" strokeweight=".5pt">
              <w10:wrap anchorx="page" anchory="page"/>
            </v:line>
          </w:pict>
        </mc:Fallback>
      </mc:AlternateContent>
    </w:r>
    <w:r>
      <w:rPr>
        <w:noProof/>
        <w:lang w:val="pl-PL" w:eastAsia="pl-PL"/>
      </w:rPr>
      <mc:AlternateContent>
        <mc:Choice Requires="wps">
          <w:drawing>
            <wp:anchor distT="0" distB="0" distL="114300" distR="114300" simplePos="0" relativeHeight="251660800" behindDoc="1" locked="0" layoutInCell="1" allowOverlap="1" wp14:anchorId="50084B3F" wp14:editId="693B82C1">
              <wp:simplePos x="0" y="0"/>
              <wp:positionH relativeFrom="page">
                <wp:posOffset>887730</wp:posOffset>
              </wp:positionH>
              <wp:positionV relativeFrom="page">
                <wp:posOffset>9980930</wp:posOffset>
              </wp:positionV>
              <wp:extent cx="962025" cy="124460"/>
              <wp:effectExtent l="1905" t="0" r="0" b="6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12411" w14:textId="77777777" w:rsidR="00FA305E" w:rsidRDefault="00FA305E">
                          <w:pPr>
                            <w:spacing w:before="14"/>
                            <w:ind w:left="20"/>
                            <w:rPr>
                              <w:sz w:val="14"/>
                            </w:rPr>
                          </w:pPr>
                          <w:r>
                            <w:rPr>
                              <w:sz w:val="14"/>
                              <w:lang w:val="pl"/>
                            </w:rPr>
                            <w:t>Henkel AG &amp; Co. 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84B3F" id="_x0000_t202" coordsize="21600,21600" o:spt="202" path="m,l,21600r21600,l21600,xe">
              <v:stroke joinstyle="miter"/>
              <v:path gradientshapeok="t" o:connecttype="rect"/>
            </v:shapetype>
            <v:shape id="Text Box 19" o:spid="_x0000_s1026" type="#_x0000_t202" style="position:absolute;margin-left:69.9pt;margin-top:785.9pt;width:75.75pt;height:9.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" filled="f" stroked="f">
              <v:textbox inset="0,0,0,0">
                <w:txbxContent>
                  <w:p w14:paraId="0CE12411" w14:textId="77777777" w:rsidR="00FA305E" w:rsidRDefault="00FA305E">
                    <w:pPr>
                      <w:spacing w:before="14"/>
                      <w:ind w:left="20"/>
                      <w:rPr>
                        <w:sz w:val="14"/>
                      </w:rPr>
                    </w:pPr>
                    <w:r>
                      <w:rPr>
                        <w:sz w:val="14"/>
                        <w:lang w:val="pl"/>
                      </w:rPr>
                      <w:t>Henkel AG &amp; Co. KGaA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391B" w14:textId="77777777" w:rsidR="000947B6" w:rsidRDefault="00FA305E">
      <w:r>
        <w:separator/>
      </w:r>
    </w:p>
  </w:footnote>
  <w:footnote w:type="continuationSeparator" w:id="0">
    <w:p w14:paraId="33170588" w14:textId="77777777" w:rsidR="000947B6" w:rsidRDefault="00FA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77C93"/>
    <w:multiLevelType w:val="hybridMultilevel"/>
    <w:tmpl w:val="C802870A"/>
    <w:lvl w:ilvl="0" w:tplc="169488EA">
      <w:numFmt w:val="bullet"/>
      <w:lvlText w:val=""/>
      <w:lvlJc w:val="left"/>
      <w:pPr>
        <w:ind w:left="1665" w:hanging="428"/>
      </w:pPr>
      <w:rPr>
        <w:rFonts w:ascii="Symbol" w:eastAsia="Symbol" w:hAnsi="Symbol" w:cs="Symbol" w:hint="default"/>
        <w:w w:val="100"/>
        <w:sz w:val="24"/>
        <w:szCs w:val="24"/>
      </w:rPr>
    </w:lvl>
    <w:lvl w:ilvl="1" w:tplc="F21225A4">
      <w:numFmt w:val="bullet"/>
      <w:lvlText w:val="•"/>
      <w:lvlJc w:val="left"/>
      <w:pPr>
        <w:ind w:left="2546" w:hanging="428"/>
      </w:pPr>
      <w:rPr>
        <w:rFonts w:hint="default"/>
      </w:rPr>
    </w:lvl>
    <w:lvl w:ilvl="2" w:tplc="56AA4E78">
      <w:numFmt w:val="bullet"/>
      <w:lvlText w:val="•"/>
      <w:lvlJc w:val="left"/>
      <w:pPr>
        <w:ind w:left="3433" w:hanging="428"/>
      </w:pPr>
      <w:rPr>
        <w:rFonts w:hint="default"/>
      </w:rPr>
    </w:lvl>
    <w:lvl w:ilvl="3" w:tplc="BB6CADCA">
      <w:numFmt w:val="bullet"/>
      <w:lvlText w:val="•"/>
      <w:lvlJc w:val="left"/>
      <w:pPr>
        <w:ind w:left="4319" w:hanging="428"/>
      </w:pPr>
      <w:rPr>
        <w:rFonts w:hint="default"/>
      </w:rPr>
    </w:lvl>
    <w:lvl w:ilvl="4" w:tplc="B71AD984">
      <w:numFmt w:val="bullet"/>
      <w:lvlText w:val="•"/>
      <w:lvlJc w:val="left"/>
      <w:pPr>
        <w:ind w:left="5206" w:hanging="428"/>
      </w:pPr>
      <w:rPr>
        <w:rFonts w:hint="default"/>
      </w:rPr>
    </w:lvl>
    <w:lvl w:ilvl="5" w:tplc="28C8CFE0">
      <w:numFmt w:val="bullet"/>
      <w:lvlText w:val="•"/>
      <w:lvlJc w:val="left"/>
      <w:pPr>
        <w:ind w:left="6093" w:hanging="428"/>
      </w:pPr>
      <w:rPr>
        <w:rFonts w:hint="default"/>
      </w:rPr>
    </w:lvl>
    <w:lvl w:ilvl="6" w:tplc="7D00F39C">
      <w:numFmt w:val="bullet"/>
      <w:lvlText w:val="•"/>
      <w:lvlJc w:val="left"/>
      <w:pPr>
        <w:ind w:left="6979" w:hanging="428"/>
      </w:pPr>
      <w:rPr>
        <w:rFonts w:hint="default"/>
      </w:rPr>
    </w:lvl>
    <w:lvl w:ilvl="7" w:tplc="5B0C5A9A">
      <w:numFmt w:val="bullet"/>
      <w:lvlText w:val="•"/>
      <w:lvlJc w:val="left"/>
      <w:pPr>
        <w:ind w:left="7866" w:hanging="428"/>
      </w:pPr>
      <w:rPr>
        <w:rFonts w:hint="default"/>
      </w:rPr>
    </w:lvl>
    <w:lvl w:ilvl="8" w:tplc="22FC9DF6">
      <w:numFmt w:val="bullet"/>
      <w:lvlText w:val="•"/>
      <w:lvlJc w:val="left"/>
      <w:pPr>
        <w:ind w:left="8753"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09A"/>
    <w:rsid w:val="000947B6"/>
    <w:rsid w:val="00312052"/>
    <w:rsid w:val="003964CC"/>
    <w:rsid w:val="003B6354"/>
    <w:rsid w:val="00501423"/>
    <w:rsid w:val="00530273"/>
    <w:rsid w:val="0079209A"/>
    <w:rsid w:val="00AB2C7C"/>
    <w:rsid w:val="00C70858"/>
    <w:rsid w:val="00CB549A"/>
    <w:rsid w:val="00D13CFA"/>
    <w:rsid w:val="00DC7D4F"/>
    <w:rsid w:val="00E214E9"/>
    <w:rsid w:val="00EB1E2A"/>
    <w:rsid w:val="00FA3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0073F"/>
  <w15:docId w15:val="{DB69574F-1F86-430F-B4C8-A2AE641A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1238"/>
      <w:outlineLvl w:val="0"/>
    </w:pPr>
    <w:rPr>
      <w:b/>
      <w:bCs/>
      <w:sz w:val="36"/>
      <w:szCs w:val="36"/>
    </w:rPr>
  </w:style>
  <w:style w:type="paragraph" w:styleId="Nagwek2">
    <w:name w:val="heading 2"/>
    <w:basedOn w:val="Normalny"/>
    <w:uiPriority w:val="9"/>
    <w:unhideWhenUsed/>
    <w:qFormat/>
    <w:pPr>
      <w:spacing w:before="135"/>
      <w:ind w:left="1665" w:hanging="427"/>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spacing w:before="135"/>
      <w:ind w:left="1665" w:hanging="427"/>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70858"/>
    <w:pPr>
      <w:tabs>
        <w:tab w:val="center" w:pos="4536"/>
        <w:tab w:val="right" w:pos="9072"/>
      </w:tabs>
    </w:pPr>
  </w:style>
  <w:style w:type="character" w:customStyle="1" w:styleId="NagwekZnak">
    <w:name w:val="Nagłówek Znak"/>
    <w:basedOn w:val="Domylnaczcionkaakapitu"/>
    <w:link w:val="Nagwek"/>
    <w:uiPriority w:val="99"/>
    <w:rsid w:val="00C70858"/>
    <w:rPr>
      <w:rFonts w:ascii="Arial" w:eastAsia="Arial" w:hAnsi="Arial" w:cs="Arial"/>
    </w:rPr>
  </w:style>
  <w:style w:type="paragraph" w:styleId="Stopka">
    <w:name w:val="footer"/>
    <w:basedOn w:val="Normalny"/>
    <w:link w:val="StopkaZnak"/>
    <w:uiPriority w:val="99"/>
    <w:unhideWhenUsed/>
    <w:rsid w:val="00C70858"/>
    <w:pPr>
      <w:tabs>
        <w:tab w:val="center" w:pos="4536"/>
        <w:tab w:val="right" w:pos="9072"/>
      </w:tabs>
    </w:pPr>
  </w:style>
  <w:style w:type="character" w:customStyle="1" w:styleId="StopkaZnak">
    <w:name w:val="Stopka Znak"/>
    <w:basedOn w:val="Domylnaczcionkaakapitu"/>
    <w:link w:val="Stopka"/>
    <w:uiPriority w:val="99"/>
    <w:rsid w:val="00C70858"/>
    <w:rPr>
      <w:rFonts w:ascii="Arial" w:eastAsia="Arial" w:hAnsi="Arial" w:cs="Arial"/>
    </w:rPr>
  </w:style>
  <w:style w:type="paragraph" w:styleId="Tekstdymka">
    <w:name w:val="Balloon Text"/>
    <w:basedOn w:val="Normalny"/>
    <w:link w:val="TekstdymkaZnak"/>
    <w:uiPriority w:val="99"/>
    <w:semiHidden/>
    <w:unhideWhenUsed/>
    <w:rsid w:val="00D13C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CFA"/>
    <w:rPr>
      <w:rFonts w:ascii="Segoe UI" w:eastAsia="Arial" w:hAnsi="Segoe UI" w:cs="Segoe UI"/>
      <w:sz w:val="18"/>
      <w:szCs w:val="18"/>
    </w:rPr>
  </w:style>
  <w:style w:type="character" w:styleId="Odwoaniedokomentarza">
    <w:name w:val="annotation reference"/>
    <w:basedOn w:val="Domylnaczcionkaakapitu"/>
    <w:uiPriority w:val="99"/>
    <w:semiHidden/>
    <w:unhideWhenUsed/>
    <w:rsid w:val="00AB2C7C"/>
    <w:rPr>
      <w:sz w:val="16"/>
      <w:szCs w:val="16"/>
    </w:rPr>
  </w:style>
  <w:style w:type="paragraph" w:styleId="Tekstkomentarza">
    <w:name w:val="annotation text"/>
    <w:basedOn w:val="Normalny"/>
    <w:link w:val="TekstkomentarzaZnak"/>
    <w:uiPriority w:val="99"/>
    <w:semiHidden/>
    <w:unhideWhenUsed/>
    <w:rsid w:val="00AB2C7C"/>
    <w:rPr>
      <w:sz w:val="20"/>
      <w:szCs w:val="20"/>
    </w:rPr>
  </w:style>
  <w:style w:type="character" w:customStyle="1" w:styleId="TekstkomentarzaZnak">
    <w:name w:val="Tekst komentarza Znak"/>
    <w:basedOn w:val="Domylnaczcionkaakapitu"/>
    <w:link w:val="Tekstkomentarza"/>
    <w:uiPriority w:val="99"/>
    <w:semiHidden/>
    <w:rsid w:val="00AB2C7C"/>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AB2C7C"/>
    <w:rPr>
      <w:b/>
      <w:bCs/>
    </w:rPr>
  </w:style>
  <w:style w:type="character" w:customStyle="1" w:styleId="TematkomentarzaZnak">
    <w:name w:val="Temat komentarza Znak"/>
    <w:basedOn w:val="TekstkomentarzaZnak"/>
    <w:link w:val="Tematkomentarza"/>
    <w:uiPriority w:val="99"/>
    <w:semiHidden/>
    <w:rsid w:val="00AB2C7C"/>
    <w:rPr>
      <w:rFonts w:ascii="Arial" w:eastAsia="Arial" w:hAnsi="Arial" w:cs="Arial"/>
      <w:b/>
      <w:bCs/>
      <w:sz w:val="20"/>
      <w:szCs w:val="20"/>
    </w:rPr>
  </w:style>
  <w:style w:type="character" w:styleId="Hipercze">
    <w:name w:val="Hyperlink"/>
    <w:basedOn w:val="Domylnaczcionkaakapitu"/>
    <w:uiPriority w:val="99"/>
    <w:unhideWhenUsed/>
    <w:rsid w:val="00CB5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szymanczak\Desktop\mszymanczak@solski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szymanczak\Desktop\dorota.strosznajder@henk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nke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5346-5D9B-4111-8BAF-147B3D92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2023</Words>
  <Characters>12143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News Release</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Henkel AG &amp; Co. KGaA</dc:creator>
  <cp:lastModifiedBy>Karolina Zięba</cp:lastModifiedBy>
  <cp:revision>5</cp:revision>
  <dcterms:created xsi:type="dcterms:W3CDTF">2019-11-14T12:42:00Z</dcterms:created>
  <dcterms:modified xsi:type="dcterms:W3CDTF">2019-11-14T13:13:00Z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Acrobat PDFMaker 19 für Word</vt:lpwstr>
  </property>
  <property fmtid="{D5CDD505-2E9C-101B-9397-08002B2CF9AE}" pid="4" name="LastSaved">
    <vt:filetime>2019-11-14T00:00:00Z</vt:filetime>
  </property>
</Properties>
</file>